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colors5.xml" ContentType="application/vnd.ms-office.chartcolorstyle+xml"/>
  <Override PartName="/word/charts/colors6.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charts/style5.xml" ContentType="application/vnd.ms-office.chartstyle+xml"/>
  <Override PartName="/word/charts/style6.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6"/>
        <w:spacing w:line="252" w:lineRule="auto"/>
        <w:rPr>
          <w:rFonts w:hint="default" w:ascii="Times New Roman" w:hAnsi="Times New Roman" w:cs="Times New Roman"/>
        </w:rPr>
      </w:pPr>
    </w:p>
    <w:p>
      <w:pPr>
        <w:pStyle w:val="6"/>
        <w:spacing w:line="252" w:lineRule="auto"/>
        <w:rPr>
          <w:rFonts w:hint="default" w:ascii="Times New Roman" w:hAnsi="Times New Roman" w:cs="Times New Roman"/>
        </w:rPr>
      </w:pPr>
    </w:p>
    <w:p>
      <w:pPr>
        <w:pStyle w:val="6"/>
        <w:spacing w:line="252" w:lineRule="auto"/>
        <w:rPr>
          <w:rFonts w:hint="default" w:ascii="Times New Roman" w:hAnsi="Times New Roman" w:cs="Times New Roman"/>
        </w:rPr>
      </w:pPr>
    </w:p>
    <w:p>
      <w:pPr>
        <w:pStyle w:val="6"/>
        <w:spacing w:line="252" w:lineRule="auto"/>
        <w:rPr>
          <w:rFonts w:hint="default" w:ascii="Times New Roman" w:hAnsi="Times New Roman" w:cs="Times New Roman"/>
        </w:rPr>
      </w:pPr>
    </w:p>
    <w:p>
      <w:pPr>
        <w:pStyle w:val="6"/>
        <w:spacing w:line="252" w:lineRule="auto"/>
        <w:rPr>
          <w:rFonts w:hint="default" w:ascii="Times New Roman" w:hAnsi="Times New Roman" w:cs="Times New Roman"/>
        </w:rPr>
      </w:pPr>
    </w:p>
    <w:p>
      <w:pPr>
        <w:pStyle w:val="6"/>
        <w:spacing w:line="252" w:lineRule="auto"/>
        <w:rPr>
          <w:rFonts w:hint="default" w:ascii="Times New Roman" w:hAnsi="Times New Roman" w:cs="Times New Roman"/>
        </w:rPr>
      </w:pPr>
    </w:p>
    <w:p>
      <w:pPr>
        <w:pStyle w:val="6"/>
        <w:spacing w:line="253" w:lineRule="auto"/>
        <w:rPr>
          <w:rFonts w:hint="default" w:ascii="Times New Roman" w:hAnsi="Times New Roman" w:cs="Times New Roman"/>
        </w:rPr>
      </w:pPr>
    </w:p>
    <w:p>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outlineLvl w:val="0"/>
        <w:rPr>
          <w:rFonts w:hint="default" w:ascii="Times New Roman" w:hAnsi="Times New Roman" w:eastAsia="宋体" w:cs="Times New Roman"/>
          <w:spacing w:val="12"/>
          <w:sz w:val="47"/>
          <w:szCs w:val="47"/>
          <w:lang w:eastAsia="zh-CN"/>
          <w14:textOutline w14:w="8717" w14:cap="sq" w14:cmpd="sng">
            <w14:solidFill>
              <w14:srgbClr w14:val="000000"/>
            </w14:solidFill>
            <w14:prstDash w14:val="solid"/>
            <w14:bevel/>
          </w14:textOutline>
        </w:rPr>
      </w:pPr>
      <w:bookmarkStart w:id="0" w:name="_Toc25253"/>
      <w:bookmarkStart w:id="1" w:name="_Toc7876"/>
      <w:bookmarkStart w:id="2" w:name="_Toc16813"/>
      <w:r>
        <w:rPr>
          <w:rFonts w:hint="default" w:ascii="Times New Roman" w:hAnsi="Times New Roman" w:eastAsia="宋体" w:cs="Times New Roman"/>
          <w:spacing w:val="12"/>
          <w:sz w:val="47"/>
          <w:szCs w:val="47"/>
          <w:lang w:eastAsia="zh-CN"/>
          <w14:textOutline w14:w="8717" w14:cap="sq" w14:cmpd="sng">
            <w14:solidFill>
              <w14:srgbClr w14:val="000000"/>
            </w14:solidFill>
            <w14:prstDash w14:val="solid"/>
            <w14:bevel/>
          </w14:textOutline>
        </w:rPr>
        <w:t>哈尔滨华康肉制品加工有限责任公司</w:t>
      </w:r>
      <w:bookmarkEnd w:id="0"/>
      <w:bookmarkEnd w:id="1"/>
      <w:bookmarkEnd w:id="2"/>
    </w:p>
    <w:p>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outlineLvl w:val="0"/>
        <w:rPr>
          <w:rFonts w:hint="default" w:ascii="Times New Roman" w:hAnsi="Times New Roman" w:eastAsia="宋体" w:cs="Times New Roman"/>
          <w:spacing w:val="11"/>
          <w:sz w:val="47"/>
          <w:szCs w:val="47"/>
          <w14:textOutline w14:w="8717" w14:cap="sq" w14:cmpd="sng">
            <w14:solidFill>
              <w14:srgbClr w14:val="000000"/>
            </w14:solidFill>
            <w14:prstDash w14:val="solid"/>
            <w14:bevel/>
          </w14:textOutline>
        </w:rPr>
      </w:pPr>
      <w:bookmarkStart w:id="3" w:name="_Toc2395"/>
      <w:bookmarkStart w:id="4" w:name="_Toc14275"/>
      <w:r>
        <w:rPr>
          <w:rFonts w:hint="default" w:ascii="Times New Roman" w:hAnsi="Times New Roman" w:eastAsia="宋体" w:cs="Times New Roman"/>
          <w:spacing w:val="12"/>
          <w:sz w:val="47"/>
          <w:szCs w:val="47"/>
          <w:lang w:eastAsia="zh-CN"/>
          <w14:textOutline w14:w="8717" w14:cap="sq" w14:cmpd="sng">
            <w14:solidFill>
              <w14:srgbClr w14:val="000000"/>
            </w14:solidFill>
            <w14:prstDash w14:val="solid"/>
            <w14:bevel/>
          </w14:textOutline>
        </w:rPr>
        <w:t>年屠宰加工16万头生猪</w:t>
      </w:r>
      <w:r>
        <w:rPr>
          <w:rFonts w:hint="default" w:ascii="Times New Roman" w:hAnsi="Times New Roman" w:eastAsia="宋体" w:cs="Times New Roman"/>
          <w:spacing w:val="11"/>
          <w:sz w:val="47"/>
          <w:szCs w:val="47"/>
          <w14:textOutline w14:w="8717" w14:cap="sq" w14:cmpd="sng">
            <w14:solidFill>
              <w14:srgbClr w14:val="000000"/>
            </w14:solidFill>
            <w14:prstDash w14:val="solid"/>
            <w14:bevel/>
          </w14:textOutline>
        </w:rPr>
        <w:t>扩建项目</w:t>
      </w:r>
      <w:bookmarkEnd w:id="3"/>
      <w:bookmarkEnd w:id="4"/>
    </w:p>
    <w:p>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eastAsia="宋体" w:cs="Times New Roman"/>
          <w:spacing w:val="12"/>
          <w:sz w:val="47"/>
          <w:szCs w:val="47"/>
          <w:lang w:eastAsia="zh-CN"/>
          <w14:textOutline w14:w="8717" w14:cap="sq" w14:cmpd="sng">
            <w14:solidFill>
              <w14:srgbClr w14:val="000000"/>
            </w14:solidFill>
            <w14:prstDash w14:val="solid"/>
            <w14:bevel/>
          </w14:textOutline>
        </w:rPr>
      </w:pPr>
      <w:r>
        <w:rPr>
          <w:rFonts w:hint="default" w:ascii="Times New Roman" w:hAnsi="Times New Roman" w:eastAsia="宋体" w:cs="Times New Roman"/>
          <w:spacing w:val="12"/>
          <w:sz w:val="47"/>
          <w:szCs w:val="47"/>
          <w:lang w:eastAsia="zh-CN"/>
          <w14:textOutline w14:w="8717" w14:cap="sq" w14:cmpd="sng">
            <w14:solidFill>
              <w14:srgbClr w14:val="000000"/>
            </w14:solidFill>
            <w14:prstDash w14:val="solid"/>
            <w14:bevel/>
          </w14:textOutline>
        </w:rPr>
        <w:t>环境影响报告书</w:t>
      </w: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pStyle w:val="6"/>
        <w:spacing w:line="242" w:lineRule="auto"/>
        <w:rPr>
          <w:rFonts w:hint="default" w:ascii="Times New Roman" w:hAnsi="Times New Roman" w:cs="Times New Roman"/>
        </w:rPr>
      </w:pPr>
    </w:p>
    <w:p>
      <w:pPr>
        <w:spacing w:before="101" w:line="225" w:lineRule="auto"/>
        <w:jc w:val="center"/>
        <w:rPr>
          <w:rFonts w:hint="default" w:ascii="Times New Roman" w:hAnsi="Times New Roman" w:eastAsia="宋体" w:cs="Times New Roman"/>
          <w:spacing w:val="10"/>
          <w:sz w:val="31"/>
          <w:szCs w:val="31"/>
          <w:lang w:eastAsia="zh-CN"/>
          <w14:textOutline w14:w="5793" w14:cap="sq" w14:cmpd="sng">
            <w14:solidFill>
              <w14:srgbClr w14:val="000000"/>
            </w14:solidFill>
            <w14:prstDash w14:val="solid"/>
            <w14:bevel/>
          </w14:textOutline>
        </w:rPr>
      </w:pPr>
      <w:r>
        <w:rPr>
          <w:rFonts w:hint="eastAsia" w:ascii="Times New Roman" w:hAnsi="Times New Roman" w:eastAsia="宋体" w:cs="Times New Roman"/>
          <w:spacing w:val="10"/>
          <w:sz w:val="31"/>
          <w:szCs w:val="31"/>
          <w:lang w:val="en-US" w:eastAsia="zh-CN"/>
          <w14:textOutline w14:w="5793" w14:cap="sq" w14:cmpd="sng">
            <w14:solidFill>
              <w14:srgbClr w14:val="000000"/>
            </w14:solidFill>
            <w14:prstDash w14:val="solid"/>
            <w14:bevel/>
          </w14:textOutline>
        </w:rPr>
        <w:t xml:space="preserve"> </w:t>
      </w:r>
      <w:bookmarkStart w:id="573" w:name="_GoBack"/>
      <w:bookmarkEnd w:id="573"/>
      <w:r>
        <w:rPr>
          <w:rFonts w:hint="default" w:ascii="Times New Roman" w:hAnsi="Times New Roman" w:eastAsia="宋体" w:cs="Times New Roman"/>
          <w:spacing w:val="10"/>
          <w:sz w:val="31"/>
          <w:szCs w:val="31"/>
          <w14:textOutline w14:w="5793" w14:cap="sq" w14:cmpd="sng">
            <w14:solidFill>
              <w14:srgbClr w14:val="000000"/>
            </w14:solidFill>
            <w14:prstDash w14:val="solid"/>
            <w14:bevel/>
          </w14:textOutline>
        </w:rPr>
        <w:t>建设单位：</w:t>
      </w:r>
      <w:r>
        <w:rPr>
          <w:rFonts w:hint="default" w:ascii="Times New Roman" w:hAnsi="Times New Roman" w:eastAsia="宋体" w:cs="Times New Roman"/>
          <w:spacing w:val="10"/>
          <w:sz w:val="31"/>
          <w:szCs w:val="31"/>
          <w:lang w:eastAsia="zh-CN"/>
          <w14:textOutline w14:w="5793" w14:cap="sq" w14:cmpd="sng">
            <w14:solidFill>
              <w14:srgbClr w14:val="000000"/>
            </w14:solidFill>
            <w14:prstDash w14:val="solid"/>
            <w14:bevel/>
          </w14:textOutline>
        </w:rPr>
        <w:t>哈尔滨华康肉制品加工有限责任公司</w:t>
      </w:r>
    </w:p>
    <w:p>
      <w:pPr>
        <w:spacing w:before="101" w:line="225" w:lineRule="auto"/>
        <w:jc w:val="center"/>
        <w:rPr>
          <w:rFonts w:hint="default" w:ascii="Times New Roman" w:hAnsi="Times New Roman" w:eastAsia="宋体" w:cs="Times New Roman"/>
          <w:spacing w:val="10"/>
          <w:sz w:val="31"/>
          <w:szCs w:val="31"/>
          <w:lang w:eastAsia="zh-CN"/>
          <w14:textOutline w14:w="5793" w14:cap="sq" w14:cmpd="sng">
            <w14:solidFill>
              <w14:srgbClr w14:val="000000"/>
            </w14:solidFill>
            <w14:prstDash w14:val="solid"/>
            <w14:bevel/>
          </w14:textOutline>
        </w:rPr>
      </w:pPr>
    </w:p>
    <w:p>
      <w:pPr>
        <w:spacing w:before="101" w:line="225" w:lineRule="auto"/>
        <w:ind w:firstLine="1320" w:firstLineChars="400"/>
        <w:jc w:val="both"/>
        <w:rPr>
          <w:rFonts w:hint="default" w:ascii="Times New Roman" w:hAnsi="Times New Roman" w:eastAsia="宋体" w:cs="Times New Roman"/>
          <w:sz w:val="31"/>
          <w:szCs w:val="31"/>
          <w:lang w:eastAsia="zh-CN"/>
        </w:rPr>
      </w:pPr>
      <w:r>
        <w:rPr>
          <w:rFonts w:hint="default" w:ascii="Times New Roman" w:hAnsi="Times New Roman" w:eastAsia="宋体" w:cs="Times New Roman"/>
          <w:spacing w:val="10"/>
          <w:sz w:val="31"/>
          <w:szCs w:val="31"/>
          <w14:textOutline w14:w="5793" w14:cap="sq" w14:cmpd="sng">
            <w14:solidFill>
              <w14:srgbClr w14:val="000000"/>
            </w14:solidFill>
            <w14:prstDash w14:val="solid"/>
            <w14:bevel/>
          </w14:textOutline>
        </w:rPr>
        <w:t>评价单位：</w:t>
      </w:r>
      <w:r>
        <w:rPr>
          <w:rFonts w:hint="default" w:ascii="Times New Roman" w:hAnsi="Times New Roman" w:eastAsia="宋体" w:cs="Times New Roman"/>
          <w:spacing w:val="10"/>
          <w:sz w:val="31"/>
          <w:szCs w:val="31"/>
          <w:lang w:eastAsia="zh-CN"/>
          <w14:textOutline w14:w="5793" w14:cap="sq" w14:cmpd="sng">
            <w14:solidFill>
              <w14:srgbClr w14:val="000000"/>
            </w14:solidFill>
            <w14:prstDash w14:val="solid"/>
            <w14:bevel/>
          </w14:textOutline>
        </w:rPr>
        <w:t>黑龙江辰瀚环境保护有限公司</w:t>
      </w:r>
    </w:p>
    <w:p>
      <w:pPr>
        <w:pStyle w:val="6"/>
        <w:spacing w:line="402" w:lineRule="auto"/>
        <w:rPr>
          <w:rFonts w:hint="default" w:ascii="Times New Roman" w:hAnsi="Times New Roman" w:cs="Times New Roman"/>
        </w:rPr>
      </w:pPr>
    </w:p>
    <w:p>
      <w:pPr>
        <w:spacing w:before="100" w:line="225" w:lineRule="auto"/>
        <w:ind w:left="3092"/>
        <w:rPr>
          <w:rFonts w:hint="default" w:ascii="Times New Roman" w:hAnsi="Times New Roman" w:eastAsia="宋体" w:cs="Times New Roman"/>
          <w:sz w:val="31"/>
          <w:szCs w:val="31"/>
        </w:rPr>
      </w:pPr>
      <w:r>
        <w:rPr>
          <w:rFonts w:hint="default" w:ascii="Times New Roman" w:hAnsi="Times New Roman" w:eastAsia="宋体" w:cs="Times New Roman"/>
          <w:spacing w:val="19"/>
          <w:sz w:val="31"/>
          <w:szCs w:val="31"/>
          <w:lang w:val="en-US" w:eastAsia="zh-CN"/>
          <w14:textOutline w14:w="5793" w14:cap="sq" w14:cmpd="sng">
            <w14:solidFill>
              <w14:srgbClr w14:val="000000"/>
            </w14:solidFill>
            <w14:prstDash w14:val="solid"/>
            <w14:bevel/>
          </w14:textOutline>
        </w:rPr>
        <w:t>2024</w:t>
      </w:r>
      <w:r>
        <w:rPr>
          <w:rFonts w:hint="default" w:ascii="Times New Roman" w:hAnsi="Times New Roman" w:eastAsia="宋体" w:cs="Times New Roman"/>
          <w:spacing w:val="19"/>
          <w:sz w:val="31"/>
          <w:szCs w:val="31"/>
          <w14:textOutline w14:w="5793" w14:cap="sq" w14:cmpd="sng">
            <w14:solidFill>
              <w14:srgbClr w14:val="000000"/>
            </w14:solidFill>
            <w14:prstDash w14:val="solid"/>
            <w14:bevel/>
          </w14:textOutline>
        </w:rPr>
        <w:t>年</w:t>
      </w:r>
      <w:r>
        <w:rPr>
          <w:rFonts w:hint="default" w:ascii="Times New Roman" w:hAnsi="Times New Roman" w:eastAsia="宋体" w:cs="Times New Roman"/>
          <w:spacing w:val="19"/>
          <w:sz w:val="31"/>
          <w:szCs w:val="31"/>
          <w:lang w:val="en-US" w:eastAsia="zh-CN"/>
          <w14:textOutline w14:w="5793" w14:cap="sq" w14:cmpd="sng">
            <w14:solidFill>
              <w14:srgbClr w14:val="000000"/>
            </w14:solidFill>
            <w14:prstDash w14:val="solid"/>
            <w14:bevel/>
          </w14:textOutline>
        </w:rPr>
        <w:t>0</w:t>
      </w:r>
      <w:r>
        <w:rPr>
          <w:rFonts w:hint="eastAsia" w:ascii="Times New Roman" w:hAnsi="Times New Roman" w:eastAsia="宋体" w:cs="Times New Roman"/>
          <w:spacing w:val="19"/>
          <w:sz w:val="31"/>
          <w:szCs w:val="31"/>
          <w:lang w:val="en-US" w:eastAsia="zh-CN"/>
          <w14:textOutline w14:w="5793" w14:cap="sq" w14:cmpd="sng">
            <w14:solidFill>
              <w14:srgbClr w14:val="000000"/>
            </w14:solidFill>
            <w14:prstDash w14:val="solid"/>
            <w14:bevel/>
          </w14:textOutline>
        </w:rPr>
        <w:t>3</w:t>
      </w:r>
      <w:r>
        <w:rPr>
          <w:rFonts w:hint="default" w:ascii="Times New Roman" w:hAnsi="Times New Roman" w:eastAsia="宋体" w:cs="Times New Roman"/>
          <w:spacing w:val="19"/>
          <w:sz w:val="31"/>
          <w:szCs w:val="31"/>
          <w14:textOutline w14:w="5793" w14:cap="sq" w14:cmpd="sng">
            <w14:solidFill>
              <w14:srgbClr w14:val="000000"/>
            </w14:solidFill>
            <w14:prstDash w14:val="solid"/>
            <w14:bevel/>
          </w14:textOutline>
        </w:rPr>
        <w:t>月</w:t>
      </w:r>
    </w:p>
    <w:p>
      <w:pPr>
        <w:spacing w:line="225" w:lineRule="auto"/>
        <w:rPr>
          <w:rFonts w:hint="default" w:ascii="Times New Roman" w:hAnsi="Times New Roman" w:eastAsia="宋体" w:cs="Times New Roman"/>
          <w:sz w:val="31"/>
          <w:szCs w:val="31"/>
        </w:rPr>
        <w:sectPr>
          <w:pgSz w:w="11906" w:h="16839"/>
          <w:pgMar w:top="1431" w:right="1602" w:bottom="0" w:left="1626" w:header="0" w:footer="0" w:gutter="0"/>
          <w:pgBorders>
            <w:top w:val="none" w:sz="0" w:space="0"/>
            <w:left w:val="none" w:sz="0" w:space="0"/>
            <w:bottom w:val="none" w:sz="0" w:space="0"/>
            <w:right w:val="none" w:sz="0" w:space="0"/>
          </w:pgBorders>
          <w:pgNumType w:fmt="decimal"/>
          <w:cols w:space="720" w:num="1"/>
          <w:titlePg/>
        </w:sectPr>
      </w:pPr>
    </w:p>
    <w:sdt>
      <w:sdtPr>
        <w:rPr>
          <w:rFonts w:ascii="宋体" w:hAnsi="宋体" w:eastAsia="宋体" w:cs="Arial"/>
          <w:snapToGrid w:val="0"/>
          <w:color w:val="000000"/>
          <w:kern w:val="0"/>
          <w:sz w:val="21"/>
          <w:szCs w:val="21"/>
          <w:lang w:val="en-US" w:eastAsia="en-US" w:bidi="ar-SA"/>
        </w:rPr>
        <w:id w:val="147462233"/>
        <w15:color w:val="DBDBDB"/>
        <w:docPartObj>
          <w:docPartGallery w:val="Table of Contents"/>
          <w:docPartUnique/>
        </w:docPartObj>
      </w:sdtPr>
      <w:sdtEndPr>
        <w:rPr>
          <w:rFonts w:hint="default" w:ascii="Times New Roman" w:hAnsi="Times New Roman" w:eastAsia="Arial" w:cs="Times New Roman"/>
          <w:b/>
          <w:snapToGrid w:val="0"/>
          <w:color w:val="000000"/>
          <w:kern w:val="0"/>
          <w:sz w:val="21"/>
          <w:szCs w:val="21"/>
          <w:lang w:val="en-US" w:eastAsia="en-US"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68"/>
            <w:tabs>
              <w:tab w:val="right" w:leader="dot" w:pos="9080"/>
            </w:tabs>
            <w:rPr>
              <w:b/>
            </w:rPr>
          </w:pPr>
          <w:r>
            <w:rPr>
              <w:rFonts w:hint="default" w:ascii="Times New Roman" w:hAnsi="Times New Roman" w:cs="Times New Roman"/>
            </w:rPr>
            <w:fldChar w:fldCharType="begin"/>
          </w:r>
          <w:r>
            <w:rPr>
              <w:rFonts w:hint="default" w:ascii="Times New Roman" w:hAnsi="Times New Roman" w:cs="Times New Roman"/>
            </w:rPr>
            <w:instrText xml:space="preserve">TOC \o "1-2" \h \u </w:instrText>
          </w:r>
          <w:r>
            <w:rPr>
              <w:rFonts w:hint="default" w:ascii="Times New Roman" w:hAnsi="Times New Roman" w:cs="Times New Roman"/>
            </w:rPr>
            <w:fldChar w:fldCharType="separate"/>
          </w:r>
        </w:p>
        <w:p>
          <w:pPr>
            <w:pStyle w:val="68"/>
            <w:tabs>
              <w:tab w:val="right" w:leader="dot" w:pos="9080"/>
            </w:tabs>
            <w:rPr>
              <w:b/>
            </w:rPr>
          </w:pPr>
          <w:r>
            <w:rPr>
              <w:rFonts w:hint="default" w:ascii="Times New Roman" w:hAnsi="Times New Roman" w:cs="Times New Roman"/>
              <w:b/>
            </w:rPr>
            <w:fldChar w:fldCharType="begin"/>
          </w:r>
          <w:r>
            <w:rPr>
              <w:rFonts w:hint="default" w:ascii="Times New Roman" w:hAnsi="Times New Roman" w:cs="Times New Roman"/>
              <w:b/>
            </w:rPr>
            <w:instrText xml:space="preserve"> HYPERLINK \l _Toc29519 </w:instrText>
          </w:r>
          <w:r>
            <w:rPr>
              <w:rFonts w:hint="default" w:ascii="Times New Roman" w:hAnsi="Times New Roman" w:cs="Times New Roman"/>
              <w:b/>
            </w:rPr>
            <w:fldChar w:fldCharType="separate"/>
          </w:r>
          <w:r>
            <w:rPr>
              <w:rFonts w:hint="default" w:ascii="Times New Roman" w:hAnsi="Times New Roman" w:eastAsia="宋体" w:cs="Times New Roman"/>
              <w:b/>
              <w:snapToGrid/>
              <w:kern w:val="0"/>
              <w:szCs w:val="32"/>
              <w:lang w:val="en-US" w:eastAsia="zh-CN"/>
            </w:rPr>
            <w:t>1、</w:t>
          </w:r>
          <w:r>
            <w:rPr>
              <w:rFonts w:hint="default" w:ascii="Times New Roman" w:hAnsi="Times New Roman" w:eastAsia="宋体" w:cs="Times New Roman"/>
              <w:b/>
              <w:snapToGrid/>
              <w:kern w:val="0"/>
              <w:szCs w:val="32"/>
              <w:lang w:eastAsia="zh-CN"/>
            </w:rPr>
            <w:t>概述</w:t>
          </w:r>
          <w:r>
            <w:rPr>
              <w:b/>
            </w:rPr>
            <w:tab/>
          </w:r>
          <w:r>
            <w:rPr>
              <w:b/>
            </w:rPr>
            <w:fldChar w:fldCharType="begin"/>
          </w:r>
          <w:r>
            <w:rPr>
              <w:b/>
            </w:rPr>
            <w:instrText xml:space="preserve"> PAGEREF _Toc29519 \h </w:instrText>
          </w:r>
          <w:r>
            <w:rPr>
              <w:b/>
            </w:rPr>
            <w:fldChar w:fldCharType="separate"/>
          </w:r>
          <w:r>
            <w:rPr>
              <w:b/>
            </w:rPr>
            <w:t>1</w:t>
          </w:r>
          <w:r>
            <w:rPr>
              <w:b/>
            </w:rPr>
            <w:fldChar w:fldCharType="end"/>
          </w:r>
          <w:r>
            <w:rPr>
              <w:rFonts w:hint="default" w:ascii="Times New Roman" w:hAnsi="Times New Roman" w:cs="Times New Roman"/>
              <w:b/>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_Toc14401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eastAsia="zh-CN"/>
            </w:rPr>
            <w:t>1</w:t>
          </w:r>
          <w:r>
            <w:rPr>
              <w:rFonts w:hint="default" w:ascii="Times New Roman" w:hAnsi="Times New Roman" w:eastAsia="宋体" w:cs="Times New Roman"/>
              <w:bCs/>
              <w:snapToGrid/>
              <w:kern w:val="44"/>
              <w:szCs w:val="30"/>
              <w:lang w:val="en-US" w:eastAsia="zh-CN"/>
            </w:rPr>
            <w:t xml:space="preserve">.1 </w:t>
          </w:r>
          <w:r>
            <w:rPr>
              <w:rFonts w:hint="default" w:ascii="Times New Roman" w:hAnsi="Times New Roman" w:eastAsia="宋体" w:cs="Times New Roman"/>
              <w:bCs/>
              <w:snapToGrid/>
              <w:kern w:val="44"/>
              <w:szCs w:val="30"/>
              <w:lang w:eastAsia="zh-CN"/>
            </w:rPr>
            <w:t>项目由来</w:t>
          </w:r>
          <w:r>
            <w:tab/>
          </w:r>
          <w:r>
            <w:fldChar w:fldCharType="begin"/>
          </w:r>
          <w:r>
            <w:instrText xml:space="preserve"> PAGEREF _Toc14401 \h </w:instrText>
          </w:r>
          <w:r>
            <w:fldChar w:fldCharType="separate"/>
          </w:r>
          <w:r>
            <w:t>1</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_Toc8477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val="en-US" w:eastAsia="zh-CN"/>
            </w:rPr>
            <w:t>1.2  项目特点</w:t>
          </w:r>
          <w:r>
            <w:tab/>
          </w:r>
          <w:r>
            <w:fldChar w:fldCharType="begin"/>
          </w:r>
          <w:r>
            <w:instrText xml:space="preserve"> PAGEREF _Toc8477 \h </w:instrText>
          </w:r>
          <w:r>
            <w:fldChar w:fldCharType="separate"/>
          </w:r>
          <w:r>
            <w:t>1</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_Toc9251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val="en-US" w:eastAsia="zh-CN"/>
            </w:rPr>
            <w:t>1.3环境影响评价工作过程</w:t>
          </w:r>
          <w:r>
            <w:tab/>
          </w:r>
          <w:r>
            <w:fldChar w:fldCharType="begin"/>
          </w:r>
          <w:r>
            <w:instrText xml:space="preserve"> PAGEREF _Toc9251 \h </w:instrText>
          </w:r>
          <w:r>
            <w:fldChar w:fldCharType="separate"/>
          </w:r>
          <w:r>
            <w:t>5</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_Toc29744 </w:instrText>
          </w:r>
          <w:r>
            <w:rPr>
              <w:rFonts w:hint="default" w:ascii="Times New Roman" w:hAnsi="Times New Roman" w:cs="Times New Roman"/>
            </w:rPr>
            <w:fldChar w:fldCharType="separate"/>
          </w:r>
          <w:r>
            <w:rPr>
              <w:rFonts w:hint="default" w:ascii="Times New Roman" w:hAnsi="Times New Roman" w:cs="Times New Roman"/>
              <w:bCs/>
              <w:lang w:val="en-US" w:eastAsia="zh-CN"/>
            </w:rPr>
            <w:t>1.4 分析判定的相关情况</w:t>
          </w:r>
          <w:r>
            <w:tab/>
          </w:r>
          <w:r>
            <w:fldChar w:fldCharType="begin"/>
          </w:r>
          <w:r>
            <w:instrText xml:space="preserve"> PAGEREF _Toc29744 \h </w:instrText>
          </w:r>
          <w:r>
            <w:fldChar w:fldCharType="separate"/>
          </w:r>
          <w:r>
            <w:t>6</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_Toc737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val="en-US" w:eastAsia="zh-CN"/>
            </w:rPr>
            <w:t>1.5</w:t>
          </w:r>
          <w:r>
            <w:rPr>
              <w:rFonts w:hint="default" w:ascii="Times New Roman" w:hAnsi="Times New Roman" w:eastAsia="宋体" w:cs="Times New Roman"/>
              <w:bCs/>
              <w:snapToGrid/>
              <w:kern w:val="44"/>
              <w:szCs w:val="30"/>
              <w:lang w:eastAsia="zh-CN"/>
            </w:rPr>
            <w:t>关注的主要环境问题</w:t>
          </w:r>
          <w:r>
            <w:tab/>
          </w:r>
          <w:r>
            <w:fldChar w:fldCharType="begin"/>
          </w:r>
          <w:r>
            <w:instrText xml:space="preserve"> PAGEREF _Toc737 \h </w:instrText>
          </w:r>
          <w:r>
            <w:fldChar w:fldCharType="separate"/>
          </w:r>
          <w:r>
            <w:t>15</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_Toc31664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val="en-US" w:eastAsia="zh-CN"/>
            </w:rPr>
            <w:t>1.6 环境影响</w:t>
          </w:r>
          <w:r>
            <w:rPr>
              <w:rFonts w:hint="default" w:ascii="Times New Roman" w:hAnsi="Times New Roman" w:eastAsia="宋体" w:cs="Times New Roman"/>
              <w:bCs/>
              <w:snapToGrid/>
              <w:kern w:val="44"/>
              <w:szCs w:val="30"/>
              <w:lang w:eastAsia="zh-CN"/>
            </w:rPr>
            <w:t>的主要结论</w:t>
          </w:r>
          <w:r>
            <w:tab/>
          </w:r>
          <w:r>
            <w:fldChar w:fldCharType="begin"/>
          </w:r>
          <w:r>
            <w:instrText xml:space="preserve"> PAGEREF _Toc31664 \h </w:instrText>
          </w:r>
          <w:r>
            <w:fldChar w:fldCharType="separate"/>
          </w:r>
          <w:r>
            <w:t>15</w:t>
          </w:r>
          <w:r>
            <w:fldChar w:fldCharType="end"/>
          </w:r>
          <w:r>
            <w:rPr>
              <w:rFonts w:hint="default" w:ascii="Times New Roman" w:hAnsi="Times New Roman" w:cs="Times New Roman"/>
            </w:rPr>
            <w:fldChar w:fldCharType="end"/>
          </w:r>
        </w:p>
        <w:p>
          <w:pPr>
            <w:pStyle w:val="68"/>
            <w:tabs>
              <w:tab w:val="right" w:leader="dot" w:pos="9080"/>
            </w:tabs>
            <w:rPr>
              <w:b/>
            </w:rPr>
          </w:pPr>
          <w:r>
            <w:rPr>
              <w:rFonts w:hint="default" w:ascii="Times New Roman" w:hAnsi="Times New Roman" w:cs="Times New Roman"/>
              <w:b/>
            </w:rPr>
            <w:fldChar w:fldCharType="begin"/>
          </w:r>
          <w:r>
            <w:rPr>
              <w:rFonts w:hint="default" w:ascii="Times New Roman" w:hAnsi="Times New Roman" w:cs="Times New Roman"/>
              <w:b/>
            </w:rPr>
            <w:instrText xml:space="preserve"> HYPERLINK \l _Toc32332 </w:instrText>
          </w:r>
          <w:r>
            <w:rPr>
              <w:rFonts w:hint="default" w:ascii="Times New Roman" w:hAnsi="Times New Roman" w:cs="Times New Roman"/>
              <w:b/>
            </w:rPr>
            <w:fldChar w:fldCharType="separate"/>
          </w:r>
          <w:r>
            <w:rPr>
              <w:rFonts w:hint="default" w:ascii="Times New Roman" w:hAnsi="Times New Roman" w:eastAsia="宋体" w:cs="Times New Roman"/>
              <w:b/>
              <w:snapToGrid/>
              <w:kern w:val="0"/>
              <w:szCs w:val="32"/>
              <w:lang w:val="en-US" w:eastAsia="zh-CN"/>
            </w:rPr>
            <w:t>2</w:t>
          </w:r>
          <w:r>
            <w:rPr>
              <w:rFonts w:hint="default" w:ascii="Times New Roman" w:hAnsi="Times New Roman" w:eastAsia="宋体" w:cs="Times New Roman"/>
              <w:b/>
              <w:snapToGrid/>
              <w:kern w:val="0"/>
              <w:szCs w:val="32"/>
              <w:lang w:eastAsia="zh-CN"/>
            </w:rPr>
            <w:t>、总则</w:t>
          </w:r>
          <w:r>
            <w:rPr>
              <w:b/>
            </w:rPr>
            <w:tab/>
          </w:r>
          <w:r>
            <w:rPr>
              <w:b/>
            </w:rPr>
            <w:fldChar w:fldCharType="begin"/>
          </w:r>
          <w:r>
            <w:rPr>
              <w:b/>
            </w:rPr>
            <w:instrText xml:space="preserve"> PAGEREF _Toc32332 \h </w:instrText>
          </w:r>
          <w:r>
            <w:rPr>
              <w:b/>
            </w:rPr>
            <w:fldChar w:fldCharType="separate"/>
          </w:r>
          <w:r>
            <w:rPr>
              <w:b/>
            </w:rPr>
            <w:t>16</w:t>
          </w:r>
          <w:r>
            <w:rPr>
              <w:b/>
            </w:rPr>
            <w:fldChar w:fldCharType="end"/>
          </w:r>
          <w:r>
            <w:rPr>
              <w:rFonts w:hint="default" w:ascii="Times New Roman" w:hAnsi="Times New Roman" w:cs="Times New Roman"/>
              <w:b/>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_Toc23637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val="en-US" w:eastAsia="zh-CN"/>
            </w:rPr>
            <w:t>2</w:t>
          </w:r>
          <w:r>
            <w:rPr>
              <w:rFonts w:hint="default" w:ascii="Times New Roman" w:hAnsi="Times New Roman" w:eastAsia="宋体" w:cs="Times New Roman"/>
              <w:bCs/>
              <w:snapToGrid/>
              <w:kern w:val="44"/>
              <w:szCs w:val="30"/>
              <w:lang w:eastAsia="zh-CN"/>
            </w:rPr>
            <w:t>. 1 编制依据</w:t>
          </w:r>
          <w:r>
            <w:tab/>
          </w:r>
          <w:r>
            <w:fldChar w:fldCharType="begin"/>
          </w:r>
          <w:r>
            <w:instrText xml:space="preserve"> PAGEREF _Toc23637 \h </w:instrText>
          </w:r>
          <w:r>
            <w:fldChar w:fldCharType="separate"/>
          </w:r>
          <w:r>
            <w:t>16</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_Toc18900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val="en-US" w:eastAsia="zh-CN"/>
            </w:rPr>
            <w:t>2.2 评级工作原则及评价重点</w:t>
          </w:r>
          <w:r>
            <w:tab/>
          </w:r>
          <w:r>
            <w:fldChar w:fldCharType="begin"/>
          </w:r>
          <w:r>
            <w:instrText xml:space="preserve"> PAGEREF _Toc18900 \h </w:instrText>
          </w:r>
          <w:r>
            <w:fldChar w:fldCharType="separate"/>
          </w:r>
          <w:r>
            <w:t>18</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_Toc32503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val="en-US" w:eastAsia="zh-CN"/>
            </w:rPr>
            <w:t>2.3 环境影响识别及评价因子筛选</w:t>
          </w:r>
          <w:r>
            <w:tab/>
          </w:r>
          <w:r>
            <w:fldChar w:fldCharType="begin"/>
          </w:r>
          <w:r>
            <w:instrText xml:space="preserve"> PAGEREF _Toc32503 \h </w:instrText>
          </w:r>
          <w:r>
            <w:fldChar w:fldCharType="separate"/>
          </w:r>
          <w:r>
            <w:t>19</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_Toc26971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val="en-US" w:eastAsia="zh-CN"/>
            </w:rPr>
            <w:t>2.4 评级工作等级的确定和评价范围</w:t>
          </w:r>
          <w:r>
            <w:tab/>
          </w:r>
          <w:r>
            <w:fldChar w:fldCharType="begin"/>
          </w:r>
          <w:r>
            <w:instrText xml:space="preserve"> PAGEREF _Toc26971 \h </w:instrText>
          </w:r>
          <w:r>
            <w:fldChar w:fldCharType="separate"/>
          </w:r>
          <w:r>
            <w:t>20</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_Toc3110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val="en-US" w:eastAsia="zh-CN"/>
            </w:rPr>
            <w:t>2.5 环境质量标准及评价标准</w:t>
          </w:r>
          <w:r>
            <w:tab/>
          </w:r>
          <w:r>
            <w:fldChar w:fldCharType="begin"/>
          </w:r>
          <w:r>
            <w:instrText xml:space="preserve"> PAGEREF _Toc3110 \h </w:instrText>
          </w:r>
          <w:r>
            <w:fldChar w:fldCharType="separate"/>
          </w:r>
          <w:r>
            <w:t>28</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_Toc868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val="en-US" w:eastAsia="zh-CN"/>
            </w:rPr>
            <w:t>2.6 评价时段</w:t>
          </w:r>
          <w:r>
            <w:tab/>
          </w:r>
          <w:r>
            <w:fldChar w:fldCharType="begin"/>
          </w:r>
          <w:r>
            <w:instrText xml:space="preserve"> PAGEREF _Toc868 \h </w:instrText>
          </w:r>
          <w:r>
            <w:fldChar w:fldCharType="separate"/>
          </w:r>
          <w:r>
            <w:t>31</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_Toc9096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val="en-US" w:eastAsia="zh-CN"/>
            </w:rPr>
            <w:t>2.7 环境保护目标</w:t>
          </w:r>
          <w:r>
            <w:tab/>
          </w:r>
          <w:r>
            <w:fldChar w:fldCharType="begin"/>
          </w:r>
          <w:r>
            <w:instrText xml:space="preserve"> PAGEREF _Toc9096 \h </w:instrText>
          </w:r>
          <w:r>
            <w:fldChar w:fldCharType="separate"/>
          </w:r>
          <w:r>
            <w:t>31</w:t>
          </w:r>
          <w:r>
            <w:fldChar w:fldCharType="end"/>
          </w:r>
          <w:r>
            <w:rPr>
              <w:rFonts w:hint="default" w:ascii="Times New Roman" w:hAnsi="Times New Roman" w:cs="Times New Roman"/>
            </w:rPr>
            <w:fldChar w:fldCharType="end"/>
          </w:r>
        </w:p>
        <w:p>
          <w:pPr>
            <w:pStyle w:val="68"/>
            <w:tabs>
              <w:tab w:val="right" w:leader="dot" w:pos="9080"/>
            </w:tabs>
            <w:rPr>
              <w:b/>
            </w:rPr>
          </w:pPr>
          <w:r>
            <w:rPr>
              <w:rFonts w:hint="default" w:ascii="Times New Roman" w:hAnsi="Times New Roman" w:cs="Times New Roman"/>
              <w:b/>
            </w:rPr>
            <w:fldChar w:fldCharType="begin"/>
          </w:r>
          <w:r>
            <w:rPr>
              <w:rFonts w:hint="default" w:ascii="Times New Roman" w:hAnsi="Times New Roman" w:cs="Times New Roman"/>
              <w:b/>
            </w:rPr>
            <w:instrText xml:space="preserve"> HYPERLINK \l _Toc7424 </w:instrText>
          </w:r>
          <w:r>
            <w:rPr>
              <w:rFonts w:hint="default" w:ascii="Times New Roman" w:hAnsi="Times New Roman" w:cs="Times New Roman"/>
              <w:b/>
            </w:rPr>
            <w:fldChar w:fldCharType="separate"/>
          </w:r>
          <w:r>
            <w:rPr>
              <w:rFonts w:hint="default" w:ascii="Times New Roman" w:hAnsi="Times New Roman" w:eastAsia="宋体" w:cs="Times New Roman"/>
              <w:b/>
              <w:snapToGrid/>
              <w:kern w:val="0"/>
              <w:szCs w:val="32"/>
              <w:lang w:val="en-US" w:eastAsia="zh-CN"/>
            </w:rPr>
            <w:t>3、工程概况及工程分析</w:t>
          </w:r>
          <w:r>
            <w:rPr>
              <w:b/>
            </w:rPr>
            <w:tab/>
          </w:r>
          <w:r>
            <w:rPr>
              <w:b/>
            </w:rPr>
            <w:fldChar w:fldCharType="begin"/>
          </w:r>
          <w:r>
            <w:rPr>
              <w:b/>
            </w:rPr>
            <w:instrText xml:space="preserve"> PAGEREF _Toc7424 \h </w:instrText>
          </w:r>
          <w:r>
            <w:rPr>
              <w:b/>
            </w:rPr>
            <w:fldChar w:fldCharType="separate"/>
          </w:r>
          <w:r>
            <w:rPr>
              <w:b/>
            </w:rPr>
            <w:t>34</w:t>
          </w:r>
          <w:r>
            <w:rPr>
              <w:b/>
            </w:rPr>
            <w:fldChar w:fldCharType="end"/>
          </w:r>
          <w:r>
            <w:rPr>
              <w:rFonts w:hint="default" w:ascii="Times New Roman" w:hAnsi="Times New Roman" w:cs="Times New Roman"/>
              <w:b/>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_Toc1634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val="en-US" w:eastAsia="zh-CN"/>
            </w:rPr>
            <w:t>3. 1 现有工程概况</w:t>
          </w:r>
          <w:r>
            <w:tab/>
          </w:r>
          <w:r>
            <w:fldChar w:fldCharType="begin"/>
          </w:r>
          <w:r>
            <w:instrText xml:space="preserve"> PAGEREF _Toc1634 \h </w:instrText>
          </w:r>
          <w:r>
            <w:fldChar w:fldCharType="separate"/>
          </w:r>
          <w:r>
            <w:t>34</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_Toc24205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val="en-US" w:eastAsia="zh-CN"/>
            </w:rPr>
            <w:t>3.2 现有项目工程分析</w:t>
          </w:r>
          <w:r>
            <w:tab/>
          </w:r>
          <w:r>
            <w:fldChar w:fldCharType="begin"/>
          </w:r>
          <w:r>
            <w:instrText xml:space="preserve"> PAGEREF _Toc24205 \h </w:instrText>
          </w:r>
          <w:r>
            <w:fldChar w:fldCharType="separate"/>
          </w:r>
          <w:r>
            <w:t>37</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_Toc6147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val="en-US" w:eastAsia="zh-CN"/>
            </w:rPr>
            <w:t>3.3  现有工程存在的环保问题及整改措施</w:t>
          </w:r>
          <w:r>
            <w:tab/>
          </w:r>
          <w:r>
            <w:fldChar w:fldCharType="begin"/>
          </w:r>
          <w:r>
            <w:instrText xml:space="preserve"> PAGEREF _Toc6147 \h </w:instrText>
          </w:r>
          <w:r>
            <w:fldChar w:fldCharType="separate"/>
          </w:r>
          <w:r>
            <w:t>44</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_Toc26861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val="en-US" w:eastAsia="zh-CN"/>
            </w:rPr>
            <w:t>3.4 改扩建项目工程概况</w:t>
          </w:r>
          <w:r>
            <w:tab/>
          </w:r>
          <w:r>
            <w:fldChar w:fldCharType="begin"/>
          </w:r>
          <w:r>
            <w:instrText xml:space="preserve"> PAGEREF _Toc26861 \h </w:instrText>
          </w:r>
          <w:r>
            <w:fldChar w:fldCharType="separate"/>
          </w:r>
          <w:r>
            <w:t>45</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_Toc17211 </w:instrText>
          </w:r>
          <w:r>
            <w:rPr>
              <w:rFonts w:hint="default" w:ascii="Times New Roman" w:hAnsi="Times New Roman" w:cs="Times New Roman"/>
            </w:rPr>
            <w:fldChar w:fldCharType="separate"/>
          </w:r>
          <w:r>
            <w:rPr>
              <w:rFonts w:hint="default" w:ascii="Times New Roman" w:hAnsi="Times New Roman" w:eastAsia="Times New Roman" w:cs="Times New Roman"/>
              <w:spacing w:val="-1"/>
              <w:szCs w:val="28"/>
            </w:rPr>
            <w:t>3.</w:t>
          </w:r>
          <w:r>
            <w:rPr>
              <w:rFonts w:hint="default" w:ascii="Times New Roman" w:hAnsi="Times New Roman" w:eastAsia="宋体" w:cs="Times New Roman"/>
              <w:spacing w:val="-1"/>
              <w:szCs w:val="28"/>
              <w:lang w:val="en-US" w:eastAsia="zh-CN"/>
            </w:rPr>
            <w:t>5</w:t>
          </w:r>
          <w:r>
            <w:rPr>
              <w:rFonts w:hint="default" w:ascii="Times New Roman" w:hAnsi="Times New Roman" w:eastAsia="Times New Roman" w:cs="Times New Roman"/>
              <w:spacing w:val="-1"/>
              <w:szCs w:val="28"/>
            </w:rPr>
            <w:t xml:space="preserve">  </w:t>
          </w:r>
          <w:r>
            <w:rPr>
              <w:rFonts w:hint="default" w:ascii="Times New Roman" w:hAnsi="Times New Roman" w:eastAsia="黑体" w:cs="Times New Roman"/>
              <w:spacing w:val="-1"/>
              <w:szCs w:val="28"/>
            </w:rPr>
            <w:t>依托工程可行性分析</w:t>
          </w:r>
          <w:r>
            <w:tab/>
          </w:r>
          <w:r>
            <w:fldChar w:fldCharType="begin"/>
          </w:r>
          <w:r>
            <w:instrText xml:space="preserve"> PAGEREF _Toc17211 \h </w:instrText>
          </w:r>
          <w:r>
            <w:fldChar w:fldCharType="separate"/>
          </w:r>
          <w:r>
            <w:t>55</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_Toc30360 </w:instrText>
          </w:r>
          <w:r>
            <w:rPr>
              <w:rFonts w:hint="default" w:ascii="Times New Roman" w:hAnsi="Times New Roman" w:cs="Times New Roman"/>
            </w:rPr>
            <w:fldChar w:fldCharType="separate"/>
          </w:r>
          <w:r>
            <w:rPr>
              <w:rFonts w:hint="default" w:ascii="Times New Roman" w:hAnsi="Times New Roman" w:eastAsia="黑体" w:cs="Times New Roman"/>
              <w:spacing w:val="-1"/>
              <w:szCs w:val="28"/>
            </w:rPr>
            <w:t>3.</w:t>
          </w:r>
          <w:r>
            <w:rPr>
              <w:rFonts w:hint="default" w:ascii="Times New Roman" w:hAnsi="Times New Roman" w:eastAsia="黑体" w:cs="Times New Roman"/>
              <w:spacing w:val="-1"/>
              <w:szCs w:val="28"/>
              <w:lang w:val="en-US" w:eastAsia="zh-CN"/>
            </w:rPr>
            <w:t xml:space="preserve">6 </w:t>
          </w:r>
          <w:r>
            <w:rPr>
              <w:rFonts w:hint="default" w:ascii="Times New Roman" w:hAnsi="Times New Roman" w:eastAsia="黑体" w:cs="Times New Roman"/>
              <w:spacing w:val="-1"/>
              <w:szCs w:val="28"/>
            </w:rPr>
            <w:t xml:space="preserve"> 工程分析</w:t>
          </w:r>
          <w:r>
            <w:tab/>
          </w:r>
          <w:r>
            <w:fldChar w:fldCharType="begin"/>
          </w:r>
          <w:r>
            <w:instrText xml:space="preserve"> PAGEREF _Toc30360 \h </w:instrText>
          </w:r>
          <w:r>
            <w:fldChar w:fldCharType="separate"/>
          </w:r>
          <w:r>
            <w:t>55</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_Toc6009 </w:instrText>
          </w:r>
          <w:r>
            <w:rPr>
              <w:rFonts w:hint="default" w:ascii="Times New Roman" w:hAnsi="Times New Roman" w:cs="Times New Roman"/>
            </w:rPr>
            <w:fldChar w:fldCharType="separate"/>
          </w:r>
          <w:r>
            <w:rPr>
              <w:rFonts w:hint="default" w:ascii="Times New Roman" w:hAnsi="Times New Roman" w:eastAsia="黑体" w:cs="Times New Roman"/>
              <w:spacing w:val="-1"/>
              <w:szCs w:val="28"/>
            </w:rPr>
            <w:t>3.</w:t>
          </w:r>
          <w:r>
            <w:rPr>
              <w:rFonts w:hint="default" w:ascii="Times New Roman" w:hAnsi="Times New Roman" w:eastAsia="黑体" w:cs="Times New Roman"/>
              <w:spacing w:val="-1"/>
              <w:szCs w:val="28"/>
              <w:lang w:val="en-US" w:eastAsia="zh-CN"/>
            </w:rPr>
            <w:t>7</w:t>
          </w:r>
          <w:r>
            <w:rPr>
              <w:rFonts w:hint="default" w:ascii="Times New Roman" w:hAnsi="Times New Roman" w:eastAsia="黑体" w:cs="Times New Roman"/>
              <w:spacing w:val="-1"/>
              <w:szCs w:val="28"/>
            </w:rPr>
            <w:t xml:space="preserve"> 清洁生产</w:t>
          </w:r>
          <w:r>
            <w:tab/>
          </w:r>
          <w:r>
            <w:fldChar w:fldCharType="begin"/>
          </w:r>
          <w:r>
            <w:instrText xml:space="preserve"> PAGEREF _Toc6009 \h </w:instrText>
          </w:r>
          <w:r>
            <w:fldChar w:fldCharType="separate"/>
          </w:r>
          <w:r>
            <w:t>81</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_Toc15142 </w:instrText>
          </w:r>
          <w:r>
            <w:rPr>
              <w:rFonts w:hint="default" w:ascii="Times New Roman" w:hAnsi="Times New Roman" w:cs="Times New Roman"/>
            </w:rPr>
            <w:fldChar w:fldCharType="separate"/>
          </w:r>
          <w:r>
            <w:rPr>
              <w:rFonts w:hint="default" w:ascii="Times New Roman" w:hAnsi="Times New Roman" w:eastAsia="Times New Roman" w:cs="Times New Roman"/>
              <w:bCs/>
              <w:spacing w:val="-2"/>
              <w:szCs w:val="24"/>
              <w:highlight w:val="none"/>
            </w:rPr>
            <w:t>3.</w:t>
          </w:r>
          <w:r>
            <w:rPr>
              <w:rFonts w:hint="default" w:ascii="Times New Roman" w:hAnsi="Times New Roman" w:eastAsia="Times New Roman" w:cs="Times New Roman"/>
              <w:bCs/>
              <w:spacing w:val="-2"/>
              <w:szCs w:val="24"/>
              <w:highlight w:val="none"/>
              <w:lang w:val="en-US" w:eastAsia="zh-CN"/>
            </w:rPr>
            <w:t>8</w:t>
          </w:r>
          <w:r>
            <w:rPr>
              <w:rFonts w:hint="default" w:ascii="Times New Roman" w:hAnsi="Times New Roman" w:eastAsia="Times New Roman" w:cs="Times New Roman"/>
              <w:bCs/>
              <w:spacing w:val="-2"/>
              <w:szCs w:val="24"/>
              <w:highlight w:val="none"/>
            </w:rPr>
            <w:t xml:space="preserve"> 总量控制</w:t>
          </w:r>
          <w:r>
            <w:tab/>
          </w:r>
          <w:r>
            <w:fldChar w:fldCharType="begin"/>
          </w:r>
          <w:r>
            <w:instrText xml:space="preserve"> PAGEREF _Toc15142 \h </w:instrText>
          </w:r>
          <w:r>
            <w:fldChar w:fldCharType="separate"/>
          </w:r>
          <w:r>
            <w:t>86</w:t>
          </w:r>
          <w:r>
            <w:fldChar w:fldCharType="end"/>
          </w:r>
          <w:r>
            <w:rPr>
              <w:rFonts w:hint="default" w:ascii="Times New Roman" w:hAnsi="Times New Roman" w:cs="Times New Roman"/>
            </w:rPr>
            <w:fldChar w:fldCharType="end"/>
          </w:r>
        </w:p>
        <w:p>
          <w:pPr>
            <w:pStyle w:val="68"/>
            <w:tabs>
              <w:tab w:val="right" w:leader="dot" w:pos="9080"/>
            </w:tabs>
            <w:rPr>
              <w:b/>
            </w:rPr>
          </w:pPr>
          <w:r>
            <w:rPr>
              <w:rFonts w:hint="default" w:ascii="Times New Roman" w:hAnsi="Times New Roman" w:cs="Times New Roman"/>
              <w:b/>
            </w:rPr>
            <w:fldChar w:fldCharType="begin"/>
          </w:r>
          <w:r>
            <w:rPr>
              <w:rFonts w:hint="default" w:ascii="Times New Roman" w:hAnsi="Times New Roman" w:cs="Times New Roman"/>
              <w:b/>
            </w:rPr>
            <w:instrText xml:space="preserve"> HYPERLINK \l _Toc17527 </w:instrText>
          </w:r>
          <w:r>
            <w:rPr>
              <w:rFonts w:hint="default" w:ascii="Times New Roman" w:hAnsi="Times New Roman" w:cs="Times New Roman"/>
              <w:b/>
            </w:rPr>
            <w:fldChar w:fldCharType="separate"/>
          </w:r>
          <w:r>
            <w:rPr>
              <w:rFonts w:hint="default" w:ascii="Times New Roman" w:hAnsi="Times New Roman" w:eastAsia="宋体" w:cs="Times New Roman"/>
              <w:b/>
              <w:snapToGrid/>
              <w:kern w:val="0"/>
              <w:szCs w:val="32"/>
              <w:highlight w:val="none"/>
              <w:lang w:eastAsia="zh-CN"/>
            </w:rPr>
            <w:t>4  环境现状调查与评价</w:t>
          </w:r>
          <w:r>
            <w:rPr>
              <w:b/>
            </w:rPr>
            <w:tab/>
          </w:r>
          <w:r>
            <w:rPr>
              <w:b/>
            </w:rPr>
            <w:fldChar w:fldCharType="begin"/>
          </w:r>
          <w:r>
            <w:rPr>
              <w:b/>
            </w:rPr>
            <w:instrText xml:space="preserve"> PAGEREF _Toc17527 \h </w:instrText>
          </w:r>
          <w:r>
            <w:rPr>
              <w:b/>
            </w:rPr>
            <w:fldChar w:fldCharType="separate"/>
          </w:r>
          <w:r>
            <w:rPr>
              <w:b/>
            </w:rPr>
            <w:t>87</w:t>
          </w:r>
          <w:r>
            <w:rPr>
              <w:b/>
            </w:rPr>
            <w:fldChar w:fldCharType="end"/>
          </w:r>
          <w:r>
            <w:rPr>
              <w:rFonts w:hint="default" w:ascii="Times New Roman" w:hAnsi="Times New Roman" w:cs="Times New Roman"/>
              <w:b/>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_Toc12317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eastAsia="zh-CN"/>
            </w:rPr>
            <w:t>4.1自然环境现状调查与评价</w:t>
          </w:r>
          <w:r>
            <w:tab/>
          </w:r>
          <w:r>
            <w:fldChar w:fldCharType="begin"/>
          </w:r>
          <w:r>
            <w:instrText xml:space="preserve"> PAGEREF _Toc12317 \h </w:instrText>
          </w:r>
          <w:r>
            <w:fldChar w:fldCharType="separate"/>
          </w:r>
          <w:r>
            <w:t>87</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_Toc10985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eastAsia="zh-CN"/>
            </w:rPr>
            <w:t xml:space="preserve">4.2  </w:t>
          </w:r>
          <w:r>
            <w:rPr>
              <w:rFonts w:hint="default" w:ascii="Times New Roman" w:hAnsi="Times New Roman" w:eastAsia="宋体" w:cs="Times New Roman"/>
              <w:bCs/>
              <w:snapToGrid/>
              <w:kern w:val="44"/>
              <w:szCs w:val="30"/>
              <w:lang w:val="en-US" w:eastAsia="zh-CN"/>
            </w:rPr>
            <w:t>环境空气</w:t>
          </w:r>
          <w:r>
            <w:rPr>
              <w:rFonts w:hint="default" w:ascii="Times New Roman" w:hAnsi="Times New Roman" w:eastAsia="宋体" w:cs="Times New Roman"/>
              <w:bCs/>
              <w:snapToGrid/>
              <w:kern w:val="44"/>
              <w:szCs w:val="30"/>
              <w:lang w:eastAsia="zh-CN"/>
            </w:rPr>
            <w:t>质量现状评价</w:t>
          </w:r>
          <w:r>
            <w:tab/>
          </w:r>
          <w:r>
            <w:fldChar w:fldCharType="begin"/>
          </w:r>
          <w:r>
            <w:instrText xml:space="preserve"> PAGEREF _Toc10985 \h </w:instrText>
          </w:r>
          <w:r>
            <w:fldChar w:fldCharType="separate"/>
          </w:r>
          <w:r>
            <w:t>97</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_Toc6272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eastAsia="zh-CN"/>
            </w:rPr>
            <w:t>4.3  地表水环境质量现状评价</w:t>
          </w:r>
          <w:r>
            <w:tab/>
          </w:r>
          <w:r>
            <w:fldChar w:fldCharType="begin"/>
          </w:r>
          <w:r>
            <w:instrText xml:space="preserve"> PAGEREF _Toc6272 \h </w:instrText>
          </w:r>
          <w:r>
            <w:fldChar w:fldCharType="separate"/>
          </w:r>
          <w:r>
            <w:t>101</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_Toc12343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eastAsia="zh-CN"/>
            </w:rPr>
            <w:t xml:space="preserve">4.4 </w:t>
          </w:r>
          <w:r>
            <w:rPr>
              <w:rFonts w:hint="default" w:ascii="Times New Roman" w:hAnsi="Times New Roman" w:eastAsia="宋体" w:cs="Times New Roman"/>
              <w:bCs/>
              <w:snapToGrid/>
              <w:kern w:val="44"/>
              <w:szCs w:val="30"/>
              <w:lang w:val="en-US" w:eastAsia="zh-CN"/>
            </w:rPr>
            <w:t xml:space="preserve"> </w:t>
          </w:r>
          <w:r>
            <w:rPr>
              <w:rFonts w:hint="default" w:ascii="Times New Roman" w:hAnsi="Times New Roman" w:eastAsia="宋体" w:cs="Times New Roman"/>
              <w:bCs/>
              <w:snapToGrid/>
              <w:kern w:val="44"/>
              <w:szCs w:val="30"/>
              <w:lang w:eastAsia="zh-CN"/>
            </w:rPr>
            <w:t>声环境质量现状监测与评价</w:t>
          </w:r>
          <w:r>
            <w:tab/>
          </w:r>
          <w:r>
            <w:fldChar w:fldCharType="begin"/>
          </w:r>
          <w:r>
            <w:instrText xml:space="preserve"> PAGEREF _Toc12343 \h </w:instrText>
          </w:r>
          <w:r>
            <w:fldChar w:fldCharType="separate"/>
          </w:r>
          <w:r>
            <w:t>101</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_Toc6221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eastAsia="zh-CN"/>
            </w:rPr>
            <w:t>4.5  地下水环境质量现状监测与评价</w:t>
          </w:r>
          <w:r>
            <w:tab/>
          </w:r>
          <w:r>
            <w:fldChar w:fldCharType="begin"/>
          </w:r>
          <w:r>
            <w:instrText xml:space="preserve"> PAGEREF _Toc6221 \h </w:instrText>
          </w:r>
          <w:r>
            <w:fldChar w:fldCharType="separate"/>
          </w:r>
          <w:r>
            <w:t>102</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_Toc4174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eastAsia="zh-CN"/>
            </w:rPr>
            <w:t>4.</w:t>
          </w:r>
          <w:r>
            <w:rPr>
              <w:rFonts w:hint="eastAsia" w:ascii="Times New Roman" w:hAnsi="Times New Roman" w:eastAsia="宋体" w:cs="Times New Roman"/>
              <w:bCs/>
              <w:snapToGrid/>
              <w:kern w:val="44"/>
              <w:szCs w:val="30"/>
              <w:lang w:val="en-US" w:eastAsia="zh-CN"/>
            </w:rPr>
            <w:t xml:space="preserve">6  </w:t>
          </w:r>
          <w:r>
            <w:rPr>
              <w:rFonts w:hint="default" w:ascii="Times New Roman" w:hAnsi="Times New Roman" w:eastAsia="宋体" w:cs="Times New Roman"/>
              <w:bCs/>
              <w:snapToGrid/>
              <w:kern w:val="44"/>
              <w:szCs w:val="30"/>
              <w:lang w:eastAsia="zh-CN"/>
            </w:rPr>
            <w:t>区域污染源调查</w:t>
          </w:r>
          <w:r>
            <w:tab/>
          </w:r>
          <w:r>
            <w:fldChar w:fldCharType="begin"/>
          </w:r>
          <w:r>
            <w:instrText xml:space="preserve"> PAGEREF _Toc4174 \h </w:instrText>
          </w:r>
          <w:r>
            <w:fldChar w:fldCharType="separate"/>
          </w:r>
          <w:r>
            <w:t>111</w:t>
          </w:r>
          <w:r>
            <w:fldChar w:fldCharType="end"/>
          </w:r>
          <w:r>
            <w:rPr>
              <w:rFonts w:hint="default" w:ascii="Times New Roman" w:hAnsi="Times New Roman" w:cs="Times New Roman"/>
            </w:rPr>
            <w:fldChar w:fldCharType="end"/>
          </w:r>
        </w:p>
        <w:p>
          <w:pPr>
            <w:pStyle w:val="68"/>
            <w:tabs>
              <w:tab w:val="right" w:leader="dot" w:pos="9080"/>
            </w:tabs>
            <w:rPr>
              <w:b/>
            </w:rPr>
          </w:pPr>
          <w:r>
            <w:rPr>
              <w:rFonts w:hint="default" w:ascii="Times New Roman" w:hAnsi="Times New Roman" w:cs="Times New Roman"/>
              <w:b/>
            </w:rPr>
            <w:fldChar w:fldCharType="begin"/>
          </w:r>
          <w:r>
            <w:rPr>
              <w:rFonts w:hint="default" w:ascii="Times New Roman" w:hAnsi="Times New Roman" w:cs="Times New Roman"/>
              <w:b/>
            </w:rPr>
            <w:instrText xml:space="preserve"> HYPERLINK \l _Toc14274 </w:instrText>
          </w:r>
          <w:r>
            <w:rPr>
              <w:rFonts w:hint="default" w:ascii="Times New Roman" w:hAnsi="Times New Roman" w:cs="Times New Roman"/>
              <w:b/>
            </w:rPr>
            <w:fldChar w:fldCharType="separate"/>
          </w:r>
          <w:r>
            <w:rPr>
              <w:rFonts w:hint="default" w:ascii="Times New Roman" w:hAnsi="Times New Roman" w:eastAsia="宋体" w:cs="Times New Roman"/>
              <w:b/>
              <w:snapToGrid/>
              <w:kern w:val="0"/>
              <w:szCs w:val="32"/>
              <w:highlight w:val="none"/>
              <w:lang w:eastAsia="zh-CN"/>
            </w:rPr>
            <w:t>5  环境影响预测及评价</w:t>
          </w:r>
          <w:r>
            <w:rPr>
              <w:b/>
            </w:rPr>
            <w:tab/>
          </w:r>
          <w:r>
            <w:rPr>
              <w:b/>
            </w:rPr>
            <w:fldChar w:fldCharType="begin"/>
          </w:r>
          <w:r>
            <w:rPr>
              <w:b/>
            </w:rPr>
            <w:instrText xml:space="preserve"> PAGEREF _Toc14274 \h </w:instrText>
          </w:r>
          <w:r>
            <w:rPr>
              <w:b/>
            </w:rPr>
            <w:fldChar w:fldCharType="separate"/>
          </w:r>
          <w:r>
            <w:rPr>
              <w:b/>
            </w:rPr>
            <w:t>113</w:t>
          </w:r>
          <w:r>
            <w:rPr>
              <w:b/>
            </w:rPr>
            <w:fldChar w:fldCharType="end"/>
          </w:r>
          <w:r>
            <w:rPr>
              <w:rFonts w:hint="default" w:ascii="Times New Roman" w:hAnsi="Times New Roman" w:cs="Times New Roman"/>
              <w:b/>
            </w:rPr>
            <w:fldChar w:fldCharType="end"/>
          </w:r>
        </w:p>
        <w:p>
          <w:pPr>
            <w:pStyle w:val="69"/>
            <w:tabs>
              <w:tab w:val="right" w:leader="dot" w:pos="9080"/>
            </w:tabs>
            <w:rPr>
              <w:rFonts w:hint="eastAsia" w:ascii="Times New Roman" w:hAnsi="Times New Roman" w:eastAsia="宋体" w:cs="Times New Roman"/>
              <w:bCs/>
              <w:snapToGrid/>
              <w:kern w:val="44"/>
              <w:szCs w:val="30"/>
              <w:lang w:val="en-US" w:eastAsia="zh-CN"/>
            </w:rPr>
          </w:pPr>
          <w:r>
            <w:rPr>
              <w:rFonts w:hint="default" w:ascii="Times New Roman" w:hAnsi="Times New Roman" w:eastAsia="宋体" w:cs="Times New Roman"/>
              <w:bCs/>
              <w:snapToGrid/>
              <w:kern w:val="44"/>
              <w:szCs w:val="30"/>
              <w:lang w:val="en-US" w:eastAsia="zh-CN"/>
            </w:rPr>
            <w:fldChar w:fldCharType="begin"/>
          </w:r>
          <w:r>
            <w:rPr>
              <w:rFonts w:hint="default" w:ascii="Times New Roman" w:hAnsi="Times New Roman" w:eastAsia="宋体" w:cs="Times New Roman"/>
              <w:bCs/>
              <w:snapToGrid/>
              <w:kern w:val="44"/>
              <w:szCs w:val="30"/>
              <w:lang w:val="en-US" w:eastAsia="zh-CN"/>
            </w:rPr>
            <w:instrText xml:space="preserve"> HYPERLINK \l _Toc25324 </w:instrText>
          </w:r>
          <w:r>
            <w:rPr>
              <w:rFonts w:hint="default" w:ascii="Times New Roman" w:hAnsi="Times New Roman" w:eastAsia="宋体" w:cs="Times New Roman"/>
              <w:bCs/>
              <w:snapToGrid/>
              <w:kern w:val="44"/>
              <w:szCs w:val="30"/>
              <w:lang w:val="en-US" w:eastAsia="zh-CN"/>
            </w:rPr>
            <w:fldChar w:fldCharType="separate"/>
          </w:r>
          <w:r>
            <w:rPr>
              <w:rFonts w:hint="default" w:ascii="Times New Roman" w:hAnsi="Times New Roman" w:eastAsia="宋体" w:cs="Times New Roman"/>
              <w:bCs/>
              <w:snapToGrid/>
              <w:kern w:val="44"/>
              <w:szCs w:val="30"/>
              <w:lang w:val="en-US" w:eastAsia="zh-CN"/>
            </w:rPr>
            <w:t>5.1 施工期环境影响分析</w:t>
          </w:r>
          <w:r>
            <w:rPr>
              <w:rFonts w:hint="eastAsia" w:ascii="Times New Roman" w:hAnsi="Times New Roman" w:eastAsia="宋体" w:cs="Times New Roman"/>
              <w:bCs/>
              <w:snapToGrid/>
              <w:kern w:val="44"/>
              <w:szCs w:val="30"/>
              <w:lang w:val="en-US" w:eastAsia="zh-CN"/>
            </w:rPr>
            <w:tab/>
          </w:r>
          <w:r>
            <w:rPr>
              <w:rFonts w:hint="eastAsia" w:ascii="Times New Roman" w:hAnsi="Times New Roman" w:eastAsia="宋体" w:cs="Times New Roman"/>
              <w:bCs/>
              <w:snapToGrid/>
              <w:kern w:val="44"/>
              <w:szCs w:val="30"/>
              <w:lang w:val="en-US" w:eastAsia="zh-CN"/>
            </w:rPr>
            <w:fldChar w:fldCharType="begin"/>
          </w:r>
          <w:r>
            <w:rPr>
              <w:rFonts w:hint="eastAsia" w:ascii="Times New Roman" w:hAnsi="Times New Roman" w:eastAsia="宋体" w:cs="Times New Roman"/>
              <w:bCs/>
              <w:snapToGrid/>
              <w:kern w:val="44"/>
              <w:szCs w:val="30"/>
              <w:lang w:val="en-US" w:eastAsia="zh-CN"/>
            </w:rPr>
            <w:instrText xml:space="preserve"> PAGEREF _Toc25324 \h </w:instrText>
          </w:r>
          <w:r>
            <w:rPr>
              <w:rFonts w:hint="eastAsia" w:ascii="Times New Roman" w:hAnsi="Times New Roman" w:eastAsia="宋体" w:cs="Times New Roman"/>
              <w:bCs/>
              <w:snapToGrid/>
              <w:kern w:val="44"/>
              <w:szCs w:val="30"/>
              <w:lang w:val="en-US" w:eastAsia="zh-CN"/>
            </w:rPr>
            <w:fldChar w:fldCharType="separate"/>
          </w:r>
          <w:r>
            <w:rPr>
              <w:rFonts w:hint="eastAsia" w:ascii="Times New Roman" w:hAnsi="Times New Roman" w:eastAsia="宋体" w:cs="Times New Roman"/>
              <w:bCs/>
              <w:snapToGrid/>
              <w:kern w:val="44"/>
              <w:szCs w:val="30"/>
              <w:lang w:val="en-US" w:eastAsia="zh-CN"/>
            </w:rPr>
            <w:t>113</w:t>
          </w:r>
          <w:r>
            <w:rPr>
              <w:rFonts w:hint="eastAsia" w:ascii="Times New Roman" w:hAnsi="Times New Roman" w:eastAsia="宋体" w:cs="Times New Roman"/>
              <w:bCs/>
              <w:snapToGrid/>
              <w:kern w:val="44"/>
              <w:szCs w:val="30"/>
              <w:lang w:val="en-US" w:eastAsia="zh-CN"/>
            </w:rPr>
            <w:fldChar w:fldCharType="end"/>
          </w:r>
          <w:r>
            <w:rPr>
              <w:rFonts w:hint="default" w:ascii="Times New Roman" w:hAnsi="Times New Roman" w:eastAsia="宋体" w:cs="Times New Roman"/>
              <w:bCs/>
              <w:snapToGrid/>
              <w:kern w:val="44"/>
              <w:szCs w:val="30"/>
              <w:lang w:val="en-US" w:eastAsia="zh-CN"/>
            </w:rPr>
            <w:fldChar w:fldCharType="end"/>
          </w:r>
        </w:p>
        <w:p>
          <w:pPr>
            <w:pStyle w:val="69"/>
            <w:tabs>
              <w:tab w:val="right" w:leader="dot" w:pos="9080"/>
            </w:tabs>
          </w:pPr>
          <w:r>
            <w:rPr>
              <w:rFonts w:hint="default" w:ascii="Times New Roman" w:hAnsi="Times New Roman" w:eastAsia="宋体" w:cs="Times New Roman"/>
              <w:bCs/>
              <w:snapToGrid/>
              <w:kern w:val="44"/>
              <w:szCs w:val="30"/>
              <w:lang w:val="en-US" w:eastAsia="zh-CN"/>
            </w:rPr>
            <w:fldChar w:fldCharType="begin"/>
          </w:r>
          <w:r>
            <w:rPr>
              <w:rFonts w:hint="default" w:ascii="Times New Roman" w:hAnsi="Times New Roman" w:eastAsia="宋体" w:cs="Times New Roman"/>
              <w:bCs/>
              <w:snapToGrid/>
              <w:kern w:val="44"/>
              <w:szCs w:val="30"/>
              <w:lang w:val="en-US" w:eastAsia="zh-CN"/>
            </w:rPr>
            <w:instrText xml:space="preserve"> HYPERLINK \l _Toc4682 </w:instrText>
          </w:r>
          <w:r>
            <w:rPr>
              <w:rFonts w:hint="default" w:ascii="Times New Roman" w:hAnsi="Times New Roman" w:eastAsia="宋体" w:cs="Times New Roman"/>
              <w:bCs/>
              <w:snapToGrid/>
              <w:kern w:val="44"/>
              <w:szCs w:val="30"/>
              <w:lang w:val="en-US" w:eastAsia="zh-CN"/>
            </w:rPr>
            <w:fldChar w:fldCharType="separate"/>
          </w:r>
          <w:r>
            <w:rPr>
              <w:rFonts w:hint="default" w:ascii="Times New Roman" w:hAnsi="Times New Roman" w:eastAsia="宋体" w:cs="Times New Roman"/>
              <w:bCs/>
              <w:snapToGrid/>
              <w:kern w:val="44"/>
              <w:szCs w:val="30"/>
              <w:lang w:val="en-US" w:eastAsia="zh-CN"/>
            </w:rPr>
            <w:t>5.2 运营期环境影响预测及分析</w:t>
          </w:r>
          <w:r>
            <w:rPr>
              <w:rFonts w:hint="eastAsia" w:ascii="Times New Roman" w:hAnsi="Times New Roman" w:eastAsia="宋体" w:cs="Times New Roman"/>
              <w:bCs/>
              <w:snapToGrid/>
              <w:kern w:val="44"/>
              <w:szCs w:val="30"/>
              <w:lang w:val="en-US" w:eastAsia="zh-CN"/>
            </w:rPr>
            <w:tab/>
          </w:r>
          <w:r>
            <w:rPr>
              <w:rFonts w:hint="eastAsia" w:ascii="Times New Roman" w:hAnsi="Times New Roman" w:eastAsia="宋体" w:cs="Times New Roman"/>
              <w:bCs/>
              <w:snapToGrid/>
              <w:kern w:val="44"/>
              <w:szCs w:val="30"/>
              <w:lang w:val="en-US" w:eastAsia="zh-CN"/>
            </w:rPr>
            <w:fldChar w:fldCharType="begin"/>
          </w:r>
          <w:r>
            <w:rPr>
              <w:rFonts w:hint="eastAsia" w:ascii="Times New Roman" w:hAnsi="Times New Roman" w:eastAsia="宋体" w:cs="Times New Roman"/>
              <w:bCs/>
              <w:snapToGrid/>
              <w:kern w:val="44"/>
              <w:szCs w:val="30"/>
              <w:lang w:val="en-US" w:eastAsia="zh-CN"/>
            </w:rPr>
            <w:instrText xml:space="preserve"> PAGEREF _Toc4682 \h </w:instrText>
          </w:r>
          <w:r>
            <w:rPr>
              <w:rFonts w:hint="eastAsia" w:ascii="Times New Roman" w:hAnsi="Times New Roman" w:eastAsia="宋体" w:cs="Times New Roman"/>
              <w:bCs/>
              <w:snapToGrid/>
              <w:kern w:val="44"/>
              <w:szCs w:val="30"/>
              <w:lang w:val="en-US" w:eastAsia="zh-CN"/>
            </w:rPr>
            <w:fldChar w:fldCharType="separate"/>
          </w:r>
          <w:r>
            <w:rPr>
              <w:rFonts w:hint="eastAsia" w:ascii="Times New Roman" w:hAnsi="Times New Roman" w:eastAsia="宋体" w:cs="Times New Roman"/>
              <w:bCs/>
              <w:snapToGrid/>
              <w:kern w:val="44"/>
              <w:szCs w:val="30"/>
              <w:lang w:val="en-US" w:eastAsia="zh-CN"/>
            </w:rPr>
            <w:t>113</w:t>
          </w:r>
          <w:r>
            <w:rPr>
              <w:rFonts w:hint="eastAsia" w:ascii="Times New Roman" w:hAnsi="Times New Roman" w:eastAsia="宋体" w:cs="Times New Roman"/>
              <w:bCs/>
              <w:snapToGrid/>
              <w:kern w:val="44"/>
              <w:szCs w:val="30"/>
              <w:lang w:val="en-US" w:eastAsia="zh-CN"/>
            </w:rPr>
            <w:fldChar w:fldCharType="end"/>
          </w:r>
          <w:r>
            <w:rPr>
              <w:rFonts w:hint="default" w:ascii="Times New Roman" w:hAnsi="Times New Roman" w:eastAsia="宋体" w:cs="Times New Roman"/>
              <w:bCs/>
              <w:snapToGrid/>
              <w:kern w:val="44"/>
              <w:szCs w:val="30"/>
              <w:lang w:val="en-US" w:eastAsia="zh-CN"/>
            </w:rPr>
            <w:fldChar w:fldCharType="end"/>
          </w:r>
        </w:p>
        <w:p>
          <w:pPr>
            <w:pStyle w:val="68"/>
            <w:tabs>
              <w:tab w:val="right" w:leader="dot" w:pos="9080"/>
            </w:tabs>
            <w:rPr>
              <w:b/>
            </w:rPr>
          </w:pPr>
          <w:r>
            <w:rPr>
              <w:rFonts w:hint="default" w:ascii="Times New Roman" w:hAnsi="Times New Roman" w:cs="Times New Roman"/>
              <w:b/>
            </w:rPr>
            <w:fldChar w:fldCharType="begin"/>
          </w:r>
          <w:r>
            <w:rPr>
              <w:rFonts w:hint="default" w:ascii="Times New Roman" w:hAnsi="Times New Roman" w:cs="Times New Roman"/>
              <w:b/>
            </w:rPr>
            <w:instrText xml:space="preserve"> HYPERLINK \l _Toc7539 </w:instrText>
          </w:r>
          <w:r>
            <w:rPr>
              <w:rFonts w:hint="default" w:ascii="Times New Roman" w:hAnsi="Times New Roman" w:cs="Times New Roman"/>
              <w:b/>
            </w:rPr>
            <w:fldChar w:fldCharType="separate"/>
          </w:r>
          <w:r>
            <w:rPr>
              <w:rFonts w:hint="default" w:ascii="Times New Roman" w:hAnsi="Times New Roman" w:eastAsia="宋体" w:cs="Times New Roman"/>
              <w:b/>
              <w:snapToGrid/>
              <w:kern w:val="0"/>
              <w:szCs w:val="32"/>
              <w:lang w:eastAsia="zh-CN"/>
            </w:rPr>
            <w:t>6、环境</w:t>
          </w:r>
          <w:r>
            <w:rPr>
              <w:rFonts w:hint="default" w:ascii="Times New Roman" w:hAnsi="Times New Roman" w:eastAsia="宋体" w:cs="Times New Roman"/>
              <w:b/>
              <w:snapToGrid/>
              <w:kern w:val="0"/>
              <w:szCs w:val="32"/>
              <w:lang w:val="en-US" w:eastAsia="zh-CN"/>
            </w:rPr>
            <w:t>保护</w:t>
          </w:r>
          <w:r>
            <w:rPr>
              <w:rFonts w:hint="default" w:ascii="Times New Roman" w:hAnsi="Times New Roman" w:eastAsia="宋体" w:cs="Times New Roman"/>
              <w:b/>
              <w:snapToGrid/>
              <w:kern w:val="0"/>
              <w:szCs w:val="32"/>
              <w:lang w:eastAsia="zh-CN"/>
            </w:rPr>
            <w:t>措施及可行性论证</w:t>
          </w:r>
          <w:r>
            <w:rPr>
              <w:b/>
            </w:rPr>
            <w:tab/>
          </w:r>
          <w:r>
            <w:rPr>
              <w:b/>
            </w:rPr>
            <w:fldChar w:fldCharType="begin"/>
          </w:r>
          <w:r>
            <w:rPr>
              <w:b/>
            </w:rPr>
            <w:instrText xml:space="preserve"> PAGEREF _Toc7539 \h </w:instrText>
          </w:r>
          <w:r>
            <w:rPr>
              <w:b/>
            </w:rPr>
            <w:fldChar w:fldCharType="separate"/>
          </w:r>
          <w:r>
            <w:rPr>
              <w:b/>
            </w:rPr>
            <w:t>144</w:t>
          </w:r>
          <w:r>
            <w:rPr>
              <w:b/>
            </w:rPr>
            <w:fldChar w:fldCharType="end"/>
          </w:r>
          <w:r>
            <w:rPr>
              <w:rFonts w:hint="default" w:ascii="Times New Roman" w:hAnsi="Times New Roman" w:cs="Times New Roman"/>
              <w:b/>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_Toc9073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val="en-US" w:eastAsia="zh-CN"/>
            </w:rPr>
            <w:t>6.</w:t>
          </w:r>
          <w:r>
            <w:rPr>
              <w:rFonts w:hint="default" w:ascii="Times New Roman" w:hAnsi="Times New Roman" w:eastAsia="宋体" w:cs="Times New Roman"/>
              <w:bCs/>
              <w:snapToGrid/>
              <w:kern w:val="44"/>
              <w:szCs w:val="30"/>
              <w:lang w:eastAsia="zh-CN"/>
            </w:rPr>
            <w:t>1 施工期</w:t>
          </w:r>
          <w:r>
            <w:rPr>
              <w:rFonts w:hint="default" w:ascii="Times New Roman" w:hAnsi="Times New Roman" w:eastAsia="宋体" w:cs="Times New Roman"/>
              <w:bCs/>
              <w:snapToGrid/>
              <w:kern w:val="44"/>
              <w:szCs w:val="30"/>
              <w:lang w:val="en-US" w:eastAsia="zh-CN"/>
            </w:rPr>
            <w:t>污</w:t>
          </w:r>
          <w:r>
            <w:rPr>
              <w:rFonts w:hint="default" w:ascii="Times New Roman" w:hAnsi="Times New Roman" w:eastAsia="宋体" w:cs="Times New Roman"/>
              <w:bCs/>
              <w:snapToGrid/>
              <w:kern w:val="44"/>
              <w:szCs w:val="30"/>
              <w:lang w:eastAsia="zh-CN"/>
            </w:rPr>
            <w:t>染防治措施</w:t>
          </w:r>
          <w:r>
            <w:rPr>
              <w:rFonts w:hint="default" w:ascii="Times New Roman" w:hAnsi="Times New Roman" w:eastAsia="宋体" w:cs="Times New Roman"/>
              <w:bCs/>
              <w:snapToGrid/>
              <w:kern w:val="44"/>
              <w:szCs w:val="30"/>
              <w:lang w:val="en-US" w:eastAsia="zh-CN"/>
            </w:rPr>
            <w:t>及其可行性论证</w:t>
          </w:r>
          <w:r>
            <w:tab/>
          </w:r>
          <w:r>
            <w:fldChar w:fldCharType="begin"/>
          </w:r>
          <w:r>
            <w:instrText xml:space="preserve"> PAGEREF _Toc9073 \h </w:instrText>
          </w:r>
          <w:r>
            <w:fldChar w:fldCharType="separate"/>
          </w:r>
          <w:r>
            <w:t>144</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_Toc25540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eastAsia="zh-CN"/>
            </w:rPr>
            <w:t>6.2  营运期染防治措施</w:t>
          </w:r>
          <w:r>
            <w:rPr>
              <w:rFonts w:hint="default" w:ascii="Times New Roman" w:hAnsi="Times New Roman" w:eastAsia="宋体" w:cs="Times New Roman"/>
              <w:bCs/>
              <w:snapToGrid/>
              <w:kern w:val="44"/>
              <w:szCs w:val="30"/>
              <w:lang w:val="en-US" w:eastAsia="zh-CN"/>
            </w:rPr>
            <w:t>及其可行性论证</w:t>
          </w:r>
          <w:r>
            <w:tab/>
          </w:r>
          <w:r>
            <w:fldChar w:fldCharType="begin"/>
          </w:r>
          <w:r>
            <w:instrText xml:space="preserve"> PAGEREF _Toc25540 \h </w:instrText>
          </w:r>
          <w:r>
            <w:fldChar w:fldCharType="separate"/>
          </w:r>
          <w:r>
            <w:t>144</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_Toc16442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eastAsia="zh-CN"/>
            </w:rPr>
            <w:t>6.3  环境风险防范措施</w:t>
          </w:r>
          <w:r>
            <w:tab/>
          </w:r>
          <w:r>
            <w:fldChar w:fldCharType="begin"/>
          </w:r>
          <w:r>
            <w:instrText xml:space="preserve"> PAGEREF _Toc16442 \h </w:instrText>
          </w:r>
          <w:r>
            <w:fldChar w:fldCharType="separate"/>
          </w:r>
          <w:r>
            <w:t>157</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_Toc21318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eastAsia="zh-CN"/>
            </w:rPr>
            <w:t>6.4 环保投资及主要环保设施</w:t>
          </w:r>
          <w:r>
            <w:tab/>
          </w:r>
          <w:r>
            <w:fldChar w:fldCharType="begin"/>
          </w:r>
          <w:r>
            <w:instrText xml:space="preserve"> PAGEREF _Toc21318 \h </w:instrText>
          </w:r>
          <w:r>
            <w:fldChar w:fldCharType="separate"/>
          </w:r>
          <w:r>
            <w:t>159</w:t>
          </w:r>
          <w:r>
            <w:fldChar w:fldCharType="end"/>
          </w:r>
          <w:r>
            <w:rPr>
              <w:rFonts w:hint="default" w:ascii="Times New Roman" w:hAnsi="Times New Roman" w:cs="Times New Roman"/>
            </w:rPr>
            <w:fldChar w:fldCharType="end"/>
          </w:r>
        </w:p>
        <w:p>
          <w:pPr>
            <w:pStyle w:val="68"/>
            <w:tabs>
              <w:tab w:val="right" w:leader="dot" w:pos="9080"/>
            </w:tabs>
            <w:rPr>
              <w:b/>
            </w:rPr>
          </w:pPr>
          <w:r>
            <w:rPr>
              <w:rFonts w:hint="default" w:ascii="Times New Roman" w:hAnsi="Times New Roman" w:cs="Times New Roman"/>
              <w:b/>
            </w:rPr>
            <w:fldChar w:fldCharType="begin"/>
          </w:r>
          <w:r>
            <w:rPr>
              <w:rFonts w:hint="default" w:ascii="Times New Roman" w:hAnsi="Times New Roman" w:cs="Times New Roman"/>
              <w:b/>
            </w:rPr>
            <w:instrText xml:space="preserve"> HYPERLINK \l _Toc23874 </w:instrText>
          </w:r>
          <w:r>
            <w:rPr>
              <w:rFonts w:hint="default" w:ascii="Times New Roman" w:hAnsi="Times New Roman" w:cs="Times New Roman"/>
              <w:b/>
            </w:rPr>
            <w:fldChar w:fldCharType="separate"/>
          </w:r>
          <w:r>
            <w:rPr>
              <w:rFonts w:hint="default" w:ascii="Times New Roman" w:hAnsi="Times New Roman" w:eastAsia="宋体" w:cs="Times New Roman"/>
              <w:b/>
              <w:snapToGrid/>
              <w:kern w:val="0"/>
              <w:szCs w:val="32"/>
              <w:lang w:eastAsia="zh-CN"/>
            </w:rPr>
            <w:t>7  环境影响经济损益分析</w:t>
          </w:r>
          <w:r>
            <w:rPr>
              <w:b/>
            </w:rPr>
            <w:tab/>
          </w:r>
          <w:r>
            <w:rPr>
              <w:b/>
            </w:rPr>
            <w:fldChar w:fldCharType="begin"/>
          </w:r>
          <w:r>
            <w:rPr>
              <w:b/>
            </w:rPr>
            <w:instrText xml:space="preserve"> PAGEREF _Toc23874 \h </w:instrText>
          </w:r>
          <w:r>
            <w:rPr>
              <w:b/>
            </w:rPr>
            <w:fldChar w:fldCharType="separate"/>
          </w:r>
          <w:r>
            <w:rPr>
              <w:b/>
            </w:rPr>
            <w:t>161</w:t>
          </w:r>
          <w:r>
            <w:rPr>
              <w:b/>
            </w:rPr>
            <w:fldChar w:fldCharType="end"/>
          </w:r>
          <w:r>
            <w:rPr>
              <w:rFonts w:hint="default" w:ascii="Times New Roman" w:hAnsi="Times New Roman" w:cs="Times New Roman"/>
              <w:b/>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_Toc166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eastAsia="zh-CN"/>
            </w:rPr>
            <w:t>7. 1 环境经济效益分析</w:t>
          </w:r>
          <w:r>
            <w:tab/>
          </w:r>
          <w:r>
            <w:fldChar w:fldCharType="begin"/>
          </w:r>
          <w:r>
            <w:instrText xml:space="preserve"> PAGEREF _Toc166 \h </w:instrText>
          </w:r>
          <w:r>
            <w:fldChar w:fldCharType="separate"/>
          </w:r>
          <w:r>
            <w:t>161</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_Toc16931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eastAsia="zh-CN"/>
            </w:rPr>
            <w:t xml:space="preserve">7.2 </w:t>
          </w:r>
          <w:r>
            <w:rPr>
              <w:rFonts w:hint="default" w:ascii="Times New Roman" w:hAnsi="Times New Roman" w:cs="Times New Roman"/>
              <w:bCs/>
              <w:kern w:val="44"/>
              <w:szCs w:val="30"/>
            </w:rPr>
            <w:t>经济效益分析</w:t>
          </w:r>
          <w:r>
            <w:tab/>
          </w:r>
          <w:r>
            <w:fldChar w:fldCharType="begin"/>
          </w:r>
          <w:r>
            <w:instrText xml:space="preserve"> PAGEREF _Toc16931 \h </w:instrText>
          </w:r>
          <w:r>
            <w:fldChar w:fldCharType="separate"/>
          </w:r>
          <w:r>
            <w:t>161</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_Toc27557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eastAsia="zh-CN"/>
            </w:rPr>
            <w:t>7.3 环境</w:t>
          </w:r>
          <w:r>
            <w:rPr>
              <w:rFonts w:hint="default" w:ascii="Times New Roman" w:hAnsi="Times New Roman" w:eastAsia="宋体" w:cs="Times New Roman"/>
              <w:bCs/>
              <w:snapToGrid/>
              <w:kern w:val="44"/>
              <w:szCs w:val="30"/>
              <w:lang w:val="en-US" w:eastAsia="zh-CN"/>
            </w:rPr>
            <w:t>效益</w:t>
          </w:r>
          <w:r>
            <w:rPr>
              <w:rFonts w:hint="default" w:ascii="Times New Roman" w:hAnsi="Times New Roman" w:eastAsia="宋体" w:cs="Times New Roman"/>
              <w:bCs/>
              <w:snapToGrid/>
              <w:kern w:val="44"/>
              <w:szCs w:val="30"/>
              <w:lang w:eastAsia="zh-CN"/>
            </w:rPr>
            <w:t>分析</w:t>
          </w:r>
          <w:r>
            <w:tab/>
          </w:r>
          <w:r>
            <w:fldChar w:fldCharType="begin"/>
          </w:r>
          <w:r>
            <w:instrText xml:space="preserve"> PAGEREF _Toc27557 \h </w:instrText>
          </w:r>
          <w:r>
            <w:fldChar w:fldCharType="separate"/>
          </w:r>
          <w:r>
            <w:t>161</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_Toc4706 </w:instrText>
          </w:r>
          <w:r>
            <w:rPr>
              <w:rFonts w:hint="default" w:ascii="Times New Roman" w:hAnsi="Times New Roman" w:cs="Times New Roman"/>
            </w:rPr>
            <w:fldChar w:fldCharType="separate"/>
          </w:r>
          <w:r>
            <w:rPr>
              <w:rFonts w:hint="default" w:ascii="Times New Roman" w:hAnsi="Times New Roman" w:eastAsia="宋体" w:cs="Times New Roman"/>
              <w:bCs/>
              <w:snapToGrid/>
              <w:kern w:val="44"/>
              <w:szCs w:val="30"/>
              <w:lang w:eastAsia="zh-CN"/>
            </w:rPr>
            <w:t>7.4 小结</w:t>
          </w:r>
          <w:r>
            <w:tab/>
          </w:r>
          <w:r>
            <w:fldChar w:fldCharType="begin"/>
          </w:r>
          <w:r>
            <w:instrText xml:space="preserve"> PAGEREF _Toc4706 \h </w:instrText>
          </w:r>
          <w:r>
            <w:fldChar w:fldCharType="separate"/>
          </w:r>
          <w:r>
            <w:t>163</w:t>
          </w:r>
          <w:r>
            <w:fldChar w:fldCharType="end"/>
          </w:r>
          <w:r>
            <w:rPr>
              <w:rFonts w:hint="default" w:ascii="Times New Roman" w:hAnsi="Times New Roman" w:cs="Times New Roman"/>
            </w:rPr>
            <w:fldChar w:fldCharType="end"/>
          </w:r>
        </w:p>
        <w:p>
          <w:pPr>
            <w:pStyle w:val="68"/>
            <w:tabs>
              <w:tab w:val="right" w:leader="dot" w:pos="9080"/>
            </w:tabs>
            <w:rPr>
              <w:b/>
            </w:rPr>
          </w:pPr>
          <w:r>
            <w:rPr>
              <w:rFonts w:hint="default" w:ascii="Times New Roman" w:hAnsi="Times New Roman" w:cs="Times New Roman"/>
              <w:b/>
            </w:rPr>
            <w:fldChar w:fldCharType="begin"/>
          </w:r>
          <w:r>
            <w:rPr>
              <w:rFonts w:hint="default" w:ascii="Times New Roman" w:hAnsi="Times New Roman" w:cs="Times New Roman"/>
              <w:b/>
            </w:rPr>
            <w:instrText xml:space="preserve"> HYPERLINK \l _Toc11471 </w:instrText>
          </w:r>
          <w:r>
            <w:rPr>
              <w:rFonts w:hint="default" w:ascii="Times New Roman" w:hAnsi="Times New Roman" w:cs="Times New Roman"/>
              <w:b/>
            </w:rPr>
            <w:fldChar w:fldCharType="separate"/>
          </w:r>
          <w:r>
            <w:rPr>
              <w:rFonts w:hint="default" w:ascii="Times New Roman" w:hAnsi="Times New Roman" w:eastAsia="宋体" w:cs="Times New Roman"/>
              <w:b/>
              <w:snapToGrid/>
              <w:kern w:val="0"/>
              <w:szCs w:val="32"/>
              <w:lang w:eastAsia="zh-CN"/>
            </w:rPr>
            <w:t>8  环境管理与监测计划</w:t>
          </w:r>
          <w:r>
            <w:rPr>
              <w:b/>
            </w:rPr>
            <w:tab/>
          </w:r>
          <w:r>
            <w:rPr>
              <w:b/>
            </w:rPr>
            <w:fldChar w:fldCharType="begin"/>
          </w:r>
          <w:r>
            <w:rPr>
              <w:b/>
            </w:rPr>
            <w:instrText xml:space="preserve"> PAGEREF _Toc11471 \h </w:instrText>
          </w:r>
          <w:r>
            <w:rPr>
              <w:b/>
            </w:rPr>
            <w:fldChar w:fldCharType="separate"/>
          </w:r>
          <w:r>
            <w:rPr>
              <w:b/>
            </w:rPr>
            <w:t>164</w:t>
          </w:r>
          <w:r>
            <w:rPr>
              <w:b/>
            </w:rPr>
            <w:fldChar w:fldCharType="end"/>
          </w:r>
          <w:r>
            <w:rPr>
              <w:rFonts w:hint="default" w:ascii="Times New Roman" w:hAnsi="Times New Roman" w:cs="Times New Roman"/>
              <w:b/>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_Toc2119 </w:instrText>
          </w:r>
          <w:r>
            <w:rPr>
              <w:rFonts w:hint="default" w:ascii="Times New Roman" w:hAnsi="Times New Roman" w:cs="Times New Roman"/>
            </w:rPr>
            <w:fldChar w:fldCharType="separate"/>
          </w:r>
          <w:r>
            <w:rPr>
              <w:rFonts w:hint="default" w:ascii="Times New Roman" w:hAnsi="Times New Roman" w:eastAsia="宋体" w:cs="Times New Roman"/>
              <w:bCs/>
              <w:snapToGrid w:val="0"/>
              <w:kern w:val="0"/>
              <w:szCs w:val="30"/>
              <w:lang w:eastAsia="zh-CN"/>
            </w:rPr>
            <w:t>8. 1 环境管理</w:t>
          </w:r>
          <w:r>
            <w:tab/>
          </w:r>
          <w:r>
            <w:fldChar w:fldCharType="begin"/>
          </w:r>
          <w:r>
            <w:instrText xml:space="preserve"> PAGEREF _Toc2119 \h </w:instrText>
          </w:r>
          <w:r>
            <w:fldChar w:fldCharType="separate"/>
          </w:r>
          <w:r>
            <w:t>164</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_Toc199 </w:instrText>
          </w:r>
          <w:r>
            <w:rPr>
              <w:rFonts w:hint="default" w:ascii="Times New Roman" w:hAnsi="Times New Roman" w:cs="Times New Roman"/>
            </w:rPr>
            <w:fldChar w:fldCharType="separate"/>
          </w:r>
          <w:r>
            <w:rPr>
              <w:rFonts w:hint="default" w:ascii="Times New Roman" w:hAnsi="Times New Roman" w:eastAsia="宋体" w:cs="Times New Roman"/>
              <w:bCs/>
              <w:snapToGrid w:val="0"/>
              <w:kern w:val="0"/>
              <w:szCs w:val="30"/>
              <w:highlight w:val="none"/>
            </w:rPr>
            <w:t>8.2环境监测</w:t>
          </w:r>
          <w:r>
            <w:tab/>
          </w:r>
          <w:r>
            <w:fldChar w:fldCharType="begin"/>
          </w:r>
          <w:r>
            <w:instrText xml:space="preserve"> PAGEREF _Toc199 \h </w:instrText>
          </w:r>
          <w:r>
            <w:fldChar w:fldCharType="separate"/>
          </w:r>
          <w:r>
            <w:t>169</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_Toc14770 </w:instrText>
          </w:r>
          <w:r>
            <w:rPr>
              <w:rFonts w:hint="default" w:ascii="Times New Roman" w:hAnsi="Times New Roman" w:cs="Times New Roman"/>
            </w:rPr>
            <w:fldChar w:fldCharType="separate"/>
          </w:r>
          <w:r>
            <w:rPr>
              <w:rFonts w:hint="default" w:ascii="Times New Roman" w:hAnsi="Times New Roman" w:eastAsia="宋体" w:cs="Times New Roman"/>
              <w:bCs/>
              <w:snapToGrid w:val="0"/>
              <w:kern w:val="0"/>
              <w:szCs w:val="32"/>
              <w:highlight w:val="none"/>
            </w:rPr>
            <w:t>8.3环境保护竣工验收</w:t>
          </w:r>
          <w:r>
            <w:tab/>
          </w:r>
          <w:r>
            <w:fldChar w:fldCharType="begin"/>
          </w:r>
          <w:r>
            <w:instrText xml:space="preserve"> PAGEREF _Toc14770 \h </w:instrText>
          </w:r>
          <w:r>
            <w:fldChar w:fldCharType="separate"/>
          </w:r>
          <w:r>
            <w:t>177</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_Toc4117 </w:instrText>
          </w:r>
          <w:r>
            <w:rPr>
              <w:rFonts w:hint="default" w:ascii="Times New Roman" w:hAnsi="Times New Roman" w:cs="Times New Roman"/>
            </w:rPr>
            <w:fldChar w:fldCharType="separate"/>
          </w:r>
          <w:r>
            <w:rPr>
              <w:rFonts w:hint="default" w:ascii="Times New Roman" w:hAnsi="Times New Roman" w:eastAsia="宋体" w:cs="Times New Roman"/>
              <w:bCs/>
              <w:snapToGrid w:val="0"/>
              <w:kern w:val="0"/>
              <w:szCs w:val="30"/>
              <w:highlight w:val="none"/>
            </w:rPr>
            <w:t>8.4总量控制</w:t>
          </w:r>
          <w:r>
            <w:tab/>
          </w:r>
          <w:r>
            <w:fldChar w:fldCharType="begin"/>
          </w:r>
          <w:r>
            <w:instrText xml:space="preserve"> PAGEREF _Toc4117 \h </w:instrText>
          </w:r>
          <w:r>
            <w:fldChar w:fldCharType="separate"/>
          </w:r>
          <w:r>
            <w:t>181</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_Toc10073 </w:instrText>
          </w:r>
          <w:r>
            <w:rPr>
              <w:rFonts w:hint="default" w:ascii="Times New Roman" w:hAnsi="Times New Roman" w:cs="Times New Roman"/>
            </w:rPr>
            <w:fldChar w:fldCharType="separate"/>
          </w:r>
          <w:r>
            <w:rPr>
              <w:rFonts w:hint="default" w:ascii="Times New Roman" w:hAnsi="Times New Roman" w:eastAsia="宋体" w:cs="Times New Roman"/>
              <w:bCs/>
              <w:snapToGrid w:val="0"/>
              <w:kern w:val="0"/>
              <w:szCs w:val="30"/>
              <w:highlight w:val="none"/>
            </w:rPr>
            <w:t>8.5与排污许可证制度衔接</w:t>
          </w:r>
          <w:r>
            <w:tab/>
          </w:r>
          <w:r>
            <w:fldChar w:fldCharType="begin"/>
          </w:r>
          <w:r>
            <w:instrText xml:space="preserve"> PAGEREF _Toc10073 \h </w:instrText>
          </w:r>
          <w:r>
            <w:fldChar w:fldCharType="separate"/>
          </w:r>
          <w:r>
            <w:t>182</w:t>
          </w:r>
          <w:r>
            <w:fldChar w:fldCharType="end"/>
          </w:r>
          <w:r>
            <w:rPr>
              <w:rFonts w:hint="default" w:ascii="Times New Roman" w:hAnsi="Times New Roman" w:cs="Times New Roman"/>
            </w:rPr>
            <w:fldChar w:fldCharType="end"/>
          </w:r>
        </w:p>
        <w:p>
          <w:pPr>
            <w:pStyle w:val="68"/>
            <w:tabs>
              <w:tab w:val="right" w:leader="dot" w:pos="9080"/>
            </w:tabs>
            <w:rPr>
              <w:b/>
            </w:rPr>
          </w:pPr>
          <w:r>
            <w:rPr>
              <w:rFonts w:hint="default" w:ascii="Times New Roman" w:hAnsi="Times New Roman" w:cs="Times New Roman"/>
              <w:b/>
            </w:rPr>
            <w:fldChar w:fldCharType="begin"/>
          </w:r>
          <w:r>
            <w:rPr>
              <w:rFonts w:hint="default" w:ascii="Times New Roman" w:hAnsi="Times New Roman" w:cs="Times New Roman"/>
              <w:b/>
            </w:rPr>
            <w:instrText xml:space="preserve"> HYPERLINK \l _Toc25098 </w:instrText>
          </w:r>
          <w:r>
            <w:rPr>
              <w:rFonts w:hint="default" w:ascii="Times New Roman" w:hAnsi="Times New Roman" w:cs="Times New Roman"/>
              <w:b/>
            </w:rPr>
            <w:fldChar w:fldCharType="separate"/>
          </w:r>
          <w:r>
            <w:rPr>
              <w:rFonts w:hint="default" w:ascii="Times New Roman" w:hAnsi="Times New Roman" w:eastAsia="宋体" w:cs="Times New Roman"/>
              <w:b/>
              <w:snapToGrid/>
              <w:kern w:val="0"/>
              <w:szCs w:val="32"/>
              <w:lang w:eastAsia="zh-CN"/>
            </w:rPr>
            <w:t xml:space="preserve">9  </w:t>
          </w:r>
          <w:r>
            <w:rPr>
              <w:rFonts w:hint="default" w:ascii="Times New Roman" w:hAnsi="Times New Roman" w:eastAsia="宋体" w:cs="Times New Roman"/>
              <w:b/>
              <w:snapToGrid/>
              <w:kern w:val="0"/>
              <w:szCs w:val="32"/>
              <w:lang w:val="en-US" w:eastAsia="zh-CN"/>
            </w:rPr>
            <w:t>环境影响评价结论</w:t>
          </w:r>
          <w:r>
            <w:rPr>
              <w:b/>
            </w:rPr>
            <w:tab/>
          </w:r>
          <w:r>
            <w:rPr>
              <w:b/>
            </w:rPr>
            <w:fldChar w:fldCharType="begin"/>
          </w:r>
          <w:r>
            <w:rPr>
              <w:b/>
            </w:rPr>
            <w:instrText xml:space="preserve"> PAGEREF _Toc25098 \h </w:instrText>
          </w:r>
          <w:r>
            <w:rPr>
              <w:b/>
            </w:rPr>
            <w:fldChar w:fldCharType="separate"/>
          </w:r>
          <w:r>
            <w:rPr>
              <w:b/>
            </w:rPr>
            <w:t>183</w:t>
          </w:r>
          <w:r>
            <w:rPr>
              <w:b/>
            </w:rPr>
            <w:fldChar w:fldCharType="end"/>
          </w:r>
          <w:r>
            <w:rPr>
              <w:rFonts w:hint="default" w:ascii="Times New Roman" w:hAnsi="Times New Roman" w:cs="Times New Roman"/>
              <w:b/>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_Toc19818 </w:instrText>
          </w:r>
          <w:r>
            <w:rPr>
              <w:rFonts w:hint="default" w:ascii="Times New Roman" w:hAnsi="Times New Roman" w:cs="Times New Roman"/>
            </w:rPr>
            <w:fldChar w:fldCharType="separate"/>
          </w:r>
          <w:r>
            <w:rPr>
              <w:rFonts w:hint="default" w:ascii="Times New Roman" w:hAnsi="Times New Roman" w:eastAsia="宋体" w:cs="Times New Roman"/>
              <w:bCs/>
              <w:snapToGrid w:val="0"/>
              <w:kern w:val="0"/>
              <w:szCs w:val="30"/>
              <w:lang w:eastAsia="zh-CN"/>
            </w:rPr>
            <w:t xml:space="preserve">9.1 </w:t>
          </w:r>
          <w:r>
            <w:rPr>
              <w:rFonts w:hint="default" w:ascii="Times New Roman" w:hAnsi="Times New Roman" w:eastAsia="宋体" w:cs="Times New Roman"/>
              <w:bCs/>
              <w:snapToGrid w:val="0"/>
              <w:kern w:val="0"/>
              <w:szCs w:val="30"/>
              <w:lang w:val="en-US" w:eastAsia="zh-CN"/>
            </w:rPr>
            <w:t>评价结论</w:t>
          </w:r>
          <w:r>
            <w:tab/>
          </w:r>
          <w:r>
            <w:fldChar w:fldCharType="begin"/>
          </w:r>
          <w:r>
            <w:instrText xml:space="preserve"> PAGEREF _Toc19818 \h </w:instrText>
          </w:r>
          <w:r>
            <w:fldChar w:fldCharType="separate"/>
          </w:r>
          <w:r>
            <w:t>183</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_Toc12318 </w:instrText>
          </w:r>
          <w:r>
            <w:rPr>
              <w:rFonts w:hint="default" w:ascii="Times New Roman" w:hAnsi="Times New Roman" w:cs="Times New Roman"/>
            </w:rPr>
            <w:fldChar w:fldCharType="separate"/>
          </w:r>
          <w:r>
            <w:rPr>
              <w:rFonts w:hint="default" w:ascii="Times New Roman" w:hAnsi="Times New Roman" w:cs="Times New Roman"/>
              <w:bCs/>
              <w:snapToGrid w:val="0"/>
              <w:kern w:val="0"/>
              <w:szCs w:val="30"/>
            </w:rPr>
            <w:t>9.2建议</w:t>
          </w:r>
          <w:r>
            <w:tab/>
          </w:r>
          <w:r>
            <w:fldChar w:fldCharType="begin"/>
          </w:r>
          <w:r>
            <w:instrText xml:space="preserve"> PAGEREF _Toc12318 \h </w:instrText>
          </w:r>
          <w:r>
            <w:fldChar w:fldCharType="separate"/>
          </w:r>
          <w:r>
            <w:t>187</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_Toc3521 </w:instrText>
          </w:r>
          <w:r>
            <w:rPr>
              <w:rFonts w:hint="default" w:ascii="Times New Roman" w:hAnsi="Times New Roman" w:cs="Times New Roman"/>
            </w:rPr>
            <w:fldChar w:fldCharType="separate"/>
          </w:r>
          <w:r>
            <w:rPr>
              <w:rFonts w:hint="eastAsia"/>
              <w:lang w:val="en-US" w:eastAsia="zh-CN"/>
            </w:rPr>
            <w:t>附图1项目地理位置图</w:t>
          </w:r>
          <w:r>
            <w:tab/>
          </w:r>
          <w:r>
            <w:fldChar w:fldCharType="begin"/>
          </w:r>
          <w:r>
            <w:instrText xml:space="preserve"> PAGEREF _Toc3521 \h </w:instrText>
          </w:r>
          <w:r>
            <w:fldChar w:fldCharType="separate"/>
          </w:r>
          <w:r>
            <w:t>195</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_Toc19766 </w:instrText>
          </w:r>
          <w:r>
            <w:rPr>
              <w:rFonts w:hint="default" w:ascii="Times New Roman" w:hAnsi="Times New Roman" w:cs="Times New Roman"/>
            </w:rPr>
            <w:fldChar w:fldCharType="separate"/>
          </w:r>
          <w:r>
            <w:rPr>
              <w:rFonts w:hint="eastAsia"/>
              <w:highlight w:val="none"/>
              <w:lang w:val="en-US" w:eastAsia="zh-CN"/>
            </w:rPr>
            <w:t>附图2 项目平面布置图</w:t>
          </w:r>
          <w:r>
            <w:tab/>
          </w:r>
          <w:r>
            <w:fldChar w:fldCharType="begin"/>
          </w:r>
          <w:r>
            <w:instrText xml:space="preserve"> PAGEREF _Toc19766 \h </w:instrText>
          </w:r>
          <w:r>
            <w:fldChar w:fldCharType="separate"/>
          </w:r>
          <w:r>
            <w:t>196</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_Toc7237 </w:instrText>
          </w:r>
          <w:r>
            <w:rPr>
              <w:rFonts w:hint="default" w:ascii="Times New Roman" w:hAnsi="Times New Roman" w:cs="Times New Roman"/>
            </w:rPr>
            <w:fldChar w:fldCharType="separate"/>
          </w:r>
          <w:r>
            <w:rPr>
              <w:rFonts w:hint="eastAsia"/>
              <w:lang w:val="en-US" w:eastAsia="zh-CN"/>
            </w:rPr>
            <w:t>附图3 评价范围图</w:t>
          </w:r>
          <w:r>
            <w:tab/>
          </w:r>
          <w:r>
            <w:fldChar w:fldCharType="begin"/>
          </w:r>
          <w:r>
            <w:instrText xml:space="preserve"> PAGEREF _Toc7237 \h </w:instrText>
          </w:r>
          <w:r>
            <w:fldChar w:fldCharType="separate"/>
          </w:r>
          <w:r>
            <w:t>197</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_Toc4034 </w:instrText>
          </w:r>
          <w:r>
            <w:rPr>
              <w:rFonts w:hint="default" w:ascii="Times New Roman" w:hAnsi="Times New Roman" w:cs="Times New Roman"/>
            </w:rPr>
            <w:fldChar w:fldCharType="separate"/>
          </w:r>
          <w:r>
            <w:rPr>
              <w:rFonts w:hint="eastAsia"/>
              <w:lang w:val="en-US" w:eastAsia="zh-CN"/>
            </w:rPr>
            <w:t>附图4 哈尔滨市环境管控单元图</w:t>
          </w:r>
          <w:r>
            <w:tab/>
          </w:r>
          <w:r>
            <w:fldChar w:fldCharType="begin"/>
          </w:r>
          <w:r>
            <w:instrText xml:space="preserve"> PAGEREF _Toc4034 \h </w:instrText>
          </w:r>
          <w:r>
            <w:fldChar w:fldCharType="separate"/>
          </w:r>
          <w:r>
            <w:t>198</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_Toc14467 </w:instrText>
          </w:r>
          <w:r>
            <w:rPr>
              <w:rFonts w:hint="default" w:ascii="Times New Roman" w:hAnsi="Times New Roman" w:cs="Times New Roman"/>
            </w:rPr>
            <w:fldChar w:fldCharType="separate"/>
          </w:r>
          <w:r>
            <w:rPr>
              <w:rFonts w:hint="default"/>
              <w:lang w:val="en-US" w:eastAsia="zh-CN"/>
            </w:rPr>
            <w:t>附图</w:t>
          </w:r>
          <w:r>
            <w:rPr>
              <w:rFonts w:hint="eastAsia"/>
              <w:lang w:val="en-US" w:eastAsia="zh-CN"/>
            </w:rPr>
            <w:t xml:space="preserve">5 </w:t>
          </w:r>
          <w:r>
            <w:rPr>
              <w:rFonts w:hint="default"/>
              <w:lang w:val="en-US" w:eastAsia="zh-CN"/>
            </w:rPr>
            <w:t>周围环境关系图</w:t>
          </w:r>
          <w:r>
            <w:tab/>
          </w:r>
          <w:r>
            <w:fldChar w:fldCharType="begin"/>
          </w:r>
          <w:r>
            <w:instrText xml:space="preserve"> PAGEREF _Toc14467 \h </w:instrText>
          </w:r>
          <w:r>
            <w:fldChar w:fldCharType="separate"/>
          </w:r>
          <w:r>
            <w:t>199</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_Toc1284 </w:instrText>
          </w:r>
          <w:r>
            <w:rPr>
              <w:rFonts w:hint="default" w:ascii="Times New Roman" w:hAnsi="Times New Roman" w:cs="Times New Roman"/>
            </w:rPr>
            <w:fldChar w:fldCharType="separate"/>
          </w:r>
          <w:r>
            <w:rPr>
              <w:rFonts w:hint="eastAsia"/>
              <w:lang w:val="en-US" w:eastAsia="zh-CN"/>
            </w:rPr>
            <w:t>附件1 营业执照</w:t>
          </w:r>
          <w:r>
            <w:tab/>
          </w:r>
          <w:r>
            <w:fldChar w:fldCharType="begin"/>
          </w:r>
          <w:r>
            <w:instrText xml:space="preserve"> PAGEREF _Toc1284 \h </w:instrText>
          </w:r>
          <w:r>
            <w:fldChar w:fldCharType="separate"/>
          </w:r>
          <w:r>
            <w:t>200</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_Toc16385 </w:instrText>
          </w:r>
          <w:r>
            <w:rPr>
              <w:rFonts w:hint="default" w:ascii="Times New Roman" w:hAnsi="Times New Roman" w:cs="Times New Roman"/>
            </w:rPr>
            <w:fldChar w:fldCharType="separate"/>
          </w:r>
          <w:r>
            <w:rPr>
              <w:rFonts w:hint="eastAsia"/>
              <w:lang w:val="en-US" w:eastAsia="zh-CN"/>
            </w:rPr>
            <w:t>附件2 土地证</w:t>
          </w:r>
          <w:r>
            <w:tab/>
          </w:r>
          <w:r>
            <w:fldChar w:fldCharType="begin"/>
          </w:r>
          <w:r>
            <w:instrText xml:space="preserve"> PAGEREF _Toc16385 \h </w:instrText>
          </w:r>
          <w:r>
            <w:fldChar w:fldCharType="separate"/>
          </w:r>
          <w:r>
            <w:t>201</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_Toc25495 </w:instrText>
          </w:r>
          <w:r>
            <w:rPr>
              <w:rFonts w:hint="default" w:ascii="Times New Roman" w:hAnsi="Times New Roman" w:cs="Times New Roman"/>
            </w:rPr>
            <w:fldChar w:fldCharType="separate"/>
          </w:r>
          <w:r>
            <w:rPr>
              <w:rFonts w:hint="eastAsia"/>
              <w:lang w:val="en-US" w:eastAsia="zh-CN"/>
            </w:rPr>
            <w:t>附件3 更名文件</w:t>
          </w:r>
          <w:r>
            <w:tab/>
          </w:r>
          <w:r>
            <w:fldChar w:fldCharType="begin"/>
          </w:r>
          <w:r>
            <w:instrText xml:space="preserve"> PAGEREF _Toc25495 \h </w:instrText>
          </w:r>
          <w:r>
            <w:fldChar w:fldCharType="separate"/>
          </w:r>
          <w:r>
            <w:t>202</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_Toc10899 </w:instrText>
          </w:r>
          <w:r>
            <w:rPr>
              <w:rFonts w:hint="default" w:ascii="Times New Roman" w:hAnsi="Times New Roman" w:cs="Times New Roman"/>
            </w:rPr>
            <w:fldChar w:fldCharType="separate"/>
          </w:r>
          <w:r>
            <w:rPr>
              <w:rFonts w:hint="eastAsia"/>
              <w:lang w:val="en-US" w:eastAsia="zh-CN"/>
            </w:rPr>
            <w:t>附件4 检测报告</w:t>
          </w:r>
          <w:r>
            <w:tab/>
          </w:r>
          <w:r>
            <w:fldChar w:fldCharType="begin"/>
          </w:r>
          <w:r>
            <w:instrText xml:space="preserve"> PAGEREF _Toc10899 \h </w:instrText>
          </w:r>
          <w:r>
            <w:fldChar w:fldCharType="separate"/>
          </w:r>
          <w:r>
            <w:t>203</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_Toc9751 </w:instrText>
          </w:r>
          <w:r>
            <w:rPr>
              <w:rFonts w:hint="default" w:ascii="Times New Roman" w:hAnsi="Times New Roman" w:cs="Times New Roman"/>
            </w:rPr>
            <w:fldChar w:fldCharType="separate"/>
          </w:r>
          <w:r>
            <w:rPr>
              <w:rFonts w:hint="eastAsia"/>
              <w:lang w:val="en-US" w:eastAsia="zh-CN"/>
            </w:rPr>
            <w:t>附件5 巴环建字【2006】4号</w:t>
          </w:r>
          <w:r>
            <w:tab/>
          </w:r>
          <w:r>
            <w:fldChar w:fldCharType="begin"/>
          </w:r>
          <w:r>
            <w:instrText xml:space="preserve"> PAGEREF _Toc9751 \h </w:instrText>
          </w:r>
          <w:r>
            <w:fldChar w:fldCharType="separate"/>
          </w:r>
          <w:r>
            <w:t>204</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_Toc20756 </w:instrText>
          </w:r>
          <w:r>
            <w:rPr>
              <w:rFonts w:hint="default" w:ascii="Times New Roman" w:hAnsi="Times New Roman" w:cs="Times New Roman"/>
            </w:rPr>
            <w:fldChar w:fldCharType="separate"/>
          </w:r>
          <w:r>
            <w:rPr>
              <w:rFonts w:hint="eastAsia"/>
              <w:lang w:val="en-US" w:eastAsia="zh-CN"/>
            </w:rPr>
            <w:t>附件6 验收文件</w:t>
          </w:r>
          <w:r>
            <w:tab/>
          </w:r>
          <w:r>
            <w:fldChar w:fldCharType="begin"/>
          </w:r>
          <w:r>
            <w:instrText xml:space="preserve"> PAGEREF _Toc20756 \h </w:instrText>
          </w:r>
          <w:r>
            <w:fldChar w:fldCharType="separate"/>
          </w:r>
          <w:r>
            <w:t>206</w:t>
          </w:r>
          <w:r>
            <w:fldChar w:fldCharType="end"/>
          </w:r>
          <w:r>
            <w:rPr>
              <w:rFonts w:hint="default" w:ascii="Times New Roman" w:hAnsi="Times New Roman" w:cs="Times New Roman"/>
            </w:rPr>
            <w:fldChar w:fldCharType="end"/>
          </w:r>
        </w:p>
        <w:p>
          <w:pPr>
            <w:pStyle w:val="69"/>
            <w:tabs>
              <w:tab w:val="right" w:leader="dot" w:pos="908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_Toc2734 </w:instrText>
          </w:r>
          <w:r>
            <w:rPr>
              <w:rFonts w:hint="default" w:ascii="Times New Roman" w:hAnsi="Times New Roman" w:cs="Times New Roman"/>
            </w:rPr>
            <w:fldChar w:fldCharType="separate"/>
          </w:r>
          <w:r>
            <w:rPr>
              <w:rFonts w:hint="eastAsia"/>
              <w:lang w:val="en-US" w:eastAsia="zh-CN"/>
            </w:rPr>
            <w:t>附件7 污水处理站扩建项目</w:t>
          </w:r>
          <w:r>
            <w:tab/>
          </w:r>
          <w:r>
            <w:fldChar w:fldCharType="begin"/>
          </w:r>
          <w:r>
            <w:instrText xml:space="preserve"> PAGEREF _Toc2734 \h </w:instrText>
          </w:r>
          <w:r>
            <w:fldChar w:fldCharType="separate"/>
          </w:r>
          <w:r>
            <w:t>213</w:t>
          </w:r>
          <w:r>
            <w:fldChar w:fldCharType="end"/>
          </w:r>
          <w:r>
            <w:rPr>
              <w:rFonts w:hint="default" w:ascii="Times New Roman" w:hAnsi="Times New Roman" w:cs="Times New Roman"/>
            </w:rPr>
            <w:fldChar w:fldCharType="end"/>
          </w:r>
        </w:p>
        <w:p>
          <w:pPr>
            <w:pStyle w:val="6"/>
            <w:spacing w:line="255" w:lineRule="auto"/>
            <w:rPr>
              <w:rFonts w:hint="default" w:ascii="Times New Roman" w:hAnsi="Times New Roman" w:cs="Times New Roman"/>
            </w:rPr>
            <w:sectPr>
              <w:headerReference r:id="rId5" w:type="default"/>
              <w:footerReference r:id="rId6" w:type="default"/>
              <w:pgSz w:w="11906" w:h="16839"/>
              <w:pgMar w:top="1118" w:right="1409" w:bottom="1157" w:left="1417" w:header="878" w:footer="992" w:gutter="0"/>
              <w:pgBorders>
                <w:top w:val="none" w:sz="0" w:space="0"/>
                <w:left w:val="none" w:sz="0" w:space="0"/>
                <w:bottom w:val="none" w:sz="0" w:space="0"/>
                <w:right w:val="none" w:sz="0" w:space="0"/>
              </w:pgBorders>
              <w:pgNumType w:fmt="decimal" w:start="1"/>
              <w:cols w:space="720" w:num="1"/>
            </w:sectPr>
          </w:pPr>
          <w:r>
            <w:rPr>
              <w:rFonts w:hint="default" w:ascii="Times New Roman" w:hAnsi="Times New Roman" w:cs="Times New Roman"/>
              <w:b/>
            </w:rPr>
            <w:fldChar w:fldCharType="end"/>
          </w:r>
        </w:p>
      </w:sdtContent>
    </w:sdt>
    <w:p>
      <w:pPr>
        <w:widowControl/>
        <w:tabs>
          <w:tab w:val="left" w:leader="middleDot" w:pos="7371"/>
        </w:tabs>
        <w:kinsoku/>
        <w:autoSpaceDE/>
        <w:autoSpaceDN/>
        <w:adjustRightInd/>
        <w:snapToGrid/>
        <w:spacing w:line="360" w:lineRule="auto"/>
        <w:contextualSpacing/>
        <w:jc w:val="left"/>
        <w:textAlignment w:val="auto"/>
        <w:outlineLvl w:val="0"/>
        <w:rPr>
          <w:rFonts w:hint="default" w:ascii="Times New Roman" w:hAnsi="Times New Roman" w:eastAsia="宋体" w:cs="Times New Roman"/>
          <w:b/>
          <w:snapToGrid/>
          <w:color w:val="auto"/>
          <w:kern w:val="0"/>
          <w:sz w:val="32"/>
          <w:szCs w:val="32"/>
          <w:lang w:eastAsia="zh-CN"/>
        </w:rPr>
      </w:pPr>
      <w:bookmarkStart w:id="5" w:name="_Toc29519"/>
      <w:r>
        <w:rPr>
          <w:rFonts w:hint="default" w:ascii="Times New Roman" w:hAnsi="Times New Roman" w:eastAsia="宋体" w:cs="Times New Roman"/>
          <w:b/>
          <w:snapToGrid/>
          <w:color w:val="auto"/>
          <w:kern w:val="0"/>
          <w:sz w:val="32"/>
          <w:szCs w:val="32"/>
          <w:lang w:val="en-US" w:eastAsia="zh-CN"/>
        </w:rPr>
        <w:t>1、</w:t>
      </w:r>
      <w:r>
        <w:rPr>
          <w:rFonts w:hint="default" w:ascii="Times New Roman" w:hAnsi="Times New Roman" w:eastAsia="宋体" w:cs="Times New Roman"/>
          <w:b/>
          <w:snapToGrid/>
          <w:color w:val="auto"/>
          <w:kern w:val="0"/>
          <w:sz w:val="32"/>
          <w:szCs w:val="32"/>
          <w:lang w:eastAsia="zh-CN"/>
        </w:rPr>
        <w:t>概述</w:t>
      </w:r>
      <w:bookmarkEnd w:id="5"/>
    </w:p>
    <w:p>
      <w:pPr>
        <w:widowControl w:val="0"/>
        <w:kinsoku/>
        <w:autoSpaceDE/>
        <w:autoSpaceDN/>
        <w:adjustRightInd/>
        <w:snapToGrid/>
        <w:spacing w:line="360" w:lineRule="auto"/>
        <w:contextualSpacing/>
        <w:jc w:val="left"/>
        <w:textAlignment w:val="auto"/>
        <w:outlineLvl w:val="1"/>
        <w:rPr>
          <w:rFonts w:hint="default" w:ascii="Times New Roman" w:hAnsi="Times New Roman" w:eastAsia="宋体" w:cs="Times New Roman"/>
          <w:b/>
          <w:bCs/>
          <w:snapToGrid/>
          <w:color w:val="auto"/>
          <w:kern w:val="44"/>
          <w:sz w:val="30"/>
          <w:szCs w:val="30"/>
          <w:lang w:eastAsia="zh-CN"/>
        </w:rPr>
      </w:pPr>
      <w:bookmarkStart w:id="6" w:name="_Toc14401"/>
      <w:r>
        <w:rPr>
          <w:rFonts w:hint="default" w:ascii="Times New Roman" w:hAnsi="Times New Roman" w:eastAsia="宋体" w:cs="Times New Roman"/>
          <w:b/>
          <w:bCs/>
          <w:snapToGrid/>
          <w:color w:val="auto"/>
          <w:kern w:val="44"/>
          <w:sz w:val="30"/>
          <w:szCs w:val="30"/>
          <w:lang w:eastAsia="zh-CN"/>
        </w:rPr>
        <w:t>1</w:t>
      </w:r>
      <w:r>
        <w:rPr>
          <w:rFonts w:hint="default" w:ascii="Times New Roman" w:hAnsi="Times New Roman" w:eastAsia="宋体" w:cs="Times New Roman"/>
          <w:b/>
          <w:bCs/>
          <w:snapToGrid/>
          <w:color w:val="auto"/>
          <w:kern w:val="44"/>
          <w:sz w:val="30"/>
          <w:szCs w:val="30"/>
          <w:lang w:val="en-US" w:eastAsia="zh-CN"/>
        </w:rPr>
        <w:t xml:space="preserve">.1 </w:t>
      </w:r>
      <w:r>
        <w:rPr>
          <w:rFonts w:hint="default" w:ascii="Times New Roman" w:hAnsi="Times New Roman" w:eastAsia="宋体" w:cs="Times New Roman"/>
          <w:b/>
          <w:bCs/>
          <w:snapToGrid/>
          <w:color w:val="auto"/>
          <w:kern w:val="44"/>
          <w:sz w:val="30"/>
          <w:szCs w:val="30"/>
          <w:lang w:eastAsia="zh-CN"/>
        </w:rPr>
        <w:t>项目由来</w:t>
      </w:r>
      <w:bookmarkEnd w:id="6"/>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随着人们生活水平的提高，高品位</w:t>
      </w:r>
      <w:r>
        <w:rPr>
          <w:rFonts w:hint="eastAsia" w:ascii="Times New Roman" w:hAnsi="Times New Roman" w:eastAsia="宋体" w:cs="Times New Roman"/>
          <w:spacing w:val="-2"/>
          <w:sz w:val="24"/>
          <w:szCs w:val="24"/>
          <w:lang w:eastAsia="zh-CN"/>
        </w:rPr>
        <w:t>、</w:t>
      </w:r>
      <w:r>
        <w:rPr>
          <w:rFonts w:hint="default" w:ascii="Times New Roman" w:hAnsi="Times New Roman" w:eastAsia="宋体" w:cs="Times New Roman"/>
          <w:spacing w:val="-2"/>
          <w:sz w:val="24"/>
          <w:szCs w:val="24"/>
        </w:rPr>
        <w:t>高质量的</w:t>
      </w:r>
      <w:r>
        <w:rPr>
          <w:rFonts w:hint="default" w:ascii="Times New Roman" w:hAnsi="Times New Roman" w:eastAsia="Times New Roman" w:cs="Times New Roman"/>
          <w:spacing w:val="-2"/>
          <w:sz w:val="24"/>
          <w:szCs w:val="24"/>
        </w:rPr>
        <w:t>“</w:t>
      </w:r>
      <w:r>
        <w:rPr>
          <w:rFonts w:hint="default" w:ascii="Times New Roman" w:hAnsi="Times New Roman" w:eastAsia="Times New Roman" w:cs="Times New Roman"/>
          <w:spacing w:val="-32"/>
          <w:sz w:val="24"/>
          <w:szCs w:val="24"/>
        </w:rPr>
        <w:t xml:space="preserve"> </w:t>
      </w:r>
      <w:r>
        <w:rPr>
          <w:rFonts w:hint="default" w:ascii="Times New Roman" w:hAnsi="Times New Roman" w:eastAsia="宋体" w:cs="Times New Roman"/>
          <w:spacing w:val="-2"/>
          <w:sz w:val="24"/>
          <w:szCs w:val="24"/>
        </w:rPr>
        <w:t>安全</w:t>
      </w:r>
      <w:r>
        <w:rPr>
          <w:rFonts w:hint="default" w:ascii="Times New Roman" w:hAnsi="Times New Roman" w:eastAsia="Times New Roman" w:cs="Times New Roman"/>
          <w:spacing w:val="-2"/>
          <w:sz w:val="24"/>
          <w:szCs w:val="24"/>
        </w:rPr>
        <w:t>”</w:t>
      </w:r>
      <w:r>
        <w:rPr>
          <w:rFonts w:hint="default" w:ascii="Times New Roman" w:hAnsi="Times New Roman" w:eastAsia="Times New Roman" w:cs="Times New Roman"/>
          <w:spacing w:val="-35"/>
          <w:sz w:val="24"/>
          <w:szCs w:val="24"/>
        </w:rPr>
        <w:t xml:space="preserve"> </w:t>
      </w:r>
      <w:r>
        <w:rPr>
          <w:rFonts w:hint="default" w:ascii="Times New Roman" w:hAnsi="Times New Roman" w:eastAsia="宋体" w:cs="Times New Roman"/>
          <w:spacing w:val="-2"/>
          <w:sz w:val="24"/>
          <w:szCs w:val="24"/>
        </w:rPr>
        <w:t>、</w:t>
      </w:r>
      <w:r>
        <w:rPr>
          <w:rFonts w:hint="default" w:ascii="Times New Roman" w:hAnsi="Times New Roman" w:eastAsia="Times New Roman" w:cs="Times New Roman"/>
          <w:spacing w:val="-2"/>
          <w:sz w:val="24"/>
          <w:szCs w:val="24"/>
        </w:rPr>
        <w:t>“</w:t>
      </w:r>
      <w:r>
        <w:rPr>
          <w:rFonts w:hint="default" w:ascii="Times New Roman" w:hAnsi="Times New Roman" w:eastAsia="宋体" w:cs="Times New Roman"/>
          <w:spacing w:val="-2"/>
          <w:sz w:val="24"/>
          <w:szCs w:val="24"/>
        </w:rPr>
        <w:t>绿色</w:t>
      </w:r>
      <w:r>
        <w:rPr>
          <w:rFonts w:hint="default" w:ascii="Times New Roman" w:hAnsi="Times New Roman" w:eastAsia="Times New Roman" w:cs="Times New Roman"/>
          <w:spacing w:val="-2"/>
          <w:sz w:val="24"/>
          <w:szCs w:val="24"/>
        </w:rPr>
        <w:t>”</w:t>
      </w:r>
      <w:r>
        <w:rPr>
          <w:rFonts w:hint="eastAsia" w:ascii="Times New Roman" w:hAnsi="Times New Roman" w:eastAsia="宋体" w:cs="Times New Roman"/>
          <w:spacing w:val="-2"/>
          <w:sz w:val="24"/>
          <w:szCs w:val="24"/>
          <w:lang w:val="en-US" w:eastAsia="zh-CN"/>
        </w:rPr>
        <w:t>肉制</w:t>
      </w:r>
      <w:r>
        <w:rPr>
          <w:rFonts w:hint="default" w:ascii="Times New Roman" w:hAnsi="Times New Roman" w:eastAsia="宋体" w:cs="Times New Roman"/>
          <w:spacing w:val="-2"/>
          <w:sz w:val="24"/>
          <w:szCs w:val="24"/>
        </w:rPr>
        <w:t>产品越来越受到消费者</w:t>
      </w:r>
      <w:r>
        <w:rPr>
          <w:rFonts w:hint="default" w:ascii="Times New Roman" w:hAnsi="Times New Roman" w:eastAsia="宋体" w:cs="Times New Roman"/>
          <w:spacing w:val="-1"/>
          <w:sz w:val="24"/>
          <w:szCs w:val="24"/>
        </w:rPr>
        <w:t>的喜爱和重视，因此，我国政府就猪肉类产品的</w:t>
      </w:r>
      <w:r>
        <w:rPr>
          <w:rFonts w:hint="default" w:ascii="Times New Roman" w:hAnsi="Times New Roman" w:eastAsia="Times New Roman" w:cs="Times New Roman"/>
          <w:spacing w:val="-1"/>
          <w:sz w:val="24"/>
          <w:szCs w:val="24"/>
        </w:rPr>
        <w:t>“</w:t>
      </w:r>
      <w:r>
        <w:rPr>
          <w:rFonts w:hint="default" w:ascii="Times New Roman" w:hAnsi="Times New Roman" w:eastAsia="宋体" w:cs="Times New Roman"/>
          <w:spacing w:val="-1"/>
          <w:sz w:val="24"/>
          <w:szCs w:val="24"/>
        </w:rPr>
        <w:t>放心肉</w:t>
      </w:r>
      <w:r>
        <w:rPr>
          <w:rFonts w:hint="default" w:ascii="Times New Roman" w:hAnsi="Times New Roman" w:eastAsia="Times New Roman" w:cs="Times New Roman"/>
          <w:spacing w:val="-1"/>
          <w:sz w:val="24"/>
          <w:szCs w:val="24"/>
        </w:rPr>
        <w:t>”</w:t>
      </w:r>
      <w:r>
        <w:rPr>
          <w:rFonts w:hint="default" w:ascii="Times New Roman" w:hAnsi="Times New Roman" w:eastAsia="Times New Roman" w:cs="Times New Roman"/>
          <w:spacing w:val="-33"/>
          <w:sz w:val="24"/>
          <w:szCs w:val="24"/>
        </w:rPr>
        <w:t xml:space="preserve"> </w:t>
      </w:r>
      <w:r>
        <w:rPr>
          <w:rFonts w:hint="default" w:ascii="Times New Roman" w:hAnsi="Times New Roman" w:eastAsia="宋体" w:cs="Times New Roman"/>
          <w:spacing w:val="-1"/>
          <w:sz w:val="24"/>
          <w:szCs w:val="24"/>
        </w:rPr>
        <w:t>、</w:t>
      </w:r>
      <w:r>
        <w:rPr>
          <w:rFonts w:hint="default" w:ascii="Times New Roman" w:hAnsi="Times New Roman" w:eastAsia="Times New Roman" w:cs="Times New Roman"/>
          <w:spacing w:val="-1"/>
          <w:sz w:val="24"/>
          <w:szCs w:val="24"/>
        </w:rPr>
        <w:t>“</w:t>
      </w:r>
      <w:r>
        <w:rPr>
          <w:rFonts w:hint="default" w:ascii="Times New Roman" w:hAnsi="Times New Roman" w:eastAsia="宋体" w:cs="Times New Roman"/>
          <w:spacing w:val="-1"/>
          <w:sz w:val="24"/>
          <w:szCs w:val="24"/>
        </w:rPr>
        <w:t>安全肉</w:t>
      </w:r>
      <w:r>
        <w:rPr>
          <w:rFonts w:hint="default" w:ascii="Times New Roman" w:hAnsi="Times New Roman" w:eastAsia="Times New Roman" w:cs="Times New Roman"/>
          <w:spacing w:val="-1"/>
          <w:sz w:val="24"/>
          <w:szCs w:val="24"/>
        </w:rPr>
        <w:t>”</w:t>
      </w:r>
      <w:r>
        <w:rPr>
          <w:rFonts w:hint="default" w:ascii="Times New Roman" w:hAnsi="Times New Roman" w:eastAsia="宋体" w:cs="Times New Roman"/>
          <w:spacing w:val="-1"/>
          <w:sz w:val="24"/>
          <w:szCs w:val="24"/>
        </w:rPr>
        <w:t>甚至</w:t>
      </w:r>
      <w:r>
        <w:rPr>
          <w:rFonts w:hint="default" w:ascii="Times New Roman" w:hAnsi="Times New Roman" w:eastAsia="Times New Roman" w:cs="Times New Roman"/>
          <w:spacing w:val="-1"/>
          <w:sz w:val="24"/>
          <w:szCs w:val="24"/>
        </w:rPr>
        <w:t>“</w:t>
      </w:r>
      <w:r>
        <w:rPr>
          <w:rFonts w:hint="default" w:ascii="Times New Roman" w:hAnsi="Times New Roman" w:eastAsia="宋体" w:cs="Times New Roman"/>
          <w:spacing w:val="-1"/>
          <w:sz w:val="24"/>
          <w:szCs w:val="24"/>
        </w:rPr>
        <w:t>绿色肉</w:t>
      </w:r>
      <w:r>
        <w:rPr>
          <w:rFonts w:hint="default" w:ascii="Times New Roman" w:hAnsi="Times New Roman" w:eastAsia="Times New Roman" w:cs="Times New Roman"/>
          <w:spacing w:val="-1"/>
          <w:sz w:val="24"/>
          <w:szCs w:val="24"/>
        </w:rPr>
        <w:t>”</w:t>
      </w:r>
      <w:r>
        <w:rPr>
          <w:rFonts w:hint="default" w:ascii="Times New Roman" w:hAnsi="Times New Roman" w:eastAsia="宋体" w:cs="Times New Roman"/>
          <w:spacing w:val="-1"/>
          <w:sz w:val="24"/>
          <w:szCs w:val="24"/>
        </w:rPr>
        <w:t>制订多项相关法律法规和标准，并采取诸多鼓励</w:t>
      </w:r>
      <w:r>
        <w:rPr>
          <w:rFonts w:hint="default" w:ascii="Times New Roman" w:hAnsi="Times New Roman" w:eastAsia="宋体" w:cs="Times New Roman"/>
          <w:spacing w:val="-2"/>
          <w:sz w:val="24"/>
          <w:szCs w:val="24"/>
        </w:rPr>
        <w:t>政策措施。</w:t>
      </w:r>
      <w:r>
        <w:rPr>
          <w:rFonts w:hint="default" w:ascii="Times New Roman" w:hAnsi="Times New Roman" w:eastAsia="宋体" w:cs="Times New Roman"/>
          <w:spacing w:val="-2"/>
          <w:sz w:val="24"/>
          <w:szCs w:val="24"/>
          <w:lang w:eastAsia="zh-CN"/>
        </w:rPr>
        <w:t>哈尔滨华康肉制品加工有限责任公司</w:t>
      </w:r>
      <w:r>
        <w:rPr>
          <w:rFonts w:hint="default" w:ascii="Times New Roman" w:hAnsi="Times New Roman" w:eastAsia="宋体" w:cs="Times New Roman"/>
          <w:spacing w:val="-2"/>
          <w:sz w:val="24"/>
          <w:szCs w:val="24"/>
        </w:rPr>
        <w:t>将抓住这一有利时机，走在</w:t>
      </w:r>
      <w:r>
        <w:rPr>
          <w:rFonts w:hint="default" w:ascii="Times New Roman" w:hAnsi="Times New Roman" w:eastAsia="宋体" w:cs="Times New Roman"/>
          <w:spacing w:val="-6"/>
          <w:sz w:val="24"/>
          <w:szCs w:val="24"/>
        </w:rPr>
        <w:t>行业的前</w:t>
      </w:r>
      <w:r>
        <w:rPr>
          <w:rFonts w:hint="default" w:ascii="Times New Roman" w:hAnsi="Times New Roman" w:eastAsia="宋体" w:cs="Times New Roman"/>
          <w:b w:val="0"/>
          <w:bCs w:val="0"/>
          <w:snapToGrid/>
          <w:color w:val="auto"/>
          <w:kern w:val="2"/>
          <w:sz w:val="24"/>
          <w:szCs w:val="24"/>
          <w:lang w:eastAsia="zh-CN"/>
        </w:rPr>
        <w:t>头，采用现代化全自动屠宰加工生产线，对生猪肉不同部位进行细化、深加工， 根据消费者不同层面的需求心理，形成冷却肉、分割肉等一系列产品，把猪肉类加工从传统型、粗放型向现代型、集约型转化，为</w:t>
      </w:r>
      <w:r>
        <w:rPr>
          <w:rFonts w:hint="default" w:ascii="Times New Roman" w:hAnsi="Times New Roman" w:eastAsia="宋体" w:cs="Times New Roman"/>
          <w:spacing w:val="-1"/>
          <w:sz w:val="24"/>
          <w:szCs w:val="24"/>
        </w:rPr>
        <w:t>促进我国肉类产品的</w:t>
      </w:r>
      <w:r>
        <w:rPr>
          <w:rFonts w:hint="default" w:ascii="Times New Roman" w:hAnsi="Times New Roman" w:eastAsia="Times New Roman" w:cs="Times New Roman"/>
          <w:spacing w:val="-1"/>
          <w:sz w:val="24"/>
          <w:szCs w:val="24"/>
        </w:rPr>
        <w:t>“</w:t>
      </w:r>
      <w:r>
        <w:rPr>
          <w:rFonts w:hint="default" w:ascii="Times New Roman" w:hAnsi="Times New Roman" w:eastAsia="Times New Roman" w:cs="Times New Roman"/>
          <w:spacing w:val="-44"/>
          <w:sz w:val="24"/>
          <w:szCs w:val="24"/>
        </w:rPr>
        <w:t xml:space="preserve"> </w:t>
      </w:r>
      <w:r>
        <w:rPr>
          <w:rFonts w:hint="default" w:ascii="Times New Roman" w:hAnsi="Times New Roman" w:eastAsia="宋体" w:cs="Times New Roman"/>
          <w:spacing w:val="-1"/>
          <w:sz w:val="24"/>
          <w:szCs w:val="24"/>
        </w:rPr>
        <w:t>安全</w:t>
      </w:r>
      <w:r>
        <w:rPr>
          <w:rFonts w:hint="default" w:ascii="Times New Roman" w:hAnsi="Times New Roman" w:eastAsia="Times New Roman" w:cs="Times New Roman"/>
          <w:spacing w:val="-2"/>
          <w:sz w:val="24"/>
          <w:szCs w:val="24"/>
        </w:rPr>
        <w:t>”</w:t>
      </w:r>
      <w:r>
        <w:rPr>
          <w:rFonts w:hint="default" w:ascii="Times New Roman" w:hAnsi="Times New Roman" w:eastAsia="Times New Roman" w:cs="Times New Roman"/>
          <w:spacing w:val="-35"/>
          <w:sz w:val="24"/>
          <w:szCs w:val="24"/>
        </w:rPr>
        <w:t xml:space="preserve"> </w:t>
      </w:r>
      <w:r>
        <w:rPr>
          <w:rFonts w:hint="default" w:ascii="Times New Roman" w:hAnsi="Times New Roman" w:eastAsia="宋体" w:cs="Times New Roman"/>
          <w:spacing w:val="-2"/>
          <w:sz w:val="24"/>
          <w:szCs w:val="24"/>
        </w:rPr>
        <w:t>、</w:t>
      </w:r>
      <w:r>
        <w:rPr>
          <w:rFonts w:hint="default" w:ascii="Times New Roman" w:hAnsi="Times New Roman" w:eastAsia="Times New Roman" w:cs="Times New Roman"/>
          <w:spacing w:val="-2"/>
          <w:sz w:val="24"/>
          <w:szCs w:val="24"/>
        </w:rPr>
        <w:t>“</w:t>
      </w:r>
      <w:r>
        <w:rPr>
          <w:rFonts w:hint="default" w:ascii="Times New Roman" w:hAnsi="Times New Roman" w:eastAsia="宋体" w:cs="Times New Roman"/>
          <w:spacing w:val="-2"/>
          <w:sz w:val="24"/>
          <w:szCs w:val="24"/>
        </w:rPr>
        <w:t>绿色</w:t>
      </w:r>
      <w:r>
        <w:rPr>
          <w:rFonts w:hint="default" w:ascii="Times New Roman" w:hAnsi="Times New Roman" w:eastAsia="Times New Roman" w:cs="Times New Roman"/>
          <w:spacing w:val="-2"/>
          <w:sz w:val="24"/>
          <w:szCs w:val="24"/>
        </w:rPr>
        <w:t>”</w:t>
      </w:r>
      <w:r>
        <w:rPr>
          <w:rFonts w:hint="default" w:ascii="Times New Roman" w:hAnsi="Times New Roman" w:eastAsia="宋体" w:cs="Times New Roman"/>
          <w:spacing w:val="-2"/>
          <w:sz w:val="24"/>
          <w:szCs w:val="24"/>
        </w:rPr>
        <w:t>革新做</w:t>
      </w:r>
      <w:r>
        <w:rPr>
          <w:rFonts w:hint="default" w:ascii="Times New Roman" w:hAnsi="Times New Roman" w:eastAsia="宋体" w:cs="Times New Roman"/>
          <w:spacing w:val="-5"/>
          <w:sz w:val="24"/>
          <w:szCs w:val="24"/>
        </w:rPr>
        <w:t>出应有贡献。</w:t>
      </w:r>
      <w:r>
        <w:rPr>
          <w:rFonts w:hint="default" w:ascii="Times New Roman" w:hAnsi="Times New Roman" w:eastAsia="Times New Roman" w:cs="Times New Roman"/>
          <w:spacing w:val="-2"/>
          <w:sz w:val="24"/>
          <w:szCs w:val="24"/>
        </w:rPr>
        <w:t>20</w:t>
      </w:r>
      <w:r>
        <w:rPr>
          <w:rFonts w:hint="default" w:ascii="Times New Roman" w:hAnsi="Times New Roman" w:eastAsia="宋体" w:cs="Times New Roman"/>
          <w:spacing w:val="-2"/>
          <w:sz w:val="24"/>
          <w:szCs w:val="24"/>
          <w:lang w:val="en-US" w:eastAsia="zh-CN"/>
        </w:rPr>
        <w:t>07</w:t>
      </w:r>
      <w:r>
        <w:rPr>
          <w:rFonts w:hint="default" w:ascii="Times New Roman" w:hAnsi="Times New Roman" w:eastAsia="Times New Roman" w:cs="Times New Roman"/>
          <w:spacing w:val="-2"/>
          <w:sz w:val="24"/>
          <w:szCs w:val="24"/>
        </w:rPr>
        <w:t xml:space="preserve"> </w:t>
      </w:r>
      <w:r>
        <w:rPr>
          <w:rFonts w:hint="default" w:ascii="Times New Roman" w:hAnsi="Times New Roman" w:eastAsia="宋体" w:cs="Times New Roman"/>
          <w:spacing w:val="-2"/>
          <w:sz w:val="24"/>
          <w:szCs w:val="24"/>
        </w:rPr>
        <w:t>年</w:t>
      </w:r>
      <w:r>
        <w:rPr>
          <w:rFonts w:hint="default" w:ascii="Times New Roman" w:hAnsi="Times New Roman" w:eastAsia="宋体" w:cs="Times New Roman"/>
          <w:spacing w:val="-45"/>
          <w:sz w:val="24"/>
          <w:szCs w:val="24"/>
        </w:rPr>
        <w:t xml:space="preserve"> </w:t>
      </w:r>
      <w:r>
        <w:rPr>
          <w:rFonts w:hint="default" w:ascii="Times New Roman" w:hAnsi="Times New Roman" w:eastAsia="宋体" w:cs="Times New Roman"/>
          <w:spacing w:val="-2"/>
          <w:sz w:val="24"/>
          <w:szCs w:val="24"/>
          <w:lang w:val="en-US" w:eastAsia="zh-CN"/>
        </w:rPr>
        <w:t>9</w:t>
      </w:r>
      <w:r>
        <w:rPr>
          <w:rFonts w:hint="default" w:ascii="Times New Roman" w:hAnsi="Times New Roman" w:eastAsia="宋体" w:cs="Times New Roman"/>
          <w:spacing w:val="-2"/>
          <w:sz w:val="24"/>
          <w:szCs w:val="24"/>
        </w:rPr>
        <w:t>月，</w:t>
      </w:r>
      <w:r>
        <w:rPr>
          <w:rFonts w:hint="default" w:ascii="Times New Roman" w:hAnsi="Times New Roman" w:eastAsia="宋体" w:cs="Times New Roman"/>
          <w:spacing w:val="-2"/>
          <w:sz w:val="24"/>
          <w:szCs w:val="24"/>
          <w:lang w:eastAsia="zh-CN"/>
        </w:rPr>
        <w:t>哈尔滨华康肉制品加工有限责任公司</w:t>
      </w:r>
      <w:r>
        <w:rPr>
          <w:rFonts w:hint="default" w:ascii="Times New Roman" w:hAnsi="Times New Roman" w:eastAsia="宋体" w:cs="Times New Roman"/>
          <w:spacing w:val="-2"/>
          <w:sz w:val="24"/>
          <w:szCs w:val="24"/>
        </w:rPr>
        <w:t>在</w:t>
      </w:r>
      <w:r>
        <w:rPr>
          <w:rFonts w:hint="default" w:ascii="Times New Roman" w:hAnsi="Times New Roman" w:eastAsia="宋体" w:cs="Times New Roman"/>
          <w:spacing w:val="-2"/>
          <w:sz w:val="24"/>
          <w:szCs w:val="24"/>
          <w:lang w:val="en-US" w:eastAsia="zh-CN"/>
        </w:rPr>
        <w:t>巴彦</w:t>
      </w:r>
      <w:r>
        <w:rPr>
          <w:rFonts w:hint="default" w:ascii="Times New Roman" w:hAnsi="Times New Roman" w:eastAsia="宋体" w:cs="Times New Roman"/>
          <w:spacing w:val="-2"/>
          <w:sz w:val="24"/>
          <w:szCs w:val="24"/>
        </w:rPr>
        <w:t>县成立公司，注册资本</w:t>
      </w:r>
      <w:r>
        <w:rPr>
          <w:rFonts w:hint="default" w:ascii="Times New Roman" w:hAnsi="Times New Roman" w:eastAsia="宋体" w:cs="Times New Roman"/>
          <w:spacing w:val="-32"/>
          <w:sz w:val="24"/>
          <w:szCs w:val="24"/>
        </w:rPr>
        <w:t xml:space="preserve"> </w:t>
      </w:r>
      <w:r>
        <w:rPr>
          <w:rFonts w:hint="default" w:ascii="Times New Roman" w:hAnsi="Times New Roman" w:eastAsia="宋体" w:cs="Times New Roman"/>
          <w:spacing w:val="-2"/>
          <w:sz w:val="24"/>
          <w:szCs w:val="24"/>
          <w:lang w:val="en-US" w:eastAsia="zh-CN"/>
        </w:rPr>
        <w:t>60</w:t>
      </w:r>
      <w:r>
        <w:rPr>
          <w:rFonts w:hint="default" w:ascii="Times New Roman" w:hAnsi="Times New Roman" w:eastAsia="宋体" w:cs="Times New Roman"/>
          <w:spacing w:val="-3"/>
          <w:sz w:val="24"/>
          <w:szCs w:val="24"/>
        </w:rPr>
        <w:t>万元，主要从事生猪屠宰加工，肉食品销售。公司占地</w:t>
      </w:r>
      <w:r>
        <w:rPr>
          <w:rFonts w:hint="default" w:ascii="Times New Roman" w:hAnsi="Times New Roman" w:eastAsia="Times New Roman" w:cs="Times New Roman"/>
          <w:spacing w:val="-4"/>
          <w:sz w:val="24"/>
          <w:szCs w:val="24"/>
        </w:rPr>
        <w:t>约</w:t>
      </w:r>
      <w:r>
        <w:rPr>
          <w:rFonts w:hint="default" w:ascii="Times New Roman" w:hAnsi="Times New Roman" w:eastAsia="Times New Roman" w:cs="Times New Roman"/>
          <w:spacing w:val="-4"/>
          <w:sz w:val="24"/>
          <w:szCs w:val="24"/>
          <w:lang w:val="en-US" w:eastAsia="zh-CN"/>
        </w:rPr>
        <w:t>3864</w:t>
      </w:r>
      <w:r>
        <w:rPr>
          <w:rFonts w:hint="default" w:ascii="Times New Roman" w:hAnsi="Times New Roman" w:eastAsia="Times New Roman" w:cs="Times New Roman"/>
          <w:spacing w:val="-4"/>
          <w:sz w:val="24"/>
          <w:szCs w:val="24"/>
        </w:rPr>
        <w:t>m</w:t>
      </w:r>
      <w:r>
        <w:rPr>
          <w:rFonts w:hint="default" w:ascii="Times New Roman" w:hAnsi="Times New Roman" w:eastAsia="Times New Roman" w:cs="Times New Roman"/>
          <w:spacing w:val="-4"/>
          <w:position w:val="8"/>
          <w:sz w:val="15"/>
          <w:szCs w:val="15"/>
        </w:rPr>
        <w:t>2</w:t>
      </w:r>
      <w:r>
        <w:rPr>
          <w:rFonts w:hint="default" w:ascii="Times New Roman" w:hAnsi="Times New Roman" w:eastAsia="宋体" w:cs="Times New Roman"/>
          <w:spacing w:val="-4"/>
          <w:sz w:val="24"/>
          <w:szCs w:val="24"/>
        </w:rPr>
        <w:t>，建筑面积约</w:t>
      </w:r>
      <w:r>
        <w:rPr>
          <w:rFonts w:hint="default" w:ascii="Times New Roman" w:hAnsi="Times New Roman" w:eastAsia="宋体" w:cs="Times New Roman"/>
          <w:spacing w:val="-32"/>
          <w:sz w:val="24"/>
          <w:szCs w:val="24"/>
        </w:rPr>
        <w:t xml:space="preserve"> </w:t>
      </w:r>
      <w:r>
        <w:rPr>
          <w:rFonts w:hint="default" w:ascii="Times New Roman" w:hAnsi="Times New Roman" w:eastAsia="Times New Roman" w:cs="Times New Roman"/>
          <w:spacing w:val="-4"/>
          <w:sz w:val="24"/>
          <w:szCs w:val="24"/>
        </w:rPr>
        <w:t>12000m</w:t>
      </w:r>
      <w:r>
        <w:rPr>
          <w:rFonts w:hint="default" w:ascii="Times New Roman" w:hAnsi="Times New Roman" w:eastAsia="Times New Roman" w:cs="Times New Roman"/>
          <w:spacing w:val="-4"/>
          <w:position w:val="8"/>
          <w:sz w:val="15"/>
          <w:szCs w:val="15"/>
        </w:rPr>
        <w:t>2</w:t>
      </w:r>
      <w:r>
        <w:rPr>
          <w:rFonts w:hint="default" w:ascii="Times New Roman" w:hAnsi="Times New Roman" w:eastAsia="Times New Roman" w:cs="Times New Roman"/>
          <w:spacing w:val="-7"/>
          <w:position w:val="8"/>
          <w:sz w:val="15"/>
          <w:szCs w:val="15"/>
        </w:rPr>
        <w:t xml:space="preserve"> </w:t>
      </w:r>
      <w:r>
        <w:rPr>
          <w:rFonts w:hint="default" w:ascii="Times New Roman" w:hAnsi="Times New Roman" w:eastAsia="宋体" w:cs="Times New Roman"/>
          <w:spacing w:val="-2"/>
          <w:sz w:val="24"/>
          <w:szCs w:val="24"/>
        </w:rPr>
        <w:t>。按照商务部星级生猪屠宰厂标准规划</w:t>
      </w:r>
      <w:r>
        <w:rPr>
          <w:rFonts w:hint="default" w:ascii="Times New Roman" w:hAnsi="Times New Roman" w:eastAsia="宋体" w:cs="Times New Roman"/>
          <w:spacing w:val="-3"/>
          <w:sz w:val="24"/>
          <w:szCs w:val="24"/>
        </w:rPr>
        <w:t>建设，拥有生产线</w:t>
      </w:r>
      <w:r>
        <w:rPr>
          <w:rFonts w:hint="default" w:ascii="Times New Roman" w:hAnsi="Times New Roman" w:eastAsia="Times New Roman" w:cs="Times New Roman"/>
          <w:spacing w:val="-3"/>
          <w:sz w:val="24"/>
          <w:szCs w:val="24"/>
        </w:rPr>
        <w:t>1</w:t>
      </w:r>
      <w:r>
        <w:rPr>
          <w:rFonts w:hint="default" w:ascii="Times New Roman" w:hAnsi="Times New Roman" w:eastAsia="宋体" w:cs="Times New Roman"/>
          <w:spacing w:val="-1"/>
          <w:sz w:val="24"/>
          <w:szCs w:val="24"/>
        </w:rPr>
        <w:t>条，年生猪屠宰量达</w:t>
      </w:r>
      <w:r>
        <w:rPr>
          <w:rFonts w:hint="default" w:ascii="Times New Roman" w:hAnsi="Times New Roman" w:eastAsia="Times New Roman" w:cs="Times New Roman"/>
          <w:spacing w:val="-4"/>
          <w:sz w:val="24"/>
          <w:szCs w:val="24"/>
          <w:lang w:val="en-US" w:eastAsia="zh-CN"/>
        </w:rPr>
        <w:t>9000</w:t>
      </w:r>
      <w:r>
        <w:rPr>
          <w:rFonts w:hint="default" w:ascii="Times New Roman" w:hAnsi="Times New Roman" w:eastAsia="Times New Roman" w:cs="Times New Roman"/>
          <w:spacing w:val="-4"/>
          <w:sz w:val="24"/>
          <w:szCs w:val="24"/>
        </w:rPr>
        <w:t>头，</w:t>
      </w:r>
      <w:r>
        <w:rPr>
          <w:rFonts w:hint="default" w:ascii="Times New Roman" w:hAnsi="Times New Roman" w:eastAsia="宋体" w:cs="Times New Roman"/>
          <w:spacing w:val="-1"/>
          <w:sz w:val="24"/>
          <w:szCs w:val="24"/>
        </w:rPr>
        <w:t>除保障整个</w:t>
      </w:r>
      <w:r>
        <w:rPr>
          <w:rFonts w:hint="default" w:ascii="Times New Roman" w:hAnsi="Times New Roman" w:eastAsia="宋体" w:cs="Times New Roman"/>
          <w:spacing w:val="-1"/>
          <w:sz w:val="24"/>
          <w:szCs w:val="24"/>
          <w:lang w:val="en-US" w:eastAsia="zh-CN"/>
        </w:rPr>
        <w:t>巴彦</w:t>
      </w:r>
      <w:r>
        <w:rPr>
          <w:rFonts w:hint="default" w:ascii="Times New Roman" w:hAnsi="Times New Roman" w:eastAsia="宋体" w:cs="Times New Roman"/>
          <w:spacing w:val="-1"/>
          <w:sz w:val="24"/>
          <w:szCs w:val="24"/>
        </w:rPr>
        <w:t>县猪肉食品供应外，还向</w:t>
      </w:r>
      <w:r>
        <w:rPr>
          <w:rFonts w:hint="default" w:ascii="Times New Roman" w:hAnsi="Times New Roman" w:eastAsia="宋体" w:cs="Times New Roman"/>
          <w:spacing w:val="-1"/>
          <w:sz w:val="24"/>
          <w:szCs w:val="24"/>
          <w:lang w:val="en-US" w:eastAsia="zh-CN"/>
        </w:rPr>
        <w:t>哈尔滨</w:t>
      </w:r>
      <w:r>
        <w:rPr>
          <w:rFonts w:hint="default" w:ascii="Times New Roman" w:hAnsi="Times New Roman" w:eastAsia="宋体" w:cs="Times New Roman"/>
          <w:spacing w:val="-1"/>
          <w:sz w:val="24"/>
          <w:szCs w:val="24"/>
        </w:rPr>
        <w:t>市场输入</w:t>
      </w:r>
      <w:r>
        <w:rPr>
          <w:rFonts w:hint="default" w:ascii="Times New Roman" w:hAnsi="Times New Roman" w:eastAsia="宋体" w:cs="Times New Roman"/>
          <w:spacing w:val="-4"/>
          <w:sz w:val="24"/>
          <w:szCs w:val="24"/>
        </w:rPr>
        <w:t>大量的优质猪肉。目前企业已建成日处理污水</w:t>
      </w:r>
      <w:r>
        <w:rPr>
          <w:rFonts w:hint="eastAsia" w:ascii="Times New Roman" w:hAnsi="Times New Roman" w:eastAsia="宋体" w:cs="Times New Roman"/>
          <w:spacing w:val="-4"/>
          <w:sz w:val="24"/>
          <w:szCs w:val="24"/>
          <w:highlight w:val="none"/>
          <w:lang w:val="en-US" w:eastAsia="zh-CN"/>
        </w:rPr>
        <w:t>300</w:t>
      </w:r>
      <w:r>
        <w:rPr>
          <w:rFonts w:hint="default" w:ascii="Times New Roman" w:hAnsi="Times New Roman" w:eastAsia="Times New Roman" w:cs="Times New Roman"/>
          <w:spacing w:val="-4"/>
          <w:sz w:val="24"/>
          <w:szCs w:val="24"/>
          <w:highlight w:val="none"/>
        </w:rPr>
        <w:t>m</w:t>
      </w:r>
      <w:r>
        <w:rPr>
          <w:rFonts w:hint="default" w:ascii="Times New Roman" w:hAnsi="Times New Roman" w:eastAsia="Times New Roman" w:cs="Times New Roman"/>
          <w:spacing w:val="-4"/>
          <w:sz w:val="24"/>
          <w:szCs w:val="24"/>
          <w:highlight w:val="none"/>
          <w:vertAlign w:val="superscript"/>
        </w:rPr>
        <w:t>3</w:t>
      </w:r>
      <w:r>
        <w:rPr>
          <w:rFonts w:hint="default" w:ascii="Times New Roman" w:hAnsi="Times New Roman" w:eastAsia="Times New Roman" w:cs="Times New Roman"/>
          <w:spacing w:val="-4"/>
          <w:sz w:val="24"/>
          <w:szCs w:val="24"/>
          <w:highlight w:val="none"/>
        </w:rPr>
        <w:t>的</w:t>
      </w:r>
      <w:r>
        <w:rPr>
          <w:rFonts w:hint="default" w:ascii="Times New Roman" w:hAnsi="Times New Roman" w:eastAsia="Times New Roman" w:cs="Times New Roman"/>
          <w:spacing w:val="-4"/>
          <w:sz w:val="24"/>
          <w:szCs w:val="24"/>
        </w:rPr>
        <w:t>污</w:t>
      </w:r>
      <w:r>
        <w:rPr>
          <w:rFonts w:hint="default" w:ascii="Times New Roman" w:hAnsi="Times New Roman" w:eastAsia="宋体" w:cs="Times New Roman"/>
          <w:spacing w:val="-4"/>
          <w:sz w:val="24"/>
          <w:szCs w:val="24"/>
        </w:rPr>
        <w:t>水站一座，</w:t>
      </w:r>
      <w:r>
        <w:rPr>
          <w:rFonts w:hint="default" w:ascii="Times New Roman" w:hAnsi="Times New Roman" w:eastAsia="Times New Roman" w:cs="Times New Roman"/>
          <w:spacing w:val="-4"/>
          <w:sz w:val="24"/>
          <w:szCs w:val="24"/>
        </w:rPr>
        <w:t>20</w:t>
      </w:r>
      <w:r>
        <w:rPr>
          <w:rFonts w:hint="default" w:ascii="Times New Roman" w:hAnsi="Times New Roman" w:eastAsia="宋体" w:cs="Times New Roman"/>
          <w:spacing w:val="-4"/>
          <w:sz w:val="24"/>
          <w:szCs w:val="24"/>
          <w:lang w:val="en-US" w:eastAsia="zh-CN"/>
        </w:rPr>
        <w:t>0</w:t>
      </w:r>
      <w:r>
        <w:rPr>
          <w:rFonts w:hint="default" w:ascii="Times New Roman" w:hAnsi="Times New Roman" w:eastAsia="Times New Roman" w:cs="Times New Roman"/>
          <w:spacing w:val="-4"/>
          <w:sz w:val="24"/>
          <w:szCs w:val="24"/>
        </w:rPr>
        <w:t xml:space="preserve">7 </w:t>
      </w:r>
      <w:r>
        <w:rPr>
          <w:rFonts w:hint="default" w:ascii="Times New Roman" w:hAnsi="Times New Roman" w:eastAsia="宋体" w:cs="Times New Roman"/>
          <w:spacing w:val="-4"/>
          <w:sz w:val="24"/>
          <w:szCs w:val="24"/>
        </w:rPr>
        <w:t>年</w:t>
      </w:r>
      <w:r>
        <w:rPr>
          <w:rFonts w:hint="eastAsia" w:ascii="Times New Roman" w:hAnsi="Times New Roman" w:eastAsia="宋体" w:cs="Times New Roman"/>
          <w:spacing w:val="-4"/>
          <w:sz w:val="24"/>
          <w:szCs w:val="24"/>
          <w:lang w:val="en-US" w:eastAsia="zh-CN"/>
        </w:rPr>
        <w:t>起企业所排污水已经市政污水管网排至</w:t>
      </w:r>
      <w:r>
        <w:rPr>
          <w:rFonts w:hint="default" w:ascii="Times New Roman" w:hAnsi="Times New Roman" w:eastAsia="宋体" w:cs="Times New Roman"/>
          <w:spacing w:val="-4"/>
          <w:sz w:val="24"/>
          <w:szCs w:val="24"/>
          <w:lang w:eastAsia="zh-CN"/>
        </w:rPr>
        <w:t>兴隆镇</w:t>
      </w:r>
      <w:r>
        <w:rPr>
          <w:rFonts w:hint="default" w:ascii="Times New Roman" w:hAnsi="Times New Roman" w:eastAsia="宋体" w:cs="Times New Roman"/>
          <w:spacing w:val="-2"/>
          <w:sz w:val="24"/>
          <w:szCs w:val="24"/>
        </w:rPr>
        <w:t>污水处理厂。</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为了顺应市场的需求以及提升企业自身发展，</w:t>
      </w:r>
      <w:r>
        <w:rPr>
          <w:rFonts w:hint="default" w:ascii="Times New Roman" w:hAnsi="Times New Roman" w:eastAsia="宋体" w:cs="Times New Roman"/>
          <w:spacing w:val="-1"/>
          <w:sz w:val="24"/>
          <w:szCs w:val="24"/>
          <w:lang w:eastAsia="zh-CN"/>
        </w:rPr>
        <w:t>哈尔滨华康肉制品加工有限责任公司</w:t>
      </w:r>
      <w:r>
        <w:rPr>
          <w:rFonts w:hint="eastAsia" w:ascii="Times New Roman" w:hAnsi="Times New Roman" w:eastAsia="宋体" w:cs="Times New Roman"/>
          <w:spacing w:val="-1"/>
          <w:sz w:val="24"/>
          <w:szCs w:val="24"/>
          <w:lang w:val="en-US" w:eastAsia="zh-CN"/>
        </w:rPr>
        <w:t>拟</w:t>
      </w:r>
      <w:r>
        <w:rPr>
          <w:rFonts w:hint="default" w:ascii="Times New Roman" w:hAnsi="Times New Roman" w:eastAsia="宋体" w:cs="Times New Roman"/>
          <w:spacing w:val="-1"/>
          <w:sz w:val="24"/>
          <w:szCs w:val="24"/>
        </w:rPr>
        <w:t>投资</w:t>
      </w:r>
      <w:r>
        <w:rPr>
          <w:rFonts w:hint="default" w:ascii="Times New Roman" w:hAnsi="Times New Roman" w:eastAsia="宋体" w:cs="Times New Roman"/>
          <w:spacing w:val="-55"/>
          <w:sz w:val="24"/>
          <w:szCs w:val="24"/>
        </w:rPr>
        <w:t xml:space="preserve"> </w:t>
      </w:r>
      <w:r>
        <w:rPr>
          <w:rFonts w:hint="default" w:ascii="Times New Roman" w:hAnsi="Times New Roman" w:eastAsia="宋体" w:cs="Times New Roman"/>
          <w:spacing w:val="-1"/>
          <w:sz w:val="24"/>
          <w:szCs w:val="24"/>
          <w:lang w:val="en-US" w:eastAsia="zh-CN"/>
        </w:rPr>
        <w:t>12000</w:t>
      </w:r>
      <w:r>
        <w:rPr>
          <w:rFonts w:hint="default" w:ascii="Times New Roman" w:hAnsi="Times New Roman" w:eastAsia="Times New Roman" w:cs="Times New Roman"/>
          <w:sz w:val="24"/>
          <w:szCs w:val="24"/>
        </w:rPr>
        <w:t xml:space="preserve"> </w:t>
      </w:r>
      <w:r>
        <w:rPr>
          <w:rFonts w:hint="default" w:ascii="Times New Roman" w:hAnsi="Times New Roman" w:eastAsia="宋体" w:cs="Times New Roman"/>
          <w:spacing w:val="-1"/>
          <w:sz w:val="24"/>
          <w:szCs w:val="24"/>
        </w:rPr>
        <w:t>万元，建设生猪机械化屠宰场扩建项目。本次改扩建项目利用</w:t>
      </w:r>
      <w:r>
        <w:rPr>
          <w:rFonts w:hint="default" w:ascii="Times New Roman" w:hAnsi="Times New Roman" w:eastAsia="宋体" w:cs="Times New Roman"/>
          <w:spacing w:val="-1"/>
          <w:sz w:val="24"/>
          <w:szCs w:val="24"/>
          <w:lang w:val="en-US" w:eastAsia="zh-CN"/>
        </w:rPr>
        <w:t>现有生产</w:t>
      </w:r>
      <w:r>
        <w:rPr>
          <w:rFonts w:hint="default" w:ascii="Times New Roman" w:hAnsi="Times New Roman" w:eastAsia="宋体" w:cs="Times New Roman"/>
          <w:spacing w:val="-1"/>
          <w:sz w:val="24"/>
          <w:szCs w:val="24"/>
        </w:rPr>
        <w:t>车间</w:t>
      </w:r>
      <w:r>
        <w:rPr>
          <w:rFonts w:hint="default" w:ascii="Times New Roman" w:hAnsi="Times New Roman" w:eastAsia="宋体" w:cs="Times New Roman"/>
          <w:spacing w:val="-1"/>
          <w:sz w:val="24"/>
          <w:szCs w:val="24"/>
          <w:lang w:eastAsia="zh-CN"/>
        </w:rPr>
        <w:t>，</w:t>
      </w:r>
      <w:r>
        <w:rPr>
          <w:rFonts w:hint="default" w:ascii="Times New Roman" w:hAnsi="Times New Roman" w:eastAsia="宋体" w:cs="Times New Roman"/>
          <w:spacing w:val="-1"/>
          <w:sz w:val="24"/>
          <w:szCs w:val="24"/>
        </w:rPr>
        <w:t>对现有</w:t>
      </w:r>
      <w:r>
        <w:rPr>
          <w:rFonts w:hint="default" w:ascii="Times New Roman" w:hAnsi="Times New Roman" w:eastAsia="宋体" w:cs="Times New Roman"/>
          <w:spacing w:val="-1"/>
          <w:sz w:val="24"/>
          <w:szCs w:val="24"/>
          <w:lang w:val="en-US" w:eastAsia="zh-CN"/>
        </w:rPr>
        <w:t>屠宰生产线</w:t>
      </w:r>
      <w:r>
        <w:rPr>
          <w:rFonts w:hint="default" w:ascii="Times New Roman" w:hAnsi="Times New Roman" w:eastAsia="宋体" w:cs="Times New Roman"/>
          <w:spacing w:val="-1"/>
          <w:sz w:val="24"/>
          <w:szCs w:val="24"/>
        </w:rPr>
        <w:t>进</w:t>
      </w:r>
      <w:r>
        <w:rPr>
          <w:rFonts w:hint="default" w:ascii="Times New Roman" w:hAnsi="Times New Roman" w:eastAsia="宋体" w:cs="Times New Roman"/>
          <w:spacing w:val="-2"/>
          <w:sz w:val="24"/>
          <w:szCs w:val="24"/>
        </w:rPr>
        <w:t>行改造，</w:t>
      </w:r>
      <w:r>
        <w:rPr>
          <w:rFonts w:hint="default" w:ascii="Times New Roman" w:hAnsi="Times New Roman" w:eastAsia="宋体" w:cs="Times New Roman"/>
          <w:spacing w:val="-1"/>
          <w:sz w:val="24"/>
          <w:szCs w:val="24"/>
        </w:rPr>
        <w:t>改造后总建筑面积</w:t>
      </w:r>
      <w:r>
        <w:rPr>
          <w:rFonts w:hint="default" w:ascii="Times New Roman" w:hAnsi="Times New Roman" w:eastAsia="宋体" w:cs="Times New Roman"/>
          <w:spacing w:val="-1"/>
          <w:sz w:val="24"/>
          <w:szCs w:val="24"/>
          <w:lang w:val="en-US" w:eastAsia="zh-CN"/>
        </w:rPr>
        <w:t>不变</w:t>
      </w:r>
      <w:r>
        <w:rPr>
          <w:rFonts w:hint="default" w:ascii="Times New Roman" w:hAnsi="Times New Roman" w:eastAsia="宋体" w:cs="Times New Roman"/>
          <w:spacing w:val="-1"/>
          <w:sz w:val="24"/>
          <w:szCs w:val="24"/>
        </w:rPr>
        <w:t>，</w:t>
      </w:r>
      <w:r>
        <w:rPr>
          <w:rFonts w:hint="default" w:ascii="Times New Roman" w:hAnsi="Times New Roman" w:eastAsia="宋体" w:cs="Times New Roman"/>
          <w:spacing w:val="-2"/>
          <w:sz w:val="24"/>
          <w:szCs w:val="24"/>
        </w:rPr>
        <w:t>购置和安装</w:t>
      </w:r>
      <w:r>
        <w:rPr>
          <w:rFonts w:hint="default" w:ascii="Times New Roman" w:hAnsi="Times New Roman" w:eastAsia="宋体" w:cs="Times New Roman"/>
          <w:spacing w:val="-39"/>
          <w:sz w:val="24"/>
          <w:szCs w:val="24"/>
        </w:rPr>
        <w:t xml:space="preserve"> </w:t>
      </w:r>
      <w:r>
        <w:rPr>
          <w:rFonts w:hint="default" w:ascii="Times New Roman" w:hAnsi="Times New Roman" w:eastAsia="宋体" w:cs="Times New Roman"/>
          <w:spacing w:val="-2"/>
          <w:sz w:val="24"/>
          <w:szCs w:val="24"/>
          <w:lang w:val="en-US" w:eastAsia="zh-CN"/>
        </w:rPr>
        <w:t>1</w:t>
      </w:r>
      <w:r>
        <w:rPr>
          <w:rFonts w:hint="default" w:ascii="Times New Roman" w:hAnsi="Times New Roman" w:eastAsia="Times New Roman" w:cs="Times New Roman"/>
          <w:spacing w:val="-2"/>
          <w:sz w:val="24"/>
          <w:szCs w:val="24"/>
        </w:rPr>
        <w:t xml:space="preserve"> </w:t>
      </w:r>
      <w:r>
        <w:rPr>
          <w:rFonts w:hint="default" w:ascii="Times New Roman" w:hAnsi="Times New Roman" w:eastAsia="宋体" w:cs="Times New Roman"/>
          <w:spacing w:val="-2"/>
          <w:sz w:val="24"/>
          <w:szCs w:val="24"/>
        </w:rPr>
        <w:t>条机械化生猪屠宰线、检疫系统</w:t>
      </w:r>
      <w:r>
        <w:rPr>
          <w:rFonts w:hint="default" w:ascii="Times New Roman" w:hAnsi="Times New Roman" w:eastAsia="宋体" w:cs="Times New Roman"/>
          <w:spacing w:val="-3"/>
          <w:sz w:val="24"/>
          <w:szCs w:val="24"/>
        </w:rPr>
        <w:t>。项目</w:t>
      </w:r>
      <w:r>
        <w:rPr>
          <w:rFonts w:hint="default" w:ascii="Times New Roman" w:hAnsi="Times New Roman" w:eastAsia="宋体" w:cs="Times New Roman"/>
          <w:spacing w:val="-3"/>
          <w:sz w:val="24"/>
          <w:szCs w:val="24"/>
          <w:lang w:val="en-US" w:eastAsia="zh-CN"/>
        </w:rPr>
        <w:t>扩建</w:t>
      </w:r>
      <w:r>
        <w:rPr>
          <w:rFonts w:hint="default" w:ascii="Times New Roman" w:hAnsi="Times New Roman" w:eastAsia="宋体" w:cs="Times New Roman"/>
          <w:spacing w:val="-3"/>
          <w:sz w:val="24"/>
          <w:szCs w:val="24"/>
        </w:rPr>
        <w:t>后</w:t>
      </w:r>
      <w:r>
        <w:rPr>
          <w:rFonts w:hint="default" w:ascii="Times New Roman" w:hAnsi="Times New Roman" w:eastAsia="宋体" w:cs="Times New Roman"/>
          <w:spacing w:val="-3"/>
          <w:sz w:val="24"/>
          <w:szCs w:val="24"/>
          <w:lang w:val="en-US" w:eastAsia="zh-CN"/>
        </w:rPr>
        <w:t>全厂</w:t>
      </w:r>
      <w:r>
        <w:rPr>
          <w:rFonts w:hint="default" w:ascii="Times New Roman" w:hAnsi="Times New Roman" w:eastAsia="宋体" w:cs="Times New Roman"/>
          <w:spacing w:val="-3"/>
          <w:sz w:val="24"/>
          <w:szCs w:val="24"/>
        </w:rPr>
        <w:t>可</w:t>
      </w:r>
      <w:r>
        <w:rPr>
          <w:rFonts w:hint="default" w:ascii="Times New Roman" w:hAnsi="Times New Roman" w:eastAsia="宋体" w:cs="Times New Roman"/>
          <w:spacing w:val="-3"/>
          <w:sz w:val="24"/>
          <w:szCs w:val="24"/>
          <w:lang w:val="en-US" w:eastAsia="zh-CN"/>
        </w:rPr>
        <w:t>年屠宰加工</w:t>
      </w:r>
      <w:r>
        <w:rPr>
          <w:rFonts w:hint="default" w:ascii="Times New Roman" w:hAnsi="Times New Roman" w:eastAsia="宋体" w:cs="Times New Roman"/>
          <w:spacing w:val="-2"/>
          <w:sz w:val="24"/>
          <w:szCs w:val="24"/>
        </w:rPr>
        <w:t>生猪</w:t>
      </w:r>
      <w:r>
        <w:rPr>
          <w:rFonts w:hint="default" w:ascii="Times New Roman" w:hAnsi="Times New Roman" w:eastAsia="宋体" w:cs="Times New Roman"/>
          <w:spacing w:val="-2"/>
          <w:sz w:val="24"/>
          <w:szCs w:val="24"/>
          <w:lang w:val="en-US" w:eastAsia="zh-CN"/>
        </w:rPr>
        <w:t>16</w:t>
      </w:r>
      <w:r>
        <w:rPr>
          <w:rFonts w:hint="default" w:ascii="Times New Roman" w:hAnsi="Times New Roman" w:eastAsia="宋体" w:cs="Times New Roman"/>
          <w:spacing w:val="-2"/>
          <w:sz w:val="24"/>
          <w:szCs w:val="24"/>
        </w:rPr>
        <w:t>万头</w:t>
      </w:r>
      <w:r>
        <w:rPr>
          <w:rFonts w:hint="default" w:ascii="Times New Roman" w:hAnsi="Times New Roman" w:eastAsia="宋体" w:cs="Times New Roman"/>
          <w:spacing w:val="-3"/>
          <w:sz w:val="24"/>
          <w:szCs w:val="24"/>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spacing w:val="-2"/>
          <w:sz w:val="24"/>
          <w:szCs w:val="24"/>
        </w:rPr>
        <w:t>根据《中华人民共和国环境影响评价法》和《建设项目环境保护管理条例》等有关</w:t>
      </w:r>
      <w:r>
        <w:rPr>
          <w:rFonts w:hint="default" w:ascii="Times New Roman" w:hAnsi="Times New Roman" w:eastAsia="宋体" w:cs="Times New Roman"/>
          <w:spacing w:val="13"/>
          <w:sz w:val="24"/>
          <w:szCs w:val="24"/>
        </w:rPr>
        <w:t xml:space="preserve"> </w:t>
      </w:r>
      <w:r>
        <w:rPr>
          <w:rFonts w:hint="default" w:ascii="Times New Roman" w:hAnsi="Times New Roman" w:eastAsia="宋体" w:cs="Times New Roman"/>
          <w:spacing w:val="-1"/>
          <w:sz w:val="24"/>
          <w:szCs w:val="24"/>
        </w:rPr>
        <w:t>规定，</w:t>
      </w:r>
      <w:r>
        <w:rPr>
          <w:rFonts w:hint="default" w:ascii="Times New Roman" w:hAnsi="Times New Roman" w:eastAsia="宋体" w:cs="Times New Roman"/>
          <w:spacing w:val="-1"/>
          <w:sz w:val="24"/>
          <w:szCs w:val="24"/>
          <w:lang w:eastAsia="zh-CN"/>
        </w:rPr>
        <w:t>哈尔滨华康肉制品加工有限责任公司</w:t>
      </w:r>
      <w:r>
        <w:rPr>
          <w:rFonts w:hint="default" w:ascii="Times New Roman" w:hAnsi="Times New Roman" w:eastAsia="宋体" w:cs="Times New Roman"/>
          <w:spacing w:val="-2"/>
          <w:sz w:val="24"/>
          <w:szCs w:val="24"/>
        </w:rPr>
        <w:t>委托</w:t>
      </w:r>
      <w:r>
        <w:rPr>
          <w:rFonts w:hint="default" w:ascii="Times New Roman" w:hAnsi="Times New Roman" w:eastAsia="宋体" w:cs="Times New Roman"/>
          <w:spacing w:val="-2"/>
          <w:sz w:val="24"/>
          <w:szCs w:val="24"/>
          <w:lang w:val="en-US" w:eastAsia="zh-CN"/>
        </w:rPr>
        <w:t>我单位</w:t>
      </w:r>
      <w:r>
        <w:rPr>
          <w:rFonts w:hint="default" w:ascii="Times New Roman" w:hAnsi="Times New Roman" w:eastAsia="宋体" w:cs="Times New Roman"/>
          <w:spacing w:val="5"/>
          <w:sz w:val="24"/>
          <w:szCs w:val="24"/>
        </w:rPr>
        <w:t>承担</w:t>
      </w:r>
      <w:r>
        <w:rPr>
          <w:rFonts w:hint="default" w:ascii="Times New Roman" w:hAnsi="Times New Roman" w:eastAsia="宋体" w:cs="Times New Roman"/>
          <w:spacing w:val="5"/>
          <w:sz w:val="24"/>
          <w:szCs w:val="24"/>
          <w:lang w:eastAsia="zh-CN"/>
        </w:rPr>
        <w:t>哈尔滨华康肉制品加工有限责任公司年屠宰加工16万头生猪扩建项目</w:t>
      </w:r>
      <w:r>
        <w:rPr>
          <w:rFonts w:hint="default" w:ascii="Times New Roman" w:hAnsi="Times New Roman" w:eastAsia="宋体" w:cs="Times New Roman"/>
          <w:spacing w:val="5"/>
          <w:sz w:val="24"/>
          <w:szCs w:val="24"/>
        </w:rPr>
        <w:t>环境影响评价工作</w:t>
      </w:r>
      <w:r>
        <w:rPr>
          <w:rFonts w:hint="default" w:ascii="Times New Roman" w:hAnsi="Times New Roman" w:eastAsia="宋体" w:cs="Times New Roman"/>
          <w:spacing w:val="4"/>
          <w:sz w:val="24"/>
          <w:szCs w:val="24"/>
        </w:rPr>
        <w:t>。对照</w:t>
      </w:r>
      <w:r>
        <w:rPr>
          <w:rFonts w:hint="default" w:ascii="Times New Roman" w:hAnsi="Times New Roman" w:eastAsia="宋体" w:cs="Times New Roman"/>
          <w:sz w:val="24"/>
          <w:szCs w:val="24"/>
        </w:rPr>
        <w:t>《建设项目环境影响评价分类管理名录》（</w:t>
      </w:r>
      <w:r>
        <w:rPr>
          <w:rFonts w:hint="default" w:ascii="Times New Roman" w:hAnsi="Times New Roman" w:eastAsia="Times New Roman" w:cs="Times New Roman"/>
          <w:sz w:val="24"/>
          <w:szCs w:val="24"/>
        </w:rPr>
        <w:t xml:space="preserve">2021 </w:t>
      </w:r>
      <w:r>
        <w:rPr>
          <w:rFonts w:hint="default" w:ascii="Times New Roman" w:hAnsi="Times New Roman" w:eastAsia="宋体" w:cs="Times New Roman"/>
          <w:sz w:val="24"/>
          <w:szCs w:val="24"/>
        </w:rPr>
        <w:t>年版</w:t>
      </w:r>
      <w:r>
        <w:rPr>
          <w:rFonts w:hint="default" w:ascii="Times New Roman" w:hAnsi="Times New Roman" w:eastAsia="宋体" w:cs="Times New Roman"/>
          <w:spacing w:val="7"/>
          <w:sz w:val="24"/>
          <w:szCs w:val="24"/>
        </w:rPr>
        <w:t>），</w:t>
      </w:r>
      <w:r>
        <w:rPr>
          <w:rFonts w:hint="default" w:ascii="Times New Roman" w:hAnsi="Times New Roman" w:eastAsia="宋体" w:cs="Times New Roman"/>
          <w:sz w:val="24"/>
          <w:szCs w:val="24"/>
        </w:rPr>
        <w:t>本项目属于</w:t>
      </w:r>
      <w:r>
        <w:rPr>
          <w:rFonts w:hint="default" w:ascii="Times New Roman" w:hAnsi="Times New Roman" w:eastAsia="Times New Roman" w:cs="Times New Roman"/>
          <w:sz w:val="24"/>
          <w:szCs w:val="24"/>
        </w:rPr>
        <w:t>“</w:t>
      </w:r>
      <w:r>
        <w:rPr>
          <w:rFonts w:hint="default" w:ascii="Times New Roman" w:hAnsi="Times New Roman" w:eastAsia="宋体" w:cs="Times New Roman"/>
          <w:sz w:val="24"/>
          <w:szCs w:val="24"/>
        </w:rPr>
        <w:t>十、农副食品加</w:t>
      </w:r>
      <w:r>
        <w:rPr>
          <w:rFonts w:hint="default" w:ascii="Times New Roman" w:hAnsi="Times New Roman" w:eastAsia="宋体" w:cs="Times New Roman"/>
          <w:spacing w:val="-5"/>
          <w:sz w:val="24"/>
          <w:szCs w:val="24"/>
        </w:rPr>
        <w:t>工业中</w:t>
      </w:r>
      <w:r>
        <w:rPr>
          <w:rFonts w:hint="default" w:ascii="Times New Roman" w:hAnsi="Times New Roman" w:eastAsia="Times New Roman" w:cs="Times New Roman"/>
          <w:spacing w:val="-5"/>
          <w:sz w:val="24"/>
          <w:szCs w:val="24"/>
        </w:rPr>
        <w:t>18</w:t>
      </w:r>
      <w:r>
        <w:rPr>
          <w:rFonts w:hint="default" w:ascii="Times New Roman" w:hAnsi="Times New Roman" w:eastAsia="Times New Roman" w:cs="Times New Roman"/>
          <w:spacing w:val="-33"/>
          <w:sz w:val="24"/>
          <w:szCs w:val="24"/>
        </w:rPr>
        <w:t xml:space="preserve"> </w:t>
      </w:r>
      <w:r>
        <w:rPr>
          <w:rFonts w:hint="default" w:ascii="Times New Roman" w:hAnsi="Times New Roman" w:eastAsia="宋体" w:cs="Times New Roman"/>
          <w:spacing w:val="-5"/>
          <w:sz w:val="24"/>
          <w:szCs w:val="24"/>
        </w:rPr>
        <w:t>、屠宰及肉类加工</w:t>
      </w:r>
      <w:r>
        <w:rPr>
          <w:rFonts w:hint="default" w:ascii="Times New Roman" w:hAnsi="Times New Roman" w:eastAsia="Times New Roman" w:cs="Times New Roman"/>
          <w:spacing w:val="-5"/>
          <w:sz w:val="24"/>
          <w:szCs w:val="24"/>
        </w:rPr>
        <w:t>-</w:t>
      </w:r>
      <w:r>
        <w:rPr>
          <w:rFonts w:hint="default" w:ascii="Times New Roman" w:hAnsi="Times New Roman" w:eastAsia="宋体" w:cs="Times New Roman"/>
          <w:spacing w:val="-5"/>
          <w:sz w:val="24"/>
          <w:szCs w:val="24"/>
        </w:rPr>
        <w:t>屠宰生猪</w:t>
      </w:r>
      <w:r>
        <w:rPr>
          <w:rFonts w:hint="default" w:ascii="Times New Roman" w:hAnsi="Times New Roman" w:eastAsia="Times New Roman" w:cs="Times New Roman"/>
          <w:spacing w:val="-5"/>
          <w:sz w:val="24"/>
          <w:szCs w:val="24"/>
        </w:rPr>
        <w:t>10</w:t>
      </w:r>
      <w:r>
        <w:rPr>
          <w:rFonts w:hint="default" w:ascii="Times New Roman" w:hAnsi="Times New Roman" w:eastAsia="Times New Roman" w:cs="Times New Roman"/>
          <w:spacing w:val="15"/>
          <w:sz w:val="24"/>
          <w:szCs w:val="24"/>
        </w:rPr>
        <w:t xml:space="preserve"> </w:t>
      </w:r>
      <w:r>
        <w:rPr>
          <w:rFonts w:hint="default" w:ascii="Times New Roman" w:hAnsi="Times New Roman" w:eastAsia="宋体" w:cs="Times New Roman"/>
          <w:spacing w:val="-6"/>
          <w:sz w:val="24"/>
          <w:szCs w:val="24"/>
        </w:rPr>
        <w:t>万头、肉</w:t>
      </w:r>
      <w:r>
        <w:rPr>
          <w:rFonts w:hint="default" w:ascii="Times New Roman" w:hAnsi="Times New Roman" w:eastAsia="宋体" w:cs="Times New Roman"/>
          <w:sz w:val="24"/>
          <w:szCs w:val="24"/>
        </w:rPr>
        <w:t>牛1 万头、肉羊15 万只、禽类1000 万只及以上的” ，需编制环境影响报告书。我单位在接受委托后，通过征求</w:t>
      </w:r>
      <w:r>
        <w:rPr>
          <w:rFonts w:hint="eastAsia" w:ascii="Times New Roman" w:hAnsi="Times New Roman" w:eastAsia="宋体" w:cs="Times New Roman"/>
          <w:sz w:val="24"/>
          <w:szCs w:val="24"/>
          <w:lang w:val="en-US" w:eastAsia="zh-CN"/>
        </w:rPr>
        <w:t>生态环境</w:t>
      </w:r>
      <w:r>
        <w:rPr>
          <w:rFonts w:hint="default" w:ascii="Times New Roman" w:hAnsi="Times New Roman" w:eastAsia="宋体" w:cs="Times New Roman"/>
          <w:sz w:val="24"/>
          <w:szCs w:val="24"/>
        </w:rPr>
        <w:t>主管部门的意见，在收集与本项目相关技术资料、类比调研及现状监测和影响预测的基础上，按照国家环保政策及技术规范，编制了《</w:t>
      </w:r>
      <w:r>
        <w:rPr>
          <w:rFonts w:hint="default" w:ascii="Times New Roman" w:hAnsi="Times New Roman" w:eastAsia="宋体" w:cs="Times New Roman"/>
          <w:sz w:val="24"/>
          <w:szCs w:val="24"/>
          <w:lang w:eastAsia="zh-CN"/>
        </w:rPr>
        <w:t>哈尔滨华康肉制品加工有限责任公司年屠宰加工16万头生猪</w:t>
      </w:r>
      <w:r>
        <w:rPr>
          <w:rFonts w:hint="default" w:ascii="Times New Roman" w:hAnsi="Times New Roman" w:eastAsia="宋体" w:cs="Times New Roman"/>
          <w:sz w:val="24"/>
          <w:szCs w:val="24"/>
        </w:rPr>
        <w:t>扩建项目环境影响报告书》，现</w:t>
      </w:r>
      <w:r>
        <w:rPr>
          <w:rFonts w:hint="default" w:ascii="Times New Roman" w:hAnsi="Times New Roman" w:eastAsia="宋体" w:cs="Times New Roman"/>
          <w:color w:val="auto"/>
          <w:sz w:val="24"/>
        </w:rPr>
        <w:t>报请</w:t>
      </w:r>
      <w:r>
        <w:rPr>
          <w:rFonts w:hint="eastAsia" w:ascii="Times New Roman" w:hAnsi="Times New Roman" w:eastAsia="宋体" w:cs="Times New Roman"/>
          <w:color w:val="auto"/>
          <w:sz w:val="24"/>
          <w:lang w:val="en-US" w:eastAsia="zh-CN"/>
        </w:rPr>
        <w:t>生态环境</w:t>
      </w:r>
      <w:r>
        <w:rPr>
          <w:rFonts w:hint="default" w:ascii="Times New Roman" w:hAnsi="Times New Roman" w:eastAsia="宋体" w:cs="Times New Roman"/>
          <w:color w:val="auto"/>
          <w:sz w:val="24"/>
        </w:rPr>
        <w:t>行政主管部门审查。</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p>
    <w:p>
      <w:pPr>
        <w:widowControl w:val="0"/>
        <w:kinsoku/>
        <w:autoSpaceDE/>
        <w:autoSpaceDN/>
        <w:adjustRightInd/>
        <w:snapToGrid/>
        <w:spacing w:line="360" w:lineRule="auto"/>
        <w:contextualSpacing/>
        <w:jc w:val="left"/>
        <w:textAlignment w:val="auto"/>
        <w:outlineLvl w:val="1"/>
        <w:rPr>
          <w:rFonts w:hint="default" w:ascii="Times New Roman" w:hAnsi="Times New Roman" w:eastAsia="宋体" w:cs="Times New Roman"/>
          <w:b/>
          <w:bCs/>
          <w:snapToGrid/>
          <w:color w:val="auto"/>
          <w:kern w:val="44"/>
          <w:sz w:val="30"/>
          <w:szCs w:val="30"/>
          <w:lang w:val="en-US" w:eastAsia="zh-CN"/>
        </w:rPr>
      </w:pPr>
      <w:bookmarkStart w:id="7" w:name="_Toc8477"/>
      <w:r>
        <w:rPr>
          <w:rFonts w:hint="default" w:ascii="Times New Roman" w:hAnsi="Times New Roman" w:eastAsia="宋体" w:cs="Times New Roman"/>
          <w:b/>
          <w:bCs/>
          <w:snapToGrid/>
          <w:color w:val="auto"/>
          <w:kern w:val="44"/>
          <w:sz w:val="30"/>
          <w:szCs w:val="30"/>
          <w:lang w:val="en-US" w:eastAsia="zh-CN"/>
        </w:rPr>
        <w:t>1.2  项目特点</w:t>
      </w:r>
      <w:bookmarkEnd w:id="7"/>
    </w:p>
    <w:p>
      <w:pPr>
        <w:pStyle w:val="11"/>
        <w:keepNext/>
        <w:keepLines/>
        <w:pageBreakBefore w:val="0"/>
        <w:widowControl w:val="0"/>
        <w:numPr>
          <w:ilvl w:val="0"/>
          <w:numId w:val="0"/>
        </w:numPr>
        <w:kinsoku/>
        <w:wordWrap/>
        <w:overflowPunct/>
        <w:topLinePunct w:val="0"/>
        <w:autoSpaceDE/>
        <w:autoSpaceDN/>
        <w:bidi w:val="0"/>
        <w:adjustRightInd/>
        <w:snapToGrid/>
        <w:spacing w:before="0" w:after="0" w:line="360" w:lineRule="auto"/>
        <w:ind w:leftChars="0"/>
        <w:textAlignment w:val="auto"/>
        <w:rPr>
          <w:rFonts w:hint="default" w:ascii="Times New Roman" w:hAnsi="Times New Roman" w:cs="Times New Roman"/>
          <w:color w:val="auto"/>
          <w:sz w:val="28"/>
          <w:szCs w:val="28"/>
          <w:lang w:val="en-US" w:eastAsia="zh-CN"/>
        </w:rPr>
      </w:pPr>
      <w:bookmarkStart w:id="8" w:name="_Toc23646"/>
      <w:r>
        <w:rPr>
          <w:rFonts w:hint="default" w:ascii="Times New Roman" w:hAnsi="Times New Roman" w:cs="Times New Roman"/>
          <w:color w:val="auto"/>
          <w:sz w:val="28"/>
          <w:szCs w:val="28"/>
          <w:lang w:val="en-US" w:eastAsia="zh-CN"/>
        </w:rPr>
        <w:t>1.2.1 项目概况</w:t>
      </w:r>
      <w:bookmarkEnd w:id="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根据现场踏勘，</w:t>
      </w:r>
      <w:r>
        <w:rPr>
          <w:rFonts w:hint="default" w:ascii="Times New Roman" w:hAnsi="Times New Roman" w:eastAsia="宋体" w:cs="Times New Roman"/>
          <w:spacing w:val="-1"/>
          <w:sz w:val="24"/>
          <w:szCs w:val="24"/>
          <w:lang w:val="en-US" w:eastAsia="zh-CN"/>
        </w:rPr>
        <w:t>本项目利用现有待宰圈、屠宰加工车间，办公室、宿舍、冷库、仓库、固废暂存间以及锅炉房进行年屠宰</w:t>
      </w:r>
      <w:r>
        <w:rPr>
          <w:rFonts w:hint="default" w:ascii="Times New Roman" w:hAnsi="Times New Roman" w:eastAsia="宋体" w:cs="Times New Roman"/>
          <w:sz w:val="24"/>
          <w:szCs w:val="24"/>
          <w:lang w:eastAsia="zh-CN"/>
        </w:rPr>
        <w:t>加工16万头生猪</w:t>
      </w:r>
      <w:r>
        <w:rPr>
          <w:rFonts w:hint="default" w:ascii="Times New Roman" w:hAnsi="Times New Roman" w:eastAsia="宋体" w:cs="Times New Roman"/>
          <w:sz w:val="24"/>
          <w:szCs w:val="24"/>
        </w:rPr>
        <w:t>扩建项目</w:t>
      </w:r>
      <w:r>
        <w:rPr>
          <w:rFonts w:hint="default" w:ascii="Times New Roman" w:hAnsi="Times New Roman" w:eastAsia="宋体" w:cs="Times New Roman"/>
          <w:spacing w:val="-1"/>
          <w:sz w:val="24"/>
          <w:szCs w:val="24"/>
          <w:lang w:val="en-US" w:eastAsia="zh-CN"/>
        </w:rPr>
        <w:t>，本次项目主要对屠宰加工车间部分生产线进行升级改造</w:t>
      </w:r>
      <w:r>
        <w:rPr>
          <w:rFonts w:hint="default" w:ascii="Times New Roman" w:hAnsi="Times New Roman" w:eastAsia="宋体" w:cs="Times New Roman"/>
          <w:spacing w:val="-1"/>
          <w:sz w:val="24"/>
          <w:szCs w:val="24"/>
        </w:rPr>
        <w:t>，</w:t>
      </w:r>
      <w:r>
        <w:rPr>
          <w:rFonts w:hint="default" w:ascii="Times New Roman" w:hAnsi="Times New Roman" w:eastAsia="宋体" w:cs="Times New Roman"/>
          <w:spacing w:val="-1"/>
          <w:sz w:val="24"/>
          <w:szCs w:val="24"/>
          <w:lang w:val="en-US" w:eastAsia="zh-CN"/>
        </w:rPr>
        <w:t>以及对待宰圈、</w:t>
      </w:r>
      <w:r>
        <w:rPr>
          <w:rFonts w:hint="default" w:ascii="Times New Roman" w:hAnsi="Times New Roman" w:eastAsia="宋体" w:cs="Times New Roman"/>
          <w:spacing w:val="-1"/>
          <w:sz w:val="24"/>
          <w:szCs w:val="24"/>
          <w:highlight w:val="none"/>
          <w:lang w:val="en-US" w:eastAsia="zh-CN"/>
        </w:rPr>
        <w:t>屠宰加工车间</w:t>
      </w:r>
      <w:r>
        <w:rPr>
          <w:rFonts w:hint="eastAsia" w:ascii="Times New Roman" w:hAnsi="Times New Roman" w:eastAsia="宋体" w:cs="Times New Roman"/>
          <w:spacing w:val="-1"/>
          <w:sz w:val="24"/>
          <w:szCs w:val="24"/>
          <w:highlight w:val="none"/>
          <w:lang w:val="en-US" w:eastAsia="zh-CN"/>
        </w:rPr>
        <w:t>、</w:t>
      </w:r>
      <w:r>
        <w:rPr>
          <w:rFonts w:hint="default" w:ascii="Times New Roman" w:hAnsi="Times New Roman" w:eastAsia="宋体" w:cs="Times New Roman"/>
          <w:spacing w:val="-1"/>
          <w:sz w:val="24"/>
          <w:szCs w:val="24"/>
          <w:highlight w:val="none"/>
          <w:lang w:val="en-US" w:eastAsia="zh-CN"/>
        </w:rPr>
        <w:t>污水处理站</w:t>
      </w:r>
      <w:r>
        <w:rPr>
          <w:rFonts w:hint="eastAsia" w:ascii="Times New Roman" w:hAnsi="Times New Roman" w:eastAsia="宋体" w:cs="Times New Roman"/>
          <w:spacing w:val="-1"/>
          <w:sz w:val="24"/>
          <w:szCs w:val="24"/>
          <w:highlight w:val="none"/>
          <w:lang w:val="en-US" w:eastAsia="zh-CN"/>
        </w:rPr>
        <w:t>排气筒</w:t>
      </w:r>
      <w:r>
        <w:rPr>
          <w:rFonts w:hint="default" w:ascii="Times New Roman" w:hAnsi="Times New Roman" w:eastAsia="宋体" w:cs="Times New Roman"/>
          <w:spacing w:val="-1"/>
          <w:sz w:val="24"/>
          <w:szCs w:val="24"/>
          <w:highlight w:val="none"/>
          <w:lang w:val="en-US" w:eastAsia="zh-CN"/>
        </w:rPr>
        <w:t>、</w:t>
      </w:r>
      <w:r>
        <w:rPr>
          <w:rFonts w:hint="default" w:ascii="Times New Roman" w:hAnsi="Times New Roman" w:eastAsia="宋体" w:cs="Times New Roman"/>
          <w:spacing w:val="-1"/>
          <w:sz w:val="24"/>
          <w:szCs w:val="24"/>
          <w:lang w:val="en-US" w:eastAsia="zh-CN"/>
        </w:rPr>
        <w:t>柴油储罐等环保工程的整改，项目新建一座140m</w:t>
      </w:r>
      <w:r>
        <w:rPr>
          <w:rFonts w:hint="default" w:ascii="Times New Roman" w:hAnsi="Times New Roman" w:eastAsia="宋体" w:cs="Times New Roman"/>
          <w:spacing w:val="-1"/>
          <w:sz w:val="24"/>
          <w:szCs w:val="24"/>
          <w:vertAlign w:val="superscript"/>
          <w:lang w:val="en-US" w:eastAsia="zh-CN"/>
        </w:rPr>
        <w:t>3</w:t>
      </w:r>
      <w:r>
        <w:rPr>
          <w:rFonts w:hint="default" w:ascii="Times New Roman" w:hAnsi="Times New Roman" w:eastAsia="宋体" w:cs="Times New Roman"/>
          <w:spacing w:val="-1"/>
          <w:sz w:val="24"/>
          <w:szCs w:val="24"/>
          <w:lang w:val="en-US" w:eastAsia="zh-CN"/>
        </w:rPr>
        <w:t>的事故池，改扩建后可达到年屠宰加工</w:t>
      </w:r>
      <w:r>
        <w:rPr>
          <w:rFonts w:hint="default" w:ascii="Times New Roman" w:hAnsi="Times New Roman" w:eastAsia="宋体" w:cs="Times New Roman"/>
          <w:sz w:val="24"/>
          <w:szCs w:val="24"/>
          <w:lang w:eastAsia="zh-CN"/>
        </w:rPr>
        <w:t>16万头生猪</w:t>
      </w:r>
      <w:r>
        <w:rPr>
          <w:rFonts w:hint="default" w:ascii="Times New Roman" w:hAnsi="Times New Roman" w:eastAsia="宋体" w:cs="Times New Roman"/>
          <w:sz w:val="24"/>
          <w:szCs w:val="24"/>
          <w:lang w:val="en-US" w:eastAsia="zh-CN"/>
        </w:rPr>
        <w:t>的规模</w:t>
      </w:r>
      <w:r>
        <w:rPr>
          <w:rFonts w:hint="default" w:ascii="Times New Roman" w:hAnsi="Times New Roman" w:eastAsia="宋体" w:cs="Times New Roman"/>
          <w:color w:val="auto"/>
          <w:sz w:val="24"/>
          <w:lang w:val="en-US" w:eastAsia="zh-CN"/>
        </w:rPr>
        <w:t>。</w:t>
      </w:r>
    </w:p>
    <w:p>
      <w:pPr>
        <w:pStyle w:val="11"/>
        <w:keepNext/>
        <w:keepLines/>
        <w:pageBreakBefore w:val="0"/>
        <w:widowControl w:val="0"/>
        <w:numPr>
          <w:ilvl w:val="2"/>
          <w:numId w:val="0"/>
        </w:numPr>
        <w:kinsoku/>
        <w:wordWrap/>
        <w:overflowPunct/>
        <w:topLinePunct w:val="0"/>
        <w:autoSpaceDE/>
        <w:autoSpaceDN/>
        <w:bidi w:val="0"/>
        <w:adjustRightInd/>
        <w:snapToGrid/>
        <w:spacing w:before="0" w:after="0" w:line="360" w:lineRule="auto"/>
        <w:ind w:leftChars="0"/>
        <w:textAlignment w:val="auto"/>
        <w:rPr>
          <w:rFonts w:hint="default" w:ascii="Times New Roman" w:hAnsi="Times New Roman" w:cs="Times New Roman"/>
          <w:b/>
          <w:bCs/>
          <w:color w:val="auto"/>
          <w:sz w:val="28"/>
          <w:szCs w:val="28"/>
          <w:lang w:val="en-US" w:eastAsia="zh-CN"/>
        </w:rPr>
      </w:pPr>
      <w:bookmarkStart w:id="9" w:name="_Toc28526"/>
      <w:r>
        <w:rPr>
          <w:rFonts w:hint="default" w:ascii="Times New Roman" w:hAnsi="Times New Roman" w:cs="Times New Roman"/>
          <w:b/>
          <w:bCs/>
          <w:color w:val="auto"/>
          <w:sz w:val="28"/>
          <w:szCs w:val="28"/>
          <w:lang w:val="en-US" w:eastAsia="zh-CN"/>
        </w:rPr>
        <w:t>1.2.2 生产工艺</w:t>
      </w:r>
      <w:bookmarkEnd w:id="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highlight w:val="none"/>
          <w:u w:val="none"/>
          <w:lang w:val="en-US" w:eastAsia="zh-CN"/>
        </w:rPr>
      </w:pPr>
      <w:r>
        <w:rPr>
          <w:rFonts w:hint="default" w:ascii="Times New Roman" w:hAnsi="Times New Roman" w:cs="Times New Roman"/>
          <w:color w:val="auto"/>
          <w:sz w:val="24"/>
          <w:szCs w:val="24"/>
          <w:highlight w:val="none"/>
          <w:u w:val="none"/>
          <w:lang w:val="en-US" w:eastAsia="zh-CN"/>
        </w:rPr>
        <w:t>生猪屠宰是指生产经营的杀猪行为或活动，该类项目对环境的影响主要是废水及废气，屠宰废水来自于圈栏冲洗、淋洗、屠宰及其它厂房地坪冲洗、烫毛、剖解等，具有水量大、排水不均匀、浓度高、杂质和悬浮物多、可生化性好等特点。废气主要是待宰圈、屠宰车间等产生的屠宰废气，主要以硫化氢、氨、臭气浓度为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szCs w:val="24"/>
          <w:lang w:val="en-US" w:eastAsia="zh-CN"/>
        </w:rPr>
        <w:t>本项目采用全套机械杀猪、分割生产线，整个过程分为宰前处理、屠宰、排酸、分割、包装储藏5个工段。从宰杀放血到胴体加工完成的时间及放血开始到取出内脏的时间均应符合现行国家标准《畜禽屠宰操作规程 生猪》(GB/T 17236-2019)的规定</w:t>
      </w:r>
      <w:r>
        <w:rPr>
          <w:rFonts w:hint="default" w:ascii="Times New Roman" w:hAnsi="Times New Roman" w:eastAsia="宋体" w:cs="Times New Roman"/>
          <w:color w:val="auto"/>
          <w:sz w:val="24"/>
          <w:lang w:val="en-US" w:eastAsia="zh-CN"/>
        </w:rPr>
        <w:t>。</w:t>
      </w:r>
    </w:p>
    <w:p>
      <w:pPr>
        <w:pStyle w:val="11"/>
        <w:numPr>
          <w:ilvl w:val="2"/>
          <w:numId w:val="0"/>
        </w:numPr>
        <w:spacing w:before="0" w:after="0" w:line="360" w:lineRule="auto"/>
        <w:rPr>
          <w:rFonts w:hint="eastAsia" w:ascii="Times New Roman" w:hAnsi="Times New Roman" w:eastAsia="宋体" w:cs="Times New Roman"/>
          <w:b/>
          <w:color w:val="auto"/>
          <w:sz w:val="28"/>
          <w:szCs w:val="28"/>
          <w:lang w:eastAsia="zh-CN"/>
        </w:rPr>
      </w:pPr>
      <w:r>
        <w:rPr>
          <w:rFonts w:hint="default" w:ascii="Times New Roman" w:hAnsi="Times New Roman" w:cs="Times New Roman"/>
          <w:b/>
          <w:color w:val="auto"/>
          <w:sz w:val="28"/>
          <w:szCs w:val="28"/>
        </w:rPr>
        <w:t>1.2.3本项目排污特点</w:t>
      </w:r>
    </w:p>
    <w:p>
      <w:pPr>
        <w:widowControl w:val="0"/>
        <w:kinsoku/>
        <w:autoSpaceDE/>
        <w:autoSpaceDN/>
        <w:adjustRightInd/>
        <w:snapToGrid/>
        <w:spacing w:line="360" w:lineRule="auto"/>
        <w:jc w:val="both"/>
        <w:textAlignment w:val="auto"/>
        <w:rPr>
          <w:rFonts w:hint="default" w:ascii="Times New Roman" w:hAnsi="Times New Roman" w:eastAsia="宋体" w:cs="Times New Roman"/>
          <w:b/>
          <w:snapToGrid w:val="0"/>
          <w:color w:val="auto"/>
          <w:kern w:val="0"/>
          <w:sz w:val="24"/>
          <w:szCs w:val="24"/>
          <w:lang w:eastAsia="zh-CN"/>
        </w:rPr>
      </w:pPr>
      <w:r>
        <w:rPr>
          <w:rFonts w:hint="default" w:ascii="Times New Roman" w:hAnsi="Times New Roman" w:eastAsia="宋体" w:cs="Times New Roman"/>
          <w:b/>
          <w:snapToGrid w:val="0"/>
          <w:color w:val="auto"/>
          <w:kern w:val="0"/>
          <w:sz w:val="24"/>
          <w:szCs w:val="24"/>
          <w:lang w:eastAsia="zh-CN"/>
        </w:rPr>
        <w:t>1.2.3.1废气</w:t>
      </w:r>
    </w:p>
    <w:p>
      <w:pPr>
        <w:spacing w:line="360" w:lineRule="auto"/>
        <w:ind w:firstLine="480" w:firstLineChars="200"/>
        <w:jc w:val="both"/>
        <w:rPr>
          <w:rFonts w:hint="default" w:ascii="Times New Roman" w:hAnsi="Times New Roman" w:cs="Times New Roman"/>
          <w:bCs/>
          <w:color w:val="FF0000"/>
          <w:sz w:val="24"/>
        </w:rPr>
      </w:pPr>
      <w:r>
        <w:rPr>
          <w:rFonts w:hint="default" w:ascii="Times New Roman" w:hAnsi="Times New Roman" w:cs="Times New Roman"/>
          <w:snapToGrid w:val="0"/>
          <w:color w:val="auto"/>
          <w:kern w:val="0"/>
          <w:sz w:val="24"/>
        </w:rPr>
        <w:t>本项目运营期产生的废气主要为</w:t>
      </w:r>
      <w:r>
        <w:rPr>
          <w:rFonts w:hint="default" w:ascii="Times New Roman" w:hAnsi="Times New Roman" w:cs="Times New Roman"/>
          <w:bCs/>
          <w:color w:val="auto"/>
          <w:sz w:val="24"/>
        </w:rPr>
        <w:t>待宰</w:t>
      </w:r>
      <w:r>
        <w:rPr>
          <w:rFonts w:hint="default" w:ascii="Times New Roman" w:hAnsi="Times New Roman" w:eastAsia="宋体" w:cs="Times New Roman"/>
          <w:bCs/>
          <w:color w:val="auto"/>
          <w:sz w:val="24"/>
          <w:lang w:val="en-US" w:eastAsia="zh-CN"/>
        </w:rPr>
        <w:t>圈</w:t>
      </w:r>
      <w:r>
        <w:rPr>
          <w:rFonts w:hint="default" w:ascii="Times New Roman" w:hAnsi="Times New Roman" w:cs="Times New Roman"/>
          <w:bCs/>
          <w:color w:val="auto"/>
          <w:sz w:val="24"/>
        </w:rPr>
        <w:t>、屠宰</w:t>
      </w:r>
      <w:r>
        <w:rPr>
          <w:rFonts w:hint="default" w:ascii="Times New Roman" w:hAnsi="Times New Roman" w:eastAsia="宋体" w:cs="Times New Roman"/>
          <w:bCs/>
          <w:color w:val="auto"/>
          <w:sz w:val="24"/>
          <w:lang w:val="en-US" w:eastAsia="zh-CN"/>
        </w:rPr>
        <w:t>加工</w:t>
      </w:r>
      <w:r>
        <w:rPr>
          <w:rFonts w:hint="default" w:ascii="Times New Roman" w:hAnsi="Times New Roman" w:cs="Times New Roman"/>
          <w:bCs/>
          <w:color w:val="auto"/>
          <w:sz w:val="24"/>
        </w:rPr>
        <w:t>车间、污水处理站等产生的恶臭气体（氨、硫化氢、臭气浓度）、</w:t>
      </w:r>
      <w:r>
        <w:rPr>
          <w:rFonts w:hint="default" w:ascii="Times New Roman" w:hAnsi="Times New Roman" w:eastAsia="宋体" w:cs="Times New Roman"/>
          <w:color w:val="auto"/>
          <w:sz w:val="24"/>
          <w:szCs w:val="24"/>
          <w:lang w:val="en-US" w:eastAsia="zh-CN"/>
        </w:rPr>
        <w:t>锅炉烟气（颗粒物、二氧化硫、氮氧化物）</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柴油储罐（非甲烷总烃）</w:t>
      </w:r>
      <w:r>
        <w:rPr>
          <w:rFonts w:hint="default" w:ascii="Times New Roman" w:hAnsi="Times New Roman" w:cs="Times New Roman"/>
          <w:bCs/>
          <w:color w:val="auto"/>
          <w:sz w:val="24"/>
        </w:rPr>
        <w:t>。</w:t>
      </w:r>
    </w:p>
    <w:p>
      <w:pPr>
        <w:spacing w:line="360" w:lineRule="auto"/>
        <w:ind w:firstLine="480" w:firstLineChars="200"/>
        <w:jc w:val="both"/>
        <w:rPr>
          <w:rFonts w:hint="default" w:ascii="Times New Roman" w:hAnsi="Times New Roman" w:cs="Times New Roman"/>
          <w:bCs/>
          <w:color w:val="auto"/>
          <w:sz w:val="24"/>
        </w:rPr>
      </w:pPr>
      <w:r>
        <w:rPr>
          <w:rFonts w:hint="default" w:ascii="Times New Roman" w:hAnsi="Times New Roman" w:cs="Times New Roman"/>
          <w:bCs/>
          <w:color w:val="auto"/>
          <w:sz w:val="24"/>
        </w:rPr>
        <w:t>（1）待宰</w:t>
      </w:r>
      <w:r>
        <w:rPr>
          <w:rFonts w:hint="default" w:ascii="Times New Roman" w:hAnsi="Times New Roman" w:eastAsia="宋体" w:cs="Times New Roman"/>
          <w:bCs/>
          <w:color w:val="auto"/>
          <w:sz w:val="24"/>
          <w:lang w:val="en-US" w:eastAsia="zh-CN"/>
        </w:rPr>
        <w:t>圈</w:t>
      </w:r>
      <w:r>
        <w:rPr>
          <w:rFonts w:hint="default" w:ascii="Times New Roman" w:hAnsi="Times New Roman" w:cs="Times New Roman"/>
          <w:bCs/>
          <w:color w:val="auto"/>
          <w:sz w:val="24"/>
        </w:rPr>
        <w:t>的恶臭主要来自</w:t>
      </w:r>
      <w:r>
        <w:rPr>
          <w:rFonts w:hint="default" w:ascii="Times New Roman" w:hAnsi="Times New Roman" w:eastAsia="宋体" w:cs="Times New Roman"/>
          <w:bCs/>
          <w:color w:val="auto"/>
          <w:sz w:val="24"/>
          <w:lang w:val="en-US" w:eastAsia="zh-CN"/>
        </w:rPr>
        <w:t>猪粪便、尿液</w:t>
      </w:r>
      <w:r>
        <w:rPr>
          <w:rFonts w:hint="default" w:ascii="Times New Roman" w:hAnsi="Times New Roman" w:cs="Times New Roman"/>
          <w:bCs/>
          <w:color w:val="auto"/>
          <w:sz w:val="24"/>
        </w:rPr>
        <w:t>，这些粪便会产生氨、H</w:t>
      </w:r>
      <w:r>
        <w:rPr>
          <w:rFonts w:hint="default" w:ascii="Times New Roman" w:hAnsi="Times New Roman" w:cs="Times New Roman"/>
          <w:bCs/>
          <w:color w:val="auto"/>
          <w:sz w:val="24"/>
          <w:vertAlign w:val="subscript"/>
        </w:rPr>
        <w:t>2</w:t>
      </w:r>
      <w:r>
        <w:rPr>
          <w:rFonts w:hint="default" w:ascii="Times New Roman" w:hAnsi="Times New Roman" w:cs="Times New Roman"/>
          <w:bCs/>
          <w:color w:val="auto"/>
          <w:sz w:val="24"/>
        </w:rPr>
        <w:t>S、臭气浓度等恶臭气体。</w:t>
      </w:r>
    </w:p>
    <w:p>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cs="Times New Roman"/>
          <w:bCs/>
          <w:color w:val="auto"/>
          <w:sz w:val="24"/>
        </w:rPr>
        <w:t>（2）</w:t>
      </w:r>
      <w:r>
        <w:rPr>
          <w:rFonts w:hint="default" w:ascii="Times New Roman" w:hAnsi="Times New Roman" w:eastAsia="宋体" w:cs="Times New Roman"/>
          <w:color w:val="auto"/>
          <w:sz w:val="24"/>
          <w:szCs w:val="24"/>
          <w:lang w:val="en-US" w:eastAsia="zh-CN"/>
        </w:rPr>
        <w:t>屠宰车间内许多作业都要是用热水，空气湿度很高，工作场所大，空气流动量相当大，各种牲畜的湿皮、血、胃内容物的臭气混杂在一起，产生刺鼻的腥臭味，如果有血、骨或脂肪残留而不及时处理，便会迅速腐烂，产生氨、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S、臭气浓度等恶臭气体。</w:t>
      </w:r>
    </w:p>
    <w:p>
      <w:pPr>
        <w:spacing w:line="360" w:lineRule="auto"/>
        <w:ind w:firstLine="480" w:firstLineChars="200"/>
        <w:jc w:val="both"/>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rPr>
        <w:t>（3）本项目污水处理站恶臭气体主要来自</w:t>
      </w:r>
      <w:r>
        <w:rPr>
          <w:rFonts w:hint="default" w:ascii="Times New Roman" w:hAnsi="Times New Roman" w:eastAsia="宋体" w:cs="Times New Roman"/>
          <w:snapToGrid w:val="0"/>
          <w:color w:val="auto"/>
          <w:kern w:val="0"/>
          <w:sz w:val="24"/>
          <w:lang w:val="en-US" w:eastAsia="zh-CN"/>
        </w:rPr>
        <w:t>各池体</w:t>
      </w:r>
      <w:r>
        <w:rPr>
          <w:rFonts w:hint="default" w:ascii="Times New Roman" w:hAnsi="Times New Roman" w:cs="Times New Roman"/>
          <w:snapToGrid w:val="0"/>
          <w:color w:val="auto"/>
          <w:kern w:val="0"/>
          <w:sz w:val="24"/>
        </w:rPr>
        <w:t>产生氨、H</w:t>
      </w:r>
      <w:r>
        <w:rPr>
          <w:rFonts w:hint="default" w:ascii="Times New Roman" w:hAnsi="Times New Roman" w:cs="Times New Roman"/>
          <w:snapToGrid w:val="0"/>
          <w:color w:val="auto"/>
          <w:kern w:val="0"/>
          <w:sz w:val="24"/>
          <w:vertAlign w:val="subscript"/>
        </w:rPr>
        <w:t>2</w:t>
      </w:r>
      <w:r>
        <w:rPr>
          <w:rFonts w:hint="default" w:ascii="Times New Roman" w:hAnsi="Times New Roman" w:cs="Times New Roman"/>
          <w:snapToGrid w:val="0"/>
          <w:color w:val="auto"/>
          <w:kern w:val="0"/>
          <w:sz w:val="24"/>
        </w:rPr>
        <w:t>S、臭气浓度等具有臭味的气体。</w:t>
      </w:r>
    </w:p>
    <w:p>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cs="Times New Roman"/>
          <w:snapToGrid w:val="0"/>
          <w:color w:val="auto"/>
          <w:kern w:val="0"/>
          <w:sz w:val="24"/>
          <w:lang w:eastAsia="zh-CN"/>
        </w:rPr>
        <w:t>（</w:t>
      </w:r>
      <w:r>
        <w:rPr>
          <w:rFonts w:hint="default" w:ascii="Times New Roman" w:hAnsi="Times New Roman" w:cs="Times New Roman"/>
          <w:snapToGrid w:val="0"/>
          <w:color w:val="auto"/>
          <w:kern w:val="0"/>
          <w:sz w:val="24"/>
          <w:lang w:val="en-US" w:eastAsia="zh-CN"/>
        </w:rPr>
        <w:t>4</w:t>
      </w:r>
      <w:r>
        <w:rPr>
          <w:rFonts w:hint="default" w:ascii="Times New Roman" w:hAnsi="Times New Roman" w:cs="Times New Roman"/>
          <w:snapToGrid w:val="0"/>
          <w:color w:val="auto"/>
          <w:kern w:val="0"/>
          <w:sz w:val="24"/>
          <w:lang w:eastAsia="zh-CN"/>
        </w:rPr>
        <w:t>）</w:t>
      </w:r>
      <w:r>
        <w:rPr>
          <w:rFonts w:hint="default" w:ascii="Times New Roman" w:hAnsi="Times New Roman" w:eastAsia="宋体" w:cs="Times New Roman"/>
          <w:color w:val="auto"/>
          <w:sz w:val="24"/>
          <w:szCs w:val="24"/>
          <w:lang w:val="en-US" w:eastAsia="zh-CN"/>
        </w:rPr>
        <w:t>固废暂存设施的恶臭气体主要来源于异味较大的白下水、猪粪的贮存，存储过程中会产生氨、硫化氢、臭气浓度等恶臭气体。</w:t>
      </w:r>
    </w:p>
    <w:p>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cs="Times New Roman"/>
          <w:snapToGrid w:val="0"/>
          <w:color w:val="auto"/>
          <w:kern w:val="0"/>
          <w:sz w:val="24"/>
          <w:lang w:eastAsia="zh-CN"/>
        </w:rPr>
        <w:t>（</w:t>
      </w:r>
      <w:r>
        <w:rPr>
          <w:rFonts w:hint="default" w:ascii="Times New Roman" w:hAnsi="Times New Roman" w:cs="Times New Roman"/>
          <w:snapToGrid w:val="0"/>
          <w:color w:val="auto"/>
          <w:kern w:val="0"/>
          <w:sz w:val="24"/>
          <w:lang w:val="en-US" w:eastAsia="zh-CN"/>
        </w:rPr>
        <w:t>5</w:t>
      </w:r>
      <w:r>
        <w:rPr>
          <w:rFonts w:hint="default" w:ascii="Times New Roman" w:hAnsi="Times New Roman" w:cs="Times New Roman"/>
          <w:snapToGrid w:val="0"/>
          <w:color w:val="auto"/>
          <w:kern w:val="0"/>
          <w:sz w:val="24"/>
          <w:lang w:eastAsia="zh-CN"/>
        </w:rPr>
        <w:t>）</w:t>
      </w:r>
      <w:r>
        <w:rPr>
          <w:rFonts w:hint="default" w:ascii="Times New Roman" w:hAnsi="Times New Roman" w:eastAsia="宋体" w:cs="Times New Roman"/>
          <w:color w:val="auto"/>
          <w:sz w:val="24"/>
          <w:szCs w:val="24"/>
          <w:lang w:val="en-US" w:eastAsia="zh-CN"/>
        </w:rPr>
        <w:t>柴油储罐储存和卸油时会产生非甲烷总烃。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lang w:val="en-US" w:eastAsia="zh-CN"/>
        </w:rPr>
      </w:pPr>
      <w:r>
        <w:rPr>
          <w:rFonts w:hint="default" w:ascii="Times New Roman" w:hAnsi="Times New Roman" w:eastAsia="宋体" w:cs="Times New Roman"/>
          <w:color w:val="auto"/>
          <w:sz w:val="24"/>
          <w:szCs w:val="24"/>
          <w:lang w:val="en-US" w:eastAsia="zh-CN"/>
        </w:rPr>
        <w:t>（6）本项目生产用热源由一台1t/h的燃油</w:t>
      </w:r>
      <w:r>
        <w:rPr>
          <w:rFonts w:hint="eastAsia" w:ascii="Times New Roman" w:hAnsi="Times New Roman" w:eastAsia="宋体" w:cs="Times New Roman"/>
          <w:color w:val="auto"/>
          <w:sz w:val="24"/>
          <w:szCs w:val="24"/>
          <w:lang w:val="en-US" w:eastAsia="zh-CN"/>
        </w:rPr>
        <w:t>蒸汽</w:t>
      </w:r>
      <w:r>
        <w:rPr>
          <w:rFonts w:hint="default" w:ascii="Times New Roman" w:hAnsi="Times New Roman" w:eastAsia="宋体" w:cs="Times New Roman"/>
          <w:color w:val="auto"/>
          <w:sz w:val="24"/>
          <w:szCs w:val="24"/>
          <w:lang w:val="en-US" w:eastAsia="zh-CN"/>
        </w:rPr>
        <w:t>锅炉提供，燃料为轻质柴油，产生的烟气经</w:t>
      </w:r>
      <w:r>
        <w:rPr>
          <w:rFonts w:hint="eastAsia" w:ascii="Times New Roman" w:hAnsi="Times New Roman" w:eastAsia="宋体" w:cs="Times New Roman"/>
          <w:color w:val="auto"/>
          <w:sz w:val="24"/>
          <w:szCs w:val="24"/>
          <w:lang w:val="en-US" w:eastAsia="zh-CN"/>
        </w:rPr>
        <w:t>12m高烟囱</w:t>
      </w:r>
      <w:r>
        <w:rPr>
          <w:rFonts w:hint="default" w:ascii="Times New Roman" w:hAnsi="Times New Roman" w:eastAsia="宋体" w:cs="Times New Roman"/>
          <w:color w:val="auto"/>
          <w:sz w:val="24"/>
          <w:szCs w:val="24"/>
          <w:lang w:val="en-US" w:eastAsia="zh-CN"/>
        </w:rPr>
        <w:t>排放，排放的污染物为颗粒物、SO</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、NO</w:t>
      </w:r>
      <w:r>
        <w:rPr>
          <w:rFonts w:hint="default" w:ascii="Times New Roman" w:hAnsi="Times New Roman" w:eastAsia="宋体" w:cs="Times New Roman"/>
          <w:color w:val="auto"/>
          <w:sz w:val="24"/>
          <w:szCs w:val="24"/>
          <w:vertAlign w:val="subscript"/>
          <w:lang w:val="en-US" w:eastAsia="zh-CN"/>
        </w:rPr>
        <w:t>X</w:t>
      </w:r>
      <w:r>
        <w:rPr>
          <w:rFonts w:hint="default" w:ascii="Times New Roman" w:hAnsi="Times New Roman" w:eastAsia="宋体" w:cs="Times New Roman"/>
          <w:color w:val="auto"/>
          <w:sz w:val="24"/>
          <w:szCs w:val="24"/>
          <w:lang w:val="en-US" w:eastAsia="zh-CN"/>
        </w:rPr>
        <w:t>。</w:t>
      </w:r>
    </w:p>
    <w:p>
      <w:pPr>
        <w:widowControl w:val="0"/>
        <w:kinsoku/>
        <w:autoSpaceDE/>
        <w:autoSpaceDN/>
        <w:adjustRightInd/>
        <w:snapToGrid/>
        <w:spacing w:line="360" w:lineRule="auto"/>
        <w:jc w:val="both"/>
        <w:textAlignment w:val="auto"/>
        <w:rPr>
          <w:rFonts w:hint="default" w:ascii="Times New Roman" w:hAnsi="Times New Roman" w:eastAsia="宋体" w:cs="Times New Roman"/>
          <w:b/>
          <w:snapToGrid w:val="0"/>
          <w:color w:val="auto"/>
          <w:kern w:val="0"/>
          <w:sz w:val="24"/>
          <w:szCs w:val="24"/>
          <w:lang w:eastAsia="zh-CN"/>
        </w:rPr>
      </w:pPr>
      <w:r>
        <w:rPr>
          <w:rFonts w:hint="default" w:ascii="Times New Roman" w:hAnsi="Times New Roman" w:eastAsia="宋体" w:cs="Times New Roman"/>
          <w:b/>
          <w:snapToGrid w:val="0"/>
          <w:color w:val="auto"/>
          <w:kern w:val="0"/>
          <w:sz w:val="24"/>
          <w:szCs w:val="24"/>
          <w:lang w:eastAsia="zh-CN"/>
        </w:rPr>
        <w:t>1.2.3.2废水</w:t>
      </w:r>
    </w:p>
    <w:p>
      <w:pPr>
        <w:spacing w:line="360" w:lineRule="auto"/>
        <w:ind w:firstLine="480" w:firstLineChars="200"/>
        <w:jc w:val="both"/>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rPr>
        <w:t>本项目生产废水主要为</w:t>
      </w:r>
      <w:r>
        <w:rPr>
          <w:rFonts w:hint="default" w:ascii="Times New Roman" w:hAnsi="Times New Roman" w:cs="Times New Roman"/>
          <w:snapToGrid w:val="0"/>
          <w:color w:val="auto"/>
          <w:kern w:val="0"/>
          <w:sz w:val="24"/>
          <w:lang w:val="en-US" w:eastAsia="zh-CN"/>
        </w:rPr>
        <w:t>锅炉排污水、</w:t>
      </w:r>
      <w:r>
        <w:rPr>
          <w:rFonts w:hint="default" w:ascii="Times New Roman" w:hAnsi="Times New Roman" w:cs="Times New Roman"/>
          <w:color w:val="auto"/>
          <w:sz w:val="24"/>
          <w:highlight w:val="none"/>
          <w:lang w:val="en-US" w:eastAsia="zh-CN"/>
        </w:rPr>
        <w:t>软水制备排污水、</w:t>
      </w:r>
      <w:r>
        <w:rPr>
          <w:rFonts w:hint="default" w:ascii="Times New Roman" w:hAnsi="Times New Roman" w:cs="Times New Roman"/>
          <w:snapToGrid w:val="0"/>
          <w:color w:val="auto"/>
          <w:kern w:val="0"/>
          <w:sz w:val="24"/>
        </w:rPr>
        <w:t>待宰</w:t>
      </w:r>
      <w:r>
        <w:rPr>
          <w:rFonts w:hint="default" w:ascii="Times New Roman" w:hAnsi="Times New Roman" w:eastAsia="宋体" w:cs="Times New Roman"/>
          <w:snapToGrid w:val="0"/>
          <w:color w:val="auto"/>
          <w:kern w:val="0"/>
          <w:sz w:val="24"/>
          <w:lang w:val="en-US" w:eastAsia="zh-CN"/>
        </w:rPr>
        <w:t>圈</w:t>
      </w:r>
      <w:r>
        <w:rPr>
          <w:rFonts w:hint="default" w:ascii="Times New Roman" w:hAnsi="Times New Roman" w:cs="Times New Roman"/>
          <w:snapToGrid w:val="0"/>
          <w:color w:val="auto"/>
          <w:kern w:val="0"/>
          <w:sz w:val="24"/>
        </w:rPr>
        <w:t>清洗废水（含尿液）和屠宰</w:t>
      </w:r>
      <w:r>
        <w:rPr>
          <w:rFonts w:hint="default" w:ascii="Times New Roman" w:hAnsi="Times New Roman" w:eastAsia="宋体" w:cs="Times New Roman"/>
          <w:snapToGrid w:val="0"/>
          <w:color w:val="auto"/>
          <w:kern w:val="0"/>
          <w:sz w:val="24"/>
          <w:lang w:val="en-US" w:eastAsia="zh-CN"/>
        </w:rPr>
        <w:t>加工</w:t>
      </w:r>
      <w:r>
        <w:rPr>
          <w:rFonts w:hint="default" w:ascii="Times New Roman" w:hAnsi="Times New Roman" w:cs="Times New Roman"/>
          <w:snapToGrid w:val="0"/>
          <w:color w:val="auto"/>
          <w:kern w:val="0"/>
          <w:sz w:val="24"/>
        </w:rPr>
        <w:t>车间废水。</w:t>
      </w:r>
    </w:p>
    <w:p>
      <w:pPr>
        <w:spacing w:line="360" w:lineRule="auto"/>
        <w:rPr>
          <w:rFonts w:hint="default" w:ascii="Times New Roman" w:hAnsi="Times New Roman" w:cs="Times New Roman"/>
          <w:snapToGrid w:val="0"/>
          <w:color w:val="auto"/>
          <w:kern w:val="0"/>
          <w:sz w:val="24"/>
        </w:rPr>
      </w:pPr>
      <w:r>
        <w:rPr>
          <w:rFonts w:hint="default" w:ascii="Times New Roman" w:hAnsi="Times New Roman" w:cs="Times New Roman"/>
          <w:b/>
          <w:snapToGrid w:val="0"/>
          <w:color w:val="auto"/>
          <w:kern w:val="0"/>
          <w:sz w:val="24"/>
        </w:rPr>
        <w:t>1.2.3.3噪声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lang w:val="en-US" w:eastAsia="zh-CN"/>
        </w:rPr>
        <w:t>本项目主要噪声源为</w:t>
      </w:r>
      <w:r>
        <w:rPr>
          <w:rFonts w:hint="default" w:ascii="Times New Roman" w:hAnsi="Times New Roman" w:eastAsia="宋体" w:cs="Times New Roman"/>
          <w:color w:val="auto"/>
          <w:sz w:val="24"/>
          <w:szCs w:val="24"/>
          <w:lang w:val="en-US" w:eastAsia="zh-CN"/>
        </w:rPr>
        <w:t>：</w:t>
      </w:r>
      <w:r>
        <w:rPr>
          <w:rFonts w:hint="default" w:ascii="Times New Roman" w:hAnsi="Times New Roman" w:cs="Times New Roman"/>
          <w:color w:val="auto"/>
          <w:sz w:val="24"/>
          <w:szCs w:val="24"/>
          <w:lang w:val="en-US" w:eastAsia="zh-CN"/>
        </w:rPr>
        <w:t>猪电击晕机、劈半锯、绞肉机、锅炉风机及污水处理泵等，噪声值在75～90dB(A)之间</w:t>
      </w:r>
      <w:r>
        <w:rPr>
          <w:rFonts w:hint="default" w:ascii="Times New Roman" w:hAnsi="Times New Roman" w:eastAsia="宋体" w:cs="Times New Roman"/>
          <w:color w:val="auto"/>
          <w:sz w:val="24"/>
          <w:szCs w:val="24"/>
          <w:lang w:val="en-US" w:eastAsia="zh-CN"/>
        </w:rPr>
        <w:t>。</w:t>
      </w:r>
    </w:p>
    <w:p>
      <w:pPr>
        <w:spacing w:line="360" w:lineRule="auto"/>
        <w:rPr>
          <w:rFonts w:hint="default" w:ascii="Times New Roman" w:hAnsi="Times New Roman" w:cs="Times New Roman"/>
          <w:snapToGrid w:val="0"/>
          <w:color w:val="auto"/>
          <w:kern w:val="0"/>
          <w:sz w:val="24"/>
        </w:rPr>
      </w:pPr>
      <w:r>
        <w:rPr>
          <w:rFonts w:hint="default" w:ascii="Times New Roman" w:hAnsi="Times New Roman" w:cs="Times New Roman"/>
          <w:b/>
          <w:snapToGrid w:val="0"/>
          <w:color w:val="auto"/>
          <w:kern w:val="0"/>
          <w:sz w:val="24"/>
        </w:rPr>
        <w:t>1.2.3.4固废</w:t>
      </w:r>
    </w:p>
    <w:p>
      <w:pPr>
        <w:pageBreakBefore w:val="0"/>
        <w:widowControl w:val="0"/>
        <w:kinsoku/>
        <w:wordWrap/>
        <w:overflowPunct/>
        <w:topLinePunct w:val="0"/>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sz w:val="24"/>
          <w:szCs w:val="24"/>
          <w:lang w:val="en-US" w:eastAsia="zh-CN"/>
        </w:rPr>
        <w:t>项目正常工况下产生的固体废物主要有待宰圈产生的猪粪；检疫室、检验室产生的检疫、检验废物；屠宰加工车间产生的猪毛、肠胃内容物、病变腺体、内脏</w:t>
      </w:r>
      <w:r>
        <w:rPr>
          <w:rFonts w:hint="default" w:ascii="Times New Roman" w:hAnsi="Times New Roman" w:eastAsia="宋体" w:cs="Times New Roman"/>
          <w:color w:val="auto"/>
          <w:sz w:val="24"/>
          <w:lang w:val="en-US" w:eastAsia="zh-CN"/>
        </w:rPr>
        <w:t>及残留脂肪</w:t>
      </w:r>
      <w:r>
        <w:rPr>
          <w:rFonts w:hint="default" w:ascii="Times New Roman" w:hAnsi="Times New Roman" w:eastAsia="宋体" w:cs="Times New Roman"/>
          <w:color w:val="auto"/>
          <w:sz w:val="24"/>
          <w:szCs w:val="24"/>
          <w:lang w:val="en-US" w:eastAsia="zh-CN"/>
        </w:rPr>
        <w:t>；污水处理站产生的污泥、栅渣、废油脂及落地油；废活性炭；锅炉软化水制备产生的废离子交换树脂</w:t>
      </w:r>
      <w:r>
        <w:rPr>
          <w:rFonts w:hint="default" w:ascii="Times New Roman" w:hAnsi="Times New Roman" w:cs="Times New Roman"/>
          <w:color w:val="auto"/>
          <w:sz w:val="24"/>
          <w:szCs w:val="24"/>
          <w:lang w:val="en-US" w:eastAsia="zh-CN"/>
        </w:rPr>
        <w:t>。非</w:t>
      </w:r>
      <w:r>
        <w:rPr>
          <w:rFonts w:hint="default" w:ascii="Times New Roman" w:hAnsi="Times New Roman" w:eastAsia="宋体" w:cs="Times New Roman"/>
          <w:color w:val="auto"/>
          <w:kern w:val="0"/>
          <w:sz w:val="24"/>
          <w:szCs w:val="24"/>
          <w:lang w:val="en-US" w:eastAsia="zh-CN"/>
        </w:rPr>
        <w:t>正常工况下产生的病死猪。</w:t>
      </w:r>
    </w:p>
    <w:p>
      <w:pPr>
        <w:spacing w:line="360" w:lineRule="auto"/>
        <w:rPr>
          <w:rFonts w:hint="eastAsia" w:ascii="Times New Roman" w:hAnsi="Times New Roman" w:cs="Times New Roman"/>
          <w:b/>
          <w:snapToGrid w:val="0"/>
          <w:color w:val="auto"/>
          <w:kern w:val="0"/>
          <w:sz w:val="24"/>
          <w:lang w:val="en-US" w:eastAsia="zh-CN"/>
        </w:rPr>
      </w:pPr>
      <w:r>
        <w:rPr>
          <w:rFonts w:hint="eastAsia" w:ascii="Times New Roman" w:hAnsi="Times New Roman" w:cs="Times New Roman"/>
          <w:b/>
          <w:snapToGrid w:val="0"/>
          <w:color w:val="auto"/>
          <w:kern w:val="0"/>
          <w:sz w:val="24"/>
          <w:lang w:val="en-US" w:eastAsia="zh-CN"/>
        </w:rPr>
        <w:t>1.2.3.5地下水</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olor w:val="auto"/>
          <w:sz w:val="24"/>
          <w:szCs w:val="24"/>
          <w:highlight w:val="yellow"/>
          <w:lang w:val="en-US" w:eastAsia="zh-CN"/>
        </w:rPr>
      </w:pPr>
      <w:r>
        <w:rPr>
          <w:rFonts w:hint="eastAsia" w:ascii="Times New Roman" w:hAnsi="Times New Roman"/>
          <w:color w:val="auto"/>
          <w:sz w:val="24"/>
          <w:szCs w:val="24"/>
          <w:highlight w:val="none"/>
        </w:rPr>
        <w:t>本项目</w:t>
      </w:r>
      <w:r>
        <w:rPr>
          <w:rFonts w:hint="eastAsia" w:ascii="Times New Roman" w:hAnsi="Times New Roman"/>
          <w:color w:val="auto"/>
          <w:sz w:val="24"/>
          <w:szCs w:val="24"/>
          <w:highlight w:val="none"/>
          <w:lang w:eastAsia="zh-CN"/>
        </w:rPr>
        <w:t>污水处理站各构筑物</w:t>
      </w:r>
      <w:r>
        <w:rPr>
          <w:rFonts w:hint="eastAsia" w:ascii="Times New Roman" w:hAnsi="Times New Roman"/>
          <w:color w:val="auto"/>
          <w:sz w:val="24"/>
          <w:szCs w:val="24"/>
          <w:highlight w:val="none"/>
        </w:rPr>
        <w:t>渗漏后通过包气带进入</w:t>
      </w:r>
      <w:r>
        <w:rPr>
          <w:rFonts w:hint="eastAsia" w:ascii="Times New Roman" w:hAnsi="Times New Roman"/>
          <w:color w:val="auto"/>
          <w:sz w:val="24"/>
          <w:szCs w:val="24"/>
          <w:highlight w:val="none"/>
          <w:lang w:eastAsia="zh-CN"/>
        </w:rPr>
        <w:t>地下水</w:t>
      </w:r>
      <w:r>
        <w:rPr>
          <w:rFonts w:hint="eastAsia" w:ascii="Times New Roman" w:hAnsi="Times New Roman"/>
          <w:color w:val="auto"/>
          <w:sz w:val="24"/>
          <w:szCs w:val="24"/>
          <w:highlight w:val="none"/>
        </w:rPr>
        <w:t>含水层，项目建成后对地下水可能产生的潜在的污染源将会对地下水产生影响。</w:t>
      </w:r>
    </w:p>
    <w:p>
      <w:pPr>
        <w:pStyle w:val="11"/>
        <w:numPr>
          <w:ilvl w:val="2"/>
          <w:numId w:val="0"/>
        </w:numPr>
        <w:spacing w:before="0" w:after="0" w:line="360" w:lineRule="auto"/>
        <w:rPr>
          <w:rFonts w:hint="eastAsia" w:ascii="Times New Roman" w:hAnsi="Times New Roman" w:eastAsia="宋体" w:cs="Times New Roman"/>
          <w:b/>
          <w:color w:val="auto"/>
          <w:sz w:val="28"/>
          <w:szCs w:val="28"/>
          <w:lang w:eastAsia="zh-CN"/>
        </w:rPr>
      </w:pPr>
      <w:r>
        <w:rPr>
          <w:rFonts w:hint="default" w:ascii="Times New Roman" w:hAnsi="Times New Roman" w:cs="Times New Roman"/>
          <w:b/>
          <w:color w:val="auto"/>
          <w:sz w:val="28"/>
          <w:szCs w:val="28"/>
        </w:rPr>
        <w:t>1.2.4主要环保措施</w:t>
      </w:r>
    </w:p>
    <w:p>
      <w:pPr>
        <w:spacing w:line="360" w:lineRule="auto"/>
        <w:rPr>
          <w:rFonts w:hint="default" w:ascii="Times New Roman" w:hAnsi="Times New Roman" w:cs="Times New Roman"/>
          <w:bCs/>
          <w:color w:val="auto"/>
          <w:sz w:val="24"/>
        </w:rPr>
      </w:pPr>
      <w:r>
        <w:rPr>
          <w:rFonts w:hint="default" w:ascii="Times New Roman" w:hAnsi="Times New Roman" w:cs="Times New Roman"/>
          <w:b/>
          <w:snapToGrid w:val="0"/>
          <w:color w:val="auto"/>
          <w:kern w:val="0"/>
          <w:sz w:val="24"/>
        </w:rPr>
        <w:t>1.2.4.1废气</w:t>
      </w:r>
    </w:p>
    <w:p>
      <w:pPr>
        <w:numPr>
          <w:ilvl w:val="0"/>
          <w:numId w:val="3"/>
        </w:num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待宰圈定期喷洒生物除臭剂，除臭效率50%，产生的恶臭气体经负压集中收集后，通过活性炭吸附净化后由15m高排气筒排放，收集率约80%左右，恶臭气体净化率不低于70%。</w:t>
      </w:r>
    </w:p>
    <w:p>
      <w:pPr>
        <w:numPr>
          <w:ilvl w:val="0"/>
          <w:numId w:val="3"/>
        </w:numPr>
        <w:spacing w:line="360" w:lineRule="auto"/>
        <w:ind w:left="0" w:leftChars="0"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屠宰加工车间产生氨、H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S、臭气浓度经负压集中收集后，通过活性炭吸附净化后由15m高排气筒排放，收集率约80%左右，恶臭气体净化率不低于70%。</w:t>
      </w:r>
    </w:p>
    <w:p>
      <w:pPr>
        <w:numPr>
          <w:ilvl w:val="0"/>
          <w:numId w:val="3"/>
        </w:numPr>
        <w:spacing w:line="360" w:lineRule="auto"/>
        <w:ind w:left="0" w:leftChars="0"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本项目污水处理站产生氨、H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S、臭气浓度等具有臭味的气体，</w:t>
      </w:r>
      <w:r>
        <w:rPr>
          <w:rFonts w:hint="default" w:ascii="Times New Roman" w:hAnsi="Times New Roman" w:eastAsia="宋体" w:cs="Times New Roman"/>
          <w:color w:val="auto"/>
          <w:sz w:val="24"/>
          <w:szCs w:val="24"/>
          <w:highlight w:val="none"/>
          <w:lang w:val="en-US" w:eastAsia="zh-CN"/>
        </w:rPr>
        <w:t>污水处理站封闭设置，沉淀池和调节池密闭收集气体，</w:t>
      </w:r>
      <w:r>
        <w:rPr>
          <w:rFonts w:hint="eastAsia" w:ascii="Times New Roman" w:hAnsi="Times New Roman" w:eastAsia="宋体" w:cs="Times New Roman"/>
          <w:color w:val="auto"/>
          <w:sz w:val="24"/>
          <w:szCs w:val="24"/>
          <w:highlight w:val="none"/>
          <w:lang w:val="en-US" w:eastAsia="zh-CN"/>
        </w:rPr>
        <w:t>为地下式结构，</w:t>
      </w:r>
      <w:r>
        <w:rPr>
          <w:rFonts w:hint="default" w:ascii="Times New Roman" w:hAnsi="Times New Roman" w:eastAsia="宋体" w:cs="Times New Roman"/>
          <w:color w:val="auto"/>
          <w:sz w:val="24"/>
          <w:szCs w:val="24"/>
          <w:highlight w:val="none"/>
          <w:lang w:val="en-US" w:eastAsia="zh-CN"/>
        </w:rPr>
        <w:t>其他池体为地</w:t>
      </w:r>
      <w:r>
        <w:rPr>
          <w:rFonts w:hint="eastAsia" w:ascii="Times New Roman" w:hAnsi="Times New Roman" w:eastAsia="宋体" w:cs="Times New Roman"/>
          <w:color w:val="auto"/>
          <w:sz w:val="24"/>
          <w:szCs w:val="24"/>
          <w:highlight w:val="none"/>
          <w:lang w:val="en-US" w:eastAsia="zh-CN"/>
        </w:rPr>
        <w:t>上</w:t>
      </w:r>
      <w:r>
        <w:rPr>
          <w:rFonts w:hint="default" w:ascii="Times New Roman" w:hAnsi="Times New Roman" w:eastAsia="宋体" w:cs="Times New Roman"/>
          <w:color w:val="auto"/>
          <w:sz w:val="24"/>
          <w:szCs w:val="24"/>
          <w:highlight w:val="none"/>
          <w:lang w:val="en-US" w:eastAsia="zh-CN"/>
        </w:rPr>
        <w:t>式</w:t>
      </w:r>
      <w:r>
        <w:rPr>
          <w:rFonts w:hint="eastAsia" w:ascii="Times New Roman" w:hAnsi="Times New Roman" w:eastAsia="宋体" w:cs="Times New Roman"/>
          <w:color w:val="auto"/>
          <w:sz w:val="24"/>
          <w:szCs w:val="24"/>
          <w:highlight w:val="none"/>
          <w:lang w:val="en-US" w:eastAsia="zh-CN"/>
        </w:rPr>
        <w:t>结构</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lang w:val="en-US" w:eastAsia="zh-CN"/>
        </w:rPr>
        <w:t>经密闭管道负压收集经活性炭吸附后，由15m高排气筒排放，收集率约90%左右，恶臭气体净化率不低于70%。</w:t>
      </w:r>
    </w:p>
    <w:p>
      <w:pPr>
        <w:numPr>
          <w:ilvl w:val="0"/>
          <w:numId w:val="0"/>
        </w:numPr>
        <w:spacing w:line="360" w:lineRule="auto"/>
        <w:ind w:firstLine="480" w:firstLineChars="200"/>
        <w:jc w:val="both"/>
        <w:rPr>
          <w:rFonts w:hint="default" w:ascii="Times New Roman" w:hAnsi="Times New Roman" w:cs="Times New Roman"/>
          <w:bCs/>
          <w:color w:val="auto"/>
          <w:sz w:val="24"/>
        </w:rPr>
      </w:pPr>
      <w:r>
        <w:rPr>
          <w:rFonts w:hint="default" w:ascii="Times New Roman" w:hAnsi="Times New Roman" w:cs="Times New Roman"/>
          <w:bCs/>
          <w:color w:val="auto"/>
          <w:sz w:val="24"/>
        </w:rPr>
        <w:t>（</w:t>
      </w:r>
      <w:r>
        <w:rPr>
          <w:rFonts w:hint="default" w:ascii="Times New Roman" w:hAnsi="Times New Roman" w:cs="Times New Roman"/>
          <w:bCs/>
          <w:color w:val="auto"/>
          <w:sz w:val="24"/>
          <w:lang w:val="en-US" w:eastAsia="zh-CN"/>
        </w:rPr>
        <w:t>4</w:t>
      </w:r>
      <w:r>
        <w:rPr>
          <w:rFonts w:hint="default" w:ascii="Times New Roman" w:hAnsi="Times New Roman" w:cs="Times New Roman"/>
          <w:bCs/>
          <w:color w:val="auto"/>
          <w:sz w:val="24"/>
        </w:rPr>
        <w:t>）</w:t>
      </w:r>
      <w:r>
        <w:rPr>
          <w:rFonts w:hint="default" w:ascii="Times New Roman" w:hAnsi="Times New Roman" w:eastAsia="宋体" w:cs="Times New Roman"/>
          <w:color w:val="auto"/>
          <w:sz w:val="24"/>
          <w:szCs w:val="24"/>
          <w:lang w:val="en-US" w:eastAsia="zh-CN"/>
        </w:rPr>
        <w:t>本项目柴油储罐卸油时会产生非甲烷总烃，</w:t>
      </w:r>
      <w:r>
        <w:rPr>
          <w:rFonts w:hint="default" w:ascii="Times New Roman" w:hAnsi="Times New Roman" w:eastAsia="宋体" w:cs="Times New Roman"/>
          <w:color w:val="auto"/>
          <w:sz w:val="24"/>
          <w:szCs w:val="24"/>
          <w:highlight w:val="none"/>
          <w:lang w:val="en-US" w:eastAsia="zh-CN"/>
        </w:rPr>
        <w:t>柴油储罐配套一根气相平衡管</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卸油时产生非甲烷总烃</w:t>
      </w:r>
      <w:r>
        <w:rPr>
          <w:rFonts w:hint="eastAsia" w:ascii="Times New Roman" w:hAnsi="Times New Roman" w:eastAsia="宋体" w:cs="Times New Roman"/>
          <w:color w:val="auto"/>
          <w:sz w:val="24"/>
          <w:szCs w:val="24"/>
          <w:highlight w:val="none"/>
          <w:lang w:val="en-US" w:eastAsia="zh-CN"/>
        </w:rPr>
        <w:t>经管线排入加油车中</w:t>
      </w:r>
      <w:r>
        <w:rPr>
          <w:rFonts w:hint="default" w:ascii="Times New Roman" w:hAnsi="Times New Roman" w:eastAsia="宋体" w:cs="Times New Roman"/>
          <w:color w:val="auto"/>
          <w:sz w:val="24"/>
          <w:szCs w:val="24"/>
          <w:highlight w:val="none"/>
          <w:lang w:val="en-US" w:eastAsia="zh-CN"/>
        </w:rPr>
        <w:t>，油气回收效</w:t>
      </w:r>
      <w:r>
        <w:rPr>
          <w:rFonts w:hint="default" w:ascii="Times New Roman" w:hAnsi="Times New Roman" w:eastAsia="宋体" w:cs="Times New Roman"/>
          <w:color w:val="auto"/>
          <w:sz w:val="24"/>
          <w:szCs w:val="24"/>
          <w:lang w:val="en-US" w:eastAsia="zh-CN"/>
        </w:rPr>
        <w:t>率90%。</w:t>
      </w:r>
    </w:p>
    <w:p>
      <w:pPr>
        <w:pStyle w:val="29"/>
        <w:jc w:val="both"/>
        <w:rPr>
          <w:rFonts w:hint="default" w:ascii="Times New Roman" w:hAnsi="Times New Roman" w:cs="Times New Roman"/>
          <w:lang w:val="en-US" w:eastAsia="zh-CN"/>
        </w:rPr>
      </w:pP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lang w:val="en-US" w:eastAsia="zh-CN"/>
        </w:rPr>
        <w:t>5</w:t>
      </w: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lang w:val="en-US" w:eastAsia="zh-CN"/>
        </w:rPr>
        <w:t>本项目生产热源由1台</w:t>
      </w:r>
      <w:r>
        <w:rPr>
          <w:rFonts w:hint="eastAsia" w:ascii="Times New Roman" w:hAnsi="Times New Roman" w:cs="Times New Roman"/>
          <w:bCs/>
          <w:color w:val="auto"/>
          <w:sz w:val="24"/>
          <w:lang w:val="en-US" w:eastAsia="zh-CN"/>
        </w:rPr>
        <w:t>1t/h燃油蒸汽锅炉</w:t>
      </w:r>
      <w:r>
        <w:rPr>
          <w:rFonts w:hint="default" w:ascii="Times New Roman" w:hAnsi="Times New Roman" w:cs="Times New Roman"/>
          <w:bCs/>
          <w:color w:val="auto"/>
          <w:sz w:val="24"/>
          <w:lang w:val="en-US" w:eastAsia="zh-CN"/>
        </w:rPr>
        <w:t>供应，产生的烟气经低氮燃烧</w:t>
      </w:r>
      <w:r>
        <w:rPr>
          <w:rFonts w:hint="eastAsia" w:ascii="Times New Roman" w:hAnsi="Times New Roman" w:cs="Times New Roman"/>
          <w:bCs/>
          <w:color w:val="auto"/>
          <w:sz w:val="24"/>
          <w:lang w:val="en-US" w:eastAsia="zh-CN"/>
        </w:rPr>
        <w:t>装置</w:t>
      </w:r>
      <w:r>
        <w:rPr>
          <w:rFonts w:hint="default" w:ascii="Times New Roman" w:hAnsi="Times New Roman" w:cs="Times New Roman"/>
          <w:bCs/>
          <w:color w:val="auto"/>
          <w:sz w:val="24"/>
          <w:lang w:val="en-US" w:eastAsia="zh-CN"/>
        </w:rPr>
        <w:t>处理后，经12m高烟囱排放。</w:t>
      </w:r>
    </w:p>
    <w:p>
      <w:pPr>
        <w:pStyle w:val="29"/>
        <w:jc w:val="both"/>
        <w:rPr>
          <w:rFonts w:hint="default" w:ascii="Times New Roman" w:hAnsi="Times New Roman" w:cs="Times New Roman"/>
          <w:bCs/>
          <w:color w:val="auto"/>
          <w:sz w:val="24"/>
          <w:lang w:val="en-US" w:eastAsia="zh-CN"/>
        </w:rPr>
      </w:pP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lang w:val="en-US" w:eastAsia="zh-CN"/>
        </w:rPr>
        <w:t>6</w:t>
      </w:r>
      <w:r>
        <w:rPr>
          <w:rFonts w:hint="default" w:ascii="Times New Roman" w:hAnsi="Times New Roman" w:cs="Times New Roman"/>
          <w:bCs/>
          <w:color w:val="auto"/>
          <w:sz w:val="24"/>
          <w:lang w:eastAsia="zh-CN"/>
        </w:rPr>
        <w:t>）</w:t>
      </w:r>
      <w:r>
        <w:rPr>
          <w:rFonts w:hint="default" w:ascii="Times New Roman" w:hAnsi="Times New Roman" w:eastAsia="宋体" w:cs="Times New Roman"/>
          <w:color w:val="auto"/>
          <w:sz w:val="24"/>
          <w:szCs w:val="24"/>
          <w:lang w:val="en-US" w:eastAsia="zh-CN"/>
        </w:rPr>
        <w:t>固废暂存设施定期喷洒生物除臭剂，除臭效率50%。</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1.2.4.2 废水</w:t>
      </w:r>
    </w:p>
    <w:p>
      <w:pPr>
        <w:pStyle w:val="30"/>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kern w:val="21"/>
          <w:sz w:val="24"/>
          <w:szCs w:val="24"/>
          <w:highlight w:val="none"/>
          <w:u w:val="none"/>
          <w:lang w:val="en-US" w:eastAsia="zh-CN" w:bidi="ar-SA"/>
        </w:rPr>
      </w:pPr>
      <w:r>
        <w:rPr>
          <w:rFonts w:hint="default" w:ascii="Times New Roman" w:hAnsi="Times New Roman" w:eastAsia="宋体" w:cs="Times New Roman"/>
          <w:color w:val="auto"/>
          <w:kern w:val="21"/>
          <w:sz w:val="24"/>
          <w:szCs w:val="24"/>
          <w:highlight w:val="none"/>
          <w:u w:val="none"/>
          <w:lang w:val="en-US" w:eastAsia="zh-CN" w:bidi="ar-SA"/>
        </w:rPr>
        <w:t>本项目产生的废水经管道送入厂内污水处理站，污水处理站采用沉淀池+气浮池+调节池+水解酸化+好氧生物池+MBR膜池+污泥消化池+消毒工艺处理后，设计处理污水规模为300m</w:t>
      </w:r>
      <w:r>
        <w:rPr>
          <w:rFonts w:hint="default" w:ascii="Times New Roman" w:hAnsi="Times New Roman" w:eastAsia="宋体" w:cs="Times New Roman"/>
          <w:color w:val="auto"/>
          <w:kern w:val="21"/>
          <w:sz w:val="24"/>
          <w:szCs w:val="24"/>
          <w:highlight w:val="none"/>
          <w:u w:val="none"/>
          <w:vertAlign w:val="superscript"/>
          <w:lang w:val="en-US" w:eastAsia="zh-CN" w:bidi="ar-SA"/>
        </w:rPr>
        <w:t>3</w:t>
      </w:r>
      <w:r>
        <w:rPr>
          <w:rFonts w:hint="default" w:ascii="Times New Roman" w:hAnsi="Times New Roman" w:eastAsia="宋体" w:cs="Times New Roman"/>
          <w:color w:val="auto"/>
          <w:kern w:val="21"/>
          <w:sz w:val="24"/>
          <w:szCs w:val="24"/>
          <w:highlight w:val="none"/>
          <w:u w:val="none"/>
          <w:lang w:val="en-US" w:eastAsia="zh-CN" w:bidi="ar-SA"/>
        </w:rPr>
        <w:t>/d，满足本项目最大废水排放量</w:t>
      </w:r>
      <w:r>
        <w:rPr>
          <w:rFonts w:hint="default" w:ascii="Times New Roman" w:hAnsi="Times New Roman" w:cs="Times New Roman"/>
          <w:color w:val="auto"/>
          <w:sz w:val="24"/>
          <w:highlight w:val="none"/>
          <w:lang w:val="en-US" w:eastAsia="zh-CN"/>
        </w:rPr>
        <w:t>218.34</w:t>
      </w:r>
      <w:r>
        <w:rPr>
          <w:rFonts w:hint="default" w:ascii="Times New Roman" w:hAnsi="Times New Roman" w:eastAsia="宋体" w:cs="Times New Roman"/>
          <w:color w:val="auto"/>
          <w:kern w:val="21"/>
          <w:sz w:val="24"/>
          <w:szCs w:val="24"/>
          <w:highlight w:val="none"/>
          <w:u w:val="none"/>
          <w:lang w:val="en-US" w:eastAsia="zh-CN" w:bidi="ar-SA"/>
        </w:rPr>
        <w:t>m</w:t>
      </w:r>
      <w:r>
        <w:rPr>
          <w:rFonts w:hint="default" w:ascii="Times New Roman" w:hAnsi="Times New Roman" w:eastAsia="宋体" w:cs="Times New Roman"/>
          <w:color w:val="auto"/>
          <w:kern w:val="21"/>
          <w:sz w:val="24"/>
          <w:szCs w:val="24"/>
          <w:highlight w:val="none"/>
          <w:u w:val="none"/>
          <w:vertAlign w:val="superscript"/>
          <w:lang w:val="en-US" w:eastAsia="zh-CN" w:bidi="ar-SA"/>
        </w:rPr>
        <w:t>3</w:t>
      </w:r>
      <w:r>
        <w:rPr>
          <w:rFonts w:hint="default" w:ascii="Times New Roman" w:hAnsi="Times New Roman" w:eastAsia="宋体" w:cs="Times New Roman"/>
          <w:color w:val="auto"/>
          <w:kern w:val="21"/>
          <w:sz w:val="24"/>
          <w:szCs w:val="24"/>
          <w:highlight w:val="none"/>
          <w:u w:val="none"/>
          <w:lang w:val="en-US" w:eastAsia="zh-CN" w:bidi="ar-SA"/>
        </w:rPr>
        <w:t>/d的处理需要，处理后的废水满足《肉类加工工业水污染物排放标准》</w:t>
      </w:r>
      <w:r>
        <w:rPr>
          <w:rFonts w:hint="default" w:ascii="Times New Roman" w:hAnsi="Times New Roman" w:eastAsia="宋体" w:cs="Times New Roman"/>
          <w:color w:val="auto"/>
          <w:sz w:val="24"/>
        </w:rPr>
        <w:t>（GB13457-92）表3</w:t>
      </w:r>
      <w:r>
        <w:rPr>
          <w:rFonts w:hint="default" w:ascii="Times New Roman" w:hAnsi="Times New Roman" w:eastAsia="宋体" w:cs="Times New Roman"/>
          <w:color w:val="auto"/>
          <w:kern w:val="21"/>
          <w:sz w:val="24"/>
          <w:szCs w:val="24"/>
          <w:highlight w:val="none"/>
          <w:u w:val="none"/>
          <w:lang w:val="en-US" w:eastAsia="zh-CN" w:bidi="ar-SA"/>
        </w:rPr>
        <w:t>中畜类屠宰加工及肉制品加工三级标准及兴隆镇污水处理厂设计进水水质指标的要求后</w:t>
      </w:r>
      <w:r>
        <w:rPr>
          <w:rFonts w:hint="eastAsia" w:ascii="Times New Roman" w:hAnsi="Times New Roman" w:eastAsia="宋体" w:cs="Times New Roman"/>
          <w:color w:val="auto"/>
          <w:kern w:val="21"/>
          <w:sz w:val="24"/>
          <w:szCs w:val="24"/>
          <w:highlight w:val="none"/>
          <w:u w:val="none"/>
          <w:lang w:val="en-US" w:eastAsia="zh-CN" w:bidi="ar-SA"/>
        </w:rPr>
        <w:t>，</w:t>
      </w:r>
      <w:r>
        <w:rPr>
          <w:rFonts w:hint="default" w:ascii="Times New Roman" w:hAnsi="Times New Roman" w:eastAsia="宋体" w:cs="Times New Roman"/>
          <w:color w:val="auto"/>
          <w:kern w:val="21"/>
          <w:sz w:val="24"/>
          <w:szCs w:val="24"/>
          <w:highlight w:val="none"/>
          <w:u w:val="none"/>
          <w:lang w:val="en-US" w:eastAsia="zh-CN" w:bidi="ar-SA"/>
        </w:rPr>
        <w:t>排入兴隆镇污水处理厂处理</w:t>
      </w:r>
      <w:r>
        <w:rPr>
          <w:rFonts w:hint="eastAsia" w:ascii="Times New Roman" w:hAnsi="Times New Roman" w:eastAsia="宋体" w:cs="Times New Roman"/>
          <w:color w:val="auto"/>
          <w:kern w:val="21"/>
          <w:sz w:val="24"/>
          <w:szCs w:val="24"/>
          <w:highlight w:val="none"/>
          <w:u w:val="none"/>
          <w:lang w:val="en-US" w:eastAsia="zh-CN" w:bidi="ar-SA"/>
        </w:rPr>
        <w:t>达标后</w:t>
      </w:r>
      <w:r>
        <w:rPr>
          <w:rFonts w:hint="default" w:ascii="Times New Roman" w:hAnsi="Times New Roman" w:eastAsia="宋体" w:cs="Times New Roman"/>
          <w:color w:val="auto"/>
          <w:kern w:val="21"/>
          <w:sz w:val="24"/>
          <w:szCs w:val="24"/>
          <w:highlight w:val="none"/>
          <w:u w:val="none"/>
          <w:lang w:val="en-US" w:eastAsia="zh-CN" w:bidi="ar-SA"/>
        </w:rPr>
        <w:t>排入泥河。</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1.2.4.3 噪声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充分选用先进的低噪设备，风机、水泵等发声设备应设减振垫；加强设备的维护，本项目采取上述防噪措施后，噪声对周围环境影响较小，厂界噪声满足《工业企业厂界环境噪声排放标准》（GB12348-2008）表1中的2类标准限值。</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1.2.4.4 固体废物</w:t>
      </w:r>
    </w:p>
    <w:p>
      <w:pPr>
        <w:pStyle w:val="29"/>
        <w:ind w:left="0" w:leftChars="0" w:firstLine="472"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猪粪便在待宰圈防渗池内临时贮存，每天清运一次，外售有机肥厂进行堆肥处理；屠宰加工车间产生的猪毛在专用容器内储存，外售至毛刷厂</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肠胃内容物</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通过</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风送设备排至肠内物收集池</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封闭贮存，</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外运有机肥厂堆肥处理；修整过程中产生的脂肪进行外售处理</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；分割过程产生的病变内脏、腺体送至巴彦县燊缘无害化处理有限公司处理；</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吸附恶臭气体的废活性炭作为一般工业固体废物暂存于一般固废暂存间封闭塑料箱内，</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由活性炭厂家回收再生处理</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检疫室产生的检疫废物属于危险废物（类别HW01，代码841-005-01），单独收集，用有明显标识的塑料袋盛装，暂存于危险废物贮存点，交由哈尔滨国环医疗固体废物无害化集中处置中心有限公司进行处理；</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非正常工况下对发现的病猪进行急宰；送至</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巴彦县燊缘无害化处理有限公司</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处理</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污水处理站污泥和栅渣</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(HW01)经离心式脱水机脱水、漂白粉消毒后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送垃圾填埋场填埋</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锅炉房产生的废离子交换树脂由厂家回收。隔油工段废油脂和落地油委托巴彦县燊缘无害化处理有限公司进行处置。生活垃圾交由环卫部门处置。废润滑油及废润滑油桶交由</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哈尔滨国环医疗固体废物无害化集中处置中心有限公司</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处置</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。废外包装，集中收集，外售综合利用。</w:t>
      </w:r>
      <w:r>
        <w:rPr>
          <w:rFonts w:hint="default" w:ascii="Times New Roman" w:hAnsi="Times New Roman" w:eastAsia="宋体" w:cs="Times New Roman"/>
          <w:color w:val="auto"/>
          <w:sz w:val="24"/>
          <w:szCs w:val="24"/>
          <w:lang w:val="en-US" w:eastAsia="zh-CN"/>
        </w:rPr>
        <w:t>所有固体废物均得到综合利用和妥善处置，不排入外环境。</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 xml:space="preserve">1.2.4.5 地下水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本项目对厂区进行分区防渗：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sz w:val="24"/>
          <w:highlight w:val="none"/>
        </w:rPr>
      </w:pPr>
      <w:r>
        <w:rPr>
          <w:rFonts w:hint="default" w:ascii="Times New Roman" w:hAnsi="Times New Roman" w:eastAsia="宋体" w:cs="Times New Roman"/>
          <w:color w:val="auto"/>
          <w:sz w:val="24"/>
          <w:highlight w:val="none"/>
          <w:lang w:val="en-US" w:eastAsia="zh-CN"/>
        </w:rPr>
        <w:t>重点防渗区：</w:t>
      </w:r>
      <w:r>
        <w:rPr>
          <w:rFonts w:hint="eastAsia" w:ascii="Times New Roman" w:hAnsi="Times New Roman" w:cs="Times New Roman"/>
          <w:bCs/>
          <w:color w:val="auto"/>
          <w:sz w:val="24"/>
          <w:highlight w:val="none"/>
          <w:lang w:val="en-US" w:eastAsia="zh-CN"/>
        </w:rPr>
        <w:t>柴油储罐周边</w:t>
      </w:r>
      <w:r>
        <w:rPr>
          <w:rFonts w:hint="eastAsia" w:ascii="Times New Roman" w:hAnsi="Times New Roman" w:eastAsia="宋体" w:cs="Times New Roman"/>
          <w:bCs/>
          <w:color w:val="auto"/>
          <w:sz w:val="24"/>
          <w:highlight w:val="none"/>
          <w:lang w:val="en-US" w:eastAsia="zh-CN"/>
        </w:rPr>
        <w:t>设置20cm高围堰，</w:t>
      </w:r>
      <w:r>
        <w:rPr>
          <w:rFonts w:hint="default" w:ascii="Times New Roman" w:hAnsi="Times New Roman" w:cs="Times New Roman"/>
          <w:bCs/>
          <w:color w:val="auto"/>
          <w:sz w:val="24"/>
          <w:highlight w:val="none"/>
        </w:rPr>
        <w:t>采用至少1m厚粘土层（渗透系数K≤10</w:t>
      </w:r>
      <w:r>
        <w:rPr>
          <w:rFonts w:hint="default" w:ascii="Times New Roman" w:hAnsi="Times New Roman" w:cs="Times New Roman"/>
          <w:bCs/>
          <w:color w:val="auto"/>
          <w:sz w:val="24"/>
          <w:highlight w:val="none"/>
          <w:vertAlign w:val="superscript"/>
        </w:rPr>
        <w:t>-7</w:t>
      </w:r>
      <w:r>
        <w:rPr>
          <w:rFonts w:hint="default" w:ascii="Times New Roman" w:hAnsi="Times New Roman" w:cs="Times New Roman"/>
          <w:bCs/>
          <w:color w:val="auto"/>
          <w:sz w:val="24"/>
          <w:highlight w:val="none"/>
        </w:rPr>
        <w:t>cm/s）或2mm厚高密度聚乙烯或至少2mm厚的其他人工材料（渗透系数K≤10</w:t>
      </w:r>
      <w:r>
        <w:rPr>
          <w:rFonts w:hint="default" w:ascii="Times New Roman" w:hAnsi="Times New Roman" w:cs="Times New Roman"/>
          <w:bCs/>
          <w:color w:val="auto"/>
          <w:sz w:val="24"/>
          <w:highlight w:val="none"/>
          <w:vertAlign w:val="superscript"/>
        </w:rPr>
        <w:t>-10</w:t>
      </w:r>
      <w:r>
        <w:rPr>
          <w:rFonts w:hint="default" w:ascii="Times New Roman" w:hAnsi="Times New Roman" w:cs="Times New Roman"/>
          <w:bCs/>
          <w:color w:val="auto"/>
          <w:sz w:val="24"/>
          <w:highlight w:val="none"/>
        </w:rPr>
        <w:t>cm/s）</w:t>
      </w:r>
      <w:r>
        <w:rPr>
          <w:rFonts w:hint="eastAsia" w:ascii="Times New Roman" w:hAnsi="Times New Roman" w:eastAsia="宋体" w:cs="Times New Roman"/>
          <w:bCs/>
          <w:color w:val="auto"/>
          <w:sz w:val="24"/>
          <w:highlight w:val="none"/>
          <w:lang w:eastAsia="zh-CN"/>
        </w:rPr>
        <w:t>，</w:t>
      </w:r>
      <w:r>
        <w:rPr>
          <w:rFonts w:hint="default" w:ascii="Times New Roman" w:hAnsi="Times New Roman" w:cs="Times New Roman"/>
          <w:bCs/>
          <w:color w:val="auto"/>
          <w:sz w:val="24"/>
          <w:highlight w:val="none"/>
        </w:rPr>
        <w:t>。</w:t>
      </w:r>
    </w:p>
    <w:p>
      <w:pPr>
        <w:pageBreakBefore w:val="0"/>
        <w:wordWrap/>
        <w:overflowPunct/>
        <w:topLinePunct w:val="0"/>
        <w:bidi w:val="0"/>
        <w:spacing w:line="360" w:lineRule="auto"/>
        <w:ind w:firstLine="480" w:firstLineChars="200"/>
        <w:jc w:val="both"/>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一般防渗区：</w:t>
      </w:r>
      <w:r>
        <w:rPr>
          <w:rFonts w:hint="default" w:ascii="Times New Roman" w:hAnsi="Times New Roman" w:cs="Times New Roman"/>
          <w:bCs/>
          <w:color w:val="auto"/>
          <w:sz w:val="24"/>
          <w:highlight w:val="none"/>
        </w:rPr>
        <w:t>事故池池体及</w:t>
      </w:r>
      <w:r>
        <w:rPr>
          <w:rFonts w:hint="default" w:ascii="Times New Roman" w:hAnsi="Times New Roman" w:cs="Times New Roman"/>
          <w:bCs/>
          <w:color w:val="auto"/>
          <w:sz w:val="24"/>
          <w:highlight w:val="none"/>
          <w:lang w:val="en-GB"/>
        </w:rPr>
        <w:t>地面</w:t>
      </w:r>
      <w:r>
        <w:rPr>
          <w:rFonts w:hint="eastAsia" w:ascii="Times New Roman" w:hAnsi="Times New Roman" w:eastAsia="宋体" w:cs="Times New Roman"/>
          <w:bCs/>
          <w:color w:val="auto"/>
          <w:sz w:val="24"/>
          <w:highlight w:val="none"/>
          <w:lang w:val="en-US" w:eastAsia="zh-CN"/>
        </w:rPr>
        <w:t>进行</w:t>
      </w:r>
      <w:r>
        <w:rPr>
          <w:rFonts w:hint="default" w:ascii="Times New Roman" w:hAnsi="Times New Roman" w:cs="Times New Roman"/>
          <w:bCs/>
          <w:color w:val="auto"/>
          <w:sz w:val="24"/>
          <w:highlight w:val="none"/>
          <w:lang w:val="en-GB"/>
        </w:rPr>
        <w:t>基础防渗，防渗层为至少1m厚粘土层或2mm厚高密度聚乙烯，需满足等效黏土防渗层Mb≥1.5m，K≤1×10</w:t>
      </w:r>
      <w:r>
        <w:rPr>
          <w:rFonts w:hint="default" w:ascii="Times New Roman" w:hAnsi="Times New Roman" w:cs="Times New Roman"/>
          <w:bCs/>
          <w:color w:val="auto"/>
          <w:sz w:val="24"/>
          <w:highlight w:val="none"/>
          <w:vertAlign w:val="superscript"/>
          <w:lang w:val="en-GB"/>
        </w:rPr>
        <w:t>-7</w:t>
      </w:r>
      <w:r>
        <w:rPr>
          <w:rFonts w:hint="default" w:ascii="Times New Roman" w:hAnsi="Times New Roman" w:cs="Times New Roman"/>
          <w:bCs/>
          <w:color w:val="auto"/>
          <w:sz w:val="24"/>
          <w:highlight w:val="none"/>
          <w:lang w:val="en-GB"/>
        </w:rPr>
        <w:t>cm/s的要求</w:t>
      </w:r>
      <w:r>
        <w:rPr>
          <w:rFonts w:hint="eastAsia" w:ascii="Times New Roman" w:hAnsi="Times New Roman" w:eastAsia="宋体" w:cs="Times New Roman"/>
          <w:bCs/>
          <w:color w:val="auto"/>
          <w:sz w:val="24"/>
          <w:highlight w:val="none"/>
          <w:lang w:val="en-GB" w:eastAsia="zh-CN"/>
        </w:rPr>
        <w:t>。</w:t>
      </w:r>
    </w:p>
    <w:p>
      <w:pPr>
        <w:pStyle w:val="11"/>
        <w:numPr>
          <w:ilvl w:val="2"/>
          <w:numId w:val="0"/>
        </w:numPr>
        <w:spacing w:before="0" w:after="0" w:line="360" w:lineRule="auto"/>
        <w:rPr>
          <w:rFonts w:hint="default" w:ascii="Times New Roman" w:hAnsi="Times New Roman" w:cs="Times New Roman"/>
          <w:b/>
          <w:color w:val="auto"/>
          <w:sz w:val="28"/>
          <w:szCs w:val="28"/>
        </w:rPr>
      </w:pPr>
      <w:r>
        <w:rPr>
          <w:rFonts w:hint="default" w:ascii="Times New Roman" w:hAnsi="Times New Roman" w:cs="Times New Roman"/>
          <w:b/>
          <w:color w:val="auto"/>
          <w:sz w:val="28"/>
          <w:szCs w:val="28"/>
        </w:rPr>
        <w:t>1.2.5公用工程及储运工程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水源来自市政自来水厂，从市政管网接入，依托厂内现有给水管网，厂区生产热源由一台1t/h燃油蒸汽锅炉提供，锅炉房内配备软化水制备装置。冬季生活供暖采取电采暖。厂区依托现有供电系统。厂区屠宰废水进入污水处理站处理后排入市政管网，排入兴隆镇污水处理厂处理，</w:t>
      </w:r>
      <w:r>
        <w:rPr>
          <w:rFonts w:hint="eastAsia" w:ascii="Times New Roman" w:hAnsi="Times New Roman" w:eastAsia="宋体" w:cs="Times New Roman"/>
          <w:color w:val="auto"/>
          <w:sz w:val="24"/>
          <w:lang w:val="en-US" w:eastAsia="zh-CN"/>
        </w:rPr>
        <w:t>排入泥河</w:t>
      </w:r>
      <w:r>
        <w:rPr>
          <w:rFonts w:hint="default" w:ascii="Times New Roman" w:hAnsi="Times New Roman" w:eastAsia="宋体" w:cs="Times New Roman"/>
          <w:color w:val="auto"/>
          <w:sz w:val="24"/>
          <w:lang w:val="en-US" w:eastAsia="zh-CN"/>
        </w:rPr>
        <w:t>。</w:t>
      </w:r>
    </w:p>
    <w:p>
      <w:pPr>
        <w:spacing w:line="360" w:lineRule="auto"/>
        <w:ind w:firstLine="480" w:firstLineChars="200"/>
        <w:rPr>
          <w:rFonts w:hint="default" w:ascii="Times New Roman" w:hAnsi="Times New Roman" w:eastAsia="宋体" w:cs="Times New Roman"/>
          <w:bCs/>
          <w:color w:val="FF0000"/>
          <w:sz w:val="24"/>
          <w:szCs w:val="24"/>
          <w:lang w:val="en-US" w:eastAsia="zh-CN"/>
        </w:rPr>
      </w:pPr>
      <w:r>
        <w:rPr>
          <w:rFonts w:hint="default" w:ascii="Times New Roman" w:hAnsi="Times New Roman" w:eastAsia="宋体" w:cs="Times New Roman"/>
          <w:bCs/>
          <w:color w:val="auto"/>
          <w:sz w:val="24"/>
          <w:szCs w:val="24"/>
        </w:rPr>
        <w:t>本项目</w:t>
      </w:r>
      <w:r>
        <w:rPr>
          <w:rFonts w:hint="default" w:ascii="Times New Roman" w:hAnsi="Times New Roman" w:eastAsia="宋体" w:cs="Times New Roman"/>
          <w:bCs/>
          <w:color w:val="auto"/>
          <w:sz w:val="24"/>
          <w:szCs w:val="24"/>
          <w:lang w:val="en-US" w:eastAsia="zh-CN"/>
        </w:rPr>
        <w:t>利用原有</w:t>
      </w:r>
      <w:r>
        <w:rPr>
          <w:rFonts w:hint="default" w:ascii="Times New Roman" w:hAnsi="Times New Roman" w:eastAsia="宋体" w:cs="Times New Roman"/>
          <w:bCs/>
          <w:color w:val="auto"/>
          <w:sz w:val="24"/>
          <w:szCs w:val="24"/>
        </w:rPr>
        <w:t>1个</w:t>
      </w:r>
      <w:r>
        <w:rPr>
          <w:rFonts w:hint="default" w:ascii="Times New Roman" w:hAnsi="Times New Roman" w:eastAsia="宋体" w:cs="Times New Roman"/>
          <w:bCs/>
          <w:color w:val="auto"/>
          <w:sz w:val="24"/>
          <w:szCs w:val="24"/>
          <w:lang w:val="en-US" w:eastAsia="zh-CN"/>
        </w:rPr>
        <w:t>800</w:t>
      </w:r>
      <w:r>
        <w:rPr>
          <w:rFonts w:hint="default" w:ascii="Times New Roman" w:hAnsi="Times New Roman" w:eastAsia="宋体" w:cs="Times New Roman"/>
          <w:bCs/>
          <w:color w:val="auto"/>
          <w:sz w:val="24"/>
          <w:szCs w:val="24"/>
        </w:rPr>
        <w:t>m</w:t>
      </w:r>
      <w:r>
        <w:rPr>
          <w:rFonts w:hint="default" w:ascii="Times New Roman" w:hAnsi="Times New Roman" w:eastAsia="宋体" w:cs="Times New Roman"/>
          <w:bCs/>
          <w:color w:val="auto"/>
          <w:sz w:val="24"/>
          <w:szCs w:val="24"/>
          <w:vertAlign w:val="superscript"/>
        </w:rPr>
        <w:t>2</w:t>
      </w:r>
      <w:r>
        <w:rPr>
          <w:rFonts w:hint="default" w:ascii="Times New Roman" w:hAnsi="Times New Roman" w:eastAsia="宋体" w:cs="Times New Roman"/>
          <w:bCs/>
          <w:color w:val="auto"/>
          <w:sz w:val="24"/>
          <w:szCs w:val="24"/>
        </w:rPr>
        <w:t>冷库</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利用原有</w:t>
      </w:r>
      <w:r>
        <w:rPr>
          <w:rFonts w:hint="default" w:ascii="Times New Roman" w:hAnsi="Times New Roman" w:eastAsia="宋体" w:cs="Times New Roman"/>
          <w:bCs/>
          <w:color w:val="000000" w:themeColor="text1"/>
          <w:sz w:val="24"/>
          <w:szCs w:val="24"/>
          <w14:textFill>
            <w14:solidFill>
              <w14:schemeClr w14:val="tx1"/>
            </w14:solidFill>
          </w14:textFill>
        </w:rPr>
        <w:t>1个</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50</w:t>
      </w:r>
      <w:r>
        <w:rPr>
          <w:rFonts w:hint="default" w:ascii="Times New Roman" w:hAnsi="Times New Roman" w:eastAsia="宋体" w:cs="Times New Roman"/>
          <w:bCs/>
          <w:color w:val="000000" w:themeColor="text1"/>
          <w:sz w:val="24"/>
          <w:szCs w:val="24"/>
          <w14:textFill>
            <w14:solidFill>
              <w14:schemeClr w14:val="tx1"/>
            </w14:solidFill>
          </w14:textFill>
        </w:rPr>
        <w:t>m</w:t>
      </w:r>
      <w:r>
        <w:rPr>
          <w:rFonts w:hint="default" w:ascii="Times New Roman" w:hAnsi="Times New Roman" w:eastAsia="宋体" w:cs="Times New Roman"/>
          <w:bCs/>
          <w:color w:val="000000" w:themeColor="text1"/>
          <w:sz w:val="24"/>
          <w:szCs w:val="24"/>
          <w:vertAlign w:val="superscript"/>
          <w14:textFill>
            <w14:solidFill>
              <w14:schemeClr w14:val="tx1"/>
            </w14:solidFill>
          </w14:textFill>
        </w:rPr>
        <w:t>2</w:t>
      </w:r>
      <w:r>
        <w:rPr>
          <w:rFonts w:hint="default" w:ascii="Times New Roman" w:hAnsi="Times New Roman" w:eastAsia="宋体" w:cs="Times New Roman"/>
          <w:bCs/>
          <w:color w:val="000000" w:themeColor="text1"/>
          <w:sz w:val="24"/>
          <w:szCs w:val="24"/>
          <w14:textFill>
            <w14:solidFill>
              <w14:schemeClr w14:val="tx1"/>
            </w14:solidFill>
          </w14:textFill>
        </w:rPr>
        <w:t>库房，用于存储消毒剂、维修工具等杂物</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lang w:val="en-US" w:eastAsia="zh-CN"/>
        </w:rPr>
        <w:t>利用原有1个900</w:t>
      </w:r>
      <w:r>
        <w:rPr>
          <w:rFonts w:hint="default" w:ascii="Times New Roman" w:hAnsi="Times New Roman" w:eastAsia="宋体" w:cs="Times New Roman"/>
          <w:spacing w:val="4"/>
          <w:sz w:val="24"/>
          <w:szCs w:val="24"/>
          <w:lang w:val="en-US" w:eastAsia="zh-CN"/>
        </w:rPr>
        <w:t>m</w:t>
      </w:r>
      <w:r>
        <w:rPr>
          <w:rFonts w:hint="default" w:ascii="Times New Roman" w:hAnsi="Times New Roman" w:eastAsia="宋体" w:cs="Times New Roman"/>
          <w:spacing w:val="4"/>
          <w:sz w:val="24"/>
          <w:szCs w:val="24"/>
          <w:vertAlign w:val="superscript"/>
          <w:lang w:val="en-US" w:eastAsia="zh-CN"/>
        </w:rPr>
        <w:t>2</w:t>
      </w:r>
      <w:r>
        <w:rPr>
          <w:rFonts w:hint="default" w:ascii="Times New Roman" w:hAnsi="Times New Roman" w:eastAsia="宋体" w:cs="Times New Roman"/>
          <w:spacing w:val="4"/>
          <w:sz w:val="24"/>
          <w:szCs w:val="24"/>
          <w:vertAlign w:val="baseline"/>
          <w:lang w:val="en-US" w:eastAsia="zh-CN"/>
        </w:rPr>
        <w:t>屠宰加工车间；</w:t>
      </w:r>
      <w:r>
        <w:rPr>
          <w:rFonts w:hint="default" w:ascii="Times New Roman" w:hAnsi="Times New Roman" w:eastAsia="宋体" w:cs="Times New Roman"/>
          <w:bCs/>
          <w:color w:val="auto"/>
          <w:sz w:val="24"/>
          <w:szCs w:val="24"/>
          <w:lang w:val="en-US" w:eastAsia="zh-CN"/>
        </w:rPr>
        <w:t>利用原有1个500</w:t>
      </w:r>
      <w:r>
        <w:rPr>
          <w:rFonts w:hint="default" w:ascii="Times New Roman" w:hAnsi="Times New Roman" w:eastAsia="宋体" w:cs="Times New Roman"/>
          <w:spacing w:val="4"/>
          <w:sz w:val="24"/>
          <w:szCs w:val="24"/>
          <w:lang w:val="en-US" w:eastAsia="zh-CN"/>
        </w:rPr>
        <w:t>m</w:t>
      </w:r>
      <w:r>
        <w:rPr>
          <w:rFonts w:hint="default" w:ascii="Times New Roman" w:hAnsi="Times New Roman" w:eastAsia="宋体" w:cs="Times New Roman"/>
          <w:spacing w:val="4"/>
          <w:sz w:val="24"/>
          <w:szCs w:val="24"/>
          <w:vertAlign w:val="superscript"/>
          <w:lang w:val="en-US" w:eastAsia="zh-CN"/>
        </w:rPr>
        <w:t>2</w:t>
      </w:r>
      <w:r>
        <w:rPr>
          <w:rFonts w:hint="default" w:ascii="Times New Roman" w:hAnsi="Times New Roman" w:eastAsia="宋体" w:cs="Times New Roman"/>
          <w:spacing w:val="4"/>
          <w:sz w:val="24"/>
          <w:szCs w:val="24"/>
          <w:vertAlign w:val="baseline"/>
          <w:lang w:val="en-US" w:eastAsia="zh-CN"/>
        </w:rPr>
        <w:t>待宰圈；利用原有一座1.5</w:t>
      </w:r>
      <w:r>
        <w:rPr>
          <w:rFonts w:hint="eastAsia" w:ascii="Times New Roman" w:hAnsi="Times New Roman" w:eastAsia="宋体" w:cs="Times New Roman"/>
          <w:spacing w:val="4"/>
          <w:sz w:val="24"/>
          <w:szCs w:val="24"/>
          <w:vertAlign w:val="baseline"/>
          <w:lang w:val="en-US" w:eastAsia="zh-CN"/>
        </w:rPr>
        <w:t>4</w:t>
      </w:r>
      <w:r>
        <w:rPr>
          <w:rFonts w:hint="default" w:ascii="Times New Roman" w:hAnsi="Times New Roman" w:eastAsia="宋体" w:cs="Times New Roman"/>
          <w:spacing w:val="4"/>
          <w:sz w:val="24"/>
          <w:szCs w:val="24"/>
          <w:vertAlign w:val="baseline"/>
          <w:lang w:val="en-US" w:eastAsia="zh-CN"/>
        </w:rPr>
        <w:t>m</w:t>
      </w:r>
      <w:r>
        <w:rPr>
          <w:rFonts w:hint="default" w:ascii="Times New Roman" w:hAnsi="Times New Roman" w:eastAsia="宋体" w:cs="Times New Roman"/>
          <w:spacing w:val="4"/>
          <w:sz w:val="24"/>
          <w:szCs w:val="24"/>
          <w:vertAlign w:val="superscript"/>
          <w:lang w:val="en-US" w:eastAsia="zh-CN"/>
        </w:rPr>
        <w:t>3</w:t>
      </w:r>
      <w:r>
        <w:rPr>
          <w:rFonts w:hint="default" w:ascii="Times New Roman" w:hAnsi="Times New Roman" w:eastAsia="宋体" w:cs="Times New Roman"/>
          <w:spacing w:val="4"/>
          <w:sz w:val="24"/>
          <w:szCs w:val="24"/>
          <w:vertAlign w:val="baseline"/>
          <w:lang w:val="en-US" w:eastAsia="zh-CN"/>
        </w:rPr>
        <w:t>的柴油储罐</w:t>
      </w:r>
      <w:r>
        <w:rPr>
          <w:rFonts w:hint="eastAsia" w:ascii="Times New Roman" w:hAnsi="Times New Roman" w:eastAsia="宋体" w:cs="Times New Roman"/>
          <w:spacing w:val="4"/>
          <w:sz w:val="24"/>
          <w:szCs w:val="24"/>
          <w:vertAlign w:val="baseline"/>
          <w:lang w:val="en-US" w:eastAsia="zh-CN"/>
        </w:rPr>
        <w:t>；利用</w:t>
      </w:r>
      <w:r>
        <w:rPr>
          <w:rFonts w:hint="default" w:ascii="Times New Roman" w:hAnsi="Times New Roman" w:eastAsia="宋体" w:cs="Times New Roman"/>
          <w:color w:val="auto"/>
          <w:spacing w:val="0"/>
          <w:sz w:val="24"/>
          <w:szCs w:val="24"/>
          <w:highlight w:val="none"/>
          <w:lang w:val="en-US" w:eastAsia="zh-CN"/>
        </w:rPr>
        <w:t>一座处理能力300m</w:t>
      </w:r>
      <w:r>
        <w:rPr>
          <w:rFonts w:hint="default" w:ascii="Times New Roman" w:hAnsi="Times New Roman" w:eastAsia="宋体" w:cs="Times New Roman"/>
          <w:color w:val="auto"/>
          <w:spacing w:val="0"/>
          <w:sz w:val="24"/>
          <w:szCs w:val="24"/>
          <w:highlight w:val="none"/>
          <w:vertAlign w:val="superscript"/>
          <w:lang w:val="en-US" w:eastAsia="zh-CN"/>
        </w:rPr>
        <w:t>3</w:t>
      </w:r>
      <w:r>
        <w:rPr>
          <w:rFonts w:hint="default" w:ascii="Times New Roman" w:hAnsi="Times New Roman" w:eastAsia="宋体" w:cs="Times New Roman"/>
          <w:color w:val="auto"/>
          <w:spacing w:val="0"/>
          <w:sz w:val="24"/>
          <w:szCs w:val="24"/>
          <w:highlight w:val="none"/>
          <w:lang w:val="en-US" w:eastAsia="zh-CN"/>
        </w:rPr>
        <w:t>/d的污水处理站</w:t>
      </w:r>
      <w:r>
        <w:rPr>
          <w:rFonts w:hint="eastAsia" w:ascii="Times New Roman" w:hAnsi="Times New Roman" w:eastAsia="宋体" w:cs="Times New Roman"/>
          <w:spacing w:val="4"/>
          <w:sz w:val="24"/>
          <w:szCs w:val="24"/>
          <w:highlight w:val="none"/>
          <w:vertAlign w:val="baseline"/>
          <w:lang w:val="en-US" w:eastAsia="zh-CN"/>
        </w:rPr>
        <w:t>；</w:t>
      </w:r>
      <w:r>
        <w:rPr>
          <w:rFonts w:hint="eastAsia" w:ascii="Times New Roman" w:hAnsi="Times New Roman" w:eastAsia="宋体" w:cs="Times New Roman"/>
          <w:bCs/>
          <w:color w:val="auto"/>
          <w:sz w:val="24"/>
          <w:szCs w:val="24"/>
          <w:highlight w:val="none"/>
          <w:lang w:val="en-US" w:eastAsia="zh-CN"/>
        </w:rPr>
        <w:t>利用原有一座</w:t>
      </w:r>
      <w:r>
        <w:rPr>
          <w:rFonts w:hint="eastAsia" w:ascii="Times New Roman" w:hAnsi="Times New Roman" w:eastAsia="宋体" w:cs="Times New Roman"/>
          <w:spacing w:val="4"/>
          <w:sz w:val="24"/>
          <w:szCs w:val="24"/>
          <w:highlight w:val="none"/>
          <w:vertAlign w:val="baseline"/>
          <w:lang w:val="en-US" w:eastAsia="zh-CN"/>
        </w:rPr>
        <w:t>20</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bCs/>
          <w:color w:val="auto"/>
          <w:sz w:val="24"/>
          <w:szCs w:val="24"/>
          <w:highlight w:val="none"/>
          <w:lang w:val="en-US" w:eastAsia="zh-CN"/>
        </w:rPr>
        <w:t>急宰间，</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用于检验不合格</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猪</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的隔离和宰杀</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bCs/>
          <w:color w:val="auto"/>
          <w:sz w:val="24"/>
          <w:szCs w:val="24"/>
          <w:lang w:val="en-US" w:eastAsia="zh-CN"/>
        </w:rPr>
        <w:t>新建一座140m</w:t>
      </w:r>
      <w:r>
        <w:rPr>
          <w:rFonts w:hint="default" w:ascii="Times New Roman" w:hAnsi="Times New Roman" w:eastAsia="宋体" w:cs="Times New Roman"/>
          <w:bCs/>
          <w:color w:val="auto"/>
          <w:sz w:val="24"/>
          <w:szCs w:val="24"/>
          <w:vertAlign w:val="superscript"/>
          <w:lang w:val="en-US" w:eastAsia="zh-CN"/>
        </w:rPr>
        <w:t>3</w:t>
      </w:r>
      <w:r>
        <w:rPr>
          <w:rFonts w:hint="default" w:ascii="Times New Roman" w:hAnsi="Times New Roman" w:eastAsia="宋体" w:cs="Times New Roman"/>
          <w:bCs/>
          <w:color w:val="auto"/>
          <w:sz w:val="24"/>
          <w:szCs w:val="24"/>
          <w:lang w:val="en-US" w:eastAsia="zh-CN"/>
        </w:rPr>
        <w:t>的事故池。</w:t>
      </w:r>
    </w:p>
    <w:p>
      <w:pPr>
        <w:pStyle w:val="6"/>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TimesNewRomanPSMT" w:cs="Times New Roman"/>
          <w:b w:val="0"/>
          <w:bCs w:val="0"/>
          <w:color w:val="auto"/>
          <w:kern w:val="0"/>
          <w:sz w:val="24"/>
          <w:szCs w:val="24"/>
          <w:lang w:val="en-US" w:eastAsia="zh-CN" w:bidi="ar"/>
        </w:rPr>
        <w:t>冷库采用R404A制冷剂，R404A</w:t>
      </w:r>
      <w:r>
        <w:rPr>
          <w:rFonts w:hint="default" w:ascii="Times New Roman" w:hAnsi="Times New Roman" w:eastAsia="宋体" w:cs="Times New Roman"/>
          <w:b w:val="0"/>
          <w:bCs w:val="0"/>
          <w:color w:val="auto"/>
          <w:kern w:val="0"/>
          <w:sz w:val="24"/>
          <w:szCs w:val="24"/>
          <w:lang w:val="en-US" w:eastAsia="zh-CN" w:bidi="ar"/>
        </w:rPr>
        <w:t>制冷剂是一款由</w:t>
      </w:r>
      <w:r>
        <w:rPr>
          <w:rFonts w:hint="default" w:ascii="Times New Roman" w:hAnsi="Times New Roman" w:eastAsia="TimesNewRomanPSMT" w:cs="Times New Roman"/>
          <w:b w:val="0"/>
          <w:bCs w:val="0"/>
          <w:color w:val="auto"/>
          <w:kern w:val="0"/>
          <w:sz w:val="24"/>
          <w:szCs w:val="24"/>
          <w:lang w:val="en-US" w:eastAsia="zh-CN" w:bidi="ar"/>
        </w:rPr>
        <w:t>HFC</w:t>
      </w:r>
      <w:r>
        <w:rPr>
          <w:rFonts w:hint="default" w:ascii="Times New Roman" w:hAnsi="Times New Roman" w:eastAsia="宋体" w:cs="Times New Roman"/>
          <w:b w:val="0"/>
          <w:bCs w:val="0"/>
          <w:color w:val="auto"/>
          <w:kern w:val="0"/>
          <w:sz w:val="24"/>
          <w:szCs w:val="24"/>
          <w:lang w:val="en-US" w:eastAsia="zh-CN" w:bidi="ar"/>
        </w:rPr>
        <w:t>类物质组成的混配制冷剂，不含任何破坏臭氧层的物质。</w:t>
      </w:r>
    </w:p>
    <w:p>
      <w:pPr>
        <w:pStyle w:val="11"/>
        <w:keepNext/>
        <w:keepLines/>
        <w:pageBreakBefore w:val="0"/>
        <w:widowControl w:val="0"/>
        <w:numPr>
          <w:ilvl w:val="2"/>
          <w:numId w:val="0"/>
        </w:numPr>
        <w:kinsoku/>
        <w:wordWrap/>
        <w:overflowPunct/>
        <w:topLinePunct w:val="0"/>
        <w:autoSpaceDE/>
        <w:autoSpaceDN/>
        <w:bidi w:val="0"/>
        <w:adjustRightInd/>
        <w:snapToGrid/>
        <w:spacing w:before="0" w:after="0" w:line="360" w:lineRule="auto"/>
        <w:ind w:leftChars="0"/>
        <w:textAlignment w:val="auto"/>
        <w:rPr>
          <w:rFonts w:hint="default" w:ascii="Times New Roman" w:hAnsi="Times New Roman" w:cs="Times New Roman"/>
          <w:b/>
          <w:bCs/>
          <w:color w:val="auto"/>
          <w:sz w:val="28"/>
          <w:szCs w:val="28"/>
          <w:lang w:val="en-US" w:eastAsia="zh-CN"/>
        </w:rPr>
      </w:pPr>
      <w:r>
        <w:rPr>
          <w:rFonts w:hint="default" w:ascii="Times New Roman" w:hAnsi="Times New Roman" w:cs="Times New Roman"/>
          <w:b/>
          <w:bCs/>
          <w:color w:val="auto"/>
          <w:sz w:val="28"/>
          <w:szCs w:val="28"/>
          <w:lang w:val="en-US" w:eastAsia="zh-CN"/>
        </w:rPr>
        <w:t>1.2.6 依托工程</w:t>
      </w:r>
    </w:p>
    <w:p>
      <w:pPr>
        <w:pStyle w:val="30"/>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兴隆镇污水厂设计处理规模1万m</w:t>
      </w:r>
      <w:r>
        <w:rPr>
          <w:rFonts w:hint="default" w:ascii="Times New Roman" w:hAnsi="Times New Roman" w:eastAsia="宋体" w:cs="Times New Roman"/>
          <w:color w:val="000000" w:themeColor="text1"/>
          <w:kern w:val="21"/>
          <w:sz w:val="24"/>
          <w:szCs w:val="24"/>
          <w:highlight w:val="none"/>
          <w:u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/d，污水处理工艺采用预处理+倒置 A</w:t>
      </w:r>
      <w:r>
        <w:rPr>
          <w:rFonts w:hint="default" w:ascii="Times New Roman" w:hAnsi="Times New Roman" w:eastAsia="宋体" w:cs="Times New Roman"/>
          <w:color w:val="000000" w:themeColor="text1"/>
          <w:kern w:val="21"/>
          <w:sz w:val="24"/>
          <w:szCs w:val="24"/>
          <w:highlight w:val="none"/>
          <w:u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 xml:space="preserve"> /O+二沉池+混凝沉淀+过滤+ 紫外线消毒工艺，污水排放标准执行《城镇污水处理厂污染物排放标准》（GB18918-2002）中一级 A 排放标准后经龙须沟汇入泥河。本项目排入兴隆镇污水处理厂水量为218.34m</w:t>
      </w:r>
      <w:r>
        <w:rPr>
          <w:rFonts w:hint="default" w:ascii="Times New Roman" w:hAnsi="Times New Roman" w:eastAsia="宋体" w:cs="Times New Roman"/>
          <w:color w:val="000000" w:themeColor="text1"/>
          <w:kern w:val="21"/>
          <w:sz w:val="24"/>
          <w:szCs w:val="24"/>
          <w:highlight w:val="none"/>
          <w:u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/d，污水厂现有余量5000m</w:t>
      </w:r>
      <w:r>
        <w:rPr>
          <w:rFonts w:hint="default" w:ascii="Times New Roman" w:hAnsi="Times New Roman" w:eastAsia="宋体" w:cs="Times New Roman"/>
          <w:color w:val="000000" w:themeColor="text1"/>
          <w:kern w:val="21"/>
          <w:sz w:val="24"/>
          <w:szCs w:val="24"/>
          <w:highlight w:val="none"/>
          <w:u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 xml:space="preserve">/d，有能力接纳本项目废水，能够满足本项目废水排放要求。 </w:t>
      </w:r>
    </w:p>
    <w:p>
      <w:pPr>
        <w:pStyle w:val="11"/>
        <w:keepNext/>
        <w:keepLines/>
        <w:pageBreakBefore w:val="0"/>
        <w:widowControl w:val="0"/>
        <w:numPr>
          <w:ilvl w:val="2"/>
          <w:numId w:val="0"/>
        </w:numPr>
        <w:kinsoku/>
        <w:wordWrap/>
        <w:overflowPunct/>
        <w:topLinePunct w:val="0"/>
        <w:autoSpaceDE/>
        <w:autoSpaceDN/>
        <w:bidi w:val="0"/>
        <w:adjustRightInd/>
        <w:snapToGrid/>
        <w:spacing w:before="0" w:after="0" w:line="360" w:lineRule="auto"/>
        <w:ind w:leftChars="0"/>
        <w:textAlignment w:val="auto"/>
        <w:rPr>
          <w:rFonts w:hint="default" w:ascii="Times New Roman" w:hAnsi="Times New Roman" w:cs="Times New Roman"/>
          <w:b/>
          <w:bCs/>
          <w:color w:val="auto"/>
          <w:sz w:val="28"/>
          <w:szCs w:val="28"/>
          <w:lang w:val="en-US" w:eastAsia="zh-CN"/>
        </w:rPr>
      </w:pPr>
      <w:bookmarkStart w:id="10" w:name="_Toc13410"/>
      <w:r>
        <w:rPr>
          <w:rFonts w:hint="default" w:ascii="Times New Roman" w:hAnsi="Times New Roman" w:cs="Times New Roman"/>
          <w:b/>
          <w:bCs/>
          <w:color w:val="auto"/>
          <w:sz w:val="28"/>
          <w:szCs w:val="28"/>
          <w:lang w:val="en-US" w:eastAsia="zh-CN"/>
        </w:rPr>
        <w:t>1.2.7 主要结论</w:t>
      </w:r>
      <w:bookmarkEnd w:id="10"/>
      <w:r>
        <w:rPr>
          <w:rFonts w:hint="default" w:ascii="Times New Roman" w:hAnsi="Times New Roman" w:cs="Times New Roman"/>
          <w:b/>
          <w:bCs/>
          <w:color w:val="auto"/>
          <w:sz w:val="28"/>
          <w:szCs w:val="28"/>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本项目建设项目符合国家产业政策要求，项目本着从清洁生产入手，对产生的污染物采取了源头污染控制的工程措施切实可行，在认真落实报告书所述各项污染防治措施后，可实现污染物稳定达标排放，通过加强环境管理和环境监测，杜绝事故发生，本项目建设可被周围环境所接受。 </w:t>
      </w:r>
    </w:p>
    <w:p>
      <w:pPr>
        <w:pStyle w:val="30"/>
        <w:keepNext w:val="0"/>
        <w:keepLines w:val="0"/>
        <w:pageBreakBefore w:val="0"/>
        <w:wordWrap/>
        <w:overflowPunct/>
        <w:topLinePunct w:val="0"/>
        <w:bidi w:val="0"/>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因此，从环境保护角度分析，本项目具有可行性。</w:t>
      </w:r>
    </w:p>
    <w:p>
      <w:pPr>
        <w:keepNext w:val="0"/>
        <w:keepLines w:val="0"/>
        <w:pageBreakBefore w:val="0"/>
        <w:widowControl w:val="0"/>
        <w:kinsoku/>
        <w:wordWrap/>
        <w:overflowPunct/>
        <w:topLinePunct w:val="0"/>
        <w:autoSpaceDE/>
        <w:autoSpaceDN/>
        <w:bidi w:val="0"/>
        <w:adjustRightInd/>
        <w:snapToGrid/>
        <w:spacing w:line="360" w:lineRule="auto"/>
        <w:contextualSpacing/>
        <w:jc w:val="left"/>
        <w:textAlignment w:val="auto"/>
        <w:outlineLvl w:val="1"/>
        <w:rPr>
          <w:rFonts w:hint="default" w:ascii="Times New Roman" w:hAnsi="Times New Roman" w:eastAsia="宋体" w:cs="Times New Roman"/>
          <w:b/>
          <w:bCs/>
          <w:snapToGrid/>
          <w:color w:val="auto"/>
          <w:kern w:val="44"/>
          <w:sz w:val="30"/>
          <w:szCs w:val="30"/>
          <w:lang w:val="en-US" w:eastAsia="zh-CN"/>
        </w:rPr>
      </w:pPr>
      <w:bookmarkStart w:id="11" w:name="_Toc2254"/>
      <w:bookmarkStart w:id="12" w:name="_Toc9251"/>
      <w:r>
        <w:rPr>
          <w:rFonts w:hint="default" w:ascii="Times New Roman" w:hAnsi="Times New Roman" w:eastAsia="宋体" w:cs="Times New Roman"/>
          <w:b/>
          <w:bCs/>
          <w:snapToGrid/>
          <w:color w:val="auto"/>
          <w:kern w:val="44"/>
          <w:sz w:val="30"/>
          <w:szCs w:val="30"/>
          <w:lang w:val="en-US" w:eastAsia="zh-CN"/>
        </w:rPr>
        <w:t>1.3环境影响评价工作过程</w:t>
      </w:r>
      <w:bookmarkEnd w:id="11"/>
      <w:bookmarkEnd w:id="12"/>
    </w:p>
    <w:p>
      <w:pPr>
        <w:spacing w:line="360" w:lineRule="auto"/>
        <w:ind w:firstLine="480" w:firstLineChars="200"/>
        <w:contextualSpacing/>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rPr>
        <w:t>依据《建设项目环境影响评价技术导则总纲》（HJ2.1-2016）要求，本次环评工作分为三个阶段进行。</w:t>
      </w:r>
    </w:p>
    <w:p>
      <w:pPr>
        <w:spacing w:line="360" w:lineRule="auto"/>
        <w:ind w:firstLine="480" w:firstLineChars="200"/>
        <w:jc w:val="both"/>
        <w:rPr>
          <w:rFonts w:hint="default" w:ascii="Times New Roman" w:hAnsi="Times New Roman" w:cs="Times New Roman"/>
          <w:color w:val="auto"/>
          <w:sz w:val="24"/>
        </w:rPr>
      </w:pPr>
      <w:r>
        <w:rPr>
          <w:rFonts w:hint="default" w:ascii="Times New Roman" w:hAnsi="Times New Roman" w:eastAsia="宋体" w:cs="Times New Roman"/>
          <w:snapToGrid w:val="0"/>
          <w:color w:val="auto"/>
          <w:kern w:val="0"/>
          <w:sz w:val="24"/>
          <w:lang w:val="en-US" w:eastAsia="zh-CN"/>
        </w:rPr>
        <w:t>一、</w:t>
      </w:r>
      <w:r>
        <w:rPr>
          <w:rFonts w:hint="default" w:ascii="Times New Roman" w:hAnsi="Times New Roman" w:cs="Times New Roman"/>
          <w:color w:val="auto"/>
          <w:sz w:val="24"/>
        </w:rPr>
        <w:t>依据《建设项目环境影响评价分类管理名录》（2021年版）“十、农副食品加工业 18 屠宰及肉类加工135”；屠宰生猪10万头、肉牛1万头、肉羊15万只、禽类1000万只及以上的，应做报告书。本项目年屠宰</w:t>
      </w:r>
      <w:r>
        <w:rPr>
          <w:rFonts w:hint="default" w:ascii="Times New Roman" w:hAnsi="Times New Roman" w:cs="Times New Roman"/>
          <w:color w:val="auto"/>
          <w:sz w:val="24"/>
          <w:lang w:val="en-US" w:eastAsia="zh-CN"/>
        </w:rPr>
        <w:t>生猪16</w:t>
      </w:r>
      <w:r>
        <w:rPr>
          <w:rFonts w:hint="default" w:ascii="Times New Roman" w:hAnsi="Times New Roman" w:cs="Times New Roman"/>
          <w:color w:val="auto"/>
          <w:sz w:val="24"/>
          <w:lang w:eastAsia="zh-CN"/>
        </w:rPr>
        <w:t>万</w:t>
      </w:r>
      <w:r>
        <w:rPr>
          <w:rFonts w:hint="default" w:ascii="Times New Roman" w:hAnsi="Times New Roman" w:cs="Times New Roman"/>
          <w:color w:val="auto"/>
          <w:sz w:val="24"/>
        </w:rPr>
        <w:t>头，因此应编制环境影响报告书。在研究相关技术及其他有关文件基础上进行初步工程分析，开展了初步环境现状调查，进行了环境影响识别和评价因子筛选。明确了评价重点为水环境影响、大气环境影响、噪声环境影响和固体废物影响，确定了保护目标，进一步确定评价工作等级、范围及评价标准，制定出相应工作方案。</w:t>
      </w:r>
    </w:p>
    <w:p>
      <w:pPr>
        <w:spacing w:line="360" w:lineRule="auto"/>
        <w:ind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二、</w:t>
      </w:r>
      <w:r>
        <w:rPr>
          <w:rFonts w:hint="default" w:ascii="Times New Roman" w:hAnsi="Times New Roman" w:cs="Times New Roman"/>
          <w:color w:val="auto"/>
          <w:sz w:val="24"/>
        </w:rPr>
        <w:t>根据第一阶段工作成果，对环境现状的大气环境、地表水环境、地下水环境、声环境等进行了调查、监测与评价，详细进行工程分析</w:t>
      </w:r>
      <w:r>
        <w:rPr>
          <w:rFonts w:hint="default" w:ascii="Times New Roman" w:hAnsi="Times New Roman" w:cs="Times New Roman"/>
          <w:color w:val="auto"/>
          <w:sz w:val="24"/>
          <w:lang w:eastAsia="zh-CN"/>
        </w:rPr>
        <w:t>。</w:t>
      </w:r>
    </w:p>
    <w:p>
      <w:pPr>
        <w:spacing w:line="360" w:lineRule="auto"/>
        <w:ind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三、提出环境保护措施，进行经济技术可行性论证，给出污染物排放清单并给出评价结论。</w:t>
      </w:r>
    </w:p>
    <w:p>
      <w:pPr>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color w:val="auto"/>
          <w:highlight w:val="none"/>
        </w:rPr>
        <w:drawing>
          <wp:inline distT="0" distB="0" distL="114300" distR="114300">
            <wp:extent cx="3820795" cy="3852545"/>
            <wp:effectExtent l="9525" t="9525" r="17780" b="2413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28"/>
                    <a:srcRect t="5614" b="2365"/>
                    <a:stretch>
                      <a:fillRect/>
                    </a:stretch>
                  </pic:blipFill>
                  <pic:spPr>
                    <a:xfrm>
                      <a:off x="0" y="0"/>
                      <a:ext cx="3820795" cy="385254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240" w:lineRule="auto"/>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b/>
          <w:bCs/>
          <w:color w:val="auto"/>
          <w:sz w:val="21"/>
          <w:highlight w:val="none"/>
        </w:rPr>
        <w:t>图1</w:t>
      </w:r>
      <w:r>
        <w:rPr>
          <w:rFonts w:hint="default" w:ascii="Times New Roman" w:hAnsi="Times New Roman" w:eastAsia="宋体" w:cs="Times New Roman"/>
          <w:b/>
          <w:bCs/>
          <w:color w:val="auto"/>
          <w:sz w:val="21"/>
          <w:highlight w:val="none"/>
          <w:lang w:val="en-US" w:eastAsia="zh-CN"/>
        </w:rPr>
        <w:t>-3</w:t>
      </w:r>
      <w:r>
        <w:rPr>
          <w:rFonts w:hint="default" w:ascii="Times New Roman" w:hAnsi="Times New Roman" w:eastAsia="宋体" w:cs="Times New Roman"/>
          <w:b/>
          <w:bCs/>
          <w:color w:val="auto"/>
          <w:sz w:val="21"/>
          <w:highlight w:val="none"/>
        </w:rPr>
        <w:t>-1 环境影响评价工作程序图</w:t>
      </w:r>
    </w:p>
    <w:p>
      <w:pPr>
        <w:pStyle w:val="31"/>
        <w:rPr>
          <w:rFonts w:hint="default" w:ascii="Times New Roman" w:hAnsi="Times New Roman" w:cs="Times New Roman"/>
          <w:lang w:val="en-US" w:eastAsia="zh-CN"/>
        </w:rPr>
      </w:pPr>
    </w:p>
    <w:p>
      <w:pPr>
        <w:pStyle w:val="11"/>
        <w:keepNext/>
        <w:keepLines/>
        <w:pageBreakBefore w:val="0"/>
        <w:widowControl w:val="0"/>
        <w:numPr>
          <w:ilvl w:val="2"/>
          <w:numId w:val="0"/>
        </w:numPr>
        <w:kinsoku/>
        <w:wordWrap/>
        <w:overflowPunct/>
        <w:topLinePunct w:val="0"/>
        <w:autoSpaceDE/>
        <w:autoSpaceDN/>
        <w:bidi w:val="0"/>
        <w:adjustRightInd/>
        <w:snapToGrid/>
        <w:spacing w:before="0" w:after="0" w:line="360" w:lineRule="auto"/>
        <w:ind w:leftChars="0"/>
        <w:textAlignment w:val="auto"/>
        <w:outlineLvl w:val="1"/>
        <w:rPr>
          <w:rFonts w:hint="default" w:ascii="Times New Roman" w:hAnsi="Times New Roman" w:cs="Times New Roman"/>
          <w:b/>
          <w:bCs/>
          <w:color w:val="auto"/>
          <w:lang w:val="en-US" w:eastAsia="zh-CN"/>
        </w:rPr>
      </w:pPr>
      <w:bookmarkStart w:id="13" w:name="_Toc24879"/>
      <w:bookmarkStart w:id="14" w:name="_Toc29744"/>
      <w:bookmarkStart w:id="15" w:name="_Toc4089"/>
      <w:r>
        <w:rPr>
          <w:rFonts w:hint="default" w:ascii="Times New Roman" w:hAnsi="Times New Roman" w:cs="Times New Roman"/>
          <w:b/>
          <w:bCs/>
          <w:color w:val="auto"/>
          <w:lang w:val="en-US" w:eastAsia="zh-CN"/>
        </w:rPr>
        <w:t>1.4 分析判定的相关情况</w:t>
      </w:r>
      <w:bookmarkEnd w:id="13"/>
      <w:bookmarkEnd w:id="14"/>
      <w:bookmarkEnd w:id="15"/>
    </w:p>
    <w:p>
      <w:pPr>
        <w:pStyle w:val="11"/>
        <w:keepNext/>
        <w:keepLines/>
        <w:pageBreakBefore w:val="0"/>
        <w:widowControl w:val="0"/>
        <w:numPr>
          <w:ilvl w:val="2"/>
          <w:numId w:val="0"/>
        </w:numPr>
        <w:kinsoku/>
        <w:wordWrap/>
        <w:overflowPunct/>
        <w:topLinePunct w:val="0"/>
        <w:autoSpaceDE/>
        <w:autoSpaceDN/>
        <w:bidi w:val="0"/>
        <w:adjustRightInd/>
        <w:snapToGrid/>
        <w:spacing w:before="0" w:after="0" w:line="360" w:lineRule="auto"/>
        <w:ind w:leftChars="0"/>
        <w:textAlignment w:val="auto"/>
        <w:rPr>
          <w:rFonts w:hint="default" w:ascii="Times New Roman" w:hAnsi="Times New Roman" w:cs="Times New Roman"/>
          <w:b/>
          <w:bCs/>
          <w:color w:val="auto"/>
          <w:sz w:val="28"/>
          <w:szCs w:val="28"/>
          <w:lang w:val="en-US" w:eastAsia="zh-CN"/>
        </w:rPr>
      </w:pPr>
      <w:bookmarkStart w:id="16" w:name="_Toc23275"/>
      <w:r>
        <w:rPr>
          <w:rFonts w:hint="default" w:ascii="Times New Roman" w:hAnsi="Times New Roman" w:cs="Times New Roman"/>
          <w:b/>
          <w:bCs/>
          <w:color w:val="auto"/>
          <w:sz w:val="28"/>
          <w:szCs w:val="28"/>
          <w:lang w:val="en-US" w:eastAsia="zh-CN"/>
        </w:rPr>
        <w:t>1.4.1 产业政策符合性分析</w:t>
      </w:r>
      <w:bookmarkEnd w:id="16"/>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7"/>
          <w:sz w:val="24"/>
          <w:szCs w:val="24"/>
          <w:lang w:val="en-US" w:eastAsia="zh-CN"/>
        </w:rPr>
      </w:pPr>
      <w:r>
        <w:rPr>
          <w:rFonts w:hint="default" w:ascii="Times New Roman" w:hAnsi="Times New Roman" w:eastAsia="宋体" w:cs="Times New Roman"/>
          <w:spacing w:val="-2"/>
          <w:position w:val="17"/>
          <w:sz w:val="24"/>
          <w:szCs w:val="24"/>
          <w:lang w:val="en-US" w:eastAsia="zh-CN"/>
        </w:rPr>
        <w:t>根据《产业结构调整指导目录（2024年本）》，本项目年屠宰生猪16万头，不属于“限制类”中的“十二、轻工－24、年屠宰生猪15万头及以下、肉牛1万头及以下、肉羊15万只及以下、活禽1000万只及以下的屠宰建设项目（少数民族地区除外）”，采取的工艺和设备均不属于《产业结构调整指导目录》（2024年本）中的鼓励类、限制类和淘汰类，为允许类项目，符合国家产业政策。</w:t>
      </w:r>
    </w:p>
    <w:p>
      <w:pPr>
        <w:pStyle w:val="11"/>
        <w:keepNext/>
        <w:keepLines/>
        <w:pageBreakBefore w:val="0"/>
        <w:widowControl w:val="0"/>
        <w:numPr>
          <w:ilvl w:val="2"/>
          <w:numId w:val="0"/>
        </w:numPr>
        <w:kinsoku/>
        <w:wordWrap/>
        <w:overflowPunct/>
        <w:topLinePunct w:val="0"/>
        <w:autoSpaceDE/>
        <w:autoSpaceDN/>
        <w:bidi w:val="0"/>
        <w:adjustRightInd/>
        <w:snapToGrid/>
        <w:spacing w:before="0" w:after="0" w:line="360" w:lineRule="auto"/>
        <w:ind w:leftChars="0"/>
        <w:textAlignment w:val="auto"/>
        <w:rPr>
          <w:rFonts w:hint="default" w:ascii="Times New Roman" w:hAnsi="Times New Roman" w:cs="Times New Roman"/>
          <w:b/>
          <w:bCs/>
          <w:color w:val="auto"/>
          <w:sz w:val="28"/>
          <w:szCs w:val="28"/>
          <w:lang w:val="en-US" w:eastAsia="zh-CN"/>
        </w:rPr>
      </w:pPr>
      <w:r>
        <w:rPr>
          <w:rFonts w:hint="default" w:ascii="Times New Roman" w:hAnsi="Times New Roman" w:cs="Times New Roman"/>
          <w:b/>
          <w:bCs/>
          <w:color w:val="auto"/>
          <w:sz w:val="28"/>
          <w:szCs w:val="28"/>
          <w:lang w:val="en-US" w:eastAsia="zh-CN"/>
        </w:rPr>
        <w:t>1.4.2  与《黑龙江省人民政府关于印发黑龙江省国民经济和社会发展第十四个五年规划和二〇三五年远景目标纲要的通知》（黑政发〔2021〕5号）符合性分析</w:t>
      </w:r>
    </w:p>
    <w:p>
      <w:pPr>
        <w:bidi w:val="0"/>
        <w:jc w:val="cente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表1-4--1   与《黑龙江省国民经济和社会发展第十四个五年规划和二〇三五年远景目标纲要的通知》的符合性</w:t>
      </w:r>
    </w:p>
    <w:tbl>
      <w:tblPr>
        <w:tblStyle w:val="24"/>
        <w:tblW w:w="91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28"/>
        <w:gridCol w:w="5345"/>
        <w:gridCol w:w="2237"/>
        <w:gridCol w:w="107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28" w:type="dxa"/>
          </w:tcPr>
          <w:p>
            <w:pPr>
              <w:pStyle w:val="8"/>
              <w:spacing w:line="360" w:lineRule="exac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5345" w:type="dxa"/>
            <w:vAlign w:val="center"/>
          </w:tcPr>
          <w:p>
            <w:pPr>
              <w:pStyle w:val="8"/>
              <w:spacing w:line="360" w:lineRule="exac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黑龙江省国民经济和社会发展第十四个五年规划和二〇三五年远景目标纲要的通知相关要求</w:t>
            </w:r>
          </w:p>
        </w:tc>
        <w:tc>
          <w:tcPr>
            <w:tcW w:w="2237" w:type="dxa"/>
            <w:vAlign w:val="center"/>
          </w:tcPr>
          <w:p>
            <w:pPr>
              <w:pStyle w:val="8"/>
              <w:spacing w:line="360" w:lineRule="exac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w:t>
            </w:r>
          </w:p>
        </w:tc>
        <w:tc>
          <w:tcPr>
            <w:tcW w:w="1074" w:type="dxa"/>
            <w:vAlign w:val="center"/>
          </w:tcPr>
          <w:p>
            <w:pPr>
              <w:pStyle w:val="8"/>
              <w:spacing w:line="360" w:lineRule="exac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528" w:type="dxa"/>
            <w:vAlign w:val="center"/>
          </w:tcPr>
          <w:p>
            <w:pPr>
              <w:pStyle w:val="8"/>
              <w:spacing w:line="360" w:lineRule="exac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5345" w:type="dxa"/>
            <w:vAlign w:val="center"/>
          </w:tcPr>
          <w:p>
            <w:pPr>
              <w:pStyle w:val="8"/>
              <w:spacing w:line="360" w:lineRule="exac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率先实现农业农村现代化，第二节 开展“中国粮食、中国饭碗”质量提升行动：构建现代畜牧产业体系。实施“两牛一猪一禽”工程，推进畜牧业全产业链发展，进一步提高畜牧业产值占农业总产值比重，建设国家级高品质乳制品、肉制品加工基地。大力推进奶业振兴，加强优质奶源基地建设，构建高产肉牛核心群，发展绿色全营养体饲草料产业，提高肉牛单产和鲜奶品质。加快标准化规模养殖基地建设，布局建设肉牛、生猪、肉鸡、肉鹅大型养殖项目，肉畜禽养殖规模化比重达到75%以上。开展重大动物疫病防控，完善病死动物无害化收集处理体系，加强肉类产品监管能力建设。壮大生态渔业规模</w:t>
            </w:r>
          </w:p>
        </w:tc>
        <w:tc>
          <w:tcPr>
            <w:tcW w:w="2237" w:type="dxa"/>
            <w:vAlign w:val="center"/>
          </w:tcPr>
          <w:p>
            <w:pPr>
              <w:pStyle w:val="8"/>
              <w:spacing w:line="360" w:lineRule="exact"/>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本项目为年</w:t>
            </w:r>
            <w:r>
              <w:rPr>
                <w:rFonts w:hint="default" w:ascii="Times New Roman" w:hAnsi="Times New Roman" w:cs="Times New Roman"/>
                <w:color w:val="auto"/>
                <w:sz w:val="21"/>
                <w:szCs w:val="21"/>
                <w:highlight w:val="none"/>
                <w:lang w:val="en-US" w:eastAsia="zh-CN"/>
              </w:rPr>
              <w:t>屠宰加工16万头生猪扩建项目，</w:t>
            </w:r>
            <w:r>
              <w:rPr>
                <w:rFonts w:hint="default" w:ascii="Times New Roman" w:hAnsi="Times New Roman" w:cs="Times New Roman"/>
                <w:color w:val="auto"/>
                <w:sz w:val="21"/>
                <w:szCs w:val="21"/>
                <w:highlight w:val="none"/>
              </w:rPr>
              <w:t>项目投产后将建立标准化生产、产业化经营、社会化服务的现代畜牧业生产体系，提高</w:t>
            </w:r>
            <w:r>
              <w:rPr>
                <w:rFonts w:hint="eastAsia" w:ascii="Times New Roman" w:hAnsi="Times New Roman" w:cs="Times New Roman"/>
                <w:color w:val="auto"/>
                <w:sz w:val="21"/>
                <w:szCs w:val="21"/>
                <w:highlight w:val="none"/>
                <w:lang w:val="en-US" w:eastAsia="zh-CN"/>
              </w:rPr>
              <w:t>肉制品生产的质量</w:t>
            </w:r>
            <w:r>
              <w:rPr>
                <w:rFonts w:hint="default" w:ascii="Times New Roman" w:hAnsi="Times New Roman" w:cs="Times New Roman"/>
                <w:color w:val="auto"/>
                <w:sz w:val="21"/>
                <w:szCs w:val="21"/>
                <w:highlight w:val="none"/>
              </w:rPr>
              <w:t>。</w:t>
            </w:r>
          </w:p>
        </w:tc>
        <w:tc>
          <w:tcPr>
            <w:tcW w:w="1074" w:type="dxa"/>
            <w:vAlign w:val="center"/>
          </w:tcPr>
          <w:p>
            <w:pPr>
              <w:pStyle w:val="8"/>
              <w:spacing w:line="360" w:lineRule="exac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pPr>
        <w:pStyle w:val="11"/>
        <w:keepNext/>
        <w:keepLines/>
        <w:pageBreakBefore w:val="0"/>
        <w:widowControl w:val="0"/>
        <w:numPr>
          <w:ilvl w:val="2"/>
          <w:numId w:val="0"/>
        </w:numPr>
        <w:kinsoku/>
        <w:wordWrap/>
        <w:overflowPunct/>
        <w:topLinePunct w:val="0"/>
        <w:autoSpaceDE/>
        <w:autoSpaceDN/>
        <w:bidi w:val="0"/>
        <w:adjustRightInd/>
        <w:snapToGrid/>
        <w:spacing w:before="0" w:after="0" w:line="360" w:lineRule="auto"/>
        <w:ind w:leftChars="0"/>
        <w:textAlignment w:val="auto"/>
        <w:rPr>
          <w:rFonts w:hint="default" w:ascii="Times New Roman" w:hAnsi="Times New Roman" w:cs="Times New Roman"/>
          <w:b/>
          <w:bCs/>
          <w:color w:val="auto"/>
          <w:sz w:val="28"/>
          <w:szCs w:val="28"/>
          <w:lang w:val="en-US" w:eastAsia="zh-CN"/>
        </w:rPr>
      </w:pPr>
      <w:r>
        <w:rPr>
          <w:rFonts w:hint="default" w:ascii="Times New Roman" w:hAnsi="Times New Roman" w:cs="Times New Roman"/>
          <w:b/>
          <w:bCs/>
          <w:color w:val="auto"/>
          <w:sz w:val="28"/>
          <w:szCs w:val="28"/>
          <w:lang w:val="en-US" w:eastAsia="zh-CN"/>
        </w:rPr>
        <w:t>1.4.3  与《哈尔滨市国民经济和社会发展第十四个五年规划和二〇三五年远景目标纲要》（哈政发[2021]12号）符合性分析</w:t>
      </w:r>
    </w:p>
    <w:p>
      <w:pPr>
        <w:bidi w:val="0"/>
        <w:jc w:val="cente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表1-4-2   与《哈尔滨市国民经济和社会发展第十四个五年规划和二〇三五年远景目标纲要》的符合性</w:t>
      </w:r>
    </w:p>
    <w:tbl>
      <w:tblPr>
        <w:tblStyle w:val="24"/>
        <w:tblW w:w="91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28"/>
        <w:gridCol w:w="4131"/>
        <w:gridCol w:w="3451"/>
        <w:gridCol w:w="107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28" w:type="dxa"/>
          </w:tcPr>
          <w:p>
            <w:pPr>
              <w:pStyle w:val="8"/>
              <w:spacing w:line="360" w:lineRule="exac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4131" w:type="dxa"/>
            <w:vAlign w:val="center"/>
          </w:tcPr>
          <w:p>
            <w:pPr>
              <w:pStyle w:val="8"/>
              <w:spacing w:line="360" w:lineRule="exac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哈尔滨市国民经济和社会发展第十四个五年规划和二〇三五年远景目标纲要相关要求</w:t>
            </w:r>
          </w:p>
        </w:tc>
        <w:tc>
          <w:tcPr>
            <w:tcW w:w="3451" w:type="dxa"/>
            <w:vAlign w:val="center"/>
          </w:tcPr>
          <w:p>
            <w:pPr>
              <w:pStyle w:val="8"/>
              <w:spacing w:line="360" w:lineRule="exac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w:t>
            </w:r>
          </w:p>
        </w:tc>
        <w:tc>
          <w:tcPr>
            <w:tcW w:w="1074" w:type="dxa"/>
            <w:vAlign w:val="center"/>
          </w:tcPr>
          <w:p>
            <w:pPr>
              <w:pStyle w:val="8"/>
              <w:spacing w:line="360" w:lineRule="exac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528" w:type="dxa"/>
            <w:vAlign w:val="center"/>
          </w:tcPr>
          <w:p>
            <w:pPr>
              <w:pStyle w:val="8"/>
              <w:spacing w:line="360" w:lineRule="exac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4131" w:type="dxa"/>
            <w:vAlign w:val="center"/>
          </w:tcPr>
          <w:p>
            <w:pPr>
              <w:pStyle w:val="8"/>
              <w:spacing w:line="360" w:lineRule="exac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建设国家高质量农产品基地”中指出：“实施畜牧业振兴行动，以“两牛一猪一禽”为重点，加快建立规模化养殖、标准化生产、产业化经营、社会化服务的现代畜牧业生产体系。农业增加值年均增速达3%，到2025年，畜牧业产值占农业总产值比重达30%。</w:t>
            </w:r>
          </w:p>
        </w:tc>
        <w:tc>
          <w:tcPr>
            <w:tcW w:w="3451" w:type="dxa"/>
            <w:vAlign w:val="center"/>
          </w:tcPr>
          <w:p>
            <w:pPr>
              <w:pStyle w:val="8"/>
              <w:spacing w:line="360" w:lineRule="exact"/>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本项目为年</w:t>
            </w:r>
            <w:r>
              <w:rPr>
                <w:rFonts w:hint="default" w:ascii="Times New Roman" w:hAnsi="Times New Roman" w:cs="Times New Roman"/>
                <w:color w:val="auto"/>
                <w:sz w:val="21"/>
                <w:szCs w:val="21"/>
                <w:highlight w:val="none"/>
                <w:lang w:val="en-US" w:eastAsia="zh-CN"/>
              </w:rPr>
              <w:t>屠宰加工16万头生猪扩建项目，</w:t>
            </w:r>
            <w:r>
              <w:rPr>
                <w:rFonts w:hint="default" w:ascii="Times New Roman" w:hAnsi="Times New Roman" w:cs="Times New Roman"/>
                <w:color w:val="auto"/>
                <w:sz w:val="21"/>
                <w:szCs w:val="21"/>
                <w:highlight w:val="none"/>
              </w:rPr>
              <w:t>项目投产后将建立标准化生产、产业化经营、社会化服务的现代畜牧业生产体系，提高</w:t>
            </w:r>
            <w:r>
              <w:rPr>
                <w:rFonts w:hint="eastAsia" w:ascii="Times New Roman" w:hAnsi="Times New Roman" w:cs="Times New Roman"/>
                <w:color w:val="auto"/>
                <w:sz w:val="21"/>
                <w:szCs w:val="21"/>
                <w:highlight w:val="none"/>
                <w:lang w:val="en-US" w:eastAsia="zh-CN"/>
              </w:rPr>
              <w:t>肉制品生产的质量</w:t>
            </w:r>
            <w:r>
              <w:rPr>
                <w:rFonts w:hint="default" w:ascii="Times New Roman" w:hAnsi="Times New Roman" w:cs="Times New Roman"/>
                <w:color w:val="auto"/>
                <w:sz w:val="21"/>
                <w:szCs w:val="21"/>
                <w:highlight w:val="none"/>
              </w:rPr>
              <w:t>。</w:t>
            </w:r>
          </w:p>
        </w:tc>
        <w:tc>
          <w:tcPr>
            <w:tcW w:w="1074" w:type="dxa"/>
            <w:vAlign w:val="center"/>
          </w:tcPr>
          <w:p>
            <w:pPr>
              <w:pStyle w:val="8"/>
              <w:spacing w:line="360" w:lineRule="exac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pPr>
        <w:pStyle w:val="11"/>
        <w:keepNext/>
        <w:keepLines/>
        <w:pageBreakBefore w:val="0"/>
        <w:widowControl w:val="0"/>
        <w:numPr>
          <w:ilvl w:val="2"/>
          <w:numId w:val="0"/>
        </w:numPr>
        <w:kinsoku/>
        <w:wordWrap/>
        <w:overflowPunct/>
        <w:topLinePunct w:val="0"/>
        <w:autoSpaceDE/>
        <w:autoSpaceDN/>
        <w:bidi w:val="0"/>
        <w:adjustRightInd/>
        <w:snapToGrid/>
        <w:spacing w:before="0" w:after="0" w:line="360" w:lineRule="auto"/>
        <w:ind w:leftChars="0"/>
        <w:textAlignment w:val="auto"/>
        <w:rPr>
          <w:rFonts w:hint="default" w:ascii="Times New Roman" w:hAnsi="Times New Roman" w:eastAsia="宋体" w:cs="Times New Roman"/>
          <w:spacing w:val="-1"/>
          <w:sz w:val="24"/>
          <w:szCs w:val="24"/>
          <w:highlight w:val="yellow"/>
          <w:lang w:val="en-US" w:eastAsia="zh-CN"/>
        </w:rPr>
      </w:pPr>
      <w:r>
        <w:rPr>
          <w:rFonts w:hint="default" w:ascii="Times New Roman" w:hAnsi="Times New Roman" w:cs="Times New Roman"/>
          <w:b/>
          <w:bCs/>
          <w:color w:val="auto"/>
          <w:sz w:val="28"/>
          <w:szCs w:val="28"/>
          <w:lang w:val="en-US" w:eastAsia="zh-CN"/>
        </w:rPr>
        <w:t>1.4.4  与《黑龙江省畜禽屠宰管理条例》符合性分析</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表</w:t>
      </w:r>
      <w:r>
        <w:rPr>
          <w:rFonts w:hint="default" w:ascii="Times New Roman" w:hAnsi="Times New Roman" w:eastAsia="宋体" w:cs="Times New Roman"/>
          <w:b/>
          <w:bCs/>
          <w:color w:val="auto"/>
          <w:spacing w:val="0"/>
          <w:sz w:val="21"/>
          <w:szCs w:val="21"/>
          <w:lang w:val="en-US" w:eastAsia="zh-CN"/>
        </w:rPr>
        <w:t>1-4-3</w:t>
      </w:r>
      <w:r>
        <w:rPr>
          <w:rFonts w:hint="default" w:ascii="Times New Roman" w:hAnsi="Times New Roman" w:eastAsia="宋体" w:cs="Times New Roman"/>
          <w:b/>
          <w:bCs/>
          <w:color w:val="auto"/>
          <w:spacing w:val="0"/>
          <w:sz w:val="21"/>
          <w:szCs w:val="21"/>
        </w:rPr>
        <w:t xml:space="preserve"> 本项目与《黑龙江省畜禽屠宰管理条例》符合性</w:t>
      </w:r>
    </w:p>
    <w:tbl>
      <w:tblPr>
        <w:tblStyle w:val="34"/>
        <w:tblW w:w="4998"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1578"/>
        <w:gridCol w:w="3255"/>
        <w:gridCol w:w="3470"/>
        <w:gridCol w:w="773"/>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名称</w:t>
            </w:r>
          </w:p>
        </w:tc>
        <w:tc>
          <w:tcPr>
            <w:tcW w:w="17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要求</w:t>
            </w:r>
          </w:p>
        </w:tc>
        <w:tc>
          <w:tcPr>
            <w:tcW w:w="19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本项目</w:t>
            </w:r>
          </w:p>
        </w:tc>
        <w:tc>
          <w:tcPr>
            <w:tcW w:w="4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结论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《黑龙江省畜禽屠宰管理条例》</w:t>
            </w:r>
          </w:p>
        </w:tc>
        <w:tc>
          <w:tcPr>
            <w:tcW w:w="17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有与屠宰规模相适应，水质符合国家规定标准的水源条件</w:t>
            </w:r>
          </w:p>
        </w:tc>
        <w:tc>
          <w:tcPr>
            <w:tcW w:w="19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w:t>
            </w:r>
            <w:r>
              <w:rPr>
                <w:rFonts w:hint="default" w:ascii="Times New Roman" w:hAnsi="Times New Roman" w:eastAsia="宋体" w:cs="Times New Roman"/>
                <w:color w:val="auto"/>
                <w:spacing w:val="0"/>
                <w:sz w:val="21"/>
                <w:szCs w:val="21"/>
                <w:highlight w:val="none"/>
                <w:lang w:eastAsia="zh-CN"/>
              </w:rPr>
              <w:t>由</w:t>
            </w:r>
            <w:r>
              <w:rPr>
                <w:rFonts w:hint="default" w:ascii="Times New Roman" w:hAnsi="Times New Roman" w:eastAsia="宋体" w:cs="Times New Roman"/>
                <w:color w:val="auto"/>
                <w:spacing w:val="0"/>
                <w:sz w:val="21"/>
                <w:szCs w:val="21"/>
                <w:highlight w:val="none"/>
                <w:lang w:val="en-US" w:eastAsia="zh-CN"/>
              </w:rPr>
              <w:t>自来水</w:t>
            </w:r>
            <w:r>
              <w:rPr>
                <w:rFonts w:hint="default" w:ascii="Times New Roman" w:hAnsi="Times New Roman" w:eastAsia="宋体" w:cs="Times New Roman"/>
                <w:color w:val="auto"/>
                <w:spacing w:val="0"/>
                <w:sz w:val="21"/>
                <w:szCs w:val="21"/>
                <w:highlight w:val="none"/>
              </w:rPr>
              <w:t>供给</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水源有保障，水质符合要求</w:t>
            </w:r>
          </w:p>
        </w:tc>
        <w:tc>
          <w:tcPr>
            <w:tcW w:w="4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p>
        </w:tc>
        <w:tc>
          <w:tcPr>
            <w:tcW w:w="17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有符合国家规定要求的待宰车间、屠宰间、急宰间以及畜禽屠宰设备和运载工具</w:t>
            </w:r>
          </w:p>
        </w:tc>
        <w:tc>
          <w:tcPr>
            <w:tcW w:w="19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项目建有待宰</w:t>
            </w:r>
            <w:r>
              <w:rPr>
                <w:rFonts w:hint="default" w:ascii="Times New Roman" w:hAnsi="Times New Roman" w:eastAsia="宋体" w:cs="Times New Roman"/>
                <w:color w:val="auto"/>
                <w:spacing w:val="0"/>
                <w:sz w:val="21"/>
                <w:szCs w:val="21"/>
                <w:highlight w:val="none"/>
                <w:lang w:val="en-US" w:eastAsia="zh-CN"/>
              </w:rPr>
              <w:t>车间</w:t>
            </w:r>
            <w:r>
              <w:rPr>
                <w:rFonts w:hint="default" w:ascii="Times New Roman" w:hAnsi="Times New Roman" w:eastAsia="宋体" w:cs="Times New Roman"/>
                <w:color w:val="auto"/>
                <w:spacing w:val="0"/>
                <w:sz w:val="21"/>
                <w:szCs w:val="21"/>
                <w:highlight w:val="none"/>
              </w:rPr>
              <w:t>、屠宰</w:t>
            </w:r>
            <w:r>
              <w:rPr>
                <w:rFonts w:hint="default" w:ascii="Times New Roman" w:hAnsi="Times New Roman" w:eastAsia="宋体" w:cs="Times New Roman"/>
                <w:color w:val="auto"/>
                <w:spacing w:val="0"/>
                <w:sz w:val="21"/>
                <w:szCs w:val="21"/>
                <w:highlight w:val="none"/>
                <w:lang w:val="en-US" w:eastAsia="zh-CN"/>
              </w:rPr>
              <w:t>加工</w:t>
            </w:r>
            <w:r>
              <w:rPr>
                <w:rFonts w:hint="default" w:ascii="Times New Roman" w:hAnsi="Times New Roman" w:eastAsia="宋体" w:cs="Times New Roman"/>
                <w:color w:val="auto"/>
                <w:spacing w:val="0"/>
                <w:sz w:val="21"/>
                <w:szCs w:val="21"/>
                <w:highlight w:val="none"/>
              </w:rPr>
              <w:t>车间、急宰间有成套肉</w:t>
            </w:r>
            <w:r>
              <w:rPr>
                <w:rFonts w:hint="default" w:ascii="Times New Roman" w:hAnsi="Times New Roman" w:eastAsia="宋体" w:cs="Times New Roman"/>
                <w:color w:val="auto"/>
                <w:spacing w:val="0"/>
                <w:sz w:val="21"/>
                <w:szCs w:val="21"/>
                <w:highlight w:val="none"/>
                <w:lang w:val="en-US" w:eastAsia="zh-CN"/>
              </w:rPr>
              <w:t>猪</w:t>
            </w:r>
            <w:r>
              <w:rPr>
                <w:rFonts w:hint="default" w:ascii="Times New Roman" w:hAnsi="Times New Roman" w:eastAsia="宋体" w:cs="Times New Roman"/>
                <w:color w:val="auto"/>
                <w:spacing w:val="0"/>
                <w:sz w:val="21"/>
                <w:szCs w:val="21"/>
                <w:highlight w:val="none"/>
              </w:rPr>
              <w:t>屠宰设备和运载工具</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符合国家规定要求</w:t>
            </w:r>
          </w:p>
        </w:tc>
        <w:tc>
          <w:tcPr>
            <w:tcW w:w="4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p>
        </w:tc>
        <w:tc>
          <w:tcPr>
            <w:tcW w:w="17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有依法取得健康证明的屠宰技术人员</w:t>
            </w:r>
          </w:p>
        </w:tc>
        <w:tc>
          <w:tcPr>
            <w:tcW w:w="19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屠宰技术人员依法取得健康证明后上岗</w:t>
            </w:r>
          </w:p>
        </w:tc>
        <w:tc>
          <w:tcPr>
            <w:tcW w:w="4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p>
        </w:tc>
        <w:tc>
          <w:tcPr>
            <w:tcW w:w="17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有经考核合格的兽医卫生检验人员</w:t>
            </w:r>
          </w:p>
        </w:tc>
        <w:tc>
          <w:tcPr>
            <w:tcW w:w="19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配备经考核合格的兽医卫生检验人员</w:t>
            </w:r>
          </w:p>
        </w:tc>
        <w:tc>
          <w:tcPr>
            <w:tcW w:w="4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p>
        </w:tc>
        <w:tc>
          <w:tcPr>
            <w:tcW w:w="17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有符合国家规定要求的检验设备、消毒设施以及符合环境保护要求的污染防治设施</w:t>
            </w:r>
          </w:p>
        </w:tc>
        <w:tc>
          <w:tcPr>
            <w:tcW w:w="19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有符合国家规定的检验设备、消毒设施，拟建设污染防治设施符合环境保护要求</w:t>
            </w:r>
          </w:p>
        </w:tc>
        <w:tc>
          <w:tcPr>
            <w:tcW w:w="4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p>
        </w:tc>
        <w:tc>
          <w:tcPr>
            <w:tcW w:w="17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有病害畜禽及畜禽产品无害化处理设施或者无害化处理委托协议</w:t>
            </w:r>
          </w:p>
        </w:tc>
        <w:tc>
          <w:tcPr>
            <w:tcW w:w="19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zh-CN"/>
              </w:rPr>
              <w:t>本项目病死动物</w:t>
            </w:r>
            <w:r>
              <w:rPr>
                <w:rFonts w:hint="default" w:ascii="Times New Roman" w:hAnsi="Times New Roman" w:eastAsia="宋体" w:cs="Times New Roman"/>
                <w:color w:val="auto"/>
                <w:spacing w:val="0"/>
                <w:sz w:val="21"/>
                <w:szCs w:val="21"/>
                <w:highlight w:val="none"/>
                <w:lang w:val="en-US" w:eastAsia="zh-CN"/>
              </w:rPr>
              <w:t>送至</w:t>
            </w:r>
            <w:r>
              <w:rPr>
                <w:rFonts w:hint="eastAsia" w:ascii="Times New Roman" w:hAnsi="Times New Roman" w:eastAsia="宋体" w:cs="Times New Roman"/>
                <w:color w:val="auto"/>
                <w:spacing w:val="0"/>
                <w:sz w:val="21"/>
                <w:szCs w:val="21"/>
                <w:highlight w:val="none"/>
                <w:lang w:val="en-US" w:eastAsia="zh-CN"/>
              </w:rPr>
              <w:t>巴彦县燊缘无害化处理有限公司</w:t>
            </w:r>
            <w:r>
              <w:rPr>
                <w:rFonts w:hint="default" w:ascii="Times New Roman" w:hAnsi="Times New Roman" w:eastAsia="宋体" w:cs="Times New Roman"/>
                <w:color w:val="auto"/>
                <w:spacing w:val="0"/>
                <w:sz w:val="21"/>
                <w:szCs w:val="21"/>
                <w:highlight w:val="none"/>
                <w:lang w:val="zh-CN"/>
              </w:rPr>
              <w:t>处理。</w:t>
            </w:r>
          </w:p>
        </w:tc>
        <w:tc>
          <w:tcPr>
            <w:tcW w:w="4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p>
        </w:tc>
        <w:tc>
          <w:tcPr>
            <w:tcW w:w="17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依法取得动物防疫条件合格证</w:t>
            </w:r>
          </w:p>
        </w:tc>
        <w:tc>
          <w:tcPr>
            <w:tcW w:w="19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依法取得动物防疫条件合格证</w:t>
            </w:r>
          </w:p>
        </w:tc>
        <w:tc>
          <w:tcPr>
            <w:tcW w:w="4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86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p>
        </w:tc>
        <w:tc>
          <w:tcPr>
            <w:tcW w:w="17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法律、法规规定的其他条件</w:t>
            </w:r>
          </w:p>
        </w:tc>
        <w:tc>
          <w:tcPr>
            <w:tcW w:w="19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严格执行相关法律、法规规定</w:t>
            </w:r>
          </w:p>
        </w:tc>
        <w:tc>
          <w:tcPr>
            <w:tcW w:w="4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bl>
    <w:p>
      <w:pPr>
        <w:keepNext w:val="0"/>
        <w:keepLines w:val="0"/>
        <w:pageBreakBefore w:val="0"/>
        <w:kinsoku/>
        <w:wordWrap/>
        <w:overflowPunct/>
        <w:topLinePunct w:val="0"/>
        <w:autoSpaceDE/>
        <w:autoSpaceDN/>
        <w:bidi w:val="0"/>
        <w:spacing w:line="360" w:lineRule="auto"/>
        <w:jc w:val="both"/>
        <w:textAlignment w:val="auto"/>
        <w:outlineLvl w:val="2"/>
        <w:rPr>
          <w:rFonts w:hint="default" w:ascii="Times New Roman" w:hAnsi="Times New Roman" w:eastAsia="宋体" w:cs="Times New Roman"/>
          <w:spacing w:val="-1"/>
          <w:sz w:val="24"/>
          <w:szCs w:val="24"/>
          <w:lang w:val="zh-CN" w:eastAsia="zh-CN"/>
        </w:rPr>
      </w:pPr>
      <w:r>
        <w:rPr>
          <w:rFonts w:hint="default" w:ascii="Times New Roman" w:hAnsi="Times New Roman" w:eastAsia="Arial" w:cs="Times New Roman"/>
          <w:b/>
          <w:bCs/>
          <w:snapToGrid w:val="0"/>
          <w:color w:val="auto"/>
          <w:kern w:val="0"/>
          <w:sz w:val="28"/>
          <w:szCs w:val="28"/>
          <w:lang w:val="en-US" w:eastAsia="zh-CN" w:bidi="ar-SA"/>
        </w:rPr>
        <w:t>1.4.5  与</w:t>
      </w:r>
      <w:r>
        <w:rPr>
          <w:rFonts w:hint="default" w:ascii="Times New Roman" w:hAnsi="Times New Roman" w:eastAsia="Arial" w:cs="Times New Roman"/>
          <w:b/>
          <w:bCs/>
          <w:snapToGrid w:val="0"/>
          <w:color w:val="auto"/>
          <w:kern w:val="0"/>
          <w:sz w:val="28"/>
          <w:szCs w:val="28"/>
          <w:lang w:val="zh-CN" w:eastAsia="zh-CN" w:bidi="ar-SA"/>
        </w:rPr>
        <w:t>《黑龙江省人民政府关于加快现代畜牧产业发展的意见（黑政发〔2015〕25号）》符合性分析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lang w:val="zh-CN" w:eastAsia="zh-CN"/>
        </w:rPr>
      </w:pPr>
      <w:r>
        <w:rPr>
          <w:rFonts w:hint="default" w:ascii="Times New Roman" w:hAnsi="Times New Roman" w:eastAsia="宋体" w:cs="Times New Roman"/>
          <w:b w:val="0"/>
          <w:bCs w:val="0"/>
          <w:color w:val="auto"/>
          <w:sz w:val="24"/>
          <w:lang w:val="zh-CN" w:eastAsia="zh-CN"/>
        </w:rPr>
        <w:t>相关内容：以转变发展方式为主线，以提高质量效益和竞争力为重点，推进一二三产业深度融合，大力发展现代畜牧产业，驱动上下游的种植业、食品加工业、相关加工制造业、生产性服务业发展，促进农民增收致富，构建黑龙江经济发展新优势。</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lang w:val="zh-CN" w:eastAsia="zh-CN"/>
        </w:rPr>
      </w:pPr>
      <w:r>
        <w:rPr>
          <w:rFonts w:hint="default" w:ascii="Times New Roman" w:hAnsi="Times New Roman" w:eastAsia="宋体" w:cs="Times New Roman"/>
          <w:b w:val="0"/>
          <w:bCs w:val="0"/>
          <w:color w:val="auto"/>
          <w:sz w:val="24"/>
          <w:lang w:val="zh-CN" w:eastAsia="zh-CN"/>
        </w:rPr>
        <w:t>提升畜牧业市场主体的合作化、组织化、规模化、产业化。引导养殖散户和规模养殖场联合建立畜牧专业合作社，鼓励畜牧专业合作社增资扩股、跨区域重组，建立联合社。引导畜牧专业合作社和规模养殖场建立标准化屠宰、加工企业，兼并重组现有小规模屠宰加工企业。支持畜牧专业合作社、规模养殖场联合饲料企业，合作开展饲料加工。支持畜产品加工企业建立生产基地，通过参股入股、利润返还、订单收购等形式与养殖户或合作社结成稳定的利益关系，打造全产业链，延伸价值链，加快一二三产业融合，促进产业化发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lang w:val="zh-CN" w:eastAsia="zh-CN"/>
        </w:rPr>
      </w:pPr>
      <w:r>
        <w:rPr>
          <w:rFonts w:hint="default" w:ascii="Times New Roman" w:hAnsi="Times New Roman" w:eastAsia="宋体" w:cs="Times New Roman"/>
          <w:b w:val="0"/>
          <w:bCs w:val="0"/>
          <w:color w:val="auto"/>
          <w:sz w:val="24"/>
          <w:lang w:val="zh-CN" w:eastAsia="zh-CN"/>
        </w:rPr>
        <w:t>鼓励采取国际标准组织生产。鼓励和引导企业主动应用先进工艺与设备，采用国际标准组织生产，到2020年，实现我省乳、肉加工重点企业生产标准与国际接轨，畜产品质量达到国际标准，逐步实现主要畜产品的进口替代。</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lang w:val="zh-CN" w:eastAsia="zh-CN"/>
        </w:rPr>
      </w:pPr>
      <w:r>
        <w:rPr>
          <w:rFonts w:hint="default" w:ascii="Times New Roman" w:hAnsi="Times New Roman" w:eastAsia="宋体" w:cs="Times New Roman"/>
          <w:b w:val="0"/>
          <w:bCs w:val="0"/>
          <w:color w:val="auto"/>
          <w:sz w:val="24"/>
          <w:lang w:val="zh-CN" w:eastAsia="zh-CN"/>
        </w:rPr>
        <w:t>优先发展冷链仓储物流。支持大型畜产品加工企业自建或联建冷链仓储物流设施，对企业建设冷库、购买冷链运输车、流动冷藏箱给予补贴。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lang w:val="zh-CN" w:eastAsia="zh-CN"/>
        </w:rPr>
      </w:pPr>
      <w:r>
        <w:rPr>
          <w:rFonts w:hint="default" w:ascii="Times New Roman" w:hAnsi="Times New Roman" w:eastAsia="宋体" w:cs="Times New Roman"/>
          <w:b w:val="0"/>
          <w:bCs w:val="0"/>
          <w:color w:val="auto"/>
          <w:sz w:val="24"/>
          <w:lang w:val="zh-CN" w:eastAsia="zh-CN"/>
        </w:rPr>
        <w:t>本项目为标准化屠宰项目，应用先进工艺与设备，畜产品质量达到国际标准，自建冷链仓储物流设施，因此，本项目与《黑龙江省人民政府关于加快现代畜牧产业发展的意见》（黑政发〔2015〕25号）是符合的。</w:t>
      </w:r>
    </w:p>
    <w:p>
      <w:pPr>
        <w:keepNext w:val="0"/>
        <w:keepLines w:val="0"/>
        <w:pageBreakBefore w:val="0"/>
        <w:kinsoku/>
        <w:wordWrap/>
        <w:overflowPunct/>
        <w:topLinePunct w:val="0"/>
        <w:autoSpaceDE/>
        <w:autoSpaceDN/>
        <w:bidi w:val="0"/>
        <w:spacing w:line="360" w:lineRule="auto"/>
        <w:jc w:val="both"/>
        <w:textAlignment w:val="auto"/>
        <w:outlineLvl w:val="2"/>
        <w:rPr>
          <w:rFonts w:hint="default" w:ascii="Times New Roman" w:hAnsi="Times New Roman" w:eastAsia="宋体" w:cs="Times New Roman"/>
          <w:spacing w:val="-1"/>
          <w:sz w:val="24"/>
          <w:szCs w:val="24"/>
          <w:lang w:val="en-US" w:eastAsia="zh-CN"/>
        </w:rPr>
      </w:pPr>
      <w:r>
        <w:rPr>
          <w:rFonts w:hint="default" w:ascii="Times New Roman" w:hAnsi="Times New Roman" w:eastAsia="Arial" w:cs="Times New Roman"/>
          <w:b/>
          <w:bCs/>
          <w:snapToGrid w:val="0"/>
          <w:color w:val="auto"/>
          <w:kern w:val="0"/>
          <w:sz w:val="28"/>
          <w:szCs w:val="28"/>
          <w:lang w:val="en-US" w:eastAsia="zh-CN" w:bidi="ar-SA"/>
        </w:rPr>
        <w:t>1.4.</w:t>
      </w:r>
      <w:r>
        <w:rPr>
          <w:rFonts w:hint="default" w:ascii="Times New Roman" w:hAnsi="Times New Roman" w:cs="Times New Roman"/>
          <w:b/>
          <w:bCs/>
          <w:snapToGrid w:val="0"/>
          <w:color w:val="auto"/>
          <w:kern w:val="0"/>
          <w:sz w:val="28"/>
          <w:szCs w:val="28"/>
          <w:lang w:val="en-US" w:eastAsia="zh-CN" w:bidi="ar-SA"/>
        </w:rPr>
        <w:t>6</w:t>
      </w:r>
      <w:r>
        <w:rPr>
          <w:rFonts w:hint="default" w:ascii="Times New Roman" w:hAnsi="Times New Roman" w:eastAsia="Arial" w:cs="Times New Roman"/>
          <w:b/>
          <w:bCs/>
          <w:snapToGrid w:val="0"/>
          <w:color w:val="auto"/>
          <w:kern w:val="0"/>
          <w:sz w:val="28"/>
          <w:szCs w:val="28"/>
          <w:lang w:val="en-US" w:eastAsia="zh-CN" w:bidi="ar-SA"/>
        </w:rPr>
        <w:t xml:space="preserve">  与《哈尔滨市人民政府关于实施“三线一单”生态环境分区管控的意见》（哈政规〔2021〕7 号）符合性分析 </w:t>
      </w:r>
    </w:p>
    <w:p>
      <w:pPr>
        <w:autoSpaceDE w:val="0"/>
        <w:autoSpaceDN w:val="0"/>
        <w:adjustRightInd w:val="0"/>
        <w:snapToGrid w:val="0"/>
        <w:spacing w:line="360" w:lineRule="auto"/>
        <w:ind w:firstLine="480" w:firstLineChars="200"/>
        <w:jc w:val="both"/>
        <w:rPr>
          <w:rFonts w:hint="default" w:ascii="Times New Roman" w:hAnsi="Times New Roman" w:cs="Times New Roman" w:eastAsiaTheme="minorEastAsia"/>
          <w:color w:val="FF0000"/>
          <w:sz w:val="24"/>
        </w:rPr>
      </w:pPr>
      <w:r>
        <w:rPr>
          <w:rFonts w:hint="default" w:ascii="Times New Roman" w:hAnsi="Times New Roman" w:cs="Times New Roman" w:eastAsiaTheme="minorEastAsia"/>
          <w:color w:val="auto"/>
          <w:sz w:val="24"/>
          <w:lang w:val="en-US" w:eastAsia="zh-CN"/>
        </w:rPr>
        <w:t>根据《自然资源部办公厅关于依据“三区三线”划定成果报批建设项目用地用海有关事宜的函》（自然资办函〔2022〕2072 号），按照《全国国土空间规划纲要(2021-2035年)》确定的耕地和永久基本农田保护红线任务和《全国“三区三线”划定规则》，我省完成了“三区三线”划定工作，划定成果符合质检要求，从即日起正式启用，作为建设项目用地用海组卷报批的依据。“三区三线”划定成果具体以自然资源部反馈的矢量数据成果为准。其他有关事宜，按照《自然资源部办公厅关于依据“三区三线”划定成果报批建设项目用地用海有关事宜的函》(自然资办函(2022]2072 号)执行。本项目位于</w:t>
      </w:r>
      <w:r>
        <w:rPr>
          <w:rFonts w:hint="default" w:ascii="Times New Roman" w:hAnsi="Times New Roman" w:eastAsia="宋体" w:cs="Times New Roman"/>
          <w:spacing w:val="-1"/>
          <w:sz w:val="24"/>
          <w:szCs w:val="24"/>
          <w:lang w:eastAsia="zh-CN"/>
        </w:rPr>
        <w:t>哈尔滨市巴彦县兴隆镇中兴村南门外</w:t>
      </w:r>
      <w:r>
        <w:rPr>
          <w:rFonts w:hint="default" w:ascii="Times New Roman" w:hAnsi="Times New Roman" w:cs="Times New Roman" w:eastAsiaTheme="minorEastAsia"/>
          <w:color w:val="auto"/>
          <w:sz w:val="24"/>
          <w:lang w:val="en-US" w:eastAsia="zh-CN"/>
        </w:rPr>
        <w:t>。项目建设符合国家产业政策和国家土地供应政策，不占用永久基本农田，不占用生态保护红线、自然保护区，项目符合用地要求及“三区三线”管控要求。</w:t>
      </w:r>
    </w:p>
    <w:p>
      <w:pPr>
        <w:autoSpaceDE w:val="0"/>
        <w:autoSpaceDN w:val="0"/>
        <w:adjustRightInd w:val="0"/>
        <w:snapToGrid w:val="0"/>
        <w:spacing w:line="360" w:lineRule="auto"/>
        <w:ind w:firstLine="480" w:firstLineChars="200"/>
        <w:jc w:val="both"/>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根据《哈尔滨市人民政府关于实施“三线一单”生态环境分区管控的意见》（哈政规[2021]7号），结合本项目施工工艺、排污状况和区域环境及环境质量现状进行调查的基础上，本工程与“三线一单”符合性情况如下：</w:t>
      </w:r>
    </w:p>
    <w:p>
      <w:pPr>
        <w:autoSpaceDE w:val="0"/>
        <w:autoSpaceDN w:val="0"/>
        <w:adjustRightInd w:val="0"/>
        <w:snapToGrid w:val="0"/>
        <w:spacing w:line="360" w:lineRule="auto"/>
        <w:ind w:firstLine="480" w:firstLineChars="200"/>
        <w:jc w:val="both"/>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（1）生态保护红线</w:t>
      </w:r>
    </w:p>
    <w:p>
      <w:pPr>
        <w:spacing w:line="360" w:lineRule="auto"/>
        <w:ind w:firstLine="480" w:firstLineChars="200"/>
        <w:jc w:val="both"/>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本项目位于</w:t>
      </w:r>
      <w:r>
        <w:rPr>
          <w:rFonts w:hint="default" w:ascii="Times New Roman" w:hAnsi="Times New Roman" w:cs="Times New Roman" w:eastAsiaTheme="minorEastAsia"/>
          <w:color w:val="auto"/>
          <w:sz w:val="24"/>
          <w:lang w:eastAsia="zh-CN"/>
        </w:rPr>
        <w:t>哈尔滨市巴彦县兴隆镇中兴村南门外</w:t>
      </w:r>
      <w:r>
        <w:rPr>
          <w:rFonts w:hint="default" w:ascii="Times New Roman" w:hAnsi="Times New Roman" w:cs="Times New Roman" w:eastAsiaTheme="minorEastAsia"/>
          <w:color w:val="auto"/>
          <w:sz w:val="24"/>
        </w:rPr>
        <w:t>，项目选址不在生态保护红线区域内。</w:t>
      </w:r>
      <w:r>
        <w:rPr>
          <w:rFonts w:hint="default" w:ascii="Times New Roman" w:hAnsi="Times New Roman" w:cs="Times New Roman" w:eastAsiaTheme="minorEastAsia"/>
          <w:color w:val="auto"/>
          <w:sz w:val="24"/>
          <w:lang w:val="zh-CN"/>
        </w:rPr>
        <w:t>项目所在区不涉及自然保护区、地质公园、风景名胜区、森林公园、水产种质资源保护区、饮用水水源保护区、湿地公园和一级国家级公益生态林等生态保护红线区域，符合生态保护红线要求。</w:t>
      </w:r>
    </w:p>
    <w:p>
      <w:pPr>
        <w:spacing w:line="360" w:lineRule="auto"/>
        <w:ind w:firstLine="480" w:firstLineChars="200"/>
        <w:jc w:val="both"/>
        <w:rPr>
          <w:rFonts w:hint="default" w:ascii="Times New Roman" w:hAnsi="Times New Roman" w:cs="Times New Roman"/>
          <w:color w:val="auto"/>
          <w:kern w:val="0"/>
          <w:sz w:val="24"/>
          <w:szCs w:val="21"/>
        </w:rPr>
      </w:pPr>
      <w:r>
        <w:rPr>
          <w:rFonts w:hint="default" w:ascii="Times New Roman" w:hAnsi="Times New Roman" w:cs="Times New Roman"/>
          <w:color w:val="auto"/>
          <w:kern w:val="0"/>
          <w:sz w:val="24"/>
          <w:szCs w:val="21"/>
        </w:rPr>
        <w:t>（2）环境质量底线</w:t>
      </w:r>
    </w:p>
    <w:p>
      <w:pPr>
        <w:spacing w:line="360" w:lineRule="auto"/>
        <w:ind w:firstLine="480" w:firstLineChars="200"/>
        <w:jc w:val="both"/>
        <w:rPr>
          <w:rFonts w:hint="default" w:ascii="Times New Roman" w:hAnsi="Times New Roman" w:cs="Times New Roman"/>
          <w:color w:val="auto"/>
          <w:kern w:val="0"/>
          <w:sz w:val="24"/>
          <w:szCs w:val="21"/>
        </w:rPr>
      </w:pPr>
      <w:r>
        <w:rPr>
          <w:rFonts w:hint="default" w:ascii="Times New Roman" w:hAnsi="Times New Roman" w:cs="Times New Roman"/>
          <w:color w:val="auto"/>
          <w:kern w:val="0"/>
          <w:sz w:val="24"/>
          <w:szCs w:val="21"/>
        </w:rPr>
        <w:fldChar w:fldCharType="begin"/>
      </w:r>
      <w:r>
        <w:rPr>
          <w:rFonts w:hint="default" w:ascii="Times New Roman" w:hAnsi="Times New Roman" w:cs="Times New Roman"/>
          <w:color w:val="auto"/>
          <w:kern w:val="0"/>
          <w:sz w:val="24"/>
          <w:szCs w:val="21"/>
        </w:rPr>
        <w:instrText xml:space="preserve"> = 1 \* GB3 </w:instrText>
      </w:r>
      <w:r>
        <w:rPr>
          <w:rFonts w:hint="default" w:ascii="Times New Roman" w:hAnsi="Times New Roman" w:cs="Times New Roman"/>
          <w:color w:val="auto"/>
          <w:kern w:val="0"/>
          <w:sz w:val="24"/>
          <w:szCs w:val="21"/>
        </w:rPr>
        <w:fldChar w:fldCharType="separate"/>
      </w:r>
      <w:r>
        <w:rPr>
          <w:rFonts w:hint="default" w:ascii="Times New Roman" w:hAnsi="Times New Roman" w:cs="Times New Roman"/>
          <w:color w:val="auto"/>
          <w:kern w:val="0"/>
          <w:sz w:val="24"/>
          <w:szCs w:val="21"/>
        </w:rPr>
        <w:t>①</w:t>
      </w:r>
      <w:r>
        <w:rPr>
          <w:rFonts w:hint="default" w:ascii="Times New Roman" w:hAnsi="Times New Roman" w:cs="Times New Roman"/>
          <w:color w:val="auto"/>
          <w:kern w:val="0"/>
          <w:sz w:val="24"/>
          <w:szCs w:val="21"/>
        </w:rPr>
        <w:fldChar w:fldCharType="end"/>
      </w:r>
      <w:r>
        <w:rPr>
          <w:rFonts w:hint="default" w:ascii="Times New Roman" w:hAnsi="Times New Roman" w:cs="Times New Roman"/>
          <w:color w:val="auto"/>
          <w:kern w:val="0"/>
          <w:sz w:val="24"/>
          <w:szCs w:val="21"/>
        </w:rPr>
        <w:t>大气</w:t>
      </w:r>
    </w:p>
    <w:p>
      <w:pPr>
        <w:spacing w:line="360" w:lineRule="auto"/>
        <w:ind w:firstLine="480" w:firstLineChars="200"/>
        <w:jc w:val="both"/>
        <w:rPr>
          <w:rFonts w:hint="default" w:ascii="Times New Roman" w:hAnsi="Times New Roman" w:cs="Times New Roman"/>
          <w:color w:val="FF0000"/>
          <w:kern w:val="0"/>
          <w:sz w:val="24"/>
          <w:szCs w:val="21"/>
        </w:rPr>
      </w:pPr>
      <w:r>
        <w:rPr>
          <w:rFonts w:hint="default" w:ascii="Times New Roman" w:hAnsi="Times New Roman" w:cs="Times New Roman"/>
          <w:color w:val="auto"/>
          <w:kern w:val="0"/>
          <w:sz w:val="24"/>
          <w:szCs w:val="21"/>
        </w:rPr>
        <w:t>本项目位于</w:t>
      </w:r>
      <w:r>
        <w:rPr>
          <w:rFonts w:hint="default" w:ascii="Times New Roman" w:hAnsi="Times New Roman" w:eastAsia="宋体" w:cs="Times New Roman"/>
          <w:color w:val="auto"/>
          <w:kern w:val="0"/>
          <w:sz w:val="24"/>
          <w:szCs w:val="21"/>
          <w:lang w:eastAsia="zh-CN"/>
        </w:rPr>
        <w:t>哈尔滨市巴彦县兴隆镇中兴村南门外</w:t>
      </w:r>
      <w:r>
        <w:rPr>
          <w:rFonts w:hint="default" w:ascii="Times New Roman" w:hAnsi="Times New Roman" w:cs="Times New Roman"/>
          <w:color w:val="auto"/>
          <w:kern w:val="0"/>
          <w:sz w:val="24"/>
          <w:szCs w:val="21"/>
        </w:rPr>
        <w:t>，根据</w:t>
      </w:r>
      <w:r>
        <w:rPr>
          <w:rFonts w:hint="default" w:ascii="Times New Roman" w:hAnsi="Times New Roman" w:cs="Times New Roman"/>
          <w:color w:val="auto"/>
          <w:kern w:val="0"/>
          <w:sz w:val="24"/>
          <w:szCs w:val="21"/>
          <w:lang w:eastAsia="zh-CN"/>
        </w:rPr>
        <w:t>《哈尔滨市生态环境质量报告书（2022年）》（黑龙江省哈尔滨生态环境监测中心，2023年6月）</w:t>
      </w:r>
      <w:r>
        <w:rPr>
          <w:rFonts w:hint="default" w:ascii="Times New Roman" w:hAnsi="Times New Roman" w:cs="Times New Roman"/>
          <w:color w:val="auto"/>
          <w:kern w:val="0"/>
          <w:sz w:val="24"/>
          <w:szCs w:val="21"/>
        </w:rPr>
        <w:t>除细颗粒物总体评价未达到二级标准，其他五项污染物均达到二级标准，本项目所在区域为不达标区。本项目待宰</w:t>
      </w:r>
      <w:r>
        <w:rPr>
          <w:rFonts w:hint="default" w:ascii="Times New Roman" w:hAnsi="Times New Roman" w:eastAsia="宋体" w:cs="Times New Roman"/>
          <w:color w:val="auto"/>
          <w:kern w:val="0"/>
          <w:sz w:val="24"/>
          <w:szCs w:val="21"/>
          <w:lang w:val="en-US" w:eastAsia="zh-CN"/>
        </w:rPr>
        <w:t>圈</w:t>
      </w:r>
      <w:r>
        <w:rPr>
          <w:rFonts w:hint="default" w:ascii="Times New Roman" w:hAnsi="Times New Roman" w:cs="Times New Roman"/>
          <w:color w:val="auto"/>
          <w:kern w:val="0"/>
          <w:sz w:val="24"/>
          <w:szCs w:val="21"/>
        </w:rPr>
        <w:t>及时清扫，并喷洒除臭剂，屠宰</w:t>
      </w:r>
      <w:r>
        <w:rPr>
          <w:rFonts w:hint="default" w:ascii="Times New Roman" w:hAnsi="Times New Roman" w:eastAsia="宋体" w:cs="Times New Roman"/>
          <w:color w:val="auto"/>
          <w:kern w:val="0"/>
          <w:sz w:val="24"/>
          <w:szCs w:val="21"/>
          <w:lang w:val="en-US" w:eastAsia="zh-CN"/>
        </w:rPr>
        <w:t>加工</w:t>
      </w:r>
      <w:r>
        <w:rPr>
          <w:rFonts w:hint="default" w:ascii="Times New Roman" w:hAnsi="Times New Roman" w:cs="Times New Roman"/>
          <w:color w:val="auto"/>
          <w:kern w:val="0"/>
          <w:sz w:val="24"/>
          <w:szCs w:val="21"/>
        </w:rPr>
        <w:t>车间和污水处理站密闭，待宰间、屠宰车间和污水处理站均采用负压集中收集废气，负压收集的废气分别通过活性炭吸附净化后由3根15m高排气筒排放；</w:t>
      </w:r>
      <w:r>
        <w:rPr>
          <w:rFonts w:hint="default" w:ascii="Times New Roman" w:hAnsi="Times New Roman" w:cs="Times New Roman"/>
          <w:bCs/>
          <w:color w:val="auto"/>
          <w:sz w:val="24"/>
          <w:lang w:val="en-US" w:eastAsia="zh-CN"/>
        </w:rPr>
        <w:t>燃油锅炉产生的烟气经低氮燃烧处理后经12m高烟囱排放，</w:t>
      </w:r>
      <w:r>
        <w:rPr>
          <w:rFonts w:hint="default" w:ascii="Times New Roman" w:hAnsi="Times New Roman" w:cs="Times New Roman"/>
          <w:color w:val="auto"/>
          <w:kern w:val="0"/>
          <w:sz w:val="24"/>
          <w:szCs w:val="21"/>
        </w:rPr>
        <w:t>本项目废气排放不会对大气环境质量现状造成不良影响，能够满足哈尔滨市大气环境质量底线要求。</w:t>
      </w:r>
    </w:p>
    <w:p>
      <w:pPr>
        <w:spacing w:line="360" w:lineRule="auto"/>
        <w:ind w:firstLine="480" w:firstLineChars="200"/>
        <w:jc w:val="both"/>
        <w:rPr>
          <w:rFonts w:hint="default" w:ascii="Times New Roman" w:hAnsi="Times New Roman" w:cs="Times New Roman"/>
          <w:color w:val="auto"/>
          <w:kern w:val="0"/>
          <w:sz w:val="24"/>
          <w:szCs w:val="21"/>
        </w:rPr>
      </w:pPr>
      <w:r>
        <w:rPr>
          <w:rFonts w:hint="default" w:ascii="Times New Roman" w:hAnsi="Times New Roman" w:cs="Times New Roman"/>
          <w:color w:val="auto"/>
          <w:kern w:val="0"/>
          <w:sz w:val="24"/>
          <w:szCs w:val="21"/>
        </w:rPr>
        <w:fldChar w:fldCharType="begin"/>
      </w:r>
      <w:r>
        <w:rPr>
          <w:rFonts w:hint="default" w:ascii="Times New Roman" w:hAnsi="Times New Roman" w:cs="Times New Roman"/>
          <w:color w:val="auto"/>
          <w:kern w:val="0"/>
          <w:sz w:val="24"/>
          <w:szCs w:val="21"/>
        </w:rPr>
        <w:instrText xml:space="preserve"> = 2 \* GB3 </w:instrText>
      </w:r>
      <w:r>
        <w:rPr>
          <w:rFonts w:hint="default" w:ascii="Times New Roman" w:hAnsi="Times New Roman" w:cs="Times New Roman"/>
          <w:color w:val="auto"/>
          <w:kern w:val="0"/>
          <w:sz w:val="24"/>
          <w:szCs w:val="21"/>
        </w:rPr>
        <w:fldChar w:fldCharType="separate"/>
      </w:r>
      <w:r>
        <w:rPr>
          <w:rFonts w:hint="default" w:ascii="Times New Roman" w:hAnsi="Times New Roman" w:cs="Times New Roman"/>
          <w:color w:val="auto"/>
          <w:kern w:val="0"/>
          <w:sz w:val="24"/>
          <w:szCs w:val="21"/>
        </w:rPr>
        <w:t>②</w:t>
      </w:r>
      <w:r>
        <w:rPr>
          <w:rFonts w:hint="default" w:ascii="Times New Roman" w:hAnsi="Times New Roman" w:cs="Times New Roman"/>
          <w:color w:val="auto"/>
          <w:kern w:val="0"/>
          <w:sz w:val="24"/>
          <w:szCs w:val="21"/>
        </w:rPr>
        <w:fldChar w:fldCharType="end"/>
      </w:r>
      <w:r>
        <w:rPr>
          <w:rFonts w:hint="default" w:ascii="Times New Roman" w:hAnsi="Times New Roman" w:cs="Times New Roman"/>
          <w:color w:val="auto"/>
          <w:kern w:val="0"/>
          <w:sz w:val="24"/>
          <w:szCs w:val="21"/>
        </w:rPr>
        <w:t>水环境</w:t>
      </w:r>
    </w:p>
    <w:p>
      <w:pPr>
        <w:spacing w:line="360" w:lineRule="auto"/>
        <w:ind w:firstLine="480" w:firstLineChars="200"/>
        <w:jc w:val="both"/>
        <w:rPr>
          <w:rFonts w:hint="default" w:ascii="Times New Roman" w:hAnsi="Times New Roman" w:cs="Times New Roman"/>
          <w:color w:val="FF0000"/>
          <w:kern w:val="0"/>
          <w:sz w:val="24"/>
          <w:szCs w:val="21"/>
        </w:rPr>
      </w:pPr>
      <w:r>
        <w:rPr>
          <w:rFonts w:hint="default" w:ascii="Times New Roman" w:hAnsi="Times New Roman" w:eastAsia="宋体" w:cs="Times New Roman"/>
          <w:color w:val="auto"/>
          <w:sz w:val="24"/>
          <w:szCs w:val="24"/>
          <w:highlight w:val="none"/>
          <w:lang w:val="en-US" w:eastAsia="zh-CN"/>
        </w:rPr>
        <w:t>2022年哈尔滨市地表水水质总体状况为良。其中Ⅱ类断面比例17.6%、Ⅲ类70.6%、Ⅳ类7.8%、Ⅴ类2.0%、劣Ⅴ类2.0%。主要污染指标为化学需氧量、高酸盐指数、总磷、生化需氧量。优良断面比例同比上升29.5个百分点，劣Ⅴ类比例同比下降0.2个百分点，水质状况总体好转。</w:t>
      </w:r>
      <w:r>
        <w:rPr>
          <w:rFonts w:hint="default" w:ascii="Times New Roman" w:hAnsi="Times New Roman" w:cs="Times New Roman"/>
          <w:color w:val="auto"/>
          <w:kern w:val="0"/>
          <w:sz w:val="24"/>
          <w:szCs w:val="21"/>
        </w:rPr>
        <w:t>本项目生产废水经污水处理站处理达标后</w:t>
      </w:r>
      <w:r>
        <w:rPr>
          <w:rFonts w:hint="default" w:ascii="Times New Roman" w:hAnsi="Times New Roman" w:eastAsia="宋体" w:cs="Times New Roman"/>
          <w:color w:val="auto"/>
          <w:kern w:val="0"/>
          <w:sz w:val="24"/>
          <w:szCs w:val="21"/>
          <w:lang w:val="en-US" w:eastAsia="zh-CN"/>
        </w:rPr>
        <w:t>排入兴隆镇污水处理厂，</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处理后达到《城镇污水处理厂污染物排放标准》（GB18918-2002）中一级 A 排放标准后经龙须沟汇入泥河。</w:t>
      </w:r>
      <w:r>
        <w:rPr>
          <w:rFonts w:hint="default" w:ascii="Times New Roman" w:hAnsi="Times New Roman" w:cs="Times New Roman"/>
          <w:color w:val="auto"/>
          <w:kern w:val="0"/>
          <w:sz w:val="24"/>
          <w:szCs w:val="21"/>
        </w:rPr>
        <w:t>本项目废水排放不会对地表水和地下水环境造成影响，因此不会对区域水环境造成影响，符合哈尔滨市水环境质量底线要求。</w:t>
      </w:r>
    </w:p>
    <w:p>
      <w:pPr>
        <w:spacing w:line="360" w:lineRule="auto"/>
        <w:ind w:firstLine="480" w:firstLineChars="200"/>
        <w:jc w:val="both"/>
        <w:rPr>
          <w:rFonts w:hint="default" w:ascii="Times New Roman" w:hAnsi="Times New Roman" w:cs="Times New Roman"/>
          <w:color w:val="auto"/>
          <w:kern w:val="0"/>
          <w:sz w:val="24"/>
          <w:szCs w:val="21"/>
        </w:rPr>
      </w:pPr>
      <w:r>
        <w:rPr>
          <w:rFonts w:hint="default" w:ascii="Times New Roman" w:hAnsi="Times New Roman" w:cs="Times New Roman"/>
          <w:color w:val="auto"/>
          <w:kern w:val="0"/>
          <w:sz w:val="24"/>
          <w:szCs w:val="21"/>
        </w:rPr>
        <w:t>③土壤</w:t>
      </w:r>
    </w:p>
    <w:p>
      <w:pPr>
        <w:autoSpaceDE w:val="0"/>
        <w:autoSpaceDN w:val="0"/>
        <w:spacing w:line="360" w:lineRule="auto"/>
        <w:ind w:firstLine="480" w:firstLineChars="200"/>
        <w:jc w:val="both"/>
        <w:rPr>
          <w:rFonts w:hint="default" w:ascii="Times New Roman" w:hAnsi="Times New Roman" w:cs="Times New Roman" w:eastAsiaTheme="minorEastAsia"/>
          <w:color w:val="auto"/>
          <w:sz w:val="24"/>
        </w:rPr>
      </w:pPr>
      <w:r>
        <w:rPr>
          <w:rFonts w:hint="default" w:ascii="Times New Roman" w:hAnsi="Times New Roman" w:cs="Times New Roman"/>
          <w:color w:val="auto"/>
          <w:kern w:val="0"/>
          <w:sz w:val="24"/>
          <w:szCs w:val="21"/>
        </w:rPr>
        <w:t>本项目选址不属于污染地块。本项目无土壤污染，</w:t>
      </w:r>
      <w:r>
        <w:rPr>
          <w:rFonts w:hint="default" w:ascii="Times New Roman" w:hAnsi="Times New Roman" w:cs="Times New Roman"/>
          <w:bCs/>
          <w:color w:val="auto"/>
          <w:kern w:val="0"/>
          <w:sz w:val="24"/>
          <w:szCs w:val="21"/>
        </w:rPr>
        <w:t>因此符合哈尔滨市土壤环境管控要求</w:t>
      </w:r>
      <w:r>
        <w:rPr>
          <w:rFonts w:hint="default" w:ascii="Times New Roman" w:hAnsi="Times New Roman" w:cs="Times New Roman"/>
          <w:color w:val="auto"/>
          <w:kern w:val="0"/>
          <w:sz w:val="24"/>
          <w:szCs w:val="21"/>
        </w:rPr>
        <w:t>。</w:t>
      </w:r>
    </w:p>
    <w:p>
      <w:pPr>
        <w:spacing w:line="360" w:lineRule="auto"/>
        <w:ind w:firstLine="480" w:firstLineChars="200"/>
        <w:jc w:val="both"/>
        <w:rPr>
          <w:rFonts w:hint="default" w:ascii="Times New Roman" w:hAnsi="Times New Roman" w:cs="Times New Roman"/>
          <w:color w:val="auto"/>
          <w:kern w:val="0"/>
          <w:sz w:val="24"/>
          <w:szCs w:val="21"/>
        </w:rPr>
      </w:pPr>
      <w:r>
        <w:rPr>
          <w:rFonts w:hint="default" w:ascii="Times New Roman" w:hAnsi="Times New Roman" w:cs="Times New Roman"/>
          <w:color w:val="auto"/>
          <w:kern w:val="0"/>
          <w:sz w:val="24"/>
          <w:szCs w:val="21"/>
        </w:rPr>
        <w:t>（3）资源利用上线</w:t>
      </w:r>
    </w:p>
    <w:p>
      <w:pPr>
        <w:spacing w:line="360" w:lineRule="auto"/>
        <w:ind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rPr>
        <w:t>本项目用水由现有</w:t>
      </w:r>
      <w:r>
        <w:rPr>
          <w:rFonts w:hint="default" w:ascii="Times New Roman" w:hAnsi="Times New Roman" w:eastAsia="宋体" w:cs="Times New Roman"/>
          <w:color w:val="auto"/>
          <w:sz w:val="24"/>
          <w:lang w:val="en-US" w:eastAsia="zh-CN"/>
        </w:rPr>
        <w:t>供水管网</w:t>
      </w:r>
      <w:r>
        <w:rPr>
          <w:rFonts w:hint="default" w:ascii="Times New Roman" w:hAnsi="Times New Roman" w:cs="Times New Roman"/>
          <w:color w:val="auto"/>
          <w:sz w:val="24"/>
        </w:rPr>
        <w:t>提供，不属于高水耗，高能耗行业，生产过程中提高用水效率，减少对水资源的消耗；本项目选址土地为工业用地，不占用基本农田和黑土地。本项目生产不使用煤、天然气等能源，综上，本项目符合哈尔滨市能源、水资源、土地资源等资源利用上线要求。</w:t>
      </w:r>
    </w:p>
    <w:p>
      <w:pPr>
        <w:spacing w:line="360" w:lineRule="auto"/>
        <w:ind w:firstLine="480" w:firstLineChars="200"/>
        <w:jc w:val="both"/>
        <w:rPr>
          <w:rFonts w:hint="default" w:ascii="Times New Roman" w:hAnsi="Times New Roman" w:cs="Times New Roman"/>
          <w:color w:val="auto"/>
          <w:kern w:val="0"/>
          <w:sz w:val="24"/>
          <w:szCs w:val="21"/>
        </w:rPr>
      </w:pPr>
      <w:r>
        <w:rPr>
          <w:rFonts w:hint="default" w:ascii="Times New Roman" w:hAnsi="Times New Roman" w:cs="Times New Roman"/>
          <w:color w:val="auto"/>
          <w:kern w:val="0"/>
          <w:sz w:val="24"/>
          <w:szCs w:val="21"/>
        </w:rPr>
        <w:t>（4）生态环境准入清单</w:t>
      </w:r>
    </w:p>
    <w:p>
      <w:pPr>
        <w:autoSpaceDE w:val="0"/>
        <w:autoSpaceDN w:val="0"/>
        <w:spacing w:line="360" w:lineRule="auto"/>
        <w:ind w:firstLine="480" w:firstLineChars="200"/>
        <w:jc w:val="both"/>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根据《哈尔滨市环境管控单元图》，本项目所处区域位于重点管控单元内，生态环境准入清单满足</w:t>
      </w:r>
      <w:r>
        <w:rPr>
          <w:rFonts w:hint="default" w:ascii="Times New Roman" w:hAnsi="Times New Roman" w:cs="Times New Roman" w:eastAsiaTheme="minorEastAsia"/>
          <w:color w:val="auto"/>
          <w:sz w:val="24"/>
          <w:lang w:val="en-US" w:eastAsia="zh-CN"/>
        </w:rPr>
        <w:t>巴彦县重点管控单元</w:t>
      </w:r>
      <w:r>
        <w:rPr>
          <w:rFonts w:hint="default" w:ascii="Times New Roman" w:hAnsi="Times New Roman" w:cs="Times New Roman" w:eastAsiaTheme="minorEastAsia"/>
          <w:color w:val="auto"/>
          <w:sz w:val="24"/>
        </w:rPr>
        <w:t>。</w:t>
      </w:r>
    </w:p>
    <w:p>
      <w:pPr>
        <w:autoSpaceDE w:val="0"/>
        <w:autoSpaceDN w:val="0"/>
        <w:jc w:val="center"/>
        <w:rPr>
          <w:rFonts w:hint="default" w:ascii="Times New Roman" w:hAnsi="Times New Roman" w:cs="Times New Roman" w:eastAsiaTheme="minorEastAsia"/>
          <w:b/>
          <w:color w:val="auto"/>
          <w:sz w:val="24"/>
        </w:rPr>
      </w:pPr>
      <w:r>
        <w:rPr>
          <w:rFonts w:hint="default" w:ascii="Times New Roman" w:hAnsi="Times New Roman" w:cs="Times New Roman" w:eastAsiaTheme="minorEastAsia"/>
          <w:b/>
          <w:color w:val="auto"/>
          <w:sz w:val="24"/>
        </w:rPr>
        <w:t>表1-4-</w:t>
      </w:r>
      <w:r>
        <w:rPr>
          <w:rFonts w:hint="default" w:ascii="Times New Roman" w:hAnsi="Times New Roman" w:cs="Times New Roman" w:eastAsiaTheme="minorEastAsia"/>
          <w:b/>
          <w:color w:val="auto"/>
          <w:sz w:val="24"/>
          <w:lang w:val="en-US" w:eastAsia="zh-CN"/>
        </w:rPr>
        <w:t>4</w:t>
      </w:r>
      <w:r>
        <w:rPr>
          <w:rFonts w:hint="default" w:ascii="Times New Roman" w:hAnsi="Times New Roman" w:cs="Times New Roman" w:eastAsiaTheme="minorEastAsia"/>
          <w:b/>
          <w:color w:val="auto"/>
          <w:sz w:val="24"/>
        </w:rPr>
        <w:t xml:space="preserve"> 哈尔滨市生态环境准入清单</w:t>
      </w:r>
      <w:r>
        <w:rPr>
          <w:rFonts w:hint="default" w:ascii="Times New Roman" w:hAnsi="Times New Roman" w:cs="Times New Roman" w:eastAsiaTheme="minorEastAsia"/>
          <w:b/>
          <w:color w:val="auto"/>
          <w:sz w:val="24"/>
          <w:lang w:eastAsia="zh-CN"/>
        </w:rPr>
        <w:t>（</w:t>
      </w:r>
      <w:r>
        <w:rPr>
          <w:rFonts w:hint="default" w:ascii="Times New Roman" w:hAnsi="Times New Roman" w:cs="Times New Roman" w:eastAsiaTheme="minorEastAsia"/>
          <w:b/>
          <w:color w:val="auto"/>
          <w:sz w:val="24"/>
          <w:lang w:val="en-US" w:eastAsia="zh-CN"/>
        </w:rPr>
        <w:t>2023年版</w:t>
      </w:r>
      <w:r>
        <w:rPr>
          <w:rFonts w:hint="default" w:ascii="Times New Roman" w:hAnsi="Times New Roman" w:cs="Times New Roman" w:eastAsiaTheme="minorEastAsia"/>
          <w:b/>
          <w:color w:val="auto"/>
          <w:sz w:val="24"/>
          <w:lang w:eastAsia="zh-CN"/>
        </w:rPr>
        <w:t>）</w:t>
      </w:r>
      <w:r>
        <w:rPr>
          <w:rFonts w:hint="default" w:ascii="Times New Roman" w:hAnsi="Times New Roman" w:cs="Times New Roman" w:eastAsiaTheme="minorEastAsia"/>
          <w:b/>
          <w:color w:val="auto"/>
          <w:sz w:val="24"/>
        </w:rPr>
        <w:t>管控要求符合性分析</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593"/>
        <w:gridCol w:w="593"/>
        <w:gridCol w:w="426"/>
        <w:gridCol w:w="3665"/>
        <w:gridCol w:w="23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395" w:type="pct"/>
            <w:vAlign w:val="center"/>
          </w:tcPr>
          <w:p>
            <w:pPr>
              <w:widowControl/>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环境管控单元编码</w:t>
            </w:r>
          </w:p>
        </w:tc>
        <w:tc>
          <w:tcPr>
            <w:tcW w:w="418" w:type="pct"/>
            <w:vAlign w:val="center"/>
          </w:tcPr>
          <w:p>
            <w:pPr>
              <w:widowControl/>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环境管控单元名称</w:t>
            </w:r>
          </w:p>
        </w:tc>
        <w:tc>
          <w:tcPr>
            <w:tcW w:w="418" w:type="pct"/>
            <w:vAlign w:val="center"/>
          </w:tcPr>
          <w:p>
            <w:pPr>
              <w:spacing w:line="0" w:lineRule="atLeast"/>
              <w:contextualSpacing/>
              <w:jc w:val="center"/>
              <w:rPr>
                <w:rFonts w:hint="default" w:ascii="Times New Roman" w:hAnsi="Times New Roman" w:eastAsia="宋体" w:cs="Times New Roman"/>
                <w:color w:val="auto"/>
                <w:spacing w:val="-3"/>
                <w:kern w:val="0"/>
                <w:sz w:val="21"/>
                <w:szCs w:val="21"/>
                <w:lang w:val="zh-CN" w:bidi="zh-CN"/>
              </w:rPr>
            </w:pPr>
            <w:r>
              <w:rPr>
                <w:rFonts w:hint="default" w:ascii="Times New Roman" w:hAnsi="Times New Roman" w:eastAsia="宋体" w:cs="Times New Roman"/>
                <w:color w:val="auto"/>
                <w:sz w:val="21"/>
                <w:szCs w:val="21"/>
              </w:rPr>
              <w:t>管控单元类别</w:t>
            </w:r>
          </w:p>
        </w:tc>
        <w:tc>
          <w:tcPr>
            <w:tcW w:w="2397" w:type="pct"/>
            <w:gridSpan w:val="2"/>
            <w:vAlign w:val="center"/>
          </w:tcPr>
          <w:p>
            <w:pPr>
              <w:spacing w:line="0" w:lineRule="atLeast"/>
              <w:contextualSpacing/>
              <w:jc w:val="center"/>
              <w:rPr>
                <w:rFonts w:hint="default" w:ascii="Times New Roman" w:hAnsi="Times New Roman" w:eastAsia="宋体" w:cs="Times New Roman"/>
                <w:color w:val="auto"/>
                <w:spacing w:val="-3"/>
                <w:kern w:val="0"/>
                <w:sz w:val="21"/>
                <w:szCs w:val="21"/>
                <w:lang w:val="zh-CN" w:bidi="zh-CN"/>
              </w:rPr>
            </w:pPr>
            <w:r>
              <w:rPr>
                <w:rFonts w:hint="default" w:ascii="Times New Roman" w:hAnsi="Times New Roman" w:eastAsia="宋体" w:cs="Times New Roman"/>
                <w:color w:val="auto"/>
                <w:spacing w:val="-3"/>
                <w:kern w:val="0"/>
                <w:sz w:val="21"/>
                <w:szCs w:val="21"/>
                <w:lang w:bidi="zh-CN"/>
              </w:rPr>
              <w:t>管控要求</w:t>
            </w:r>
          </w:p>
        </w:tc>
        <w:tc>
          <w:tcPr>
            <w:tcW w:w="1370" w:type="pct"/>
            <w:vAlign w:val="center"/>
          </w:tcPr>
          <w:p>
            <w:pPr>
              <w:spacing w:line="0" w:lineRule="atLeast"/>
              <w:contextualSpacing/>
              <w:jc w:val="center"/>
              <w:rPr>
                <w:rFonts w:hint="default" w:ascii="Times New Roman" w:hAnsi="Times New Roman" w:eastAsia="宋体" w:cs="Times New Roman"/>
                <w:color w:val="auto"/>
                <w:spacing w:val="-3"/>
                <w:kern w:val="0"/>
                <w:sz w:val="21"/>
                <w:szCs w:val="21"/>
                <w:lang w:val="zh-CN" w:bidi="zh-CN"/>
              </w:rPr>
            </w:pPr>
            <w:r>
              <w:rPr>
                <w:rFonts w:hint="default" w:ascii="Times New Roman" w:hAnsi="Times New Roman" w:eastAsia="宋体" w:cs="Times New Roman"/>
                <w:color w:val="auto"/>
                <w:spacing w:val="-3"/>
                <w:kern w:val="0"/>
                <w:sz w:val="21"/>
                <w:szCs w:val="21"/>
                <w:highlight w:val="none"/>
                <w:lang w:bidi="zh-CN"/>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7" w:hRule="atLeast"/>
        </w:trPr>
        <w:tc>
          <w:tcPr>
            <w:tcW w:w="395" w:type="pct"/>
            <w:vMerge w:val="restart"/>
            <w:vAlign w:val="center"/>
          </w:tcPr>
          <w:p>
            <w:pPr>
              <w:widowControl/>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rPr>
              <w:t>ZH23012620002</w:t>
            </w:r>
          </w:p>
        </w:tc>
        <w:tc>
          <w:tcPr>
            <w:tcW w:w="418" w:type="pct"/>
            <w:vMerge w:val="restart"/>
            <w:vAlign w:val="center"/>
          </w:tcPr>
          <w:p>
            <w:pPr>
              <w:widowControl/>
              <w:spacing w:line="0" w:lineRule="atLeast"/>
              <w:contextualSpacing/>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highlight w:val="none"/>
              </w:rPr>
              <w:t>巴彦县城镇空间</w:t>
            </w:r>
          </w:p>
        </w:tc>
        <w:tc>
          <w:tcPr>
            <w:tcW w:w="418" w:type="pct"/>
            <w:vMerge w:val="restart"/>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重点管控单元</w:t>
            </w:r>
          </w:p>
        </w:tc>
        <w:tc>
          <w:tcPr>
            <w:tcW w:w="250" w:type="pct"/>
            <w:vAlign w:val="center"/>
          </w:tcPr>
          <w:p>
            <w:pPr>
              <w:widowControl/>
              <w:jc w:val="center"/>
              <w:rPr>
                <w:rFonts w:hint="default" w:ascii="Times New Roman" w:hAnsi="Times New Roman" w:eastAsia="宋体" w:cs="Times New Roman"/>
                <w:color w:val="auto"/>
                <w:spacing w:val="-3"/>
                <w:kern w:val="0"/>
                <w:sz w:val="21"/>
                <w:szCs w:val="21"/>
                <w:lang w:val="en-US" w:bidi="zh-CN"/>
              </w:rPr>
            </w:pPr>
            <w:r>
              <w:rPr>
                <w:rFonts w:hint="default" w:ascii="Times New Roman" w:hAnsi="Times New Roman" w:eastAsia="宋体" w:cs="Times New Roman"/>
                <w:color w:val="auto"/>
                <w:sz w:val="21"/>
                <w:szCs w:val="21"/>
                <w:highlight w:val="none"/>
              </w:rPr>
              <w:t>空间布局约束</w:t>
            </w:r>
          </w:p>
        </w:tc>
        <w:tc>
          <w:tcPr>
            <w:tcW w:w="2146" w:type="pct"/>
            <w:vAlign w:val="center"/>
          </w:tcPr>
          <w:p>
            <w:pPr>
              <w:numPr>
                <w:ilvl w:val="0"/>
                <w:numId w:val="4"/>
              </w:numPr>
              <w:ind w:firstLine="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执行要求</w:t>
            </w:r>
            <w:r>
              <w:rPr>
                <w:rFonts w:hint="default" w:ascii="Times New Roman" w:hAnsi="Times New Roman" w:eastAsia="宋体" w:cs="Times New Roman"/>
                <w:color w:val="auto"/>
                <w:sz w:val="21"/>
                <w:szCs w:val="21"/>
                <w:highlight w:val="none"/>
                <w:lang w:eastAsia="zh-CN"/>
              </w:rPr>
              <w:t>：</w:t>
            </w:r>
          </w:p>
          <w:p>
            <w:pPr>
              <w:keepNext w:val="0"/>
              <w:keepLines w:val="0"/>
              <w:pageBreakBefore w:val="0"/>
              <w:tabs>
                <w:tab w:val="left" w:pos="265"/>
              </w:tabs>
              <w:kinsoku/>
              <w:overflowPunct/>
              <w:topLinePunct w:val="0"/>
              <w:autoSpaceDE w:val="0"/>
              <w:autoSpaceDN w:val="0"/>
              <w:bidi w:val="0"/>
              <w:spacing w:before="1" w:beforeLines="0" w:line="240" w:lineRule="auto"/>
              <w:ind w:right="96"/>
              <w:textAlignment w:val="auto"/>
              <w:rPr>
                <w:rFonts w:hint="default" w:ascii="Times New Roman" w:hAnsi="Times New Roman" w:eastAsia="宋体" w:cs="Times New Roman"/>
                <w:color w:val="auto"/>
                <w:spacing w:val="-3"/>
                <w:kern w:val="0"/>
                <w:sz w:val="21"/>
                <w:szCs w:val="21"/>
                <w:highlight w:val="none"/>
                <w:lang w:val="zh-CN"/>
              </w:rPr>
            </w:pPr>
            <w:r>
              <w:rPr>
                <w:rFonts w:hint="default" w:ascii="Times New Roman" w:hAnsi="Times New Roman" w:eastAsia="宋体" w:cs="Times New Roman"/>
                <w:color w:val="auto"/>
                <w:spacing w:val="-3"/>
                <w:kern w:val="0"/>
                <w:sz w:val="21"/>
                <w:szCs w:val="21"/>
                <w:highlight w:val="none"/>
                <w:lang w:val="zh-CN"/>
              </w:rPr>
              <w:t>1.严禁在人口密集区新建危险化学品生产项目，城镇人口密集区危险化学品生产企业应搬迁改造。</w:t>
            </w:r>
          </w:p>
          <w:p>
            <w:pPr>
              <w:numPr>
                <w:ilvl w:val="0"/>
                <w:numId w:val="0"/>
              </w:numPr>
              <w:ind w:firstLine="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kern w:val="0"/>
                <w:sz w:val="21"/>
                <w:szCs w:val="21"/>
                <w:highlight w:val="none"/>
                <w:lang w:val="zh-CN"/>
              </w:rPr>
              <w:t>2.禁止在城镇居民区、文化教育科学研究区等人口集中区域建设畜禽养殖场、养殖小区。</w:t>
            </w:r>
          </w:p>
          <w:p>
            <w:pPr>
              <w:numPr>
                <w:ilvl w:val="0"/>
                <w:numId w:val="4"/>
              </w:numPr>
              <w:ind w:firstLine="0"/>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rPr>
              <w:t>水环境城镇生活污染重点管控区执行</w:t>
            </w:r>
            <w:r>
              <w:rPr>
                <w:rFonts w:hint="default" w:ascii="Times New Roman" w:hAnsi="Times New Roman" w:eastAsia="宋体" w:cs="Times New Roman"/>
                <w:color w:val="auto"/>
                <w:sz w:val="21"/>
                <w:szCs w:val="21"/>
                <w:highlight w:val="none"/>
                <w:lang w:eastAsia="zh-CN"/>
              </w:rPr>
              <w:t>：</w:t>
            </w:r>
          </w:p>
          <w:p>
            <w:pPr>
              <w:numPr>
                <w:ilvl w:val="0"/>
                <w:numId w:val="0"/>
              </w:numPr>
              <w:ind w:firstLine="0"/>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rPr>
              <w:t>除干旱地区外，新建城区应全面实行雨污分流，鼓励对初期雨水进行收集、处理和资源化利用。</w:t>
            </w:r>
          </w:p>
          <w:p>
            <w:pPr>
              <w:numPr>
                <w:ilvl w:val="0"/>
                <w:numId w:val="4"/>
              </w:numPr>
              <w:ind w:firstLine="0"/>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水环境</w:t>
            </w:r>
            <w:r>
              <w:rPr>
                <w:rFonts w:hint="default" w:ascii="Times New Roman" w:hAnsi="Times New Roman" w:eastAsia="宋体" w:cs="Times New Roman"/>
                <w:color w:val="auto"/>
                <w:kern w:val="0"/>
                <w:sz w:val="21"/>
                <w:szCs w:val="21"/>
                <w:highlight w:val="none"/>
                <w:lang w:val="en-US" w:eastAsia="zh-CN"/>
              </w:rPr>
              <w:t>农</w:t>
            </w:r>
            <w:r>
              <w:rPr>
                <w:rFonts w:hint="default" w:ascii="Times New Roman" w:hAnsi="Times New Roman" w:eastAsia="宋体" w:cs="Times New Roman"/>
                <w:color w:val="auto"/>
                <w:kern w:val="0"/>
                <w:sz w:val="21"/>
                <w:szCs w:val="21"/>
                <w:highlight w:val="none"/>
              </w:rPr>
              <w:t>业污染重点管控区</w:t>
            </w:r>
            <w:r>
              <w:rPr>
                <w:rFonts w:hint="default" w:ascii="Times New Roman" w:hAnsi="Times New Roman" w:eastAsia="宋体" w:cs="Times New Roman"/>
                <w:color w:val="auto"/>
                <w:kern w:val="0"/>
                <w:sz w:val="21"/>
                <w:szCs w:val="21"/>
                <w:highlight w:val="none"/>
                <w:lang w:eastAsia="zh-CN"/>
              </w:rPr>
              <w:t>同时</w:t>
            </w:r>
            <w:r>
              <w:rPr>
                <w:rFonts w:hint="default" w:ascii="Times New Roman" w:hAnsi="Times New Roman" w:eastAsia="宋体" w:cs="Times New Roman"/>
                <w:color w:val="auto"/>
                <w:sz w:val="21"/>
                <w:szCs w:val="21"/>
                <w:highlight w:val="none"/>
              </w:rPr>
              <w:t>执行</w:t>
            </w:r>
            <w:r>
              <w:rPr>
                <w:rFonts w:hint="default" w:ascii="Times New Roman" w:hAnsi="Times New Roman" w:eastAsia="宋体" w:cs="Times New Roman"/>
                <w:color w:val="auto"/>
                <w:sz w:val="21"/>
                <w:szCs w:val="21"/>
                <w:highlight w:val="none"/>
                <w:lang w:eastAsia="zh-CN"/>
              </w:rPr>
              <w:t>：</w:t>
            </w:r>
          </w:p>
          <w:p>
            <w:pPr>
              <w:keepNext w:val="0"/>
              <w:keepLines w:val="0"/>
              <w:pageBreakBefore w:val="0"/>
              <w:kinsoku/>
              <w:overflowPunct/>
              <w:topLinePunct w:val="0"/>
              <w:bidi w:val="0"/>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1.科学划定畜禽养殖禁养区。</w:t>
            </w:r>
          </w:p>
          <w:p>
            <w:pPr>
              <w:numPr>
                <w:ilvl w:val="0"/>
                <w:numId w:val="0"/>
              </w:numPr>
              <w:ind w:left="0" w:leftChars="0" w:firstLine="0" w:firstLineChars="0"/>
              <w:rPr>
                <w:rFonts w:hint="default" w:ascii="Times New Roman" w:hAnsi="Times New Roman" w:eastAsia="宋体" w:cs="Times New Roman"/>
                <w:color w:val="FF0000"/>
                <w:sz w:val="21"/>
                <w:szCs w:val="21"/>
                <w:lang w:bidi="zh-CN"/>
              </w:rPr>
            </w:pPr>
            <w:r>
              <w:rPr>
                <w:rFonts w:hint="default" w:ascii="Times New Roman" w:hAnsi="Times New Roman" w:eastAsia="宋体" w:cs="Times New Roman"/>
                <w:color w:val="auto"/>
                <w:sz w:val="21"/>
                <w:szCs w:val="21"/>
                <w:highlight w:val="none"/>
              </w:rPr>
              <w:t>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w:t>
            </w:r>
          </w:p>
        </w:tc>
        <w:tc>
          <w:tcPr>
            <w:tcW w:w="1370" w:type="pct"/>
            <w:vAlign w:val="center"/>
          </w:tcPr>
          <w:p>
            <w:pPr>
              <w:spacing w:line="0" w:lineRule="atLeast"/>
              <w:contextualSpacing/>
              <w:jc w:val="left"/>
              <w:rPr>
                <w:rFonts w:hint="default" w:ascii="Times New Roman" w:hAnsi="Times New Roman" w:eastAsia="宋体" w:cs="Times New Roman"/>
                <w:color w:val="FF0000"/>
                <w:spacing w:val="-3"/>
                <w:kern w:val="0"/>
                <w:sz w:val="21"/>
                <w:szCs w:val="21"/>
                <w:lang w:bidi="zh-CN"/>
              </w:rPr>
            </w:pPr>
            <w:r>
              <w:rPr>
                <w:rFonts w:hint="default" w:ascii="Times New Roman" w:hAnsi="Times New Roman" w:eastAsia="宋体" w:cs="Times New Roman"/>
                <w:color w:val="auto"/>
                <w:spacing w:val="-3"/>
                <w:kern w:val="0"/>
                <w:sz w:val="21"/>
                <w:szCs w:val="21"/>
                <w:lang w:bidi="zh-CN"/>
              </w:rPr>
              <w:t>本项目为</w:t>
            </w:r>
            <w:r>
              <w:rPr>
                <w:rFonts w:hint="default" w:ascii="Times New Roman" w:hAnsi="Times New Roman" w:eastAsia="宋体" w:cs="Times New Roman"/>
                <w:color w:val="auto"/>
                <w:spacing w:val="-3"/>
                <w:kern w:val="0"/>
                <w:sz w:val="21"/>
                <w:szCs w:val="21"/>
                <w:lang w:val="en-US" w:bidi="zh-CN"/>
              </w:rPr>
              <w:t>生猪</w:t>
            </w:r>
            <w:r>
              <w:rPr>
                <w:rFonts w:hint="default" w:ascii="Times New Roman" w:hAnsi="Times New Roman" w:eastAsia="宋体" w:cs="Times New Roman"/>
                <w:color w:val="auto"/>
                <w:spacing w:val="-3"/>
                <w:kern w:val="0"/>
                <w:sz w:val="21"/>
                <w:szCs w:val="21"/>
                <w:lang w:bidi="zh-CN"/>
              </w:rPr>
              <w:t>屠宰项目，</w:t>
            </w:r>
            <w:r>
              <w:rPr>
                <w:rFonts w:hint="default" w:ascii="Times New Roman" w:hAnsi="Times New Roman" w:eastAsia="宋体" w:cs="Times New Roman"/>
                <w:color w:val="auto"/>
                <w:spacing w:val="-3"/>
                <w:kern w:val="0"/>
                <w:sz w:val="21"/>
                <w:szCs w:val="21"/>
                <w:lang w:val="en-US" w:eastAsia="zh-CN" w:bidi="zh-CN"/>
              </w:rPr>
              <w:t>不属于危险化学品项目，因此项目与</w:t>
            </w:r>
            <w:r>
              <w:rPr>
                <w:rFonts w:hint="default" w:ascii="Times New Roman" w:hAnsi="Times New Roman" w:eastAsia="宋体" w:cs="Times New Roman"/>
                <w:color w:val="auto"/>
                <w:spacing w:val="-3"/>
                <w:kern w:val="0"/>
                <w:sz w:val="21"/>
                <w:szCs w:val="21"/>
                <w:lang w:bidi="zh-CN"/>
              </w:rPr>
              <w:t>其他区域生态环境准入清单</w:t>
            </w:r>
            <w:r>
              <w:rPr>
                <w:rFonts w:hint="default" w:ascii="Times New Roman" w:hAnsi="Times New Roman" w:eastAsia="宋体" w:cs="Times New Roman"/>
                <w:color w:val="auto"/>
                <w:spacing w:val="-3"/>
                <w:kern w:val="0"/>
                <w:sz w:val="21"/>
                <w:szCs w:val="21"/>
                <w:lang w:val="en-US" w:eastAsia="zh-CN" w:bidi="zh-CN"/>
              </w:rPr>
              <w:t>要求相</w:t>
            </w:r>
            <w:r>
              <w:rPr>
                <w:rFonts w:hint="default" w:ascii="Times New Roman" w:hAnsi="Times New Roman" w:eastAsia="宋体" w:cs="Times New Roman"/>
                <w:color w:val="auto"/>
                <w:spacing w:val="-3"/>
                <w:kern w:val="0"/>
                <w:sz w:val="21"/>
                <w:szCs w:val="21"/>
                <w:lang w:bidi="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7" w:hRule="atLeast"/>
        </w:trPr>
        <w:tc>
          <w:tcPr>
            <w:tcW w:w="395" w:type="pct"/>
            <w:vMerge w:val="continue"/>
            <w:vAlign w:val="center"/>
          </w:tcPr>
          <w:p>
            <w:pPr>
              <w:widowControl/>
              <w:spacing w:line="0" w:lineRule="atLeast"/>
              <w:contextualSpacing/>
              <w:jc w:val="center"/>
              <w:rPr>
                <w:rFonts w:hint="default" w:ascii="Times New Roman" w:hAnsi="Times New Roman" w:eastAsia="宋体" w:cs="Times New Roman"/>
                <w:color w:val="auto"/>
                <w:kern w:val="0"/>
                <w:sz w:val="21"/>
                <w:szCs w:val="21"/>
                <w:highlight w:val="none"/>
              </w:rPr>
            </w:pPr>
          </w:p>
        </w:tc>
        <w:tc>
          <w:tcPr>
            <w:tcW w:w="418" w:type="pct"/>
            <w:vMerge w:val="continue"/>
            <w:vAlign w:val="center"/>
          </w:tcPr>
          <w:p>
            <w:pPr>
              <w:widowControl/>
              <w:spacing w:line="0" w:lineRule="atLeast"/>
              <w:contextualSpacing/>
              <w:jc w:val="center"/>
              <w:rPr>
                <w:rFonts w:hint="default" w:ascii="Times New Roman" w:hAnsi="Times New Roman" w:eastAsia="宋体" w:cs="Times New Roman"/>
                <w:color w:val="auto"/>
                <w:sz w:val="21"/>
                <w:szCs w:val="21"/>
                <w:highlight w:val="none"/>
              </w:rPr>
            </w:pPr>
          </w:p>
        </w:tc>
        <w:tc>
          <w:tcPr>
            <w:tcW w:w="418" w:type="pct"/>
            <w:vMerge w:val="continue"/>
            <w:vAlign w:val="center"/>
          </w:tcPr>
          <w:p>
            <w:pPr>
              <w:spacing w:line="0" w:lineRule="atLeast"/>
              <w:contextualSpacing/>
              <w:jc w:val="center"/>
              <w:rPr>
                <w:rFonts w:hint="default" w:ascii="Times New Roman" w:hAnsi="Times New Roman" w:eastAsia="宋体" w:cs="Times New Roman"/>
                <w:color w:val="auto"/>
                <w:sz w:val="21"/>
                <w:szCs w:val="21"/>
                <w:highlight w:val="none"/>
              </w:rPr>
            </w:pPr>
          </w:p>
        </w:tc>
        <w:tc>
          <w:tcPr>
            <w:tcW w:w="250" w:type="pct"/>
            <w:vAlign w:val="center"/>
          </w:tcPr>
          <w:p>
            <w:pPr>
              <w:widowControl/>
              <w:jc w:val="center"/>
              <w:rPr>
                <w:rFonts w:hint="default" w:ascii="Times New Roman" w:hAnsi="Times New Roman" w:eastAsia="宋体" w:cs="Times New Roman"/>
                <w:color w:val="auto"/>
                <w:spacing w:val="-3"/>
                <w:kern w:val="0"/>
                <w:sz w:val="21"/>
                <w:szCs w:val="21"/>
                <w:lang w:val="en-US" w:bidi="zh-CN"/>
              </w:rPr>
            </w:pPr>
            <w:r>
              <w:rPr>
                <w:rFonts w:hint="default" w:ascii="Times New Roman" w:hAnsi="Times New Roman" w:eastAsia="宋体" w:cs="Times New Roman"/>
                <w:color w:val="auto"/>
                <w:sz w:val="21"/>
                <w:szCs w:val="21"/>
                <w:highlight w:val="none"/>
              </w:rPr>
              <w:t>污染物排放管控</w:t>
            </w:r>
          </w:p>
        </w:tc>
        <w:tc>
          <w:tcPr>
            <w:tcW w:w="2146" w:type="pct"/>
            <w:vAlign w:val="center"/>
          </w:tcPr>
          <w:p>
            <w:pPr>
              <w:numPr>
                <w:ilvl w:val="0"/>
                <w:numId w:val="5"/>
              </w:numPr>
              <w:ind w:firstLine="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区域内新建、改扩建项目废气污染物二氧化硫、氮氧化物和细颗粒物排放总量应1.5倍减量置换。</w:t>
            </w:r>
          </w:p>
          <w:p>
            <w:pPr>
              <w:numPr>
                <w:ilvl w:val="0"/>
                <w:numId w:val="5"/>
              </w:numPr>
              <w:ind w:firstLine="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执行要求</w:t>
            </w:r>
            <w:r>
              <w:rPr>
                <w:rFonts w:hint="default" w:ascii="Times New Roman" w:hAnsi="Times New Roman" w:eastAsia="宋体" w:cs="Times New Roman"/>
                <w:color w:val="auto"/>
                <w:sz w:val="21"/>
                <w:szCs w:val="21"/>
                <w:highlight w:val="none"/>
                <w:lang w:eastAsia="zh-CN"/>
              </w:rPr>
              <w:t>：</w:t>
            </w:r>
          </w:p>
          <w:p>
            <w:pPr>
              <w:keepNext w:val="0"/>
              <w:keepLines w:val="0"/>
              <w:pageBreakBefore w:val="0"/>
              <w:kinsoku/>
              <w:overflowPunct/>
              <w:topLinePunct w:val="0"/>
              <w:autoSpaceDE/>
              <w:autoSpaceDN/>
              <w:bidi w:val="0"/>
              <w:spacing w:before="0" w:beforeLines="0" w:line="240" w:lineRule="auto"/>
              <w:ind w:right="0"/>
              <w:textAlignment w:val="auto"/>
              <w:rPr>
                <w:rFonts w:hint="default" w:ascii="Times New Roman" w:hAnsi="Times New Roman" w:eastAsia="宋体" w:cs="Times New Roman"/>
                <w:color w:val="auto"/>
                <w:spacing w:val="-3"/>
                <w:kern w:val="0"/>
                <w:sz w:val="21"/>
                <w:szCs w:val="21"/>
                <w:highlight w:val="none"/>
                <w:lang w:val="zh-CN"/>
              </w:rPr>
            </w:pPr>
            <w:r>
              <w:rPr>
                <w:rFonts w:hint="default" w:ascii="Times New Roman" w:hAnsi="Times New Roman" w:eastAsia="宋体" w:cs="Times New Roman"/>
                <w:color w:val="auto"/>
                <w:spacing w:val="-3"/>
                <w:kern w:val="0"/>
                <w:sz w:val="21"/>
                <w:szCs w:val="21"/>
                <w:highlight w:val="none"/>
                <w:lang w:val="zh-CN"/>
              </w:rPr>
              <w:t>加快65t／h以上燃煤锅炉（含电力）超低排放改造。</w:t>
            </w:r>
          </w:p>
          <w:p>
            <w:pPr>
              <w:numPr>
                <w:ilvl w:val="0"/>
                <w:numId w:val="5"/>
              </w:numPr>
              <w:ind w:firstLine="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水环境城镇生活污染重点管控区执行</w:t>
            </w:r>
            <w:r>
              <w:rPr>
                <w:rFonts w:hint="default" w:ascii="Times New Roman" w:hAnsi="Times New Roman" w:eastAsia="宋体" w:cs="Times New Roman"/>
                <w:color w:val="auto"/>
                <w:sz w:val="21"/>
                <w:szCs w:val="21"/>
                <w:highlight w:val="none"/>
                <w:lang w:eastAsia="zh-CN"/>
              </w:rPr>
              <w:t>：</w:t>
            </w:r>
          </w:p>
          <w:p>
            <w:pPr>
              <w:keepNext w:val="0"/>
              <w:keepLines w:val="0"/>
              <w:pageBreakBefore w:val="0"/>
              <w:numPr>
                <w:ilvl w:val="0"/>
                <w:numId w:val="0"/>
              </w:numPr>
              <w:kinsoku/>
              <w:overflowPunct/>
              <w:topLinePunct w:val="0"/>
              <w:bidi w:val="0"/>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rPr>
              <w:t>1.</w:t>
            </w:r>
            <w:r>
              <w:rPr>
                <w:rFonts w:hint="default" w:ascii="Times New Roman" w:hAnsi="Times New Roman" w:eastAsia="宋体" w:cs="Times New Roman"/>
                <w:color w:val="auto"/>
                <w:sz w:val="21"/>
                <w:szCs w:val="21"/>
                <w:highlight w:val="none"/>
              </w:rPr>
              <w:t>新区污水管网规划建设应当与城市开发同步推进，除干旱地区外均实行雨污分流。</w:t>
            </w:r>
          </w:p>
          <w:p>
            <w:pPr>
              <w:keepNext w:val="0"/>
              <w:keepLines w:val="0"/>
              <w:pageBreakBefore w:val="0"/>
              <w:kinsoku/>
              <w:overflowPunct/>
              <w:topLinePunct w:val="0"/>
              <w:bidi w:val="0"/>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2.强化城中村、老旧城区和城乡结合部污水截流、收集。</w:t>
            </w:r>
          </w:p>
          <w:p>
            <w:pPr>
              <w:keepNext w:val="0"/>
              <w:keepLines w:val="0"/>
              <w:pageBreakBefore w:val="0"/>
              <w:numPr>
                <w:ilvl w:val="0"/>
                <w:numId w:val="0"/>
              </w:numPr>
              <w:kinsoku/>
              <w:overflowPunct/>
              <w:topLinePunct w:val="0"/>
              <w:bidi w:val="0"/>
              <w:spacing w:line="240" w:lineRule="auto"/>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3.推进合流制排水系统雨污分流改造，难以改造的，应采取截流、调蓄和治理等措施；推进现有污水处理设施配套管网建设；进一步提高城市、县城生活污水收集处理效能。</w:t>
            </w:r>
          </w:p>
          <w:p>
            <w:pPr>
              <w:numPr>
                <w:ilvl w:val="0"/>
                <w:numId w:val="0"/>
              </w:numPr>
              <w:ind w:firstLine="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pacing w:val="-3"/>
                <w:kern w:val="0"/>
                <w:sz w:val="21"/>
                <w:szCs w:val="21"/>
                <w:highlight w:val="none"/>
              </w:rPr>
              <w:t>县级以上人民政府应当根据国土空间、水污染防治、城镇排水与污水处理等规划，合理确定城镇排水与污水处理设施建设标准，统筹安排管网、泵站、污水处理厂以及污泥处理处置、再生水利用、雨水调蓄和排放等排水与污水处理设施建设和改造，提高城镇污水收集率和处理率。</w:t>
            </w:r>
          </w:p>
          <w:p>
            <w:pPr>
              <w:numPr>
                <w:ilvl w:val="0"/>
                <w:numId w:val="5"/>
              </w:numPr>
              <w:ind w:firstLine="0"/>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水环境</w:t>
            </w:r>
            <w:r>
              <w:rPr>
                <w:rFonts w:hint="default" w:ascii="Times New Roman" w:hAnsi="Times New Roman" w:eastAsia="宋体" w:cs="Times New Roman"/>
                <w:color w:val="auto"/>
                <w:kern w:val="0"/>
                <w:sz w:val="21"/>
                <w:szCs w:val="21"/>
                <w:highlight w:val="none"/>
                <w:lang w:val="en-US" w:eastAsia="zh-CN"/>
              </w:rPr>
              <w:t>农</w:t>
            </w:r>
            <w:r>
              <w:rPr>
                <w:rFonts w:hint="default" w:ascii="Times New Roman" w:hAnsi="Times New Roman" w:eastAsia="宋体" w:cs="Times New Roman"/>
                <w:color w:val="auto"/>
                <w:kern w:val="0"/>
                <w:sz w:val="21"/>
                <w:szCs w:val="21"/>
                <w:highlight w:val="none"/>
              </w:rPr>
              <w:t>业污染重点管控区</w:t>
            </w:r>
            <w:r>
              <w:rPr>
                <w:rFonts w:hint="default" w:ascii="Times New Roman" w:hAnsi="Times New Roman" w:eastAsia="宋体" w:cs="Times New Roman"/>
                <w:color w:val="auto"/>
                <w:kern w:val="0"/>
                <w:sz w:val="21"/>
                <w:szCs w:val="21"/>
                <w:highlight w:val="none"/>
                <w:lang w:eastAsia="zh-CN"/>
              </w:rPr>
              <w:t>同时</w:t>
            </w:r>
            <w:r>
              <w:rPr>
                <w:rFonts w:hint="default" w:ascii="Times New Roman" w:hAnsi="Times New Roman" w:eastAsia="宋体" w:cs="Times New Roman"/>
                <w:color w:val="auto"/>
                <w:sz w:val="21"/>
                <w:szCs w:val="21"/>
                <w:highlight w:val="none"/>
              </w:rPr>
              <w:t>执行</w:t>
            </w:r>
            <w:r>
              <w:rPr>
                <w:rFonts w:hint="default" w:ascii="Times New Roman" w:hAnsi="Times New Roman" w:eastAsia="宋体" w:cs="Times New Roman"/>
                <w:color w:val="auto"/>
                <w:sz w:val="21"/>
                <w:szCs w:val="21"/>
                <w:highlight w:val="none"/>
                <w:lang w:eastAsia="zh-CN"/>
              </w:rPr>
              <w:t>：</w:t>
            </w:r>
          </w:p>
          <w:p>
            <w:pPr>
              <w:keepNext w:val="0"/>
              <w:keepLines w:val="0"/>
              <w:pageBreakBefore w:val="0"/>
              <w:kinsoku/>
              <w:overflowPunct/>
              <w:topLinePunct w:val="0"/>
              <w:bidi w:val="0"/>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1.支持规模化畜禽养殖场（小区）开展标准化改造和建设，提高畜禽粪污收集和处理机械化水平，实施雨污分流、粪污资源化利用，控制畜禽养殖污染排放。</w:t>
            </w:r>
          </w:p>
          <w:p>
            <w:p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2.畜禽散养密集区所在地县级人民政府应当组织对畜禽粪便、污水进行集中处理利用，督促乡镇人民政府建设或者配备污染防治配套设施。</w:t>
            </w:r>
          </w:p>
          <w:p>
            <w:pPr>
              <w:numPr>
                <w:ilvl w:val="0"/>
                <w:numId w:val="0"/>
              </w:numPr>
              <w:ind w:left="0" w:leftChars="0" w:firstLine="0" w:firstLineChars="0"/>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.全面加强农业面源污染防控，科学合理使用农业投入品，提高使用效率，减少农业内源性污染。</w:t>
            </w:r>
          </w:p>
        </w:tc>
        <w:tc>
          <w:tcPr>
            <w:tcW w:w="1370" w:type="pct"/>
            <w:vAlign w:val="center"/>
          </w:tcPr>
          <w:p>
            <w:pPr>
              <w:spacing w:line="0" w:lineRule="atLeast"/>
              <w:contextualSpacing/>
              <w:jc w:val="left"/>
              <w:rPr>
                <w:rFonts w:hint="default" w:ascii="Times New Roman" w:hAnsi="Times New Roman" w:eastAsia="宋体" w:cs="Times New Roman"/>
                <w:color w:val="auto"/>
                <w:spacing w:val="-3"/>
                <w:kern w:val="0"/>
                <w:sz w:val="21"/>
                <w:szCs w:val="21"/>
                <w:lang w:val="en-US" w:bidi="zh-CN"/>
              </w:rPr>
            </w:pPr>
            <w:r>
              <w:rPr>
                <w:rFonts w:hint="eastAsia" w:ascii="Times New Roman" w:hAnsi="Times New Roman" w:eastAsia="宋体" w:cs="Times New Roman"/>
                <w:sz w:val="21"/>
                <w:szCs w:val="21"/>
                <w:highlight w:val="none"/>
                <w:lang w:val="en-US" w:eastAsia="zh-CN"/>
              </w:rPr>
              <w:t>本项目设置1台1t/h燃油锅炉，配备低氮燃烧装置，污染物可达标排放。本项目</w:t>
            </w:r>
            <w:r>
              <w:rPr>
                <w:rFonts w:hint="default" w:ascii="Times New Roman" w:hAnsi="Times New Roman" w:eastAsia="宋体" w:cs="Times New Roman"/>
                <w:sz w:val="21"/>
                <w:szCs w:val="21"/>
                <w:highlight w:val="none"/>
              </w:rPr>
              <w:t>不涉及畜禽养殖及农业种植行业。</w:t>
            </w:r>
            <w:r>
              <w:rPr>
                <w:rFonts w:hint="eastAsia" w:ascii="Times New Roman" w:hAnsi="Times New Roman" w:eastAsia="宋体" w:cs="Times New Roman"/>
                <w:sz w:val="21"/>
                <w:szCs w:val="21"/>
                <w:highlight w:val="none"/>
                <w:lang w:val="en-US" w:eastAsia="zh-CN"/>
              </w:rPr>
              <w:t>本项目生产废水及生活污水经厂区自建污水处理站处理达标后排入兴隆镇污水处理厂。</w:t>
            </w:r>
            <w:r>
              <w:rPr>
                <w:rFonts w:hint="default" w:ascii="Times New Roman" w:hAnsi="Times New Roman" w:eastAsia="宋体" w:cs="Times New Roman"/>
                <w:color w:val="auto"/>
                <w:lang w:val="en-US" w:eastAsia="zh-CN"/>
              </w:rPr>
              <w:t>猪粪便在待宰圈防渗池内临时贮存，每天清运一次，外售有机肥厂进行堆肥处理</w:t>
            </w:r>
            <w:r>
              <w:rPr>
                <w:rFonts w:hint="eastAsia" w:ascii="Times New Roman" w:hAnsi="Times New Roman" w:eastAsia="宋体" w:cs="Times New Roman"/>
                <w:color w:val="auto"/>
                <w:lang w:val="en-US" w:eastAsia="zh-CN"/>
              </w:rPr>
              <w:t>，不直接排入外环境。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7" w:hRule="atLeast"/>
        </w:trPr>
        <w:tc>
          <w:tcPr>
            <w:tcW w:w="395" w:type="pct"/>
            <w:vAlign w:val="center"/>
          </w:tcPr>
          <w:p>
            <w:pPr>
              <w:widowControl/>
              <w:spacing w:line="0" w:lineRule="atLeast"/>
              <w:contextualSpacing/>
              <w:jc w:val="center"/>
              <w:rPr>
                <w:rFonts w:hint="default" w:ascii="Times New Roman" w:hAnsi="Times New Roman" w:eastAsia="宋体" w:cs="Times New Roman"/>
                <w:color w:val="auto"/>
                <w:kern w:val="0"/>
                <w:sz w:val="21"/>
                <w:szCs w:val="21"/>
                <w:highlight w:val="none"/>
              </w:rPr>
            </w:pPr>
          </w:p>
        </w:tc>
        <w:tc>
          <w:tcPr>
            <w:tcW w:w="418" w:type="pct"/>
            <w:vAlign w:val="center"/>
          </w:tcPr>
          <w:p>
            <w:pPr>
              <w:widowControl/>
              <w:spacing w:line="0" w:lineRule="atLeast"/>
              <w:contextualSpacing/>
              <w:jc w:val="center"/>
              <w:rPr>
                <w:rFonts w:hint="default" w:ascii="Times New Roman" w:hAnsi="Times New Roman" w:eastAsia="宋体" w:cs="Times New Roman"/>
                <w:color w:val="auto"/>
                <w:sz w:val="21"/>
                <w:szCs w:val="21"/>
                <w:highlight w:val="none"/>
              </w:rPr>
            </w:pPr>
          </w:p>
        </w:tc>
        <w:tc>
          <w:tcPr>
            <w:tcW w:w="418" w:type="pct"/>
            <w:vAlign w:val="center"/>
          </w:tcPr>
          <w:p>
            <w:pPr>
              <w:spacing w:line="0" w:lineRule="atLeast"/>
              <w:contextualSpacing/>
              <w:jc w:val="center"/>
              <w:rPr>
                <w:rFonts w:hint="default" w:ascii="Times New Roman" w:hAnsi="Times New Roman" w:eastAsia="宋体" w:cs="Times New Roman"/>
                <w:color w:val="auto"/>
                <w:sz w:val="21"/>
                <w:szCs w:val="21"/>
                <w:highlight w:val="none"/>
              </w:rPr>
            </w:pPr>
          </w:p>
        </w:tc>
        <w:tc>
          <w:tcPr>
            <w:tcW w:w="250" w:type="pct"/>
            <w:vAlign w:val="center"/>
          </w:tcPr>
          <w:p>
            <w:pPr>
              <w:widowControl/>
              <w:jc w:val="center"/>
              <w:rPr>
                <w:rFonts w:hint="default" w:ascii="Times New Roman" w:hAnsi="Times New Roman" w:eastAsia="宋体" w:cs="Times New Roman"/>
                <w:color w:val="auto"/>
                <w:spacing w:val="-3"/>
                <w:kern w:val="0"/>
                <w:sz w:val="21"/>
                <w:szCs w:val="21"/>
                <w:lang w:val="en-US" w:bidi="zh-CN"/>
              </w:rPr>
            </w:pPr>
            <w:r>
              <w:rPr>
                <w:rFonts w:hint="default" w:ascii="Times New Roman" w:hAnsi="Times New Roman" w:eastAsia="宋体" w:cs="Times New Roman"/>
                <w:color w:val="auto"/>
                <w:sz w:val="21"/>
                <w:szCs w:val="21"/>
                <w:highlight w:val="none"/>
              </w:rPr>
              <w:t>环境风险防控</w:t>
            </w:r>
          </w:p>
        </w:tc>
        <w:tc>
          <w:tcPr>
            <w:tcW w:w="2146" w:type="pct"/>
            <w:vAlign w:val="center"/>
          </w:tcPr>
          <w:p>
            <w:pPr>
              <w:widowControl/>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auto"/>
                <w:sz w:val="21"/>
                <w:szCs w:val="21"/>
                <w:highlight w:val="none"/>
              </w:rPr>
              <w:t>执行要求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pacing w:val="-3"/>
                <w:kern w:val="0"/>
                <w:sz w:val="21"/>
                <w:szCs w:val="21"/>
                <w:highlight w:val="none"/>
                <w:lang w:val="zh-CN"/>
              </w:rPr>
              <w:t>化工园区与城市建成区、人员密集场所、重要设施、敏感目标等应当保持规定的安全距离，相对封闭，不应保留常住居民，非关联企业和产业要逐步搬迁或退出，妥善防范化解“邻避”问题。严禁在松花江干流及一级支流沿岸</w:t>
            </w:r>
            <w:r>
              <w:rPr>
                <w:rFonts w:hint="default" w:ascii="Times New Roman" w:hAnsi="Times New Roman" w:eastAsia="宋体" w:cs="Times New Roman"/>
                <w:color w:val="auto"/>
                <w:spacing w:val="-3"/>
                <w:kern w:val="0"/>
                <w:sz w:val="21"/>
                <w:szCs w:val="21"/>
                <w:highlight w:val="none"/>
                <w:lang w:val="en-US"/>
              </w:rPr>
              <w:t>1公里范围内布局化工园区。</w:t>
            </w:r>
          </w:p>
        </w:tc>
        <w:tc>
          <w:tcPr>
            <w:tcW w:w="1370" w:type="pct"/>
            <w:vAlign w:val="center"/>
          </w:tcPr>
          <w:p>
            <w:pPr>
              <w:spacing w:line="0" w:lineRule="atLeast"/>
              <w:contextualSpacing/>
              <w:jc w:val="left"/>
              <w:rPr>
                <w:rFonts w:hint="default" w:ascii="Times New Roman" w:hAnsi="Times New Roman" w:eastAsia="宋体" w:cs="Times New Roman"/>
                <w:color w:val="auto"/>
                <w:spacing w:val="-3"/>
                <w:kern w:val="0"/>
                <w:sz w:val="21"/>
                <w:szCs w:val="21"/>
                <w:lang w:val="en-US" w:bidi="zh-CN"/>
              </w:rPr>
            </w:pPr>
            <w:r>
              <w:rPr>
                <w:rFonts w:hint="default" w:ascii="Times New Roman" w:hAnsi="Times New Roman" w:eastAsia="宋体" w:cs="Times New Roman"/>
                <w:color w:val="auto"/>
                <w:spacing w:val="-3"/>
                <w:kern w:val="0"/>
                <w:sz w:val="21"/>
                <w:szCs w:val="21"/>
                <w:lang w:val="en-US" w:bidi="zh-CN"/>
              </w:rPr>
              <w:t>本项目不属于化工园区。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7" w:hRule="atLeast"/>
        </w:trPr>
        <w:tc>
          <w:tcPr>
            <w:tcW w:w="395" w:type="pct"/>
            <w:vAlign w:val="center"/>
          </w:tcPr>
          <w:p>
            <w:pPr>
              <w:widowControl/>
              <w:spacing w:line="0" w:lineRule="atLeast"/>
              <w:contextualSpacing/>
              <w:jc w:val="center"/>
              <w:rPr>
                <w:rFonts w:hint="default" w:ascii="Times New Roman" w:hAnsi="Times New Roman" w:eastAsia="宋体" w:cs="Times New Roman"/>
                <w:color w:val="auto"/>
                <w:kern w:val="0"/>
                <w:sz w:val="21"/>
                <w:szCs w:val="21"/>
                <w:highlight w:val="none"/>
              </w:rPr>
            </w:pPr>
          </w:p>
        </w:tc>
        <w:tc>
          <w:tcPr>
            <w:tcW w:w="418" w:type="pct"/>
            <w:vAlign w:val="center"/>
          </w:tcPr>
          <w:p>
            <w:pPr>
              <w:widowControl/>
              <w:spacing w:line="0" w:lineRule="atLeast"/>
              <w:contextualSpacing/>
              <w:jc w:val="center"/>
              <w:rPr>
                <w:rFonts w:hint="default" w:ascii="Times New Roman" w:hAnsi="Times New Roman" w:eastAsia="宋体" w:cs="Times New Roman"/>
                <w:color w:val="auto"/>
                <w:sz w:val="21"/>
                <w:szCs w:val="21"/>
                <w:highlight w:val="none"/>
              </w:rPr>
            </w:pPr>
          </w:p>
        </w:tc>
        <w:tc>
          <w:tcPr>
            <w:tcW w:w="418" w:type="pct"/>
            <w:vAlign w:val="center"/>
          </w:tcPr>
          <w:p>
            <w:pPr>
              <w:spacing w:line="0" w:lineRule="atLeast"/>
              <w:contextualSpacing/>
              <w:jc w:val="center"/>
              <w:rPr>
                <w:rFonts w:hint="default" w:ascii="Times New Roman" w:hAnsi="Times New Roman" w:eastAsia="宋体" w:cs="Times New Roman"/>
                <w:color w:val="auto"/>
                <w:sz w:val="21"/>
                <w:szCs w:val="21"/>
                <w:highlight w:val="none"/>
              </w:rPr>
            </w:pPr>
          </w:p>
        </w:tc>
        <w:tc>
          <w:tcPr>
            <w:tcW w:w="250" w:type="pct"/>
            <w:vAlign w:val="center"/>
          </w:tcPr>
          <w:p>
            <w:pPr>
              <w:widowControl/>
              <w:jc w:val="center"/>
              <w:rPr>
                <w:rFonts w:hint="default" w:ascii="Times New Roman" w:hAnsi="Times New Roman" w:eastAsia="宋体" w:cs="Times New Roman"/>
                <w:color w:val="auto"/>
                <w:spacing w:val="-3"/>
                <w:kern w:val="0"/>
                <w:sz w:val="21"/>
                <w:szCs w:val="21"/>
                <w:lang w:val="en-US" w:bidi="zh-CN"/>
              </w:rPr>
            </w:pPr>
            <w:r>
              <w:rPr>
                <w:rFonts w:hint="default" w:ascii="Times New Roman" w:hAnsi="Times New Roman" w:eastAsia="宋体" w:cs="Times New Roman"/>
                <w:color w:val="auto"/>
                <w:sz w:val="21"/>
                <w:szCs w:val="21"/>
                <w:highlight w:val="none"/>
              </w:rPr>
              <w:t>资源利用效率要求</w:t>
            </w:r>
          </w:p>
        </w:tc>
        <w:tc>
          <w:tcPr>
            <w:tcW w:w="2146" w:type="pct"/>
            <w:vAlign w:val="center"/>
          </w:tcPr>
          <w:p>
            <w:pPr>
              <w:widowControl/>
              <w:numPr>
                <w:ilvl w:val="0"/>
                <w:numId w:val="0"/>
              </w:num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执行要求</w:t>
            </w:r>
            <w:r>
              <w:rPr>
                <w:rFonts w:hint="default" w:ascii="Times New Roman" w:hAnsi="Times New Roman" w:eastAsia="宋体" w:cs="Times New Roman"/>
                <w:color w:val="auto"/>
                <w:sz w:val="21"/>
                <w:szCs w:val="21"/>
                <w:highlight w:val="none"/>
                <w:lang w:eastAsia="zh-CN"/>
              </w:rPr>
              <w:t>：</w:t>
            </w:r>
          </w:p>
          <w:p>
            <w:pPr>
              <w:keepNext w:val="0"/>
              <w:keepLines w:val="0"/>
              <w:pageBreakBefore w:val="0"/>
              <w:kinsoku/>
              <w:overflowPunct/>
              <w:topLinePunct w:val="0"/>
              <w:autoSpaceDE/>
              <w:autoSpaceDN/>
              <w:bidi w:val="0"/>
              <w:spacing w:before="0" w:beforeLines="0" w:line="240" w:lineRule="auto"/>
              <w:ind w:right="0"/>
              <w:textAlignment w:val="auto"/>
              <w:rPr>
                <w:rFonts w:hint="default" w:ascii="Times New Roman" w:hAnsi="Times New Roman" w:eastAsia="宋体" w:cs="Times New Roman"/>
                <w:color w:val="auto"/>
                <w:spacing w:val="-3"/>
                <w:kern w:val="0"/>
                <w:sz w:val="21"/>
                <w:szCs w:val="21"/>
                <w:highlight w:val="none"/>
                <w:lang w:val="zh-CN"/>
              </w:rPr>
            </w:pPr>
            <w:r>
              <w:rPr>
                <w:rFonts w:hint="default" w:ascii="Times New Roman" w:hAnsi="Times New Roman" w:eastAsia="宋体" w:cs="Times New Roman"/>
                <w:color w:val="auto"/>
                <w:spacing w:val="-3"/>
                <w:kern w:val="0"/>
                <w:sz w:val="21"/>
                <w:szCs w:val="21"/>
                <w:highlight w:val="none"/>
                <w:lang w:val="zh-CN"/>
              </w:rPr>
              <w:t>1.推进污水再生利用设施建设。</w:t>
            </w:r>
          </w:p>
          <w:p>
            <w:pPr>
              <w:widowControl/>
              <w:numPr>
                <w:ilvl w:val="0"/>
                <w:numId w:val="0"/>
              </w:numPr>
              <w:ind w:left="0" w:leftChars="0" w:firstLine="0" w:firstLineChars="0"/>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auto"/>
                <w:spacing w:val="-3"/>
                <w:kern w:val="0"/>
                <w:sz w:val="21"/>
                <w:szCs w:val="21"/>
                <w:highlight w:val="none"/>
                <w:lang w:val="zh-CN"/>
              </w:rPr>
              <w:t>2.公共建筑必须采用节水器具，限期淘汰公共建筑中不符合节水标准的水嘴、便器水箱等生活用水器具。</w:t>
            </w:r>
          </w:p>
        </w:tc>
        <w:tc>
          <w:tcPr>
            <w:tcW w:w="1370" w:type="pct"/>
            <w:vAlign w:val="center"/>
          </w:tcPr>
          <w:p>
            <w:pPr>
              <w:spacing w:line="0" w:lineRule="atLeast"/>
              <w:contextualSpacing/>
              <w:jc w:val="left"/>
              <w:rPr>
                <w:rFonts w:hint="default" w:ascii="Times New Roman" w:hAnsi="Times New Roman" w:eastAsia="宋体" w:cs="Times New Roman"/>
                <w:color w:val="auto"/>
                <w:spacing w:val="-3"/>
                <w:kern w:val="0"/>
                <w:sz w:val="21"/>
                <w:szCs w:val="21"/>
                <w:lang w:bidi="zh-CN"/>
              </w:rPr>
            </w:pPr>
            <w:r>
              <w:rPr>
                <w:rFonts w:hint="eastAsia" w:ascii="Times New Roman" w:hAnsi="Times New Roman" w:eastAsia="宋体" w:cs="Times New Roman"/>
                <w:color w:val="auto"/>
                <w:spacing w:val="-3"/>
                <w:kern w:val="0"/>
                <w:sz w:val="21"/>
                <w:szCs w:val="21"/>
                <w:highlight w:val="none"/>
                <w:lang w:val="en-US" w:eastAsia="zh-CN"/>
              </w:rPr>
              <w:t>本项目采取节水措施，节约用水</w:t>
            </w:r>
            <w:r>
              <w:rPr>
                <w:rFonts w:hint="eastAsia" w:ascii="Times New Roman" w:hAnsi="Times New Roman" w:eastAsia="宋体" w:cs="Times New Roman"/>
                <w:color w:val="auto"/>
                <w:spacing w:val="-3"/>
                <w:kern w:val="0"/>
                <w:sz w:val="21"/>
                <w:szCs w:val="21"/>
                <w:highlight w:val="none"/>
                <w:lang w:val="zh-CN"/>
              </w:rPr>
              <w:t>。</w:t>
            </w:r>
          </w:p>
        </w:tc>
      </w:tr>
    </w:tbl>
    <w:p>
      <w:pPr>
        <w:pStyle w:val="11"/>
        <w:numPr>
          <w:ilvl w:val="2"/>
          <w:numId w:val="0"/>
        </w:numPr>
        <w:spacing w:before="0" w:after="0" w:line="360" w:lineRule="auto"/>
        <w:rPr>
          <w:rFonts w:hint="default" w:ascii="Times New Roman" w:hAnsi="Times New Roman" w:cs="Times New Roman"/>
          <w:b/>
          <w:color w:val="auto"/>
          <w:sz w:val="28"/>
          <w:szCs w:val="28"/>
        </w:rPr>
      </w:pPr>
      <w:r>
        <w:rPr>
          <w:rFonts w:hint="default" w:ascii="Times New Roman" w:hAnsi="Times New Roman" w:cs="Times New Roman"/>
          <w:b/>
          <w:color w:val="auto"/>
          <w:sz w:val="28"/>
          <w:szCs w:val="28"/>
        </w:rPr>
        <w:t>1.4.</w:t>
      </w:r>
      <w:r>
        <w:rPr>
          <w:rFonts w:hint="default" w:ascii="Times New Roman" w:hAnsi="Times New Roman" w:eastAsia="宋体" w:cs="Times New Roman"/>
          <w:b/>
          <w:color w:val="auto"/>
          <w:sz w:val="28"/>
          <w:szCs w:val="28"/>
          <w:lang w:val="en-US" w:eastAsia="zh-CN"/>
        </w:rPr>
        <w:t xml:space="preserve">7  </w:t>
      </w:r>
      <w:r>
        <w:rPr>
          <w:rFonts w:hint="default" w:ascii="Times New Roman" w:hAnsi="Times New Roman" w:cs="Times New Roman"/>
          <w:b/>
          <w:color w:val="auto"/>
          <w:sz w:val="28"/>
          <w:szCs w:val="28"/>
        </w:rPr>
        <w:t>选址合理性分析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t>本项目位于</w:t>
      </w:r>
      <w:r>
        <w:rPr>
          <w:rFonts w:hint="default" w:ascii="Times New Roman" w:hAnsi="Times New Roman" w:eastAsia="宋体" w:cs="Times New Roman"/>
          <w:color w:val="auto"/>
          <w:kern w:val="0"/>
          <w:sz w:val="24"/>
          <w:szCs w:val="21"/>
          <w:lang w:eastAsia="zh-CN"/>
        </w:rPr>
        <w:t>哈尔滨市巴彦县兴隆镇中兴村南门外</w:t>
      </w:r>
      <w:r>
        <w:rPr>
          <w:rFonts w:hint="default" w:ascii="Times New Roman" w:hAnsi="Times New Roman" w:cs="Times New Roman"/>
          <w:color w:val="auto"/>
          <w:sz w:val="24"/>
        </w:rPr>
        <w:t>，厂区评价范围内无风景名胜区、自然保护区、水源保护区等敏感区分布，本项目用地为工业用地，项目选址合理</w:t>
      </w:r>
      <w:r>
        <w:rPr>
          <w:rFonts w:hint="default" w:ascii="Times New Roman" w:hAnsi="Times New Roman" w:cs="Times New Roman"/>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kern w:val="24"/>
          <w:sz w:val="24"/>
        </w:rPr>
      </w:pPr>
      <w:r>
        <w:rPr>
          <w:rFonts w:hint="default" w:ascii="Times New Roman" w:hAnsi="Times New Roman" w:cs="Times New Roman"/>
          <w:color w:val="auto"/>
          <w:kern w:val="24"/>
          <w:sz w:val="24"/>
        </w:rPr>
        <w:t>本项目与《中华人民共和国动物防疫法》、</w:t>
      </w:r>
      <w:r>
        <w:rPr>
          <w:rFonts w:hint="default" w:ascii="Times New Roman" w:hAnsi="Times New Roman" w:cs="Times New Roman"/>
          <w:color w:val="auto"/>
          <w:kern w:val="24"/>
          <w:sz w:val="24"/>
          <w:lang w:val="en-US" w:eastAsia="zh-CN"/>
        </w:rPr>
        <w:t>《食品安全国家标准 畜禽屠宰加工卫生规范》（GB12694-2016）、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动物防疫条件审查办法</w:t>
      </w: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color w:val="auto"/>
          <w:kern w:val="24"/>
          <w:sz w:val="24"/>
        </w:rPr>
        <w:t>《冷库设计标准》（GB50072-2021）等的符合性分析见下表。</w:t>
      </w:r>
    </w:p>
    <w:p>
      <w:pPr>
        <w:autoSpaceDE w:val="0"/>
        <w:autoSpaceDN w:val="0"/>
        <w:jc w:val="center"/>
        <w:rPr>
          <w:rFonts w:hint="default" w:ascii="Times New Roman" w:hAnsi="Times New Roman" w:cs="Times New Roman" w:eastAsiaTheme="minorEastAsia"/>
          <w:b/>
          <w:color w:val="auto"/>
          <w:sz w:val="24"/>
          <w:lang w:val="zh-CN"/>
        </w:rPr>
      </w:pPr>
      <w:r>
        <w:rPr>
          <w:rFonts w:hint="default" w:ascii="Times New Roman" w:hAnsi="Times New Roman" w:cs="Times New Roman" w:eastAsiaTheme="minorEastAsia"/>
          <w:b/>
          <w:color w:val="auto"/>
          <w:sz w:val="24"/>
          <w:lang w:val="zh-CN"/>
        </w:rPr>
        <w:t>表1-4-</w:t>
      </w:r>
      <w:r>
        <w:rPr>
          <w:rFonts w:hint="default" w:ascii="Times New Roman" w:hAnsi="Times New Roman" w:cs="Times New Roman" w:eastAsiaTheme="minorEastAsia"/>
          <w:b/>
          <w:color w:val="auto"/>
          <w:sz w:val="24"/>
          <w:lang w:val="en-US" w:eastAsia="zh-CN"/>
        </w:rPr>
        <w:t>5</w:t>
      </w:r>
      <w:r>
        <w:rPr>
          <w:rFonts w:hint="default" w:ascii="Times New Roman" w:hAnsi="Times New Roman" w:cs="Times New Roman" w:eastAsiaTheme="minorEastAsia"/>
          <w:b/>
          <w:color w:val="auto"/>
          <w:sz w:val="24"/>
        </w:rPr>
        <w:t xml:space="preserve">  </w:t>
      </w:r>
      <w:r>
        <w:rPr>
          <w:rFonts w:hint="default" w:ascii="Times New Roman" w:hAnsi="Times New Roman" w:cs="Times New Roman" w:eastAsiaTheme="minorEastAsia"/>
          <w:b/>
          <w:color w:val="auto"/>
          <w:sz w:val="24"/>
          <w:lang w:val="zh-CN"/>
        </w:rPr>
        <w:t>选址合理性分析</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7"/>
        <w:gridCol w:w="4302"/>
        <w:gridCol w:w="3133"/>
        <w:gridCol w:w="6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tcBorders>
              <w:top w:val="single" w:color="auto" w:sz="12" w:space="0"/>
              <w:left w:val="nil"/>
              <w:bottom w:val="single" w:color="auto" w:sz="4" w:space="0"/>
              <w:right w:val="single" w:color="auto" w:sz="4" w:space="0"/>
            </w:tcBorders>
            <w:vAlign w:val="center"/>
          </w:tcPr>
          <w:p>
            <w:pPr>
              <w:adjustRightInd/>
              <w:snapToGrid/>
              <w:jc w:val="center"/>
              <w:rPr>
                <w:rFonts w:hint="default" w:ascii="Times New Roman" w:hAnsi="Times New Roman" w:cs="Times New Roman"/>
                <w:snapToGrid w:val="0"/>
                <w:color w:val="auto"/>
                <w:kern w:val="0"/>
                <w:sz w:val="21"/>
                <w:szCs w:val="21"/>
                <w:lang w:val="zh-CN"/>
              </w:rPr>
            </w:pPr>
            <w:bookmarkStart w:id="17" w:name="_Hlk519701584"/>
            <w:r>
              <w:rPr>
                <w:rFonts w:hint="default" w:ascii="Times New Roman" w:hAnsi="Times New Roman" w:cs="Times New Roman"/>
                <w:snapToGrid w:val="0"/>
                <w:color w:val="auto"/>
                <w:kern w:val="0"/>
                <w:sz w:val="21"/>
                <w:szCs w:val="21"/>
                <w:lang w:val="zh-CN"/>
              </w:rPr>
              <w:t>相关政策、条例、规范</w:t>
            </w:r>
          </w:p>
        </w:tc>
        <w:tc>
          <w:tcPr>
            <w:tcW w:w="2314" w:type="pct"/>
            <w:tcBorders>
              <w:top w:val="single" w:color="auto" w:sz="12" w:space="0"/>
              <w:left w:val="single" w:color="auto" w:sz="4" w:space="0"/>
              <w:bottom w:val="single" w:color="auto" w:sz="4" w:space="0"/>
              <w:right w:val="single" w:color="auto" w:sz="4" w:space="0"/>
            </w:tcBorders>
            <w:vAlign w:val="center"/>
          </w:tcPr>
          <w:p>
            <w:pPr>
              <w:adjustRightInd/>
              <w:snapToGrid/>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要求</w:t>
            </w:r>
          </w:p>
        </w:tc>
        <w:tc>
          <w:tcPr>
            <w:tcW w:w="1685" w:type="pct"/>
            <w:tcBorders>
              <w:top w:val="single" w:color="auto" w:sz="12" w:space="0"/>
              <w:left w:val="single" w:color="auto" w:sz="4" w:space="0"/>
              <w:bottom w:val="single" w:color="auto" w:sz="4" w:space="0"/>
              <w:right w:val="single" w:color="auto" w:sz="4" w:space="0"/>
            </w:tcBorders>
            <w:vAlign w:val="center"/>
          </w:tcPr>
          <w:p>
            <w:pPr>
              <w:adjustRightInd/>
              <w:snapToGrid/>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符合性分析</w:t>
            </w:r>
          </w:p>
        </w:tc>
        <w:tc>
          <w:tcPr>
            <w:tcW w:w="373" w:type="pct"/>
            <w:tcBorders>
              <w:top w:val="single" w:color="auto" w:sz="12" w:space="0"/>
              <w:left w:val="single" w:color="auto" w:sz="4" w:space="0"/>
              <w:bottom w:val="single" w:color="auto" w:sz="4" w:space="0"/>
              <w:right w:val="nil"/>
            </w:tcBorders>
            <w:vAlign w:val="center"/>
          </w:tcPr>
          <w:p>
            <w:pPr>
              <w:adjustRightInd/>
              <w:snapToGrid/>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tcBorders>
              <w:top w:val="single" w:color="auto" w:sz="4" w:space="0"/>
              <w:left w:val="nil"/>
              <w:bottom w:val="single" w:color="auto" w:sz="4" w:space="0"/>
              <w:right w:val="single" w:color="auto" w:sz="4" w:space="0"/>
            </w:tcBorders>
            <w:vAlign w:val="center"/>
          </w:tcPr>
          <w:p>
            <w:pPr>
              <w:adjustRightInd/>
              <w:snapToGrid/>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《冷库设计标准》（GB50072-20</w:t>
            </w:r>
            <w:r>
              <w:rPr>
                <w:rFonts w:hint="default" w:ascii="Times New Roman" w:hAnsi="Times New Roman" w:cs="Times New Roman"/>
                <w:snapToGrid w:val="0"/>
                <w:color w:val="auto"/>
                <w:kern w:val="0"/>
                <w:sz w:val="21"/>
                <w:szCs w:val="21"/>
              </w:rPr>
              <w:t>21</w:t>
            </w:r>
            <w:r>
              <w:rPr>
                <w:rFonts w:hint="default" w:ascii="Times New Roman" w:hAnsi="Times New Roman" w:cs="Times New Roman"/>
                <w:snapToGrid w:val="0"/>
                <w:color w:val="auto"/>
                <w:kern w:val="0"/>
                <w:sz w:val="21"/>
                <w:szCs w:val="21"/>
                <w:lang w:val="zh-CN"/>
              </w:rPr>
              <w:t>）</w:t>
            </w:r>
          </w:p>
        </w:tc>
        <w:tc>
          <w:tcPr>
            <w:tcW w:w="2314" w:type="pct"/>
            <w:tcBorders>
              <w:top w:val="single" w:color="auto" w:sz="4" w:space="0"/>
              <w:left w:val="single" w:color="auto" w:sz="4" w:space="0"/>
              <w:bottom w:val="single" w:color="auto" w:sz="4" w:space="0"/>
              <w:right w:val="single" w:color="auto" w:sz="4" w:space="0"/>
            </w:tcBorders>
            <w:vAlign w:val="center"/>
          </w:tcPr>
          <w:p>
            <w:pPr>
              <w:adjustRightInd/>
              <w:snapToGrid/>
              <w:jc w:val="both"/>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（1）应符合当地总体规划的要求，并应经当地规划部门批准；</w:t>
            </w:r>
          </w:p>
          <w:p>
            <w:pPr>
              <w:adjustRightInd/>
              <w:snapToGrid/>
              <w:jc w:val="both"/>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（2）使用氨制冷系统的冷库库址宜选择在相邻集中居住区全年最大频率风向的下风向；</w:t>
            </w:r>
          </w:p>
          <w:p>
            <w:pPr>
              <w:adjustRightInd/>
              <w:snapToGrid/>
              <w:jc w:val="both"/>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（3）库址周围应有良好的卫生条件，并应避开和远离有害气体、烟雾、粉尘及其他有污染源的地段；</w:t>
            </w:r>
          </w:p>
          <w:p>
            <w:pPr>
              <w:pStyle w:val="29"/>
              <w:adjustRightInd/>
              <w:snapToGrid/>
              <w:spacing w:line="240" w:lineRule="auto"/>
              <w:ind w:firstLine="0" w:firstLineChars="0"/>
              <w:jc w:val="both"/>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（4）应结合物流流向和近远期发展等因素，选择在交通运输方便的区域；</w:t>
            </w:r>
          </w:p>
          <w:p>
            <w:pPr>
              <w:adjustRightInd/>
              <w:snapToGrid/>
              <w:jc w:val="both"/>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（5）宜具备可靠的水源和电源以及排水条件；</w:t>
            </w:r>
          </w:p>
          <w:p>
            <w:pPr>
              <w:adjustRightInd/>
              <w:snapToGrid/>
              <w:jc w:val="both"/>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（6）应避开洪水和泥石流易发地段以及其他地址条件不良地段；</w:t>
            </w:r>
          </w:p>
          <w:p>
            <w:pPr>
              <w:adjustRightInd/>
              <w:snapToGrid/>
              <w:jc w:val="both"/>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（7）冷库库址还应综合考虑各类冷库的特殊要求。</w:t>
            </w:r>
          </w:p>
          <w:p>
            <w:pPr>
              <w:pStyle w:val="29"/>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cs="Times New Roman"/>
                <w:snapToGrid w:val="0"/>
                <w:color w:val="auto"/>
              </w:rPr>
            </w:pPr>
            <w:r>
              <w:rPr>
                <w:rFonts w:hint="default" w:ascii="Times New Roman" w:hAnsi="Times New Roman" w:eastAsia="宋体" w:cs="Times New Roman"/>
                <w:snapToGrid w:val="0"/>
                <w:color w:val="auto"/>
                <w:kern w:val="0"/>
                <w:sz w:val="21"/>
                <w:szCs w:val="21"/>
                <w:lang w:val="en-US" w:eastAsia="zh-CN" w:bidi="ar-SA"/>
              </w:rPr>
              <w:t>（8）使用氨制冷系统的房间、安装在室外的氨制冷设备和管道与厂区外民用建筑的最小间距不应小于150m，当氨制冷系统符合本标准第6.7.17条的规定时，与厂区外民用建筑的最小间距不应小于60m。</w:t>
            </w:r>
          </w:p>
        </w:tc>
        <w:tc>
          <w:tcPr>
            <w:tcW w:w="1685" w:type="pct"/>
            <w:tcBorders>
              <w:top w:val="single" w:color="auto" w:sz="4" w:space="0"/>
              <w:left w:val="single" w:color="auto" w:sz="4" w:space="0"/>
              <w:bottom w:val="single" w:color="auto" w:sz="4" w:space="0"/>
              <w:right w:val="single" w:color="auto" w:sz="4" w:space="0"/>
            </w:tcBorders>
            <w:vAlign w:val="center"/>
          </w:tcPr>
          <w:p>
            <w:pPr>
              <w:adjustRightInd/>
              <w:snapToGrid/>
              <w:jc w:val="both"/>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w:t>
            </w:r>
            <w:r>
              <w:rPr>
                <w:rFonts w:hint="default" w:ascii="Times New Roman" w:hAnsi="Times New Roman" w:cs="Times New Roman"/>
                <w:snapToGrid w:val="0"/>
                <w:color w:val="auto"/>
                <w:kern w:val="0"/>
                <w:sz w:val="21"/>
                <w:szCs w:val="21"/>
              </w:rPr>
              <w:t>1</w:t>
            </w:r>
            <w:r>
              <w:rPr>
                <w:rFonts w:hint="default" w:ascii="Times New Roman" w:hAnsi="Times New Roman" w:cs="Times New Roman"/>
                <w:snapToGrid w:val="0"/>
                <w:color w:val="auto"/>
                <w:kern w:val="0"/>
                <w:sz w:val="21"/>
                <w:szCs w:val="21"/>
                <w:lang w:val="zh-CN"/>
              </w:rPr>
              <w:t>）本项目冷库</w:t>
            </w:r>
            <w:r>
              <w:rPr>
                <w:rFonts w:hint="default" w:ascii="Times New Roman" w:hAnsi="Times New Roman" w:cs="Times New Roman"/>
                <w:snapToGrid w:val="0"/>
                <w:color w:val="auto"/>
                <w:kern w:val="0"/>
                <w:sz w:val="21"/>
                <w:szCs w:val="21"/>
              </w:rPr>
              <w:t>采用</w:t>
            </w:r>
            <w:r>
              <w:rPr>
                <w:rFonts w:hint="default" w:ascii="Times New Roman" w:hAnsi="Times New Roman" w:eastAsia="宋体" w:cs="Times New Roman"/>
                <w:snapToGrid w:val="0"/>
                <w:color w:val="auto"/>
                <w:kern w:val="0"/>
                <w:sz w:val="21"/>
                <w:szCs w:val="21"/>
                <w:lang w:val="en-US" w:eastAsia="zh-CN"/>
              </w:rPr>
              <w:t>R404</w:t>
            </w:r>
            <w:r>
              <w:rPr>
                <w:rFonts w:hint="default" w:ascii="Times New Roman" w:hAnsi="Times New Roman" w:cs="Times New Roman"/>
                <w:snapToGrid w:val="0"/>
                <w:color w:val="auto"/>
                <w:kern w:val="0"/>
                <w:sz w:val="21"/>
                <w:szCs w:val="21"/>
                <w:lang w:val="en-US" w:eastAsia="zh-CN"/>
              </w:rPr>
              <w:t>制冷剂</w:t>
            </w:r>
            <w:r>
              <w:rPr>
                <w:rFonts w:hint="default" w:ascii="Times New Roman" w:hAnsi="Times New Roman" w:cs="Times New Roman"/>
                <w:snapToGrid w:val="0"/>
                <w:color w:val="auto"/>
                <w:kern w:val="0"/>
                <w:sz w:val="21"/>
                <w:szCs w:val="21"/>
              </w:rPr>
              <w:t>，符合国家的有关规定；</w:t>
            </w:r>
            <w:r>
              <w:rPr>
                <w:rFonts w:hint="default" w:ascii="Times New Roman" w:hAnsi="Times New Roman" w:cs="Times New Roman"/>
                <w:snapToGrid w:val="0"/>
                <w:color w:val="auto"/>
                <w:kern w:val="0"/>
                <w:sz w:val="21"/>
                <w:szCs w:val="21"/>
                <w:lang w:val="zh-CN"/>
              </w:rPr>
              <w:t>项目区周边卫生条件良好，无有害气体、粉尘、污浊水及其他污染源；</w:t>
            </w:r>
          </w:p>
          <w:p>
            <w:pPr>
              <w:adjustRightInd/>
              <w:snapToGrid/>
              <w:jc w:val="both"/>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w:t>
            </w:r>
            <w:r>
              <w:rPr>
                <w:rFonts w:hint="default" w:ascii="Times New Roman" w:hAnsi="Times New Roman" w:cs="Times New Roman"/>
                <w:snapToGrid w:val="0"/>
                <w:color w:val="auto"/>
                <w:kern w:val="0"/>
                <w:sz w:val="21"/>
                <w:szCs w:val="21"/>
              </w:rPr>
              <w:t>2</w:t>
            </w:r>
            <w:r>
              <w:rPr>
                <w:rFonts w:hint="default" w:ascii="Times New Roman" w:hAnsi="Times New Roman" w:cs="Times New Roman"/>
                <w:snapToGrid w:val="0"/>
                <w:color w:val="auto"/>
                <w:kern w:val="0"/>
                <w:sz w:val="21"/>
                <w:szCs w:val="21"/>
                <w:lang w:val="zh-CN"/>
              </w:rPr>
              <w:t>）本项目</w:t>
            </w:r>
            <w:r>
              <w:rPr>
                <w:rFonts w:hint="default" w:ascii="Times New Roman" w:hAnsi="Times New Roman" w:eastAsia="宋体" w:cs="Times New Roman"/>
                <w:snapToGrid w:val="0"/>
                <w:color w:val="auto"/>
                <w:kern w:val="0"/>
                <w:sz w:val="21"/>
                <w:szCs w:val="21"/>
                <w:lang w:val="en-US" w:eastAsia="zh-CN"/>
              </w:rPr>
              <w:t>西</w:t>
            </w:r>
            <w:r>
              <w:rPr>
                <w:rFonts w:hint="default" w:ascii="Times New Roman" w:hAnsi="Times New Roman" w:cs="Times New Roman"/>
                <w:snapToGrid w:val="0"/>
                <w:color w:val="auto"/>
                <w:kern w:val="0"/>
                <w:sz w:val="21"/>
                <w:szCs w:val="21"/>
                <w:lang w:val="zh-CN"/>
              </w:rPr>
              <w:t>侧</w:t>
            </w:r>
            <w:r>
              <w:rPr>
                <w:rFonts w:hint="default" w:ascii="Times New Roman" w:hAnsi="Times New Roman" w:eastAsia="宋体" w:cs="Times New Roman"/>
                <w:snapToGrid w:val="0"/>
                <w:color w:val="auto"/>
                <w:kern w:val="0"/>
                <w:sz w:val="21"/>
                <w:szCs w:val="21"/>
                <w:lang w:val="en-US" w:eastAsia="zh-CN"/>
              </w:rPr>
              <w:t>为西兴公路（三级公路），</w:t>
            </w:r>
            <w:r>
              <w:rPr>
                <w:rFonts w:hint="default" w:ascii="Times New Roman" w:hAnsi="Times New Roman" w:cs="Times New Roman"/>
                <w:snapToGrid w:val="0"/>
                <w:color w:val="auto"/>
                <w:kern w:val="0"/>
                <w:sz w:val="21"/>
                <w:szCs w:val="21"/>
                <w:lang w:val="zh-CN"/>
              </w:rPr>
              <w:t>交通方便；</w:t>
            </w:r>
          </w:p>
          <w:p>
            <w:pPr>
              <w:adjustRightInd/>
              <w:snapToGrid/>
              <w:jc w:val="both"/>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w:t>
            </w:r>
            <w:r>
              <w:rPr>
                <w:rFonts w:hint="default" w:ascii="Times New Roman" w:hAnsi="Times New Roman" w:cs="Times New Roman"/>
                <w:snapToGrid w:val="0"/>
                <w:color w:val="auto"/>
                <w:kern w:val="0"/>
                <w:sz w:val="21"/>
                <w:szCs w:val="21"/>
              </w:rPr>
              <w:t>3</w:t>
            </w:r>
            <w:r>
              <w:rPr>
                <w:rFonts w:hint="default" w:ascii="Times New Roman" w:hAnsi="Times New Roman" w:cs="Times New Roman"/>
                <w:snapToGrid w:val="0"/>
                <w:color w:val="auto"/>
                <w:kern w:val="0"/>
                <w:sz w:val="21"/>
                <w:szCs w:val="21"/>
                <w:lang w:val="zh-CN"/>
              </w:rPr>
              <w:t>）本项目</w:t>
            </w:r>
            <w:r>
              <w:rPr>
                <w:rFonts w:hint="default" w:ascii="Times New Roman" w:hAnsi="Times New Roman" w:cs="Times New Roman"/>
                <w:snapToGrid w:val="0"/>
                <w:color w:val="auto"/>
                <w:kern w:val="0"/>
                <w:sz w:val="21"/>
                <w:szCs w:val="21"/>
              </w:rPr>
              <w:t>生产用水由</w:t>
            </w:r>
            <w:r>
              <w:rPr>
                <w:rFonts w:hint="default" w:ascii="Times New Roman" w:hAnsi="Times New Roman" w:eastAsia="宋体" w:cs="Times New Roman"/>
                <w:snapToGrid w:val="0"/>
                <w:color w:val="auto"/>
                <w:kern w:val="0"/>
                <w:sz w:val="21"/>
                <w:szCs w:val="21"/>
                <w:lang w:val="en-US" w:eastAsia="zh-CN"/>
              </w:rPr>
              <w:t>是市政官网</w:t>
            </w:r>
            <w:r>
              <w:rPr>
                <w:rFonts w:hint="default" w:ascii="Times New Roman" w:hAnsi="Times New Roman" w:cs="Times New Roman"/>
                <w:snapToGrid w:val="0"/>
                <w:color w:val="auto"/>
                <w:kern w:val="0"/>
                <w:sz w:val="21"/>
                <w:szCs w:val="21"/>
              </w:rPr>
              <w:t>提供，</w:t>
            </w:r>
            <w:r>
              <w:rPr>
                <w:rFonts w:hint="default" w:ascii="Times New Roman" w:hAnsi="Times New Roman" w:cs="Times New Roman"/>
                <w:snapToGrid w:val="0"/>
                <w:color w:val="auto"/>
                <w:kern w:val="0"/>
                <w:sz w:val="21"/>
                <w:szCs w:val="21"/>
                <w:lang w:val="zh-CN"/>
              </w:rPr>
              <w:t>电源来自于市政供电；</w:t>
            </w:r>
          </w:p>
          <w:p>
            <w:pPr>
              <w:adjustRightInd/>
              <w:snapToGrid/>
              <w:jc w:val="both"/>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w:t>
            </w:r>
            <w:r>
              <w:rPr>
                <w:rFonts w:hint="default" w:ascii="Times New Roman" w:hAnsi="Times New Roman" w:cs="Times New Roman"/>
                <w:snapToGrid w:val="0"/>
                <w:color w:val="auto"/>
                <w:kern w:val="0"/>
                <w:sz w:val="21"/>
                <w:szCs w:val="21"/>
              </w:rPr>
              <w:t>4</w:t>
            </w:r>
            <w:r>
              <w:rPr>
                <w:rFonts w:hint="default" w:ascii="Times New Roman" w:hAnsi="Times New Roman" w:cs="Times New Roman"/>
                <w:snapToGrid w:val="0"/>
                <w:color w:val="auto"/>
                <w:kern w:val="0"/>
                <w:sz w:val="21"/>
                <w:szCs w:val="21"/>
                <w:lang w:val="zh-CN"/>
              </w:rPr>
              <w:t>）本项目场地较宽阔，地形平坦，地貌单一，场地无断裂、滑移等影响工程稳定性的不良地质作用。</w:t>
            </w:r>
          </w:p>
          <w:p>
            <w:pPr>
              <w:pStyle w:val="29"/>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snapToGrid w:val="0"/>
                <w:color w:val="auto"/>
                <w:lang w:val="en-US" w:eastAsia="zh-CN"/>
              </w:rPr>
            </w:pPr>
            <w:r>
              <w:rPr>
                <w:rFonts w:hint="default" w:ascii="Times New Roman" w:hAnsi="Times New Roman" w:cs="Times New Roman"/>
                <w:snapToGrid w:val="0"/>
                <w:color w:val="auto"/>
                <w:kern w:val="0"/>
                <w:sz w:val="21"/>
                <w:szCs w:val="21"/>
                <w:lang w:val="zh-CN"/>
              </w:rPr>
              <w:t>（</w:t>
            </w:r>
            <w:r>
              <w:rPr>
                <w:rFonts w:hint="default" w:ascii="Times New Roman" w:hAnsi="Times New Roman" w:cs="Times New Roman"/>
                <w:snapToGrid w:val="0"/>
                <w:color w:val="auto"/>
                <w:kern w:val="0"/>
                <w:sz w:val="21"/>
                <w:szCs w:val="21"/>
                <w:lang w:val="en-US" w:eastAsia="zh-CN"/>
              </w:rPr>
              <w:t>5</w:t>
            </w:r>
            <w:r>
              <w:rPr>
                <w:rFonts w:hint="default" w:ascii="Times New Roman" w:hAnsi="Times New Roman" w:cs="Times New Roman"/>
                <w:snapToGrid w:val="0"/>
                <w:color w:val="auto"/>
                <w:kern w:val="0"/>
                <w:sz w:val="21"/>
                <w:szCs w:val="21"/>
                <w:lang w:val="zh-CN"/>
              </w:rPr>
              <w:t>）</w:t>
            </w:r>
            <w:r>
              <w:rPr>
                <w:rFonts w:hint="default" w:ascii="Times New Roman" w:hAnsi="Times New Roman" w:cs="Times New Roman"/>
                <w:snapToGrid w:val="0"/>
                <w:color w:val="auto"/>
                <w:kern w:val="0"/>
                <w:sz w:val="21"/>
                <w:szCs w:val="21"/>
                <w:highlight w:val="none"/>
                <w:lang w:val="zh-CN"/>
              </w:rPr>
              <w:t>最近</w:t>
            </w:r>
            <w:r>
              <w:rPr>
                <w:rFonts w:hint="default" w:ascii="Times New Roman" w:hAnsi="Times New Roman" w:cs="Times New Roman"/>
                <w:snapToGrid w:val="0"/>
                <w:color w:val="auto"/>
                <w:kern w:val="0"/>
                <w:sz w:val="21"/>
                <w:szCs w:val="21"/>
                <w:highlight w:val="none"/>
                <w:lang w:val="en-US" w:eastAsia="zh-CN"/>
              </w:rPr>
              <w:t>民用建筑</w:t>
            </w:r>
            <w:r>
              <w:rPr>
                <w:rFonts w:hint="default" w:ascii="Times New Roman" w:hAnsi="Times New Roman" w:cs="Times New Roman"/>
                <w:snapToGrid w:val="0"/>
                <w:color w:val="auto"/>
                <w:kern w:val="0"/>
                <w:sz w:val="21"/>
                <w:szCs w:val="21"/>
                <w:highlight w:val="none"/>
                <w:lang w:val="zh-CN"/>
              </w:rPr>
              <w:t>为</w:t>
            </w:r>
            <w:r>
              <w:rPr>
                <w:rFonts w:hint="eastAsia" w:ascii="Times New Roman" w:hAnsi="Times New Roman" w:eastAsia="宋体" w:cs="Times New Roman"/>
                <w:snapToGrid w:val="0"/>
                <w:color w:val="auto"/>
                <w:kern w:val="0"/>
                <w:sz w:val="21"/>
                <w:szCs w:val="21"/>
                <w:highlight w:val="none"/>
                <w:lang w:val="en-US" w:eastAsia="zh-CN"/>
              </w:rPr>
              <w:t>厂址</w:t>
            </w:r>
            <w:r>
              <w:rPr>
                <w:rFonts w:hint="eastAsia" w:ascii="Times New Roman" w:hAnsi="Times New Roman" w:cs="Times New Roman"/>
                <w:snapToGrid w:val="0"/>
                <w:color w:val="auto"/>
                <w:kern w:val="0"/>
                <w:sz w:val="21"/>
                <w:szCs w:val="21"/>
                <w:highlight w:val="none"/>
                <w:lang w:val="en-US" w:eastAsia="zh-CN"/>
              </w:rPr>
              <w:t>北侧兴隆镇居民</w:t>
            </w:r>
            <w:r>
              <w:rPr>
                <w:rFonts w:hint="default" w:ascii="Times New Roman" w:hAnsi="Times New Roman" w:cs="Times New Roman"/>
                <w:snapToGrid w:val="0"/>
                <w:color w:val="auto"/>
                <w:kern w:val="0"/>
                <w:sz w:val="21"/>
                <w:szCs w:val="21"/>
                <w:highlight w:val="none"/>
                <w:lang w:val="zh-CN"/>
              </w:rPr>
              <w:t>，距离本项目厂址约</w:t>
            </w:r>
            <w:r>
              <w:rPr>
                <w:rFonts w:hint="eastAsia" w:ascii="Times New Roman" w:hAnsi="Times New Roman" w:cs="Times New Roman"/>
                <w:snapToGrid w:val="0"/>
                <w:color w:val="auto"/>
                <w:kern w:val="0"/>
                <w:sz w:val="21"/>
                <w:szCs w:val="21"/>
                <w:highlight w:val="none"/>
                <w:lang w:val="en-US" w:eastAsia="zh-CN"/>
              </w:rPr>
              <w:t>380</w:t>
            </w:r>
            <w:r>
              <w:rPr>
                <w:rFonts w:hint="default" w:ascii="Times New Roman" w:hAnsi="Times New Roman" w:cs="Times New Roman"/>
                <w:snapToGrid w:val="0"/>
                <w:color w:val="auto"/>
                <w:kern w:val="0"/>
                <w:sz w:val="21"/>
                <w:szCs w:val="21"/>
                <w:highlight w:val="none"/>
                <w:lang w:val="zh-CN"/>
              </w:rPr>
              <w:t>m</w:t>
            </w:r>
            <w:r>
              <w:rPr>
                <w:rFonts w:hint="eastAsia" w:ascii="Times New Roman" w:hAnsi="Times New Roman" w:cs="Times New Roman"/>
                <w:snapToGrid w:val="0"/>
                <w:color w:val="auto"/>
                <w:kern w:val="0"/>
                <w:sz w:val="21"/>
                <w:szCs w:val="21"/>
                <w:highlight w:val="none"/>
                <w:lang w:val="zh-CN"/>
              </w:rPr>
              <w:t>，</w:t>
            </w:r>
            <w:r>
              <w:rPr>
                <w:rFonts w:hint="default" w:ascii="Times New Roman" w:hAnsi="Times New Roman" w:cs="Times New Roman"/>
                <w:snapToGrid w:val="0"/>
                <w:color w:val="auto"/>
                <w:kern w:val="0"/>
                <w:sz w:val="21"/>
                <w:szCs w:val="21"/>
                <w:lang w:val="en-US" w:eastAsia="zh-CN"/>
              </w:rPr>
              <w:t>满足要求。</w:t>
            </w:r>
          </w:p>
        </w:tc>
        <w:tc>
          <w:tcPr>
            <w:tcW w:w="373" w:type="pct"/>
            <w:tcBorders>
              <w:top w:val="single" w:color="auto" w:sz="4" w:space="0"/>
              <w:left w:val="single" w:color="auto" w:sz="4" w:space="0"/>
              <w:bottom w:val="single" w:color="auto" w:sz="4" w:space="0"/>
              <w:right w:val="nil"/>
            </w:tcBorders>
            <w:vAlign w:val="center"/>
          </w:tcPr>
          <w:p>
            <w:pPr>
              <w:adjustRightInd/>
              <w:snapToGrid/>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tcBorders>
              <w:top w:val="single" w:color="auto" w:sz="4" w:space="0"/>
              <w:left w:val="nil"/>
              <w:bottom w:val="single" w:color="auto" w:sz="4" w:space="0"/>
              <w:right w:val="single" w:color="auto" w:sz="4" w:space="0"/>
            </w:tcBorders>
            <w:vAlign w:val="center"/>
          </w:tcPr>
          <w:p>
            <w:pPr>
              <w:adjustRightInd/>
              <w:snapToGrid/>
              <w:jc w:val="center"/>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《中华人民共和国动物防疫法》</w:t>
            </w:r>
          </w:p>
        </w:tc>
        <w:tc>
          <w:tcPr>
            <w:tcW w:w="2314" w:type="pct"/>
            <w:tcBorders>
              <w:top w:val="single" w:color="auto" w:sz="4" w:space="0"/>
              <w:left w:val="single" w:color="auto" w:sz="4" w:space="0"/>
              <w:bottom w:val="single" w:color="auto" w:sz="4" w:space="0"/>
              <w:right w:val="single" w:color="auto" w:sz="4" w:space="0"/>
            </w:tcBorders>
            <w:vAlign w:val="center"/>
          </w:tcPr>
          <w:p>
            <w:pPr>
              <w:adjustRightInd/>
              <w:snapToGrid/>
              <w:jc w:val="both"/>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第二十四条 动物饲养场和隔离场所、动物屠宰加工场所以及动物和动物产品无害化处理场所，应当符合下列动物防疫条件：</w:t>
            </w:r>
          </w:p>
          <w:p>
            <w:pPr>
              <w:adjustRightInd/>
              <w:snapToGrid/>
              <w:jc w:val="both"/>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（一）场所的位置与居民生活区、生活饮用水水源地、学校、医院等公共场所的距离符合国务院农业农村主管部门的规定；</w:t>
            </w:r>
          </w:p>
          <w:p>
            <w:pPr>
              <w:adjustRightInd/>
              <w:snapToGrid/>
              <w:jc w:val="both"/>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（二）生产经营区域封闭隔离，工程设计和有关流程符合动物防疫要求；</w:t>
            </w:r>
          </w:p>
          <w:p>
            <w:pPr>
              <w:adjustRightInd/>
              <w:snapToGrid/>
              <w:jc w:val="both"/>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（三）有与其规模相适应的污水、污物处理设施，病死动物、病害动物产品无害化处理设施设备或者冷藏冷冻设施设备，以及清洗消毒设施设备；</w:t>
            </w:r>
          </w:p>
          <w:p>
            <w:pPr>
              <w:adjustRightInd/>
              <w:snapToGrid/>
              <w:jc w:val="both"/>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（四）有与其规模相适应的执业兽医或者动物防疫技术人员；</w:t>
            </w:r>
          </w:p>
          <w:p>
            <w:pPr>
              <w:adjustRightInd/>
              <w:snapToGrid/>
              <w:jc w:val="both"/>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（五）有完善的隔离消毒、购销台账、日常巡查等动物防疫制度；</w:t>
            </w:r>
          </w:p>
          <w:p>
            <w:pPr>
              <w:adjustRightInd/>
              <w:snapToGrid/>
              <w:jc w:val="both"/>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（六）具备国务院农业农村主管部门规定的其他动物防疫条件。</w:t>
            </w:r>
          </w:p>
          <w:p>
            <w:pPr>
              <w:adjustRightInd/>
              <w:snapToGrid/>
              <w:jc w:val="both"/>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第四十九条 屠宰、出售或者运输动物以及出售或者运输动物产品前，货主应当按照国务院农业农村主管部门的规定向所在地动物卫生监督机构申报检疫。</w:t>
            </w:r>
          </w:p>
          <w:p>
            <w:pPr>
              <w:adjustRightInd/>
              <w:snapToGrid/>
              <w:jc w:val="both"/>
              <w:rPr>
                <w:rFonts w:hint="default" w:ascii="Times New Roman" w:hAnsi="Times New Roman" w:cs="Times New Roman"/>
                <w:snapToGrid w:val="0"/>
                <w:color w:val="auto"/>
                <w:kern w:val="0"/>
                <w:sz w:val="21"/>
                <w:szCs w:val="21"/>
                <w:shd w:val="clear" w:color="auto" w:fill="FFFFFF"/>
              </w:rPr>
            </w:pPr>
            <w:r>
              <w:rPr>
                <w:rFonts w:hint="default" w:ascii="Times New Roman" w:hAnsi="Times New Roman" w:cs="Times New Roman"/>
                <w:snapToGrid w:val="0"/>
                <w:color w:val="auto"/>
                <w:kern w:val="0"/>
                <w:sz w:val="21"/>
                <w:szCs w:val="21"/>
              </w:rPr>
              <w:t>第五十七条 从事动物饲养、屠宰、经营、隔离以及动物产品生产、经营、加工、贮藏等活动的单位和个人，应当按照国家有关规定做好病死动物、病害动物产品的无害化处理，或者委托动物和动物产品无害化处理场所处理。</w:t>
            </w:r>
          </w:p>
        </w:tc>
        <w:tc>
          <w:tcPr>
            <w:tcW w:w="1685" w:type="pct"/>
            <w:tcBorders>
              <w:top w:val="single" w:color="auto" w:sz="4" w:space="0"/>
              <w:left w:val="single" w:color="auto" w:sz="4" w:space="0"/>
              <w:bottom w:val="single" w:color="auto" w:sz="4" w:space="0"/>
              <w:right w:val="single" w:color="auto" w:sz="4" w:space="0"/>
            </w:tcBorders>
            <w:vAlign w:val="center"/>
          </w:tcPr>
          <w:p>
            <w:pPr>
              <w:pStyle w:val="63"/>
              <w:numPr>
                <w:ilvl w:val="0"/>
                <w:numId w:val="6"/>
              </w:numPr>
              <w:adjustRightInd/>
              <w:snapToGrid/>
              <w:spacing w:line="240" w:lineRule="auto"/>
              <w:jc w:val="both"/>
              <w:rPr>
                <w:rFonts w:hint="default" w:ascii="Times New Roman" w:hAnsi="Times New Roman" w:eastAsia="宋体" w:cs="Times New Roman"/>
                <w:snapToGrid w:val="0"/>
                <w:color w:val="auto"/>
                <w:kern w:val="0"/>
                <w:sz w:val="21"/>
                <w:lang w:val="zh-CN"/>
              </w:rPr>
            </w:pPr>
            <w:r>
              <w:rPr>
                <w:rFonts w:hint="default" w:ascii="Times New Roman" w:hAnsi="Times New Roman" w:eastAsia="宋体" w:cs="Times New Roman"/>
                <w:snapToGrid w:val="0"/>
                <w:color w:val="auto"/>
                <w:kern w:val="0"/>
                <w:sz w:val="21"/>
                <w:highlight w:val="none"/>
                <w:lang w:val="zh-CN"/>
              </w:rPr>
              <w:t>本项目距离</w:t>
            </w:r>
            <w:r>
              <w:rPr>
                <w:rFonts w:hint="eastAsia" w:ascii="Times New Roman" w:hAnsi="Times New Roman" w:eastAsia="宋体" w:cs="Times New Roman"/>
                <w:snapToGrid w:val="0"/>
                <w:color w:val="auto"/>
                <w:kern w:val="0"/>
                <w:sz w:val="21"/>
                <w:szCs w:val="21"/>
                <w:highlight w:val="none"/>
                <w:lang w:val="en-US" w:eastAsia="zh-CN"/>
              </w:rPr>
              <w:t>厂址</w:t>
            </w:r>
            <w:r>
              <w:rPr>
                <w:rFonts w:hint="eastAsia" w:ascii="Times New Roman" w:hAnsi="Times New Roman" w:cs="Times New Roman"/>
                <w:snapToGrid w:val="0"/>
                <w:color w:val="auto"/>
                <w:kern w:val="0"/>
                <w:sz w:val="21"/>
                <w:szCs w:val="21"/>
                <w:highlight w:val="none"/>
                <w:lang w:val="en-US" w:eastAsia="zh-CN"/>
              </w:rPr>
              <w:t>北侧兴隆镇居民最近距离</w:t>
            </w:r>
            <w:r>
              <w:rPr>
                <w:rFonts w:hint="eastAsia" w:ascii="Times New Roman" w:hAnsi="Times New Roman" w:eastAsia="宋体" w:cs="Times New Roman"/>
                <w:snapToGrid w:val="0"/>
                <w:color w:val="auto"/>
                <w:kern w:val="0"/>
                <w:sz w:val="21"/>
                <w:highlight w:val="none"/>
                <w:lang w:val="en-US" w:eastAsia="zh-CN"/>
              </w:rPr>
              <w:t>为380</w:t>
            </w:r>
            <w:r>
              <w:rPr>
                <w:rFonts w:hint="default" w:ascii="Times New Roman" w:hAnsi="Times New Roman" w:eastAsia="宋体" w:cs="Times New Roman"/>
                <w:snapToGrid w:val="0"/>
                <w:color w:val="auto"/>
                <w:kern w:val="0"/>
                <w:sz w:val="21"/>
                <w:highlight w:val="none"/>
                <w:lang w:val="zh-CN"/>
              </w:rPr>
              <w:t>m</w:t>
            </w:r>
            <w:r>
              <w:rPr>
                <w:rFonts w:hint="default" w:ascii="Times New Roman" w:hAnsi="Times New Roman" w:eastAsia="宋体" w:cs="Times New Roman"/>
                <w:snapToGrid w:val="0"/>
                <w:color w:val="auto"/>
                <w:kern w:val="0"/>
                <w:sz w:val="21"/>
                <w:lang w:val="zh-CN"/>
              </w:rPr>
              <w:t>，本项目远离生活饮用水水源地</w:t>
            </w:r>
            <w:r>
              <w:rPr>
                <w:rFonts w:hint="default" w:ascii="Times New Roman" w:hAnsi="Times New Roman" w:eastAsia="宋体" w:cs="Times New Roman"/>
                <w:snapToGrid w:val="0"/>
                <w:color w:val="auto"/>
                <w:kern w:val="0"/>
                <w:sz w:val="21"/>
              </w:rPr>
              <w:t>；</w:t>
            </w:r>
          </w:p>
          <w:p>
            <w:pPr>
              <w:pStyle w:val="63"/>
              <w:adjustRightInd/>
              <w:snapToGrid/>
              <w:spacing w:line="240" w:lineRule="auto"/>
              <w:jc w:val="both"/>
              <w:rPr>
                <w:rFonts w:hint="default" w:ascii="Times New Roman" w:hAnsi="Times New Roman" w:eastAsia="宋体" w:cs="Times New Roman"/>
                <w:snapToGrid w:val="0"/>
                <w:color w:val="auto"/>
                <w:kern w:val="0"/>
                <w:sz w:val="21"/>
                <w:lang w:val="zh-CN"/>
              </w:rPr>
            </w:pPr>
            <w:r>
              <w:rPr>
                <w:rFonts w:hint="default" w:ascii="Times New Roman" w:hAnsi="Times New Roman" w:eastAsia="宋体" w:cs="Times New Roman"/>
                <w:snapToGrid w:val="0"/>
                <w:color w:val="auto"/>
                <w:kern w:val="0"/>
                <w:sz w:val="21"/>
              </w:rPr>
              <w:t>（2）</w:t>
            </w:r>
            <w:r>
              <w:rPr>
                <w:rFonts w:hint="default" w:ascii="Times New Roman" w:hAnsi="Times New Roman" w:eastAsia="宋体" w:cs="Times New Roman"/>
                <w:snapToGrid w:val="0"/>
                <w:color w:val="auto"/>
                <w:kern w:val="0"/>
                <w:sz w:val="21"/>
                <w:lang w:val="zh-CN"/>
              </w:rPr>
              <w:t>相关生产区设计和工艺流程符合动物防疫相关要求；</w:t>
            </w:r>
          </w:p>
          <w:p>
            <w:pPr>
              <w:pStyle w:val="63"/>
              <w:adjustRightInd/>
              <w:snapToGrid/>
              <w:spacing w:line="240" w:lineRule="auto"/>
              <w:jc w:val="both"/>
              <w:rPr>
                <w:rFonts w:hint="default" w:ascii="Times New Roman" w:hAnsi="Times New Roman" w:eastAsia="宋体" w:cs="Times New Roman"/>
                <w:snapToGrid w:val="0"/>
                <w:color w:val="auto"/>
                <w:kern w:val="0"/>
                <w:sz w:val="21"/>
                <w:lang w:val="zh-CN"/>
              </w:rPr>
            </w:pPr>
            <w:r>
              <w:rPr>
                <w:rFonts w:hint="default" w:ascii="Times New Roman" w:hAnsi="Times New Roman" w:eastAsia="宋体" w:cs="Times New Roman"/>
                <w:snapToGrid w:val="0"/>
                <w:color w:val="auto"/>
                <w:kern w:val="0"/>
                <w:sz w:val="21"/>
                <w:lang w:val="zh-CN"/>
              </w:rPr>
              <w:t>（</w:t>
            </w:r>
            <w:r>
              <w:rPr>
                <w:rFonts w:hint="default" w:ascii="Times New Roman" w:hAnsi="Times New Roman" w:eastAsia="宋体" w:cs="Times New Roman"/>
                <w:snapToGrid w:val="0"/>
                <w:color w:val="auto"/>
                <w:kern w:val="0"/>
                <w:sz w:val="21"/>
              </w:rPr>
              <w:t>3</w:t>
            </w:r>
            <w:r>
              <w:rPr>
                <w:rFonts w:hint="default" w:ascii="Times New Roman" w:hAnsi="Times New Roman" w:eastAsia="宋体" w:cs="Times New Roman"/>
                <w:snapToGrid w:val="0"/>
                <w:color w:val="auto"/>
                <w:kern w:val="0"/>
                <w:sz w:val="21"/>
                <w:lang w:val="zh-CN"/>
              </w:rPr>
              <w:t>）配备</w:t>
            </w:r>
            <w:r>
              <w:rPr>
                <w:rFonts w:hint="default" w:ascii="Times New Roman" w:hAnsi="Times New Roman" w:eastAsia="宋体" w:cs="Times New Roman"/>
                <w:b w:val="0"/>
                <w:bCs w:val="0"/>
                <w:snapToGrid w:val="0"/>
                <w:color w:val="auto"/>
                <w:kern w:val="0"/>
                <w:sz w:val="21"/>
                <w:lang w:val="zh-CN"/>
              </w:rPr>
              <w:t>了相应污水</w:t>
            </w:r>
            <w:r>
              <w:rPr>
                <w:rFonts w:hint="default" w:ascii="Times New Roman" w:hAnsi="Times New Roman" w:eastAsia="宋体" w:cs="Times New Roman"/>
                <w:snapToGrid w:val="0"/>
                <w:color w:val="auto"/>
                <w:kern w:val="0"/>
                <w:sz w:val="21"/>
                <w:lang w:val="zh-CN"/>
              </w:rPr>
              <w:t>、固废、废气的环保设施，各污染物均可达标排放；</w:t>
            </w:r>
          </w:p>
          <w:p>
            <w:pPr>
              <w:pStyle w:val="63"/>
              <w:adjustRightInd/>
              <w:snapToGrid/>
              <w:spacing w:line="240" w:lineRule="auto"/>
              <w:jc w:val="both"/>
              <w:rPr>
                <w:rFonts w:hint="default" w:ascii="Times New Roman" w:hAnsi="Times New Roman" w:eastAsia="宋体" w:cs="Times New Roman"/>
                <w:snapToGrid w:val="0"/>
                <w:color w:val="auto"/>
                <w:kern w:val="0"/>
                <w:sz w:val="21"/>
                <w:lang w:val="zh-CN"/>
              </w:rPr>
            </w:pPr>
            <w:r>
              <w:rPr>
                <w:rFonts w:hint="default" w:ascii="Times New Roman" w:hAnsi="Times New Roman" w:eastAsia="宋体" w:cs="Times New Roman"/>
                <w:snapToGrid w:val="0"/>
                <w:color w:val="auto"/>
                <w:kern w:val="0"/>
                <w:sz w:val="21"/>
                <w:lang w:val="zh-CN"/>
              </w:rPr>
              <w:t>（</w:t>
            </w:r>
            <w:r>
              <w:rPr>
                <w:rFonts w:hint="default" w:ascii="Times New Roman" w:hAnsi="Times New Roman" w:eastAsia="宋体" w:cs="Times New Roman"/>
                <w:snapToGrid w:val="0"/>
                <w:color w:val="auto"/>
                <w:kern w:val="0"/>
                <w:sz w:val="21"/>
              </w:rPr>
              <w:t>4</w:t>
            </w:r>
            <w:r>
              <w:rPr>
                <w:rFonts w:hint="default" w:ascii="Times New Roman" w:hAnsi="Times New Roman" w:eastAsia="宋体" w:cs="Times New Roman"/>
                <w:snapToGrid w:val="0"/>
                <w:color w:val="auto"/>
                <w:kern w:val="0"/>
                <w:sz w:val="21"/>
                <w:lang w:val="zh-CN"/>
              </w:rPr>
              <w:t>）建设单位配备有经考核合格的肉品品质检验人员；</w:t>
            </w:r>
          </w:p>
          <w:p>
            <w:pPr>
              <w:pStyle w:val="63"/>
              <w:adjustRightInd/>
              <w:snapToGrid/>
              <w:spacing w:line="240" w:lineRule="auto"/>
              <w:jc w:val="both"/>
              <w:rPr>
                <w:rFonts w:hint="default" w:ascii="Times New Roman" w:hAnsi="Times New Roman" w:eastAsia="宋体" w:cs="Times New Roman"/>
                <w:snapToGrid w:val="0"/>
                <w:color w:val="auto"/>
                <w:kern w:val="0"/>
                <w:sz w:val="21"/>
                <w:lang w:val="zh-CN"/>
              </w:rPr>
            </w:pPr>
            <w:r>
              <w:rPr>
                <w:rFonts w:hint="default" w:ascii="Times New Roman" w:hAnsi="Times New Roman" w:eastAsia="宋体" w:cs="Times New Roman"/>
                <w:snapToGrid w:val="0"/>
                <w:color w:val="auto"/>
                <w:kern w:val="0"/>
                <w:sz w:val="21"/>
                <w:lang w:val="zh-CN"/>
              </w:rPr>
              <w:t>（</w:t>
            </w:r>
            <w:r>
              <w:rPr>
                <w:rFonts w:hint="default" w:ascii="Times New Roman" w:hAnsi="Times New Roman" w:eastAsia="宋体" w:cs="Times New Roman"/>
                <w:snapToGrid w:val="0"/>
                <w:color w:val="auto"/>
                <w:kern w:val="0"/>
                <w:sz w:val="21"/>
              </w:rPr>
              <w:t>5</w:t>
            </w:r>
            <w:r>
              <w:rPr>
                <w:rFonts w:hint="default" w:ascii="Times New Roman" w:hAnsi="Times New Roman" w:eastAsia="宋体" w:cs="Times New Roman"/>
                <w:snapToGrid w:val="0"/>
                <w:color w:val="auto"/>
                <w:kern w:val="0"/>
                <w:sz w:val="21"/>
                <w:lang w:val="zh-CN"/>
              </w:rPr>
              <w:t>）依法取得健康证明的屠宰技术人员；</w:t>
            </w:r>
          </w:p>
          <w:p>
            <w:pPr>
              <w:pStyle w:val="63"/>
              <w:adjustRightInd/>
              <w:snapToGrid/>
              <w:spacing w:line="240" w:lineRule="auto"/>
              <w:jc w:val="both"/>
              <w:rPr>
                <w:rFonts w:hint="default" w:ascii="Times New Roman" w:hAnsi="Times New Roman" w:eastAsia="宋体" w:cs="Times New Roman"/>
                <w:snapToGrid w:val="0"/>
                <w:color w:val="auto"/>
                <w:kern w:val="0"/>
                <w:sz w:val="21"/>
                <w:lang w:val="zh-CN"/>
              </w:rPr>
            </w:pPr>
            <w:r>
              <w:rPr>
                <w:rFonts w:hint="default" w:ascii="Times New Roman" w:hAnsi="Times New Roman" w:eastAsia="宋体" w:cs="Times New Roman"/>
                <w:snapToGrid w:val="0"/>
                <w:color w:val="auto"/>
                <w:kern w:val="0"/>
                <w:sz w:val="21"/>
                <w:lang w:val="zh-CN"/>
              </w:rPr>
              <w:t>（</w:t>
            </w:r>
            <w:r>
              <w:rPr>
                <w:rFonts w:hint="default" w:ascii="Times New Roman" w:hAnsi="Times New Roman" w:eastAsia="宋体" w:cs="Times New Roman"/>
                <w:snapToGrid w:val="0"/>
                <w:color w:val="auto"/>
                <w:kern w:val="0"/>
                <w:sz w:val="21"/>
              </w:rPr>
              <w:t>6</w:t>
            </w:r>
            <w:r>
              <w:rPr>
                <w:rFonts w:hint="default" w:ascii="Times New Roman" w:hAnsi="Times New Roman" w:eastAsia="宋体" w:cs="Times New Roman"/>
                <w:snapToGrid w:val="0"/>
                <w:color w:val="auto"/>
                <w:kern w:val="0"/>
                <w:sz w:val="21"/>
                <w:lang w:val="zh-CN"/>
              </w:rPr>
              <w:t>）制定了完善的动物防疫制度，具备国务院兽医主管部门规定的其他动物防疫条件；</w:t>
            </w:r>
          </w:p>
          <w:p>
            <w:pPr>
              <w:pStyle w:val="63"/>
              <w:adjustRightInd/>
              <w:snapToGrid/>
              <w:spacing w:line="240" w:lineRule="auto"/>
              <w:jc w:val="both"/>
              <w:rPr>
                <w:rFonts w:hint="default" w:ascii="Times New Roman" w:hAnsi="Times New Roman" w:eastAsia="宋体" w:cs="Times New Roman"/>
                <w:snapToGrid w:val="0"/>
                <w:color w:val="auto"/>
                <w:kern w:val="0"/>
                <w:sz w:val="21"/>
                <w:lang w:val="zh-CN"/>
              </w:rPr>
            </w:pPr>
            <w:r>
              <w:rPr>
                <w:rFonts w:hint="default" w:ascii="Times New Roman" w:hAnsi="Times New Roman" w:eastAsia="宋体" w:cs="Times New Roman"/>
                <w:snapToGrid w:val="0"/>
                <w:color w:val="auto"/>
                <w:kern w:val="0"/>
                <w:sz w:val="21"/>
                <w:lang w:val="zh-CN"/>
              </w:rPr>
              <w:t>（</w:t>
            </w:r>
            <w:r>
              <w:rPr>
                <w:rFonts w:hint="default" w:ascii="Times New Roman" w:hAnsi="Times New Roman" w:eastAsia="宋体" w:cs="Times New Roman"/>
                <w:snapToGrid w:val="0"/>
                <w:color w:val="auto"/>
                <w:kern w:val="0"/>
                <w:sz w:val="21"/>
              </w:rPr>
              <w:t>7</w:t>
            </w:r>
            <w:r>
              <w:rPr>
                <w:rFonts w:hint="default" w:ascii="Times New Roman" w:hAnsi="Times New Roman" w:eastAsia="宋体" w:cs="Times New Roman"/>
                <w:snapToGrid w:val="0"/>
                <w:color w:val="auto"/>
                <w:kern w:val="0"/>
                <w:sz w:val="21"/>
                <w:lang w:val="zh-CN"/>
              </w:rPr>
              <w:t>）本项目会在出售动物产品前按照国务院农业农村主管部门的规定向所在地动物卫生监督机构申报检疫；</w:t>
            </w:r>
          </w:p>
          <w:p>
            <w:pPr>
              <w:pStyle w:val="63"/>
              <w:adjustRightInd/>
              <w:snapToGrid/>
              <w:spacing w:line="240" w:lineRule="auto"/>
              <w:jc w:val="both"/>
              <w:rPr>
                <w:rFonts w:hint="default" w:ascii="Times New Roman" w:hAnsi="Times New Roman" w:eastAsia="宋体" w:cs="Times New Roman"/>
                <w:snapToGrid w:val="0"/>
                <w:color w:val="auto"/>
                <w:kern w:val="0"/>
                <w:sz w:val="21"/>
              </w:rPr>
            </w:pPr>
            <w:r>
              <w:rPr>
                <w:rFonts w:hint="default" w:ascii="Times New Roman" w:hAnsi="Times New Roman" w:eastAsia="宋体" w:cs="Times New Roman"/>
                <w:snapToGrid w:val="0"/>
                <w:color w:val="auto"/>
                <w:kern w:val="0"/>
                <w:sz w:val="21"/>
                <w:lang w:val="zh-CN"/>
              </w:rPr>
              <w:t>（</w:t>
            </w:r>
            <w:r>
              <w:rPr>
                <w:rFonts w:hint="default" w:ascii="Times New Roman" w:hAnsi="Times New Roman" w:eastAsia="宋体" w:cs="Times New Roman"/>
                <w:snapToGrid w:val="0"/>
                <w:color w:val="auto"/>
                <w:kern w:val="0"/>
                <w:sz w:val="21"/>
              </w:rPr>
              <w:t>8</w:t>
            </w:r>
            <w:r>
              <w:rPr>
                <w:rFonts w:hint="default" w:ascii="Times New Roman" w:hAnsi="Times New Roman" w:eastAsia="宋体" w:cs="Times New Roman"/>
                <w:snapToGrid w:val="0"/>
                <w:color w:val="auto"/>
                <w:kern w:val="0"/>
                <w:sz w:val="21"/>
                <w:lang w:val="zh-CN"/>
              </w:rPr>
              <w:t>）本项目</w:t>
            </w:r>
            <w:r>
              <w:rPr>
                <w:rFonts w:hint="default" w:ascii="Times New Roman" w:hAnsi="Times New Roman" w:eastAsia="宋体" w:cs="Times New Roman"/>
                <w:bCs/>
                <w:snapToGrid w:val="0"/>
                <w:color w:val="auto"/>
                <w:kern w:val="0"/>
                <w:sz w:val="21"/>
              </w:rPr>
              <w:t>检疫不合格</w:t>
            </w:r>
            <w:r>
              <w:rPr>
                <w:rFonts w:hint="default" w:ascii="Times New Roman" w:hAnsi="Times New Roman" w:eastAsia="宋体" w:cs="Times New Roman"/>
                <w:bCs/>
                <w:snapToGrid w:val="0"/>
                <w:color w:val="auto"/>
                <w:kern w:val="0"/>
                <w:sz w:val="21"/>
                <w:lang w:val="en-US" w:eastAsia="zh-CN"/>
              </w:rPr>
              <w:t>生猪</w:t>
            </w:r>
            <w:r>
              <w:rPr>
                <w:rFonts w:hint="default" w:ascii="Times New Roman" w:hAnsi="Times New Roman" w:eastAsia="宋体" w:cs="Times New Roman"/>
                <w:bCs/>
                <w:snapToGrid w:val="0"/>
                <w:color w:val="auto"/>
                <w:kern w:val="0"/>
                <w:sz w:val="21"/>
              </w:rPr>
              <w:t>及病死</w:t>
            </w:r>
            <w:r>
              <w:rPr>
                <w:rFonts w:hint="default" w:ascii="Times New Roman" w:hAnsi="Times New Roman" w:eastAsia="宋体" w:cs="Times New Roman"/>
                <w:bCs/>
                <w:snapToGrid w:val="0"/>
                <w:color w:val="auto"/>
                <w:kern w:val="0"/>
                <w:sz w:val="21"/>
                <w:lang w:val="en-US" w:eastAsia="zh-CN"/>
              </w:rPr>
              <w:t>猪</w:t>
            </w:r>
            <w:r>
              <w:rPr>
                <w:rFonts w:hint="default" w:ascii="Times New Roman" w:hAnsi="Times New Roman" w:eastAsia="宋体" w:cs="Times New Roman"/>
                <w:bCs/>
                <w:snapToGrid w:val="0"/>
                <w:color w:val="auto"/>
                <w:kern w:val="0"/>
                <w:sz w:val="21"/>
              </w:rPr>
              <w:t>委托</w:t>
            </w:r>
            <w:r>
              <w:rPr>
                <w:rFonts w:hint="default" w:ascii="Times New Roman" w:hAnsi="Times New Roman" w:eastAsia="宋体" w:cs="Times New Roman"/>
                <w:bCs/>
                <w:snapToGrid w:val="0"/>
                <w:color w:val="auto"/>
                <w:kern w:val="0"/>
                <w:sz w:val="21"/>
                <w:lang w:eastAsia="zh-CN"/>
              </w:rPr>
              <w:t>无害化处理</w:t>
            </w:r>
            <w:r>
              <w:rPr>
                <w:rFonts w:hint="default" w:ascii="Times New Roman" w:hAnsi="Times New Roman" w:eastAsia="宋体" w:cs="Times New Roman"/>
                <w:bCs/>
                <w:snapToGrid w:val="0"/>
                <w:color w:val="auto"/>
                <w:kern w:val="0"/>
                <w:sz w:val="21"/>
                <w:lang w:val="en-US" w:eastAsia="zh-CN"/>
              </w:rPr>
              <w:t>处置中心</w:t>
            </w:r>
            <w:r>
              <w:rPr>
                <w:rFonts w:hint="default" w:ascii="Times New Roman" w:hAnsi="Times New Roman" w:eastAsia="宋体" w:cs="Times New Roman"/>
                <w:bCs/>
                <w:snapToGrid w:val="0"/>
                <w:color w:val="auto"/>
                <w:kern w:val="0"/>
                <w:sz w:val="21"/>
              </w:rPr>
              <w:t>处理</w:t>
            </w:r>
            <w:r>
              <w:rPr>
                <w:rFonts w:hint="default" w:ascii="Times New Roman" w:hAnsi="Times New Roman" w:eastAsia="宋体" w:cs="Times New Roman"/>
                <w:snapToGrid w:val="0"/>
                <w:color w:val="auto"/>
                <w:kern w:val="0"/>
                <w:sz w:val="21"/>
                <w:lang w:val="zh-CN"/>
              </w:rPr>
              <w:t>。</w:t>
            </w:r>
          </w:p>
        </w:tc>
        <w:tc>
          <w:tcPr>
            <w:tcW w:w="373" w:type="pct"/>
            <w:tcBorders>
              <w:top w:val="single" w:color="auto" w:sz="4" w:space="0"/>
              <w:left w:val="single" w:color="auto" w:sz="4" w:space="0"/>
              <w:bottom w:val="single" w:color="auto" w:sz="4" w:space="0"/>
              <w:right w:val="nil"/>
            </w:tcBorders>
            <w:vAlign w:val="center"/>
          </w:tcPr>
          <w:p>
            <w:pPr>
              <w:adjustRightInd/>
              <w:snapToGrid/>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0" w:type="dxa"/>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snapToGrid w:val="0"/>
                <w:color w:val="auto"/>
                <w:kern w:val="0"/>
                <w:sz w:val="21"/>
                <w:szCs w:val="21"/>
                <w:highlight w:val="none"/>
              </w:rPr>
            </w:pPr>
            <w:r>
              <w:rPr>
                <w:rFonts w:hint="default" w:ascii="Times New Roman" w:hAnsi="Times New Roman" w:eastAsia="宋体" w:cs="Times New Roman"/>
                <w:b w:val="0"/>
                <w:bCs w:val="0"/>
                <w:snapToGrid w:val="0"/>
                <w:color w:val="auto"/>
                <w:sz w:val="21"/>
                <w:szCs w:val="21"/>
                <w:highlight w:val="none"/>
                <w:lang w:val="en-US" w:eastAsia="zh-CN"/>
              </w:rPr>
              <w:t>《动物防疫条件审查办法》</w:t>
            </w:r>
          </w:p>
        </w:tc>
        <w:tc>
          <w:tcPr>
            <w:tcW w:w="394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pP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第</w:t>
            </w:r>
            <w:r>
              <w:rPr>
                <w:rFonts w:hint="eastAsia"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六</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条</w:t>
            </w:r>
            <w:r>
              <w:rPr>
                <w:rFonts w:hint="eastAsia"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 xml:space="preserve"> </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t>动物饲养场、动物隔离场所、动物屠宰加工场所以及动物和动物产品无害化处理场所应当符合下列条件：</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br w:type="textWrapping"/>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（一）各场所之间，各场所与动物诊疗场所、居民生活区、生活饮用水水源地、学校、医院等公共场所之间保持必要的距离；</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pP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（二）场区周围建有围墙等隔离设施；场区出入口处设置运输车辆消毒通道或者消毒池，并单独设置人员消毒通道；生产经营区与生活办公区分开，并有隔离设施；生产经营区入口处设置人员更衣消毒室；</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pP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（三）配备与其生产经营规模相适应的执业兽医或者动物防疫技术人员；</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pP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（四）配备与其生产经营规模相适应的污水、污物处理设施，清洗消毒设施设备，以及必要的防鼠、防鸟、防虫设施设备；</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pP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（五）建立隔离消毒、购销台账、日常巡查等动物防疫制度。</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pP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第九条 动物屠宰加工场所除符合本办法第六条规定外，还应当符合下列条件：</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pP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（一）入场动物卸载区域有固定的车辆消毒场地，并配备车辆清洗消毒设备；</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pP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（二）有与其屠宰规模相适应的独立检疫室和休息室；有待宰圈、急宰间，加工原毛、生皮、绒、骨、角的，还应当设置封闭式熏蒸消毒间；</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pP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（三）屠宰间配备检疫操作台；</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pP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（四）有符合国家规定的病死动物和病害动物产品无害化处理设施设备或者冷藏冷冻等暂存设施设备；</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cs="Times New Roman"/>
                <w:snapToGrid w:val="0"/>
                <w:color w:val="auto"/>
                <w:kern w:val="0"/>
                <w:sz w:val="21"/>
                <w:szCs w:val="21"/>
                <w:highlight w:val="none"/>
              </w:rPr>
            </w:pP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（五）建立动物进场查验登记、动物产品出场登记、检疫申报、疫情报告、无害化处理等动物防疫制度。</w:t>
            </w:r>
          </w:p>
        </w:tc>
        <w:tc>
          <w:tcPr>
            <w:tcW w:w="287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default" w:ascii="Times New Roman" w:hAnsi="Times New Roman" w:eastAsia="宋体" w:cs="Times New Roman"/>
                <w:b w:val="0"/>
                <w:bCs w:val="0"/>
                <w:snapToGrid w:val="0"/>
                <w:color w:val="auto"/>
                <w:sz w:val="21"/>
                <w:szCs w:val="21"/>
                <w:highlight w:val="none"/>
                <w:lang w:val="en-US" w:eastAsia="zh-CN"/>
              </w:rPr>
              <w:t>本项目周围500米区域内无动物饲养场、养殖小区、动物集贸市场及生活饮用水源地；200米区域内无动物诊疗场所；距离种畜禽场3000米以上。</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eastAsia" w:ascii="Times New Roman" w:hAnsi="Times New Roman" w:eastAsia="宋体" w:cs="Times New Roman"/>
                <w:b w:val="0"/>
                <w:bCs w:val="0"/>
                <w:snapToGrid w:val="0"/>
                <w:color w:val="auto"/>
                <w:sz w:val="21"/>
                <w:szCs w:val="21"/>
                <w:highlight w:val="none"/>
                <w:lang w:val="en-US" w:eastAsia="zh-CN"/>
              </w:rPr>
              <w:t>（2）</w:t>
            </w:r>
            <w:r>
              <w:rPr>
                <w:rFonts w:hint="default" w:ascii="Times New Roman" w:hAnsi="Times New Roman" w:eastAsia="宋体" w:cs="Times New Roman"/>
                <w:b w:val="0"/>
                <w:bCs w:val="0"/>
                <w:snapToGrid w:val="0"/>
                <w:color w:val="auto"/>
                <w:sz w:val="21"/>
                <w:szCs w:val="21"/>
                <w:highlight w:val="none"/>
                <w:lang w:val="en-US" w:eastAsia="zh-CN"/>
              </w:rPr>
              <w:t>厂区周围建有围墙</w:t>
            </w:r>
            <w:r>
              <w:rPr>
                <w:rFonts w:hint="eastAsia" w:ascii="Times New Roman" w:hAnsi="Times New Roman" w:eastAsia="宋体" w:cs="Times New Roman"/>
                <w:b w:val="0"/>
                <w:bCs w:val="0"/>
                <w:snapToGrid w:val="0"/>
                <w:color w:val="auto"/>
                <w:sz w:val="21"/>
                <w:szCs w:val="21"/>
                <w:highlight w:val="none"/>
                <w:lang w:val="en-US" w:eastAsia="zh-CN"/>
              </w:rPr>
              <w:t>；厂</w:t>
            </w:r>
            <w:r>
              <w:rPr>
                <w:rFonts w:hint="default" w:ascii="Times New Roman" w:hAnsi="Times New Roman" w:eastAsia="宋体" w:cs="Times New Roman"/>
                <w:b w:val="0"/>
                <w:bCs w:val="0"/>
                <w:snapToGrid w:val="0"/>
                <w:color w:val="auto"/>
                <w:sz w:val="21"/>
                <w:szCs w:val="21"/>
                <w:highlight w:val="none"/>
                <w:lang w:val="en-US" w:eastAsia="zh-CN"/>
              </w:rPr>
              <w:t>区出入口处设置运输车辆消毒</w:t>
            </w:r>
            <w:r>
              <w:rPr>
                <w:rFonts w:hint="eastAsia" w:ascii="Times New Roman" w:hAnsi="Times New Roman" w:eastAsia="宋体" w:cs="Times New Roman"/>
                <w:b w:val="0"/>
                <w:bCs w:val="0"/>
                <w:snapToGrid w:val="0"/>
                <w:color w:val="auto"/>
                <w:sz w:val="21"/>
                <w:szCs w:val="21"/>
                <w:highlight w:val="none"/>
                <w:lang w:val="en-US" w:eastAsia="zh-CN"/>
              </w:rPr>
              <w:t>区；</w:t>
            </w:r>
            <w:r>
              <w:rPr>
                <w:rFonts w:hint="default" w:ascii="Times New Roman" w:hAnsi="Times New Roman" w:eastAsia="宋体" w:cs="Times New Roman"/>
                <w:b w:val="0"/>
                <w:bCs w:val="0"/>
                <w:snapToGrid w:val="0"/>
                <w:color w:val="auto"/>
                <w:sz w:val="21"/>
                <w:szCs w:val="21"/>
                <w:highlight w:val="none"/>
                <w:lang w:val="en-US" w:eastAsia="zh-CN"/>
              </w:rPr>
              <w:t>生产区域办公区分离，不在同一建筑物内；生产经营区入口处设置人员更衣消毒室；</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eastAsia" w:ascii="Times New Roman" w:hAnsi="Times New Roman" w:eastAsia="宋体" w:cs="Times New Roman"/>
                <w:b w:val="0"/>
                <w:bCs w:val="0"/>
                <w:snapToGrid w:val="0"/>
                <w:color w:val="auto"/>
                <w:sz w:val="21"/>
                <w:szCs w:val="21"/>
                <w:highlight w:val="none"/>
                <w:lang w:val="en-US" w:eastAsia="zh-CN"/>
              </w:rPr>
              <w:t>（3）已</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配备动物防疫技术人员；</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eastAsia" w:ascii="Times New Roman" w:hAnsi="Times New Roman" w:eastAsia="宋体" w:cs="Times New Roman"/>
                <w:b w:val="0"/>
                <w:bCs w:val="0"/>
                <w:snapToGrid w:val="0"/>
                <w:color w:val="auto"/>
                <w:sz w:val="21"/>
                <w:szCs w:val="21"/>
                <w:highlight w:val="none"/>
                <w:lang w:val="en-US" w:eastAsia="zh-CN"/>
              </w:rPr>
              <w:t>（4）已</w:t>
            </w:r>
            <w:r>
              <w:rPr>
                <w:rFonts w:hint="default" w:ascii="Times New Roman" w:hAnsi="Times New Roman" w:eastAsia="宋体" w:cs="Times New Roman"/>
                <w:b w:val="0"/>
                <w:bCs w:val="0"/>
                <w:snapToGrid w:val="0"/>
                <w:color w:val="auto"/>
                <w:sz w:val="21"/>
                <w:szCs w:val="21"/>
                <w:highlight w:val="none"/>
                <w:lang w:val="en-US" w:eastAsia="zh-CN"/>
              </w:rPr>
              <w:t>配备日处理量为300m</w:t>
            </w:r>
            <w:r>
              <w:rPr>
                <w:rFonts w:hint="default" w:ascii="Times New Roman" w:hAnsi="Times New Roman" w:eastAsia="宋体" w:cs="Times New Roman"/>
                <w:b w:val="0"/>
                <w:bCs w:val="0"/>
                <w:snapToGrid w:val="0"/>
                <w:color w:val="auto"/>
                <w:sz w:val="21"/>
                <w:szCs w:val="21"/>
                <w:highlight w:val="none"/>
                <w:vertAlign w:val="superscript"/>
                <w:lang w:val="en-US" w:eastAsia="zh-CN"/>
              </w:rPr>
              <w:t>3</w:t>
            </w:r>
            <w:r>
              <w:rPr>
                <w:rFonts w:hint="default" w:ascii="Times New Roman" w:hAnsi="Times New Roman" w:eastAsia="宋体" w:cs="Times New Roman"/>
                <w:b w:val="0"/>
                <w:bCs w:val="0"/>
                <w:snapToGrid w:val="0"/>
                <w:color w:val="auto"/>
                <w:sz w:val="21"/>
                <w:szCs w:val="21"/>
                <w:highlight w:val="none"/>
                <w:lang w:val="en-US" w:eastAsia="zh-CN"/>
              </w:rPr>
              <w:t>/d的污水处理站，可以满足本项目污水处理需求</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，以及防鼠、防鸟、防虫设施设备</w:t>
            </w:r>
            <w:r>
              <w:rPr>
                <w:rFonts w:hint="eastAsia"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eastAsia" w:ascii="Times New Roman" w:hAnsi="Times New Roman" w:eastAsia="宋体" w:cs="Times New Roman"/>
                <w:b w:val="0"/>
                <w:bCs w:val="0"/>
                <w:snapToGrid w:val="0"/>
                <w:color w:val="auto"/>
                <w:sz w:val="21"/>
                <w:szCs w:val="21"/>
                <w:highlight w:val="none"/>
                <w:lang w:val="en-US" w:eastAsia="zh-CN"/>
              </w:rPr>
              <w:t>（5）已</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建立隔离消毒、购销台账、日常巡查等动物防疫制度</w:t>
            </w:r>
            <w:r>
              <w:rPr>
                <w:rFonts w:hint="eastAsia"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rPr>
                <w:rFonts w:hint="eastAsia" w:ascii="Times New Roman" w:hAnsi="Times New Roman" w:eastAsia="宋体" w:cs="Times New Roman"/>
                <w:b w:val="0"/>
                <w:bCs w:val="0"/>
                <w:snapToGrid w:val="0"/>
                <w:color w:val="auto"/>
                <w:sz w:val="21"/>
                <w:szCs w:val="21"/>
                <w:highlight w:val="none"/>
                <w:lang w:val="en-US" w:eastAsia="zh-CN"/>
              </w:rPr>
            </w:pPr>
            <w:r>
              <w:rPr>
                <w:rFonts w:hint="eastAsia" w:ascii="Times New Roman" w:hAnsi="Times New Roman" w:eastAsia="宋体" w:cs="Times New Roman"/>
                <w:b w:val="0"/>
                <w:bCs w:val="0"/>
                <w:snapToGrid w:val="0"/>
                <w:color w:val="auto"/>
                <w:sz w:val="21"/>
                <w:szCs w:val="21"/>
                <w:highlight w:val="none"/>
                <w:lang w:val="en-US" w:eastAsia="zh-CN"/>
              </w:rPr>
              <w:t>（6）厂</w:t>
            </w:r>
            <w:r>
              <w:rPr>
                <w:rFonts w:hint="default" w:ascii="Times New Roman" w:hAnsi="Times New Roman" w:eastAsia="宋体" w:cs="Times New Roman"/>
                <w:b w:val="0"/>
                <w:bCs w:val="0"/>
                <w:snapToGrid w:val="0"/>
                <w:color w:val="auto"/>
                <w:sz w:val="21"/>
                <w:szCs w:val="21"/>
                <w:highlight w:val="none"/>
                <w:lang w:val="en-US" w:eastAsia="zh-CN"/>
              </w:rPr>
              <w:t>区出入口处设置运输车辆消毒</w:t>
            </w:r>
            <w:r>
              <w:rPr>
                <w:rFonts w:hint="eastAsia" w:ascii="Times New Roman" w:hAnsi="Times New Roman" w:eastAsia="宋体" w:cs="Times New Roman"/>
                <w:b w:val="0"/>
                <w:bCs w:val="0"/>
                <w:snapToGrid w:val="0"/>
                <w:color w:val="auto"/>
                <w:sz w:val="21"/>
                <w:szCs w:val="21"/>
                <w:highlight w:val="none"/>
                <w:lang w:val="en-US" w:eastAsia="zh-CN"/>
              </w:rPr>
              <w:t>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eastAsia" w:ascii="Times New Roman" w:hAnsi="Times New Roman" w:eastAsia="宋体" w:cs="Times New Roman"/>
                <w:b w:val="0"/>
                <w:bCs w:val="0"/>
                <w:snapToGrid w:val="0"/>
                <w:color w:val="auto"/>
                <w:sz w:val="21"/>
                <w:szCs w:val="21"/>
                <w:highlight w:val="none"/>
                <w:lang w:val="en-US" w:eastAsia="zh-CN"/>
              </w:rPr>
              <w:t>（7）</w:t>
            </w:r>
            <w:r>
              <w:rPr>
                <w:rFonts w:hint="default" w:ascii="Times New Roman" w:hAnsi="Times New Roman" w:eastAsia="宋体" w:cs="Times New Roman"/>
                <w:b w:val="0"/>
                <w:bCs w:val="0"/>
                <w:snapToGrid w:val="0"/>
                <w:color w:val="auto"/>
                <w:sz w:val="21"/>
                <w:szCs w:val="21"/>
                <w:highlight w:val="none"/>
                <w:lang w:val="en-US" w:eastAsia="zh-CN"/>
              </w:rPr>
              <w:t>项目设有急宰间、待宰圈</w:t>
            </w:r>
            <w:r>
              <w:rPr>
                <w:rFonts w:hint="eastAsia" w:ascii="Times New Roman" w:hAnsi="Times New Roman" w:eastAsia="宋体" w:cs="Times New Roman"/>
                <w:b w:val="0"/>
                <w:bCs w:val="0"/>
                <w:snapToGrid w:val="0"/>
                <w:color w:val="auto"/>
                <w:sz w:val="21"/>
                <w:szCs w:val="21"/>
                <w:highlight w:val="none"/>
                <w:lang w:val="en-US" w:eastAsia="zh-CN"/>
              </w:rPr>
              <w:t>、独立检疫室、员工休息宿舍等；</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rPr>
                <w:rFonts w:hint="eastAsia" w:ascii="Times New Roman" w:hAnsi="Times New Roman" w:eastAsia="宋体" w:cs="Times New Roman"/>
                <w:b w:val="0"/>
                <w:bCs w:val="0"/>
                <w:snapToGrid w:val="0"/>
                <w:color w:val="auto"/>
                <w:sz w:val="21"/>
                <w:szCs w:val="21"/>
                <w:highlight w:val="none"/>
                <w:lang w:val="en-US" w:eastAsia="zh-CN"/>
              </w:rPr>
            </w:pPr>
            <w:r>
              <w:rPr>
                <w:rFonts w:hint="eastAsia" w:ascii="Times New Roman" w:hAnsi="Times New Roman" w:eastAsia="宋体" w:cs="Times New Roman"/>
                <w:b w:val="0"/>
                <w:bCs w:val="0"/>
                <w:snapToGrid w:val="0"/>
                <w:color w:val="auto"/>
                <w:sz w:val="21"/>
                <w:szCs w:val="21"/>
                <w:highlight w:val="none"/>
                <w:lang w:val="en-US" w:eastAsia="zh-CN"/>
              </w:rPr>
              <w:t>（8）</w:t>
            </w:r>
            <w:r>
              <w:rPr>
                <w:rFonts w:hint="eastAsia"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已</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配备检疫操作台</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pPr>
            <w:r>
              <w:rPr>
                <w:rFonts w:hint="eastAsia" w:ascii="Times New Roman" w:hAnsi="Times New Roman" w:eastAsia="宋体" w:cs="Times New Roman"/>
                <w:b w:val="0"/>
                <w:bCs w:val="0"/>
                <w:snapToGrid w:val="0"/>
                <w:color w:val="auto"/>
                <w:sz w:val="21"/>
                <w:szCs w:val="21"/>
                <w:highlight w:val="none"/>
                <w:lang w:val="en-US" w:eastAsia="zh-CN"/>
              </w:rPr>
              <w:t>（9）</w:t>
            </w:r>
            <w:r>
              <w:rPr>
                <w:rFonts w:hint="eastAsia"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本项目不设置</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无害化处理设施设备或者冷藏冷冻等暂存设施设备</w:t>
            </w:r>
            <w:r>
              <w:rPr>
                <w:rFonts w:hint="eastAsia"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，交由巴彦县燊缘无害化处理有限公司处理；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rPr>
                <w:rFonts w:hint="default" w:ascii="Times New Roman" w:hAnsi="Times New Roman" w:eastAsia="宋体" w:cs="Times New Roman"/>
                <w:snapToGrid w:val="0"/>
                <w:color w:val="auto"/>
                <w:kern w:val="0"/>
                <w:sz w:val="21"/>
                <w:highlight w:val="none"/>
                <w:lang w:val="zh-CN"/>
              </w:rPr>
            </w:pPr>
            <w:r>
              <w:rPr>
                <w:rFonts w:hint="eastAsia" w:ascii="Times New Roman" w:hAnsi="Times New Roman" w:eastAsia="宋体" w:cs="Times New Roman"/>
                <w:b w:val="0"/>
                <w:bCs w:val="0"/>
                <w:snapToGrid w:val="0"/>
                <w:color w:val="auto"/>
                <w:sz w:val="21"/>
                <w:szCs w:val="21"/>
                <w:highlight w:val="none"/>
                <w:lang w:val="en-US" w:eastAsia="zh-CN"/>
              </w:rPr>
              <w:t>（10）已</w:t>
            </w:r>
            <w:r>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lang w:val="en-US" w:eastAsia="zh-CN"/>
              </w:rPr>
              <w:t>建立动物进场查验登记、动物产品出场登记、检疫申报、疫情报告、无害化处理等动物防疫制度</w:t>
            </w:r>
            <w:r>
              <w:rPr>
                <w:rFonts w:hint="default" w:ascii="Times New Roman" w:hAnsi="Times New Roman" w:eastAsia="宋体" w:cs="Times New Roman"/>
                <w:b w:val="0"/>
                <w:bCs w:val="0"/>
                <w:snapToGrid w:val="0"/>
                <w:color w:val="auto"/>
                <w:sz w:val="21"/>
                <w:szCs w:val="21"/>
                <w:highlight w:val="none"/>
                <w:lang w:val="en-US" w:eastAsia="zh-CN"/>
              </w:rPr>
              <w:t>。</w:t>
            </w:r>
          </w:p>
        </w:tc>
        <w:tc>
          <w:tcPr>
            <w:tcW w:w="373" w:type="pct"/>
            <w:tcBorders>
              <w:top w:val="single" w:color="auto" w:sz="4" w:space="0"/>
              <w:left w:val="single" w:color="auto" w:sz="4" w:space="0"/>
              <w:bottom w:val="single" w:color="auto" w:sz="4" w:space="0"/>
              <w:right w:val="nil"/>
            </w:tcBorders>
            <w:vAlign w:val="center"/>
          </w:tcPr>
          <w:p>
            <w:pPr>
              <w:adjustRightInd/>
              <w:snapToGrid/>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cs="Times New Roman"/>
                <w:snapToGrid w:val="0"/>
                <w:color w:val="auto"/>
                <w:kern w:val="0"/>
                <w:sz w:val="21"/>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0" w:type="dxa"/>
            <w:tcBorders>
              <w:top w:val="single" w:color="auto" w:sz="4" w:space="0"/>
              <w:left w:val="nil"/>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default" w:ascii="Times New Roman" w:hAnsi="Times New Roman" w:eastAsia="宋体" w:cs="Times New Roman"/>
                <w:b w:val="0"/>
                <w:bCs w:val="0"/>
                <w:snapToGrid w:val="0"/>
                <w:color w:val="auto"/>
                <w:kern w:val="0"/>
                <w:sz w:val="21"/>
                <w:szCs w:val="21"/>
                <w:highlight w:val="none"/>
                <w:lang w:val="zh-CN"/>
              </w:rPr>
              <w:t>《</w:t>
            </w:r>
            <w:r>
              <w:rPr>
                <w:rFonts w:hint="default" w:ascii="Times New Roman" w:hAnsi="Times New Roman" w:eastAsia="宋体" w:cs="Times New Roman"/>
                <w:b w:val="0"/>
                <w:bCs w:val="0"/>
                <w:snapToGrid w:val="0"/>
                <w:color w:val="auto"/>
                <w:kern w:val="0"/>
                <w:sz w:val="21"/>
                <w:szCs w:val="21"/>
                <w:highlight w:val="none"/>
              </w:rPr>
              <w:t>食品安全国家标准</w:t>
            </w:r>
            <w:r>
              <w:rPr>
                <w:rFonts w:hint="default" w:ascii="Times New Roman" w:hAnsi="Times New Roman" w:eastAsia="宋体" w:cs="Times New Roman"/>
                <w:b w:val="0"/>
                <w:bCs w:val="0"/>
                <w:snapToGrid w:val="0"/>
                <w:color w:val="auto"/>
                <w:kern w:val="0"/>
                <w:sz w:val="21"/>
                <w:szCs w:val="21"/>
                <w:highlight w:val="none"/>
                <w:lang w:val="zh-CN"/>
              </w:rPr>
              <w:t>畜禽屠宰加工卫生规范》（GB12694-2016）</w:t>
            </w:r>
          </w:p>
        </w:tc>
        <w:tc>
          <w:tcPr>
            <w:tcW w:w="3944" w:type="dxa"/>
            <w:tcBorders>
              <w:top w:val="single" w:color="auto" w:sz="4" w:space="0"/>
              <w:left w:val="single" w:color="auto" w:sz="4" w:space="0"/>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highlight w:val="none"/>
              </w:rPr>
              <w:t>3.2.1卫生防护距离应符合GB18078.1及动物防疫要求。</w:t>
            </w:r>
          </w:p>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highlight w:val="none"/>
              </w:rPr>
              <w:t>3.2.2厂址周围应有良好的环境卫生条件。厂区应远离受污染的水体，并应避开产生有害气体、烟雾、粉尘等污染源的工业企业或其他产生污染源的地区或场所。</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b w:val="0"/>
                <w:bCs w:val="0"/>
                <w:i w:val="0"/>
                <w:iCs w:val="0"/>
                <w:caps w:val="0"/>
                <w:snapToGrid w:val="0"/>
                <w:color w:val="auto"/>
                <w:spacing w:val="0"/>
                <w:sz w:val="21"/>
                <w:szCs w:val="21"/>
                <w:highlight w:val="none"/>
                <w:shd w:val="clear" w:color="auto" w:fill="FFFFFF"/>
              </w:rPr>
            </w:pPr>
            <w:r>
              <w:rPr>
                <w:rFonts w:hint="default" w:ascii="Times New Roman" w:hAnsi="Times New Roman" w:eastAsia="宋体" w:cs="Times New Roman"/>
                <w:b w:val="0"/>
                <w:bCs w:val="0"/>
                <w:snapToGrid w:val="0"/>
                <w:color w:val="auto"/>
                <w:kern w:val="0"/>
                <w:sz w:val="21"/>
                <w:szCs w:val="21"/>
                <w:highlight w:val="none"/>
              </w:rPr>
              <w:t>3.2.3厂址必须具备符合要求的水源和电源，应结合工艺要求因地制宜地确定，并应符合屠宰企业设置规划的要求。</w:t>
            </w:r>
          </w:p>
        </w:tc>
        <w:tc>
          <w:tcPr>
            <w:tcW w:w="2872" w:type="dxa"/>
            <w:tcBorders>
              <w:top w:val="single" w:color="auto" w:sz="4" w:space="0"/>
              <w:left w:val="single" w:color="auto" w:sz="4" w:space="0"/>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b w:val="0"/>
                <w:bCs w:val="0"/>
                <w:snapToGrid w:val="0"/>
                <w:color w:val="auto"/>
                <w:kern w:val="0"/>
                <w:sz w:val="21"/>
                <w:szCs w:val="21"/>
                <w:highlight w:val="magenta"/>
                <w:lang w:val="zh-CN"/>
              </w:rPr>
            </w:pPr>
            <w:r>
              <w:rPr>
                <w:rFonts w:hint="default" w:ascii="Times New Roman" w:hAnsi="Times New Roman" w:eastAsia="宋体" w:cs="Times New Roman"/>
                <w:b w:val="0"/>
                <w:bCs w:val="0"/>
                <w:snapToGrid w:val="0"/>
                <w:color w:val="auto"/>
                <w:kern w:val="0"/>
                <w:sz w:val="21"/>
                <w:szCs w:val="21"/>
                <w:highlight w:val="none"/>
                <w:lang w:val="zh-CN"/>
              </w:rPr>
              <w:t>（1）本项目以</w:t>
            </w:r>
            <w:r>
              <w:rPr>
                <w:rFonts w:hint="eastAsia" w:ascii="Times New Roman" w:hAnsi="Times New Roman" w:eastAsia="宋体" w:cs="Times New Roman"/>
                <w:b w:val="0"/>
                <w:bCs w:val="0"/>
                <w:snapToGrid w:val="0"/>
                <w:color w:val="auto"/>
                <w:kern w:val="0"/>
                <w:sz w:val="21"/>
                <w:szCs w:val="21"/>
                <w:highlight w:val="none"/>
                <w:lang w:val="en-US" w:eastAsia="zh-CN"/>
              </w:rPr>
              <w:t>厂界为边界</w:t>
            </w:r>
            <w:r>
              <w:rPr>
                <w:rFonts w:hint="default" w:ascii="Times New Roman" w:hAnsi="Times New Roman" w:eastAsia="宋体" w:cs="Times New Roman"/>
                <w:snapToGrid w:val="0"/>
                <w:color w:val="auto"/>
                <w:sz w:val="21"/>
                <w:szCs w:val="21"/>
                <w:highlight w:val="none"/>
              </w:rPr>
              <w:t>设置</w:t>
            </w:r>
            <w:r>
              <w:rPr>
                <w:rFonts w:hint="eastAsia" w:ascii="Times New Roman" w:hAnsi="Times New Roman" w:eastAsia="宋体" w:cs="Times New Roman"/>
                <w:snapToGrid w:val="0"/>
                <w:color w:val="auto"/>
                <w:sz w:val="21"/>
                <w:szCs w:val="21"/>
                <w:highlight w:val="none"/>
                <w:lang w:val="en-US" w:eastAsia="zh-CN"/>
              </w:rPr>
              <w:t>300</w:t>
            </w:r>
            <w:r>
              <w:rPr>
                <w:rFonts w:hint="default" w:ascii="Times New Roman" w:hAnsi="Times New Roman" w:eastAsia="宋体" w:cs="Times New Roman"/>
                <w:snapToGrid w:val="0"/>
                <w:color w:val="auto"/>
                <w:sz w:val="21"/>
                <w:szCs w:val="21"/>
                <w:highlight w:val="none"/>
              </w:rPr>
              <w:t>m卫生防护距离</w:t>
            </w:r>
            <w:r>
              <w:rPr>
                <w:rFonts w:hint="default" w:ascii="Times New Roman" w:hAnsi="Times New Roman" w:eastAsia="宋体" w:cs="Times New Roman"/>
                <w:b w:val="0"/>
                <w:bCs w:val="0"/>
                <w:snapToGrid w:val="0"/>
                <w:color w:val="auto"/>
                <w:kern w:val="0"/>
                <w:sz w:val="21"/>
                <w:szCs w:val="21"/>
                <w:highlight w:val="none"/>
                <w:lang w:val="zh-CN"/>
              </w:rPr>
              <w:t>。该卫生防护距离范围内，无居民点等环境敏感目标。今后</w:t>
            </w:r>
            <w:r>
              <w:rPr>
                <w:rFonts w:hint="eastAsia" w:ascii="Times New Roman" w:hAnsi="Times New Roman" w:eastAsia="宋体" w:cs="Times New Roman"/>
                <w:b w:val="0"/>
                <w:bCs w:val="0"/>
                <w:snapToGrid w:val="0"/>
                <w:color w:val="auto"/>
                <w:kern w:val="0"/>
                <w:sz w:val="21"/>
                <w:szCs w:val="21"/>
                <w:highlight w:val="none"/>
                <w:lang w:val="en-US" w:eastAsia="zh-CN"/>
              </w:rPr>
              <w:t>政府相关部门</w:t>
            </w:r>
            <w:r>
              <w:rPr>
                <w:rFonts w:hint="default" w:ascii="Times New Roman" w:hAnsi="Times New Roman" w:eastAsia="宋体" w:cs="Times New Roman"/>
                <w:b w:val="0"/>
                <w:bCs w:val="0"/>
                <w:snapToGrid w:val="0"/>
                <w:color w:val="auto"/>
                <w:kern w:val="0"/>
                <w:sz w:val="21"/>
                <w:szCs w:val="21"/>
                <w:highlight w:val="none"/>
                <w:lang w:val="zh-CN"/>
              </w:rPr>
              <w:t>在</w:t>
            </w:r>
            <w:r>
              <w:rPr>
                <w:rFonts w:hint="eastAsia" w:ascii="Times New Roman" w:hAnsi="Times New Roman" w:eastAsia="宋体" w:cs="Times New Roman"/>
                <w:b w:val="0"/>
                <w:bCs w:val="0"/>
                <w:snapToGrid w:val="0"/>
                <w:color w:val="auto"/>
                <w:kern w:val="0"/>
                <w:sz w:val="21"/>
                <w:szCs w:val="21"/>
                <w:highlight w:val="none"/>
                <w:lang w:val="en-US" w:eastAsia="zh-CN"/>
              </w:rPr>
              <w:t>本</w:t>
            </w:r>
            <w:r>
              <w:rPr>
                <w:rFonts w:hint="default" w:ascii="Times New Roman" w:hAnsi="Times New Roman" w:eastAsia="宋体" w:cs="Times New Roman"/>
                <w:b w:val="0"/>
                <w:bCs w:val="0"/>
                <w:snapToGrid w:val="0"/>
                <w:color w:val="auto"/>
                <w:kern w:val="0"/>
                <w:sz w:val="21"/>
                <w:szCs w:val="21"/>
                <w:highlight w:val="none"/>
                <w:lang w:val="zh-CN"/>
              </w:rPr>
              <w:t>厂址四周卫生防护距离内，严禁规划和建设学校、医院、居住区等环境敏感目标；项目区饮用水来自</w:t>
            </w:r>
            <w:r>
              <w:rPr>
                <w:rFonts w:hint="eastAsia" w:ascii="Times New Roman" w:hAnsi="Times New Roman" w:eastAsia="宋体" w:cs="Times New Roman"/>
                <w:b w:val="0"/>
                <w:bCs w:val="0"/>
                <w:snapToGrid w:val="0"/>
                <w:color w:val="auto"/>
                <w:kern w:val="0"/>
                <w:sz w:val="21"/>
                <w:szCs w:val="21"/>
                <w:highlight w:val="none"/>
                <w:lang w:val="en-US" w:eastAsia="zh-CN"/>
              </w:rPr>
              <w:t>市政管网</w:t>
            </w:r>
            <w:r>
              <w:rPr>
                <w:rFonts w:hint="default" w:ascii="Times New Roman" w:hAnsi="Times New Roman" w:eastAsia="宋体" w:cs="Times New Roman"/>
                <w:b w:val="0"/>
                <w:bCs w:val="0"/>
                <w:snapToGrid w:val="0"/>
                <w:color w:val="auto"/>
                <w:kern w:val="0"/>
                <w:sz w:val="21"/>
                <w:szCs w:val="21"/>
                <w:highlight w:val="none"/>
                <w:lang w:val="zh-CN"/>
              </w:rPr>
              <w:t>；</w:t>
            </w:r>
          </w:p>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b w:val="0"/>
                <w:bCs w:val="0"/>
                <w:snapToGrid w:val="0"/>
                <w:color w:val="auto"/>
                <w:kern w:val="0"/>
                <w:sz w:val="21"/>
                <w:szCs w:val="21"/>
                <w:highlight w:val="none"/>
                <w:lang w:val="zh-CN"/>
              </w:rPr>
            </w:pPr>
            <w:r>
              <w:rPr>
                <w:rFonts w:hint="default" w:ascii="Times New Roman" w:hAnsi="Times New Roman" w:eastAsia="宋体" w:cs="Times New Roman"/>
                <w:b w:val="0"/>
                <w:bCs w:val="0"/>
                <w:snapToGrid w:val="0"/>
                <w:color w:val="auto"/>
                <w:kern w:val="0"/>
                <w:sz w:val="21"/>
                <w:szCs w:val="21"/>
                <w:highlight w:val="none"/>
                <w:lang w:val="zh-CN"/>
              </w:rPr>
              <w:t>（2）周围没有受污染的水体，项目最近地表水体为</w:t>
            </w:r>
            <w:r>
              <w:rPr>
                <w:rFonts w:hint="default" w:ascii="Times New Roman" w:hAnsi="Times New Roman" w:eastAsia="宋体" w:cs="Times New Roman"/>
                <w:b w:val="0"/>
                <w:bCs w:val="0"/>
                <w:snapToGrid w:val="0"/>
                <w:color w:val="auto"/>
                <w:kern w:val="0"/>
                <w:sz w:val="21"/>
                <w:szCs w:val="21"/>
                <w:highlight w:val="none"/>
                <w:lang w:val="en-US" w:eastAsia="zh-CN"/>
              </w:rPr>
              <w:t>泥</w:t>
            </w:r>
            <w:r>
              <w:rPr>
                <w:rFonts w:hint="default" w:ascii="Times New Roman" w:hAnsi="Times New Roman" w:eastAsia="宋体" w:cs="Times New Roman"/>
                <w:b w:val="0"/>
                <w:bCs w:val="0"/>
                <w:snapToGrid w:val="0"/>
                <w:color w:val="auto"/>
                <w:kern w:val="0"/>
                <w:sz w:val="21"/>
                <w:szCs w:val="21"/>
                <w:highlight w:val="none"/>
                <w:lang w:val="zh-CN"/>
              </w:rPr>
              <w:t>河，距离项目</w:t>
            </w:r>
            <w:r>
              <w:rPr>
                <w:rFonts w:hint="default" w:ascii="Times New Roman" w:hAnsi="Times New Roman" w:eastAsia="宋体" w:cs="Times New Roman"/>
                <w:b w:val="0"/>
                <w:bCs w:val="0"/>
                <w:snapToGrid w:val="0"/>
                <w:color w:val="auto"/>
                <w:kern w:val="0"/>
                <w:sz w:val="21"/>
                <w:szCs w:val="21"/>
                <w:highlight w:val="none"/>
                <w:lang w:val="en-US" w:eastAsia="zh-CN"/>
              </w:rPr>
              <w:t>17km</w:t>
            </w:r>
            <w:r>
              <w:rPr>
                <w:rFonts w:hint="default" w:ascii="Times New Roman" w:hAnsi="Times New Roman" w:eastAsia="宋体" w:cs="Times New Roman"/>
                <w:b w:val="0"/>
                <w:bCs w:val="0"/>
                <w:snapToGrid w:val="0"/>
                <w:color w:val="auto"/>
                <w:kern w:val="0"/>
                <w:sz w:val="21"/>
                <w:szCs w:val="21"/>
                <w:highlight w:val="none"/>
                <w:lang w:val="zh-CN"/>
              </w:rPr>
              <w:t>，项目周边卫生条件良好，无</w:t>
            </w:r>
            <w:r>
              <w:rPr>
                <w:rFonts w:hint="default" w:ascii="Times New Roman" w:hAnsi="Times New Roman" w:eastAsia="宋体" w:cs="Times New Roman"/>
                <w:b w:val="0"/>
                <w:bCs w:val="0"/>
                <w:snapToGrid w:val="0"/>
                <w:color w:val="auto"/>
                <w:kern w:val="0"/>
                <w:sz w:val="21"/>
                <w:szCs w:val="21"/>
                <w:highlight w:val="none"/>
              </w:rPr>
              <w:t>有害气体、粉尘、污浊水及其他污染源；</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b w:val="0"/>
                <w:bCs w:val="0"/>
                <w:snapToGrid w:val="0"/>
                <w:color w:val="auto"/>
                <w:sz w:val="21"/>
                <w:szCs w:val="21"/>
                <w:highlight w:val="none"/>
                <w:lang w:val="en-US" w:eastAsia="zh-CN"/>
              </w:rPr>
            </w:pPr>
            <w:r>
              <w:rPr>
                <w:rFonts w:hint="default" w:ascii="Times New Roman" w:hAnsi="Times New Roman" w:eastAsia="宋体" w:cs="Times New Roman"/>
                <w:b w:val="0"/>
                <w:bCs w:val="0"/>
                <w:snapToGrid w:val="0"/>
                <w:color w:val="auto"/>
                <w:kern w:val="0"/>
                <w:sz w:val="21"/>
                <w:szCs w:val="21"/>
                <w:highlight w:val="none"/>
                <w:lang w:val="zh-CN"/>
              </w:rPr>
              <w:t>（3）本项目位置</w:t>
            </w:r>
            <w:r>
              <w:rPr>
                <w:rFonts w:hint="default" w:ascii="Times New Roman" w:hAnsi="Times New Roman" w:eastAsia="宋体" w:cs="Times New Roman"/>
                <w:b w:val="0"/>
                <w:bCs w:val="0"/>
                <w:snapToGrid w:val="0"/>
                <w:color w:val="auto"/>
                <w:kern w:val="0"/>
                <w:sz w:val="21"/>
                <w:szCs w:val="21"/>
                <w:highlight w:val="none"/>
                <w:lang w:val="en-US" w:eastAsia="zh-CN"/>
              </w:rPr>
              <w:t>已</w:t>
            </w:r>
            <w:r>
              <w:rPr>
                <w:rFonts w:hint="default" w:ascii="Times New Roman" w:hAnsi="Times New Roman" w:eastAsia="宋体" w:cs="Times New Roman"/>
                <w:b w:val="0"/>
                <w:bCs w:val="0"/>
                <w:snapToGrid w:val="0"/>
                <w:color w:val="auto"/>
                <w:kern w:val="0"/>
                <w:sz w:val="21"/>
                <w:szCs w:val="21"/>
                <w:highlight w:val="none"/>
                <w:lang w:val="zh-CN"/>
              </w:rPr>
              <w:t>铺设供水管网，供电来自市政管网，用地性质为</w:t>
            </w:r>
            <w:r>
              <w:rPr>
                <w:rFonts w:hint="default" w:ascii="Times New Roman" w:hAnsi="Times New Roman" w:eastAsia="宋体" w:cs="Times New Roman"/>
                <w:b w:val="0"/>
                <w:bCs w:val="0"/>
                <w:snapToGrid w:val="0"/>
                <w:color w:val="auto"/>
                <w:kern w:val="0"/>
                <w:sz w:val="21"/>
                <w:szCs w:val="21"/>
                <w:highlight w:val="none"/>
                <w:lang w:val="en-US" w:eastAsia="zh-CN"/>
              </w:rPr>
              <w:t>工业</w:t>
            </w:r>
            <w:r>
              <w:rPr>
                <w:rFonts w:hint="default" w:ascii="Times New Roman" w:hAnsi="Times New Roman" w:eastAsia="宋体" w:cs="Times New Roman"/>
                <w:b w:val="0"/>
                <w:bCs w:val="0"/>
                <w:snapToGrid w:val="0"/>
                <w:color w:val="auto"/>
                <w:kern w:val="0"/>
                <w:sz w:val="21"/>
                <w:szCs w:val="21"/>
                <w:highlight w:val="none"/>
                <w:lang w:val="zh-CN"/>
              </w:rPr>
              <w:t>用地。</w:t>
            </w:r>
          </w:p>
        </w:tc>
        <w:tc>
          <w:tcPr>
            <w:tcW w:w="373" w:type="pct"/>
            <w:tcBorders>
              <w:top w:val="single" w:color="auto" w:sz="4" w:space="0"/>
              <w:left w:val="single" w:color="auto" w:sz="4" w:space="0"/>
              <w:bottom w:val="single" w:color="auto" w:sz="12" w:space="0"/>
              <w:right w:val="nil"/>
            </w:tcBorders>
            <w:vAlign w:val="center"/>
          </w:tcPr>
          <w:p>
            <w:pPr>
              <w:adjustRightInd/>
              <w:snapToGrid/>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cs="Times New Roman"/>
                <w:snapToGrid w:val="0"/>
                <w:color w:val="auto"/>
                <w:kern w:val="0"/>
                <w:sz w:val="21"/>
                <w:szCs w:val="21"/>
                <w:lang w:val="en-US" w:eastAsia="zh-CN"/>
              </w:rPr>
              <w:t>符合</w:t>
            </w:r>
          </w:p>
        </w:tc>
      </w:tr>
      <w:bookmarkEnd w:id="17"/>
    </w:tbl>
    <w:p>
      <w:pPr>
        <w:pStyle w:val="45"/>
        <w:pageBreakBefore w:val="0"/>
        <w:widowControl/>
        <w:kinsoku w:val="0"/>
        <w:wordWrap/>
        <w:overflowPunct/>
        <w:topLinePunct w:val="0"/>
        <w:autoSpaceDE w:val="0"/>
        <w:autoSpaceDN w:val="0"/>
        <w:bidi w:val="0"/>
        <w:adjustRightInd/>
        <w:snapToGrid/>
        <w:spacing w:line="360" w:lineRule="auto"/>
        <w:ind w:firstLine="480" w:firstLineChars="200"/>
        <w:contextualSpacing/>
        <w:jc w:val="both"/>
        <w:textAlignment w:val="baseline"/>
        <w:rPr>
          <w:rFonts w:hint="default" w:ascii="Times New Roman" w:hAnsi="Times New Roman" w:eastAsia="宋体" w:cs="Times New Roman"/>
          <w:snapToGrid w:val="0"/>
          <w:color w:val="auto"/>
          <w:kern w:val="0"/>
        </w:rPr>
      </w:pPr>
      <w:r>
        <w:rPr>
          <w:rFonts w:hint="default" w:ascii="Times New Roman" w:hAnsi="Times New Roman" w:eastAsia="宋体" w:cs="Times New Roman"/>
          <w:snapToGrid w:val="0"/>
          <w:color w:val="auto"/>
          <w:kern w:val="0"/>
        </w:rPr>
        <w:t>本项目符合</w:t>
      </w:r>
      <w:r>
        <w:rPr>
          <w:rFonts w:hint="default" w:ascii="Times New Roman" w:hAnsi="Times New Roman" w:eastAsia="宋体" w:cs="Times New Roman"/>
          <w:color w:val="auto"/>
        </w:rPr>
        <w:t>《冷库设计标准》（GB50072-2021）、《中华人民共和国动物防疫法》</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《食品安全国家标准 畜禽屠宰加工卫生规范》（GB12694-2016）、</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动物防疫条件审查办法</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相关要求</w:t>
      </w:r>
      <w:r>
        <w:rPr>
          <w:rFonts w:hint="default" w:ascii="Times New Roman" w:hAnsi="Times New Roman" w:eastAsia="宋体" w:cs="Times New Roman"/>
          <w:snapToGrid w:val="0"/>
          <w:color w:val="auto"/>
          <w:kern w:val="0"/>
        </w:rPr>
        <w:t>，因此，项目选址从环境影响评价的角度分析是合理可行的。</w:t>
      </w:r>
    </w:p>
    <w:p>
      <w:pPr>
        <w:pStyle w:val="11"/>
        <w:pageBreakBefore w:val="0"/>
        <w:widowControl/>
        <w:numPr>
          <w:ilvl w:val="2"/>
          <w:numId w:val="0"/>
        </w:numPr>
        <w:kinsoku w:val="0"/>
        <w:wordWrap/>
        <w:overflowPunct/>
        <w:topLinePunct w:val="0"/>
        <w:autoSpaceDE w:val="0"/>
        <w:autoSpaceDN w:val="0"/>
        <w:bidi w:val="0"/>
        <w:spacing w:before="0" w:after="0" w:line="360" w:lineRule="auto"/>
        <w:jc w:val="both"/>
        <w:textAlignment w:val="baseline"/>
        <w:rPr>
          <w:rFonts w:hint="default" w:ascii="Times New Roman" w:hAnsi="Times New Roman" w:cs="Times New Roman"/>
          <w:b/>
          <w:color w:val="auto"/>
          <w:sz w:val="28"/>
          <w:szCs w:val="28"/>
        </w:rPr>
      </w:pPr>
      <w:r>
        <w:rPr>
          <w:rFonts w:hint="default" w:ascii="Times New Roman" w:hAnsi="Times New Roman" w:cs="Times New Roman"/>
          <w:b/>
          <w:color w:val="auto"/>
          <w:sz w:val="28"/>
          <w:szCs w:val="28"/>
        </w:rPr>
        <w:t>1.4.</w:t>
      </w:r>
      <w:r>
        <w:rPr>
          <w:rFonts w:hint="default" w:ascii="Times New Roman" w:hAnsi="Times New Roman" w:eastAsia="宋体" w:cs="Times New Roman"/>
          <w:b/>
          <w:color w:val="auto"/>
          <w:sz w:val="28"/>
          <w:szCs w:val="28"/>
          <w:lang w:val="en-US" w:eastAsia="zh-CN"/>
        </w:rPr>
        <w:t xml:space="preserve">8  </w:t>
      </w:r>
      <w:r>
        <w:rPr>
          <w:rFonts w:hint="default" w:ascii="Times New Roman" w:hAnsi="Times New Roman" w:cs="Times New Roman"/>
          <w:b/>
          <w:color w:val="auto"/>
          <w:sz w:val="28"/>
          <w:szCs w:val="28"/>
        </w:rPr>
        <w:t>区域环境功能区划</w:t>
      </w:r>
    </w:p>
    <w:p>
      <w:pPr>
        <w:pStyle w:val="45"/>
        <w:pageBreakBefore w:val="0"/>
        <w:widowControl/>
        <w:kinsoku w:val="0"/>
        <w:wordWrap/>
        <w:overflowPunct/>
        <w:topLinePunct w:val="0"/>
        <w:autoSpaceDE w:val="0"/>
        <w:autoSpaceDN w:val="0"/>
        <w:bidi w:val="0"/>
        <w:adjustRightInd/>
        <w:snapToGrid/>
        <w:spacing w:line="360" w:lineRule="auto"/>
        <w:ind w:firstLine="480" w:firstLineChars="200"/>
        <w:contextualSpacing/>
        <w:jc w:val="both"/>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（1）空气环境：根据环境空气质量功能区划，场址位于《环境空气质量标准》（GB3095-2012）二类区。本项目所在区域不在酸雨和二氧化硫控制区内。</w:t>
      </w:r>
    </w:p>
    <w:p>
      <w:pPr>
        <w:spacing w:line="360" w:lineRule="auto"/>
        <w:ind w:firstLine="480" w:firstLineChars="200"/>
        <w:rPr>
          <w:rFonts w:hint="default" w:ascii="Times New Roman" w:hAnsi="Times New Roman" w:eastAsia="宋体" w:cs="Times New Roman"/>
          <w:color w:val="auto"/>
          <w:kern w:val="24"/>
          <w:sz w:val="24"/>
          <w:lang w:eastAsia="zh-CN"/>
        </w:rPr>
      </w:pPr>
      <w:r>
        <w:rPr>
          <w:rFonts w:hint="default" w:ascii="Times New Roman" w:hAnsi="Times New Roman" w:cs="Times New Roman"/>
          <w:color w:val="auto"/>
          <w:kern w:val="24"/>
          <w:sz w:val="24"/>
        </w:rPr>
        <w:t>（2）地表水环境：</w:t>
      </w:r>
      <w:r>
        <w:rPr>
          <w:rFonts w:hint="default" w:ascii="Times New Roman" w:hAnsi="Times New Roman" w:cs="Times New Roman"/>
          <w:bCs/>
          <w:color w:val="auto"/>
          <w:sz w:val="24"/>
        </w:rPr>
        <w:t>根据</w:t>
      </w:r>
      <w:r>
        <w:rPr>
          <w:rFonts w:hint="default" w:ascii="Times New Roman" w:hAnsi="Times New Roman" w:cs="Times New Roman"/>
          <w:bCs/>
          <w:color w:val="auto"/>
          <w:sz w:val="24"/>
          <w:lang w:eastAsia="zh-CN"/>
        </w:rPr>
        <w:t>《哈尔滨市生态环境质量报告书（2022年）》（黑龙江省哈尔滨生态环境监测中心，2023年6月），202</w:t>
      </w:r>
      <w:r>
        <w:rPr>
          <w:rFonts w:hint="default" w:ascii="Times New Roman" w:hAnsi="Times New Roman" w:cs="Times New Roman"/>
          <w:bCs/>
          <w:color w:val="auto"/>
          <w:sz w:val="24"/>
          <w:lang w:val="en-US" w:eastAsia="zh-CN"/>
        </w:rPr>
        <w:t>2</w:t>
      </w:r>
      <w:r>
        <w:rPr>
          <w:rFonts w:hint="default" w:ascii="Times New Roman" w:hAnsi="Times New Roman" w:cs="Times New Roman"/>
          <w:bCs/>
          <w:color w:val="auto"/>
          <w:sz w:val="24"/>
          <w:lang w:eastAsia="zh-CN"/>
        </w:rPr>
        <w:t>年松花江哈尔滨江段12条主要一级支流总体状况为良，水质总体好转</w:t>
      </w:r>
      <w:r>
        <w:rPr>
          <w:rFonts w:hint="eastAsia" w:ascii="Times New Roman" w:hAnsi="Times New Roman" w:cs="Times New Roman"/>
          <w:bCs/>
          <w:color w:val="auto"/>
          <w:sz w:val="24"/>
          <w:lang w:eastAsia="zh-CN"/>
        </w:rPr>
        <w:t>。</w:t>
      </w:r>
      <w:r>
        <w:rPr>
          <w:rFonts w:hint="default" w:ascii="Times New Roman" w:hAnsi="Times New Roman" w:cs="Times New Roman"/>
          <w:bCs/>
          <w:color w:val="auto"/>
          <w:sz w:val="24"/>
          <w:lang w:eastAsia="zh-CN"/>
        </w:rPr>
        <w:t>岔林河口内、白杨木河水质符合Ⅱ；蚂蚁河口内、巴兰河口内、木兰达河口内、阿什河口内、牡丹江口内、呼兰河口内、倭肯河口内、拉林河口内水质符合Ⅲ类；蜚克图河水质符合IV类标准；少陵河桥水质符合Ⅴ类。其中少陵河桥水质属于重度污染，蜚克图河水质属于轻度污染。202</w:t>
      </w:r>
      <w:r>
        <w:rPr>
          <w:rFonts w:hint="default" w:ascii="Times New Roman" w:hAnsi="Times New Roman" w:cs="Times New Roman"/>
          <w:bCs/>
          <w:color w:val="auto"/>
          <w:sz w:val="24"/>
          <w:lang w:val="en-US" w:eastAsia="zh-CN"/>
        </w:rPr>
        <w:t>2</w:t>
      </w:r>
      <w:r>
        <w:rPr>
          <w:rFonts w:hint="default" w:ascii="Times New Roman" w:hAnsi="Times New Roman" w:cs="Times New Roman"/>
          <w:bCs/>
          <w:color w:val="auto"/>
          <w:sz w:val="24"/>
          <w:lang w:eastAsia="zh-CN"/>
        </w:rPr>
        <w:t>年松花江哈尔滨段12条主要一级支流口内断面各项指标浓度差异较大。各断面溶解氧均好于Ⅰ类标准，高锰酸盐指数指标少陵河桥达到IV类标准，其它断面达到Ⅲ类标准；氨氮指标巨源镇达到IV类标准，少陵河桥达到V类标准，其它断面达到Ⅲ类标准；总磷指标阿什河口内、巨源镇和少陵河桥达到IV类标准，其它断面达到Ⅲ类标准；化学需氧量指标少陵河桥达到IV类标准，其它断面达到Ⅲ类标准；生化需氧量指标均达到Ⅲ类标准。</w:t>
      </w:r>
    </w:p>
    <w:p>
      <w:pPr>
        <w:pageBreakBefore w:val="0"/>
        <w:widowControl/>
        <w:kinsoku w:val="0"/>
        <w:wordWrap/>
        <w:overflowPunct/>
        <w:topLinePunct w:val="0"/>
        <w:autoSpaceDE w:val="0"/>
        <w:autoSpaceDN w:val="0"/>
        <w:bidi w:val="0"/>
        <w:spacing w:line="360" w:lineRule="auto"/>
        <w:ind w:firstLine="480" w:firstLineChars="200"/>
        <w:contextualSpacing/>
        <w:jc w:val="both"/>
        <w:textAlignment w:val="baseline"/>
        <w:rPr>
          <w:rFonts w:hint="default" w:ascii="Times New Roman" w:hAnsi="Times New Roman" w:cs="Times New Roman"/>
          <w:color w:val="auto"/>
          <w:kern w:val="24"/>
          <w:sz w:val="24"/>
        </w:rPr>
      </w:pPr>
      <w:r>
        <w:rPr>
          <w:rFonts w:hint="default" w:ascii="Times New Roman" w:hAnsi="Times New Roman" w:cs="Times New Roman"/>
          <w:color w:val="auto"/>
          <w:kern w:val="24"/>
          <w:sz w:val="24"/>
        </w:rPr>
        <w:t>（3）声环境：本项目厂界声环境执行《声环境质量标准》（GB3096-2008）中的2类标准。</w:t>
      </w:r>
    </w:p>
    <w:p>
      <w:pPr>
        <w:pStyle w:val="45"/>
        <w:pageBreakBefore w:val="0"/>
        <w:widowControl/>
        <w:kinsoku w:val="0"/>
        <w:wordWrap/>
        <w:overflowPunct/>
        <w:topLinePunct w:val="0"/>
        <w:autoSpaceDE w:val="0"/>
        <w:autoSpaceDN w:val="0"/>
        <w:bidi w:val="0"/>
        <w:adjustRightInd/>
        <w:snapToGrid/>
        <w:spacing w:line="360" w:lineRule="auto"/>
        <w:ind w:firstLine="480" w:firstLineChars="200"/>
        <w:contextualSpacing/>
        <w:jc w:val="both"/>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kern w:val="24"/>
        </w:rPr>
        <w:t>（4）地下水环境：本项目所在区域地下水执行《地下水质量标准》（GB/T14848-2017）中</w:t>
      </w:r>
      <w:r>
        <w:rPr>
          <w:rFonts w:hint="default" w:ascii="Times New Roman" w:hAnsi="Times New Roman" w:eastAsia="宋体" w:cs="Times New Roman"/>
          <w:color w:val="auto"/>
          <w:kern w:val="24"/>
        </w:rPr>
        <w:fldChar w:fldCharType="begin"/>
      </w:r>
      <w:r>
        <w:rPr>
          <w:rFonts w:hint="default" w:ascii="Times New Roman" w:hAnsi="Times New Roman" w:eastAsia="宋体" w:cs="Times New Roman"/>
          <w:color w:val="auto"/>
          <w:kern w:val="24"/>
        </w:rPr>
        <w:instrText xml:space="preserve"> = 3 \* ROMAN </w:instrText>
      </w:r>
      <w:r>
        <w:rPr>
          <w:rFonts w:hint="default" w:ascii="Times New Roman" w:hAnsi="Times New Roman" w:eastAsia="宋体" w:cs="Times New Roman"/>
          <w:color w:val="auto"/>
          <w:kern w:val="24"/>
        </w:rPr>
        <w:fldChar w:fldCharType="separate"/>
      </w:r>
      <w:r>
        <w:rPr>
          <w:rFonts w:hint="default" w:ascii="Times New Roman" w:hAnsi="Times New Roman" w:eastAsia="宋体" w:cs="Times New Roman"/>
          <w:color w:val="auto"/>
          <w:kern w:val="24"/>
        </w:rPr>
        <w:t>III</w:t>
      </w:r>
      <w:r>
        <w:rPr>
          <w:rFonts w:hint="default" w:ascii="Times New Roman" w:hAnsi="Times New Roman" w:eastAsia="宋体" w:cs="Times New Roman"/>
          <w:color w:val="auto"/>
          <w:kern w:val="24"/>
        </w:rPr>
        <w:fldChar w:fldCharType="end"/>
      </w:r>
      <w:r>
        <w:rPr>
          <w:rFonts w:hint="default" w:ascii="Times New Roman" w:hAnsi="Times New Roman" w:eastAsia="宋体" w:cs="Times New Roman"/>
          <w:color w:val="auto"/>
          <w:kern w:val="24"/>
        </w:rPr>
        <w:t>类标准。</w:t>
      </w:r>
    </w:p>
    <w:p>
      <w:pPr>
        <w:widowControl w:val="0"/>
        <w:kinsoku/>
        <w:autoSpaceDE/>
        <w:autoSpaceDN/>
        <w:adjustRightInd/>
        <w:snapToGrid/>
        <w:spacing w:line="360" w:lineRule="auto"/>
        <w:jc w:val="left"/>
        <w:textAlignment w:val="auto"/>
        <w:outlineLvl w:val="1"/>
        <w:rPr>
          <w:rFonts w:hint="default" w:ascii="Times New Roman" w:hAnsi="Times New Roman" w:eastAsia="宋体" w:cs="Times New Roman"/>
          <w:b/>
          <w:bCs/>
          <w:snapToGrid/>
          <w:color w:val="auto"/>
          <w:kern w:val="44"/>
          <w:sz w:val="30"/>
          <w:szCs w:val="30"/>
          <w:lang w:eastAsia="zh-CN"/>
        </w:rPr>
      </w:pPr>
      <w:bookmarkStart w:id="18" w:name="_Toc737"/>
      <w:r>
        <w:rPr>
          <w:rFonts w:hint="default" w:ascii="Times New Roman" w:hAnsi="Times New Roman" w:eastAsia="宋体" w:cs="Times New Roman"/>
          <w:b/>
          <w:bCs/>
          <w:snapToGrid/>
          <w:color w:val="auto"/>
          <w:kern w:val="44"/>
          <w:sz w:val="30"/>
          <w:szCs w:val="30"/>
          <w:lang w:val="en-US" w:eastAsia="zh-CN"/>
        </w:rPr>
        <w:t>1.5</w:t>
      </w:r>
      <w:r>
        <w:rPr>
          <w:rFonts w:hint="default" w:ascii="Times New Roman" w:hAnsi="Times New Roman" w:eastAsia="宋体" w:cs="Times New Roman"/>
          <w:b/>
          <w:bCs/>
          <w:snapToGrid/>
          <w:color w:val="auto"/>
          <w:kern w:val="44"/>
          <w:sz w:val="30"/>
          <w:szCs w:val="30"/>
          <w:lang w:eastAsia="zh-CN"/>
        </w:rPr>
        <w:t>关注的主要环境问题</w:t>
      </w:r>
      <w:bookmarkEnd w:id="18"/>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472" w:firstLineChars="200"/>
        <w:jc w:val="both"/>
        <w:textAlignment w:val="baseline"/>
        <w:rPr>
          <w:rFonts w:hint="default" w:ascii="Times New Roman" w:hAnsi="Times New Roman" w:eastAsia="宋体" w:cs="Times New Roman"/>
          <w:spacing w:val="-2"/>
          <w:position w:val="17"/>
          <w:sz w:val="24"/>
          <w:szCs w:val="24"/>
        </w:rPr>
      </w:pPr>
      <w:r>
        <w:rPr>
          <w:rFonts w:hint="default" w:ascii="Times New Roman" w:hAnsi="Times New Roman" w:eastAsia="宋体" w:cs="Times New Roman"/>
          <w:spacing w:val="-2"/>
          <w:position w:val="17"/>
          <w:sz w:val="24"/>
          <w:szCs w:val="24"/>
        </w:rPr>
        <w:t>本项目为改扩建项目，评价重点关注现有项目运营过程所产生的环境影响以及改扩建后企业运营过程对周围环境和环境敏感点的影响分析：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472" w:firstLineChars="200"/>
        <w:jc w:val="both"/>
        <w:textAlignment w:val="baseline"/>
        <w:rPr>
          <w:rFonts w:hint="default" w:ascii="Times New Roman" w:hAnsi="Times New Roman" w:eastAsia="宋体" w:cs="Times New Roman"/>
          <w:spacing w:val="-2"/>
          <w:position w:val="17"/>
          <w:sz w:val="24"/>
          <w:szCs w:val="24"/>
        </w:rPr>
      </w:pPr>
      <w:r>
        <w:rPr>
          <w:rFonts w:hint="default" w:ascii="Times New Roman" w:hAnsi="Times New Roman" w:eastAsia="宋体" w:cs="Times New Roman"/>
          <w:spacing w:val="-2"/>
          <w:position w:val="17"/>
          <w:sz w:val="24"/>
          <w:szCs w:val="24"/>
        </w:rPr>
        <w:t>（1）通过环境调查，了解项目评价区的自然环境状况。</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（2）对项目评价区大气、地表水、地下水环境质量及噪声等进行监测，做出现状评价。</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cs="Times New Roman"/>
        </w:rPr>
      </w:pPr>
      <w:r>
        <w:rPr>
          <w:rFonts w:hint="default" w:ascii="Times New Roman" w:hAnsi="Times New Roman" w:eastAsia="宋体" w:cs="Times New Roman"/>
          <w:spacing w:val="-1"/>
          <w:sz w:val="24"/>
          <w:szCs w:val="24"/>
        </w:rPr>
        <w:t>（3）对建设项目进行工程分析，确定主要的环境影响要素，通过预测计算，评价</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建设项目营运期间可能出现的环境问题。</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w:t>
      </w:r>
      <w:r>
        <w:rPr>
          <w:rFonts w:hint="default" w:ascii="Times New Roman" w:hAnsi="Times New Roman" w:eastAsia="Times New Roman" w:cs="Times New Roman"/>
          <w:spacing w:val="-1"/>
          <w:sz w:val="24"/>
          <w:szCs w:val="24"/>
        </w:rPr>
        <w:t>4</w:t>
      </w:r>
      <w:r>
        <w:rPr>
          <w:rFonts w:hint="default" w:ascii="Times New Roman" w:hAnsi="Times New Roman" w:eastAsia="宋体" w:cs="Times New Roman"/>
          <w:spacing w:val="-1"/>
          <w:sz w:val="24"/>
          <w:szCs w:val="24"/>
        </w:rPr>
        <w:t>）对建设项目的环境保护措施的合理性进行论述。根据建设项目情况，确定评</w:t>
      </w:r>
      <w:r>
        <w:rPr>
          <w:rFonts w:hint="default" w:ascii="Times New Roman" w:hAnsi="Times New Roman" w:eastAsia="宋体" w:cs="Times New Roman"/>
          <w:spacing w:val="14"/>
          <w:sz w:val="24"/>
          <w:szCs w:val="24"/>
        </w:rPr>
        <w:t xml:space="preserve"> </w:t>
      </w:r>
      <w:r>
        <w:rPr>
          <w:rFonts w:hint="default" w:ascii="Times New Roman" w:hAnsi="Times New Roman" w:eastAsia="宋体" w:cs="Times New Roman"/>
          <w:spacing w:val="-2"/>
          <w:sz w:val="24"/>
          <w:szCs w:val="24"/>
        </w:rPr>
        <w:t>价工作重点为工程分析、环境现状评价、大气环境影响评价、水环境影响评价及其环境</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管理对策措施。</w:t>
      </w:r>
    </w:p>
    <w:p>
      <w:pPr>
        <w:widowControl w:val="0"/>
        <w:kinsoku/>
        <w:autoSpaceDE/>
        <w:autoSpaceDN/>
        <w:adjustRightInd/>
        <w:snapToGrid/>
        <w:spacing w:line="360" w:lineRule="auto"/>
        <w:jc w:val="left"/>
        <w:textAlignment w:val="auto"/>
        <w:outlineLvl w:val="1"/>
        <w:rPr>
          <w:rFonts w:hint="default" w:ascii="Times New Roman" w:hAnsi="Times New Roman" w:eastAsia="宋体" w:cs="Times New Roman"/>
          <w:b/>
          <w:bCs/>
          <w:snapToGrid/>
          <w:color w:val="auto"/>
          <w:kern w:val="44"/>
          <w:sz w:val="30"/>
          <w:szCs w:val="30"/>
          <w:lang w:eastAsia="zh-CN"/>
        </w:rPr>
      </w:pPr>
      <w:bookmarkStart w:id="19" w:name="_Toc31664"/>
      <w:r>
        <w:rPr>
          <w:rFonts w:hint="default" w:ascii="Times New Roman" w:hAnsi="Times New Roman" w:eastAsia="宋体" w:cs="Times New Roman"/>
          <w:b/>
          <w:bCs/>
          <w:snapToGrid/>
          <w:color w:val="auto"/>
          <w:kern w:val="44"/>
          <w:sz w:val="30"/>
          <w:szCs w:val="30"/>
          <w:lang w:val="en-US" w:eastAsia="zh-CN"/>
        </w:rPr>
        <w:t>1.6 环境影响</w:t>
      </w:r>
      <w:r>
        <w:rPr>
          <w:rFonts w:hint="default" w:ascii="Times New Roman" w:hAnsi="Times New Roman" w:eastAsia="宋体" w:cs="Times New Roman"/>
          <w:b/>
          <w:bCs/>
          <w:snapToGrid/>
          <w:color w:val="auto"/>
          <w:kern w:val="44"/>
          <w:sz w:val="30"/>
          <w:szCs w:val="30"/>
          <w:lang w:eastAsia="zh-CN"/>
        </w:rPr>
        <w:t>的主要结论</w:t>
      </w:r>
      <w:bookmarkEnd w:id="19"/>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pacing w:val="-2"/>
          <w:sz w:val="24"/>
          <w:szCs w:val="24"/>
        </w:rPr>
      </w:pPr>
      <w:r>
        <w:rPr>
          <w:rFonts w:hint="default" w:ascii="Times New Roman" w:hAnsi="Times New Roman" w:eastAsia="宋体" w:cs="Times New Roman"/>
          <w:spacing w:val="-1"/>
          <w:sz w:val="24"/>
          <w:szCs w:val="24"/>
        </w:rPr>
        <w:t>参照</w:t>
      </w:r>
      <w:r>
        <w:rPr>
          <w:rFonts w:hint="default" w:ascii="Times New Roman" w:hAnsi="Times New Roman" w:eastAsia="宋体" w:cs="Times New Roman"/>
          <w:spacing w:val="-2"/>
          <w:sz w:val="24"/>
          <w:szCs w:val="24"/>
          <w:lang w:eastAsia="zh-CN"/>
        </w:rPr>
        <w:t>黑龙江克巽检测技术有限公司</w:t>
      </w:r>
      <w:r>
        <w:rPr>
          <w:rFonts w:hint="default" w:ascii="Times New Roman" w:hAnsi="Times New Roman" w:eastAsia="宋体" w:cs="Times New Roman"/>
          <w:spacing w:val="-2"/>
          <w:sz w:val="24"/>
          <w:szCs w:val="24"/>
        </w:rPr>
        <w:t>对建设项目所在地及其周围地区的环境质量现状监测、 调查与评价以及企业提供的相关数据，对项目的排污负荷进行了估算。在此基础上分析了项目外排污染物对周围环境可能产生的影响，并提出了相应的污染防治措施及对策。</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认真落实本评价报告中所提出的环保措施和建议，确保环保处理设施正常使用和运行，做到污染物达标 排放，真正实现环境保护与经济建设的可持续协调发展。项目建成后，进一步提高清洁生产水平，使项目建成后对环境影响减少到最低限度。</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在完成以上工作程序和落实报告书提出的各项环保措施的基础上，从环境影响分析角度而言，该项目的建设是可行的。</w:t>
      </w:r>
    </w:p>
    <w:p>
      <w:pPr>
        <w:spacing w:before="184" w:line="360" w:lineRule="auto"/>
        <w:ind w:left="10" w:firstLine="480"/>
        <w:jc w:val="both"/>
        <w:rPr>
          <w:rFonts w:hint="default" w:ascii="Times New Roman" w:hAnsi="Times New Roman" w:eastAsia="宋体" w:cs="Times New Roman"/>
          <w:spacing w:val="-2"/>
          <w:sz w:val="24"/>
          <w:szCs w:val="24"/>
        </w:rPr>
        <w:sectPr>
          <w:pgSz w:w="11906" w:h="16839"/>
          <w:pgMar w:top="1118" w:right="1409" w:bottom="1157" w:left="1417" w:header="878" w:footer="992" w:gutter="0"/>
          <w:pgBorders>
            <w:top w:val="none" w:sz="0" w:space="0"/>
            <w:left w:val="none" w:sz="0" w:space="0"/>
            <w:bottom w:val="none" w:sz="0" w:space="0"/>
            <w:right w:val="none" w:sz="0" w:space="0"/>
          </w:pgBorders>
          <w:pgNumType w:fmt="decimal" w:start="1"/>
          <w:cols w:space="720" w:num="1"/>
        </w:sectPr>
      </w:pPr>
    </w:p>
    <w:p>
      <w:pPr>
        <w:pStyle w:val="6"/>
        <w:spacing w:line="315" w:lineRule="auto"/>
        <w:rPr>
          <w:rFonts w:hint="default" w:ascii="Times New Roman" w:hAnsi="Times New Roman" w:cs="Times New Roman"/>
        </w:rPr>
      </w:pPr>
    </w:p>
    <w:p>
      <w:pPr>
        <w:widowControl/>
        <w:tabs>
          <w:tab w:val="left" w:leader="middleDot" w:pos="7371"/>
        </w:tabs>
        <w:kinsoku/>
        <w:autoSpaceDE/>
        <w:autoSpaceDN/>
        <w:adjustRightInd/>
        <w:snapToGrid/>
        <w:spacing w:line="360" w:lineRule="auto"/>
        <w:jc w:val="left"/>
        <w:textAlignment w:val="auto"/>
        <w:outlineLvl w:val="0"/>
        <w:rPr>
          <w:rFonts w:hint="default" w:ascii="Times New Roman" w:hAnsi="Times New Roman" w:eastAsia="宋体" w:cs="Times New Roman"/>
          <w:b/>
          <w:snapToGrid/>
          <w:color w:val="auto"/>
          <w:kern w:val="0"/>
          <w:sz w:val="32"/>
          <w:szCs w:val="32"/>
          <w:lang w:eastAsia="zh-CN"/>
        </w:rPr>
      </w:pPr>
      <w:bookmarkStart w:id="20" w:name="_Toc32332"/>
      <w:r>
        <w:rPr>
          <w:rFonts w:hint="default" w:ascii="Times New Roman" w:hAnsi="Times New Roman" w:eastAsia="宋体" w:cs="Times New Roman"/>
          <w:b/>
          <w:snapToGrid/>
          <w:color w:val="auto"/>
          <w:kern w:val="0"/>
          <w:sz w:val="32"/>
          <w:szCs w:val="32"/>
          <w:lang w:val="en-US" w:eastAsia="zh-CN"/>
        </w:rPr>
        <w:t>2</w:t>
      </w:r>
      <w:r>
        <w:rPr>
          <w:rFonts w:hint="default" w:ascii="Times New Roman" w:hAnsi="Times New Roman" w:eastAsia="宋体" w:cs="Times New Roman"/>
          <w:b/>
          <w:snapToGrid/>
          <w:color w:val="auto"/>
          <w:kern w:val="0"/>
          <w:sz w:val="32"/>
          <w:szCs w:val="32"/>
          <w:lang w:eastAsia="zh-CN"/>
        </w:rPr>
        <w:t>、总则</w:t>
      </w:r>
      <w:bookmarkEnd w:id="20"/>
    </w:p>
    <w:p>
      <w:pPr>
        <w:widowControl w:val="0"/>
        <w:kinsoku/>
        <w:autoSpaceDE/>
        <w:autoSpaceDN/>
        <w:adjustRightInd/>
        <w:snapToGrid/>
        <w:spacing w:line="360" w:lineRule="auto"/>
        <w:jc w:val="left"/>
        <w:textAlignment w:val="auto"/>
        <w:outlineLvl w:val="1"/>
        <w:rPr>
          <w:rFonts w:hint="default" w:ascii="Times New Roman" w:hAnsi="Times New Roman" w:eastAsia="宋体" w:cs="Times New Roman"/>
          <w:b/>
          <w:bCs/>
          <w:snapToGrid/>
          <w:color w:val="auto"/>
          <w:kern w:val="44"/>
          <w:sz w:val="30"/>
          <w:szCs w:val="30"/>
          <w:lang w:eastAsia="zh-CN"/>
        </w:rPr>
      </w:pPr>
      <w:bookmarkStart w:id="21" w:name="_Toc23637"/>
      <w:r>
        <w:rPr>
          <w:rFonts w:hint="default" w:ascii="Times New Roman" w:hAnsi="Times New Roman" w:eastAsia="宋体" w:cs="Times New Roman"/>
          <w:b/>
          <w:bCs/>
          <w:snapToGrid/>
          <w:color w:val="auto"/>
          <w:kern w:val="44"/>
          <w:sz w:val="30"/>
          <w:szCs w:val="30"/>
          <w:lang w:val="en-US" w:eastAsia="zh-CN"/>
        </w:rPr>
        <w:t>2</w:t>
      </w:r>
      <w:r>
        <w:rPr>
          <w:rFonts w:hint="default" w:ascii="Times New Roman" w:hAnsi="Times New Roman" w:eastAsia="宋体" w:cs="Times New Roman"/>
          <w:b/>
          <w:bCs/>
          <w:snapToGrid/>
          <w:color w:val="auto"/>
          <w:kern w:val="44"/>
          <w:sz w:val="30"/>
          <w:szCs w:val="30"/>
          <w:lang w:eastAsia="zh-CN"/>
        </w:rPr>
        <w:t>. 1 编制依据</w:t>
      </w:r>
      <w:bookmarkEnd w:id="21"/>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eastAsia="zh-CN"/>
        </w:rPr>
      </w:pPr>
      <w:r>
        <w:rPr>
          <w:rFonts w:hint="default" w:ascii="Times New Roman" w:hAnsi="Times New Roman" w:eastAsia="宋体" w:cs="Times New Roman"/>
          <w:b/>
          <w:bCs w:val="0"/>
          <w:snapToGrid/>
          <w:color w:val="auto"/>
          <w:kern w:val="2"/>
          <w:sz w:val="28"/>
          <w:szCs w:val="28"/>
          <w:lang w:val="en-US" w:eastAsia="zh-CN"/>
        </w:rPr>
        <w:t>2</w:t>
      </w:r>
      <w:r>
        <w:rPr>
          <w:rFonts w:hint="default" w:ascii="Times New Roman" w:hAnsi="Times New Roman" w:eastAsia="宋体" w:cs="Times New Roman"/>
          <w:b/>
          <w:bCs w:val="0"/>
          <w:snapToGrid/>
          <w:color w:val="auto"/>
          <w:kern w:val="2"/>
          <w:sz w:val="28"/>
          <w:szCs w:val="28"/>
          <w:lang w:eastAsia="zh-CN"/>
        </w:rPr>
        <w:t>.1.1  法律、法规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1</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《中华人民共和国环境保护法》(2015 年 1 月 1 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2</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《中华人民共和国环境影响评价法》(2018 年 12 月 29 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3</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《中华人民共和国大气污染防治法》(2018 年 10 月 26 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4</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《中华人民共和国水污染防治法》(2018 年 1 月 1 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5</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《中华人民共和国噪声污染防治法》(2022 年 6 月 5 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6</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《中华人民共和国土壤污染防治法》(2019 年 1 月 1 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7</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《中华人民共和国固体废物污染环境防治法》(2020 年 9 月 1 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8</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《中华人民共和国清洁生产促进法》(2012 年 7 月 1 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9</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《中华人民共和国循环经济促进法》(2018 年 10 月 26 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10</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《地下水管理条例》(国务院令第 748 号，2021 年 12 月 1 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11</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《建设项目环境保护管理条例》(中华人民共和国国务院令第 682 号，2017 年 10 月 1 日)。</w:t>
      </w:r>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eastAsia="zh-CN"/>
        </w:rPr>
      </w:pPr>
      <w:r>
        <w:rPr>
          <w:rFonts w:hint="default" w:ascii="Times New Roman" w:hAnsi="Times New Roman" w:eastAsia="宋体" w:cs="Times New Roman"/>
          <w:b/>
          <w:bCs w:val="0"/>
          <w:snapToGrid/>
          <w:color w:val="auto"/>
          <w:kern w:val="2"/>
          <w:sz w:val="28"/>
          <w:szCs w:val="28"/>
          <w:lang w:val="en-US" w:eastAsia="zh-CN"/>
        </w:rPr>
        <w:t>2</w:t>
      </w:r>
      <w:r>
        <w:rPr>
          <w:rFonts w:hint="default" w:ascii="Times New Roman" w:hAnsi="Times New Roman" w:eastAsia="宋体" w:cs="Times New Roman"/>
          <w:b/>
          <w:bCs w:val="0"/>
          <w:snapToGrid/>
          <w:color w:val="auto"/>
          <w:kern w:val="2"/>
          <w:sz w:val="28"/>
          <w:szCs w:val="28"/>
          <w:lang w:eastAsia="zh-CN"/>
        </w:rPr>
        <w:t xml:space="preserve">.1.2  </w:t>
      </w:r>
      <w:r>
        <w:rPr>
          <w:rFonts w:hint="default" w:ascii="Times New Roman" w:hAnsi="Times New Roman" w:eastAsia="宋体" w:cs="Times New Roman"/>
          <w:b/>
          <w:bCs w:val="0"/>
          <w:snapToGrid/>
          <w:color w:val="auto"/>
          <w:kern w:val="2"/>
          <w:sz w:val="28"/>
          <w:szCs w:val="28"/>
          <w:lang w:val="en-US" w:eastAsia="zh-CN"/>
        </w:rPr>
        <w:t>相关规章</w:t>
      </w:r>
      <w:r>
        <w:rPr>
          <w:rFonts w:hint="default" w:ascii="Times New Roman" w:hAnsi="Times New Roman" w:eastAsia="宋体" w:cs="Times New Roman"/>
          <w:b/>
          <w:bCs w:val="0"/>
          <w:snapToGrid/>
          <w:color w:val="auto"/>
          <w:kern w:val="2"/>
          <w:sz w:val="28"/>
          <w:szCs w:val="28"/>
          <w:lang w:eastAsia="zh-CN"/>
        </w:rPr>
        <w:t>、</w:t>
      </w:r>
      <w:r>
        <w:rPr>
          <w:rFonts w:hint="default" w:ascii="Times New Roman" w:hAnsi="Times New Roman" w:eastAsia="宋体" w:cs="Times New Roman"/>
          <w:b/>
          <w:bCs w:val="0"/>
          <w:snapToGrid/>
          <w:color w:val="auto"/>
          <w:kern w:val="2"/>
          <w:sz w:val="28"/>
          <w:szCs w:val="28"/>
          <w:lang w:val="en-US" w:eastAsia="zh-CN"/>
        </w:rPr>
        <w:t>政策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1</w:t>
      </w:r>
      <w:r>
        <w:rPr>
          <w:rFonts w:hint="default" w:ascii="Times New Roman" w:hAnsi="Times New Roman" w:eastAsia="宋体" w:cs="Times New Roman"/>
          <w:snapToGrid w:val="0"/>
          <w:color w:val="auto"/>
          <w:kern w:val="0"/>
          <w:sz w:val="24"/>
          <w:highlight w:val="none"/>
          <w:lang w:eastAsia="zh-CN"/>
        </w:rPr>
        <w:t>）《建设项目环境影响评价分类管理名录 (2021 年版) 》(2021 年 1 月 1 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2</w:t>
      </w:r>
      <w:r>
        <w:rPr>
          <w:rFonts w:hint="default" w:ascii="Times New Roman" w:hAnsi="Times New Roman" w:eastAsia="宋体" w:cs="Times New Roman"/>
          <w:snapToGrid w:val="0"/>
          <w:color w:val="auto"/>
          <w:kern w:val="0"/>
          <w:sz w:val="24"/>
          <w:highlight w:val="none"/>
          <w:lang w:eastAsia="zh-CN"/>
        </w:rPr>
        <w:t>）《产业结构调整指导目录 (</w:t>
      </w:r>
      <w:r>
        <w:rPr>
          <w:rFonts w:hint="eastAsia" w:ascii="Times New Roman" w:hAnsi="Times New Roman" w:eastAsia="宋体" w:cs="Times New Roman"/>
          <w:snapToGrid w:val="0"/>
          <w:color w:val="auto"/>
          <w:kern w:val="0"/>
          <w:sz w:val="24"/>
          <w:highlight w:val="none"/>
          <w:lang w:val="en-US" w:eastAsia="zh-CN"/>
        </w:rPr>
        <w:t>2024</w:t>
      </w:r>
      <w:r>
        <w:rPr>
          <w:rFonts w:hint="default" w:ascii="Times New Roman" w:hAnsi="Times New Roman" w:eastAsia="宋体" w:cs="Times New Roman"/>
          <w:snapToGrid w:val="0"/>
          <w:color w:val="auto"/>
          <w:kern w:val="0"/>
          <w:sz w:val="24"/>
          <w:highlight w:val="none"/>
          <w:lang w:eastAsia="zh-CN"/>
        </w:rPr>
        <w:t>年本)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3</w:t>
      </w:r>
      <w:r>
        <w:rPr>
          <w:rFonts w:hint="default" w:ascii="Times New Roman" w:hAnsi="Times New Roman" w:eastAsia="宋体" w:cs="Times New Roman"/>
          <w:snapToGrid w:val="0"/>
          <w:color w:val="auto"/>
          <w:kern w:val="0"/>
          <w:sz w:val="24"/>
          <w:highlight w:val="none"/>
          <w:lang w:eastAsia="zh-CN"/>
        </w:rPr>
        <w:t>）《关于进一步加强环境影响评价管理防范环境风险的通知》(环发〔2012〕77 号，2012 年 7 月 3 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4</w:t>
      </w:r>
      <w:r>
        <w:rPr>
          <w:rFonts w:hint="default" w:ascii="Times New Roman" w:hAnsi="Times New Roman" w:eastAsia="宋体" w:cs="Times New Roman"/>
          <w:snapToGrid w:val="0"/>
          <w:color w:val="auto"/>
          <w:kern w:val="0"/>
          <w:sz w:val="24"/>
          <w:highlight w:val="none"/>
          <w:lang w:eastAsia="zh-CN"/>
        </w:rPr>
        <w:t>）《关于切实加强风险防范严格环境影响评价管理的通知》(环发〔2012〕</w:t>
      </w:r>
      <w:bookmarkStart w:id="22" w:name="_Toc16341"/>
      <w:bookmarkStart w:id="23" w:name="_Toc11255"/>
      <w:r>
        <w:rPr>
          <w:rFonts w:hint="default" w:ascii="Times New Roman" w:hAnsi="Times New Roman" w:eastAsia="宋体" w:cs="Times New Roman"/>
          <w:snapToGrid w:val="0"/>
          <w:color w:val="auto"/>
          <w:kern w:val="0"/>
          <w:sz w:val="24"/>
          <w:highlight w:val="none"/>
          <w:lang w:eastAsia="zh-CN"/>
        </w:rPr>
        <w:t>98 号，2012 年 8 月 7 日)；</w:t>
      </w:r>
      <w:bookmarkEnd w:id="22"/>
      <w:bookmarkEnd w:id="2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5</w:t>
      </w:r>
      <w:r>
        <w:rPr>
          <w:rFonts w:hint="default" w:ascii="Times New Roman" w:hAnsi="Times New Roman" w:eastAsia="宋体" w:cs="Times New Roman"/>
          <w:snapToGrid w:val="0"/>
          <w:color w:val="auto"/>
          <w:kern w:val="0"/>
          <w:sz w:val="24"/>
          <w:highlight w:val="none"/>
          <w:lang w:eastAsia="zh-CN"/>
        </w:rPr>
        <w:t>）《大气污染物防治行动计划》(国发〔2013〕37 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6</w:t>
      </w:r>
      <w:r>
        <w:rPr>
          <w:rFonts w:hint="default" w:ascii="Times New Roman" w:hAnsi="Times New Roman" w:eastAsia="宋体" w:cs="Times New Roman"/>
          <w:snapToGrid w:val="0"/>
          <w:color w:val="auto"/>
          <w:kern w:val="0"/>
          <w:sz w:val="24"/>
          <w:highlight w:val="none"/>
          <w:lang w:eastAsia="zh-CN"/>
        </w:rPr>
        <w:t>）《水污染防治行动计划》(国发〔2015〕17 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7</w:t>
      </w:r>
      <w:r>
        <w:rPr>
          <w:rFonts w:hint="default" w:ascii="Times New Roman" w:hAnsi="Times New Roman" w:eastAsia="宋体" w:cs="Times New Roman"/>
          <w:snapToGrid w:val="0"/>
          <w:color w:val="auto"/>
          <w:kern w:val="0"/>
          <w:sz w:val="24"/>
          <w:highlight w:val="none"/>
          <w:lang w:eastAsia="zh-CN"/>
        </w:rPr>
        <w:t>）《土壤污染防治行动计划》(国发〔2016〕31 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8</w:t>
      </w:r>
      <w:r>
        <w:rPr>
          <w:rFonts w:hint="default" w:ascii="Times New Roman" w:hAnsi="Times New Roman" w:eastAsia="宋体" w:cs="Times New Roman"/>
          <w:snapToGrid w:val="0"/>
          <w:color w:val="auto"/>
          <w:kern w:val="0"/>
          <w:sz w:val="24"/>
          <w:highlight w:val="none"/>
          <w:lang w:eastAsia="zh-CN"/>
        </w:rPr>
        <w:t>）环境保护部印发《“生态保护红线、环境质量底线、资源利用上线和 环境准入负面清单”编制技术指南 (试行) 》(环办环评〔2017〕99 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9</w:t>
      </w:r>
      <w:r>
        <w:rPr>
          <w:rFonts w:hint="default" w:ascii="Times New Roman" w:hAnsi="Times New Roman" w:eastAsia="宋体" w:cs="Times New Roman"/>
          <w:snapToGrid w:val="0"/>
          <w:color w:val="auto"/>
          <w:kern w:val="0"/>
          <w:sz w:val="24"/>
          <w:highlight w:val="none"/>
          <w:lang w:eastAsia="zh-CN"/>
        </w:rPr>
        <w:t>）《环境影响评价公众参与办法》(2018 年生态环境部令第 4 号，2019 年 1 月 1 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10</w:t>
      </w:r>
      <w:r>
        <w:rPr>
          <w:rFonts w:hint="default" w:ascii="Times New Roman" w:hAnsi="Times New Roman" w:eastAsia="宋体" w:cs="Times New Roman"/>
          <w:snapToGrid w:val="0"/>
          <w:color w:val="auto"/>
          <w:kern w:val="0"/>
          <w:sz w:val="24"/>
          <w:highlight w:val="none"/>
          <w:lang w:eastAsia="zh-CN"/>
        </w:rPr>
        <w:t>）关于发布《环境影响评价公众参与办法》配套文件的公告(公告 2018 第 48 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11</w:t>
      </w:r>
      <w:r>
        <w:rPr>
          <w:rFonts w:hint="default" w:ascii="Times New Roman" w:hAnsi="Times New Roman" w:eastAsia="宋体" w:cs="Times New Roman"/>
          <w:snapToGrid w:val="0"/>
          <w:color w:val="auto"/>
          <w:kern w:val="0"/>
          <w:sz w:val="24"/>
          <w:highlight w:val="none"/>
          <w:lang w:eastAsia="zh-CN"/>
        </w:rPr>
        <w:t>）农业农村部关于调整动物防疫条件审查有关规定的通知(农牧发 〔2019〕42 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12</w:t>
      </w:r>
      <w:r>
        <w:rPr>
          <w:rFonts w:hint="default" w:ascii="Times New Roman" w:hAnsi="Times New Roman" w:eastAsia="宋体" w:cs="Times New Roman"/>
          <w:snapToGrid w:val="0"/>
          <w:color w:val="auto"/>
          <w:kern w:val="0"/>
          <w:sz w:val="24"/>
          <w:highlight w:val="none"/>
          <w:lang w:eastAsia="zh-CN"/>
        </w:rPr>
        <w:t>）黑龙江省人民政府关于印发《黑龙江省水污染防治工作方案的通知》 (黑政发〔2016〕3 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13</w:t>
      </w:r>
      <w:r>
        <w:rPr>
          <w:rFonts w:hint="default" w:ascii="Times New Roman" w:hAnsi="Times New Roman" w:eastAsia="宋体" w:cs="Times New Roman"/>
          <w:snapToGrid w:val="0"/>
          <w:color w:val="auto"/>
          <w:kern w:val="0"/>
          <w:sz w:val="24"/>
          <w:highlight w:val="none"/>
          <w:lang w:eastAsia="zh-CN"/>
        </w:rPr>
        <w:t>）黑龙江省人民政府关于印发《黑龙江省土壤污染防治实施方案的通知》(黑政发〔2016〕46 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val="en-US" w:eastAsia="zh-CN"/>
        </w:rPr>
        <w:t>（14）《哈尔滨市土壤污染防治工作方案》（哈政规〔2017〕35 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val="en-US" w:eastAsia="zh-CN"/>
        </w:rPr>
        <w:t xml:space="preserve">（15）《哈尔滨市人民政府关于实施“三线一单”生态环境分区管控的意见》（哈政规〔2021〕7 号）； </w:t>
      </w:r>
    </w:p>
    <w:p>
      <w:pPr>
        <w:pStyle w:val="29"/>
        <w:keepNext w:val="0"/>
        <w:keepLines w:val="0"/>
        <w:pageBreakBefore w:val="0"/>
        <w:wordWrap/>
        <w:overflowPunct/>
        <w:topLinePunct w:val="0"/>
        <w:bidi w:val="0"/>
        <w:spacing w:line="360" w:lineRule="auto"/>
        <w:ind w:firstLine="480" w:firstLineChars="200"/>
        <w:jc w:val="both"/>
        <w:rPr>
          <w:rFonts w:hint="default" w:ascii="Times New Roman" w:hAnsi="Times New Roman" w:eastAsia="宋体" w:cs="Times New Roman"/>
          <w:snapToGrid w:val="0"/>
          <w:color w:val="auto"/>
          <w:kern w:val="0"/>
          <w:sz w:val="24"/>
          <w:highlight w:val="none"/>
          <w:lang w:val="en-US" w:eastAsia="zh-CN"/>
        </w:rPr>
      </w:pPr>
      <w:r>
        <w:rPr>
          <w:rFonts w:hint="default" w:ascii="Times New Roman" w:hAnsi="Times New Roman" w:eastAsia="宋体" w:cs="Times New Roman"/>
          <w:snapToGrid w:val="0"/>
          <w:color w:val="auto"/>
          <w:kern w:val="0"/>
          <w:sz w:val="24"/>
          <w:highlight w:val="none"/>
          <w:lang w:val="en-US" w:eastAsia="zh-CN"/>
        </w:rPr>
        <w:t>（16）《排污许可管理条例》（国令第736号）；</w:t>
      </w:r>
    </w:p>
    <w:p>
      <w:pPr>
        <w:keepNext w:val="0"/>
        <w:keepLines w:val="0"/>
        <w:pageBreakBefore w:val="0"/>
        <w:wordWrap/>
        <w:overflowPunct/>
        <w:topLinePunct w:val="0"/>
        <w:bidi w:val="0"/>
        <w:spacing w:line="360" w:lineRule="auto"/>
        <w:ind w:firstLine="480"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snapToGrid w:val="0"/>
          <w:color w:val="auto"/>
          <w:kern w:val="0"/>
          <w:sz w:val="24"/>
          <w:highlight w:val="none"/>
          <w:lang w:val="en-US" w:eastAsia="zh-CN"/>
        </w:rPr>
        <w:t>（17）《黑龙江省“十四五”生态环境保护规划》。</w:t>
      </w:r>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2.1.3  相关技术规范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val="en-US" w:eastAsia="zh-CN"/>
        </w:rPr>
        <w:t xml:space="preserve">（1）《建设项目环境影响评价技术导则 总纲》（HJ2.1-2016）；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val="en-US" w:eastAsia="zh-CN"/>
        </w:rPr>
        <w:t xml:space="preserve">（2）《环境影响评价技术导则 大气环境》（HJ2.2-2018）；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val="en-US" w:eastAsia="zh-CN"/>
        </w:rPr>
        <w:t xml:space="preserve">（3）《环境影响评价技术导则 地表水环境》（HJ2.3-2018）；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val="en-US" w:eastAsia="zh-CN"/>
        </w:rPr>
        <w:t xml:space="preserve">（4）《环境影响评价技术导则 地下水环境》（HJ610-2016）；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val="en-US" w:eastAsia="zh-CN"/>
        </w:rPr>
        <w:t xml:space="preserve">（5）《环境影响评价技术导则 声环境》（HJ2.4-2021）；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val="en-US" w:eastAsia="zh-CN"/>
        </w:rPr>
        <w:t xml:space="preserve">（6）《建设项目环境风险评价技术导则》(HJ169-2018)；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val="en-US" w:eastAsia="zh-CN"/>
        </w:rPr>
        <w:t xml:space="preserve">（7）《环境影响评价技术导则土壤环境（试行）》（HJ964-2018）；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val="en-US" w:eastAsia="zh-CN"/>
        </w:rPr>
        <w:t>（8）《环境影响评价技术导则 生态影响》（HJ19-2022）；</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（9）《食品安全国家标准 畜禽屠宰加工卫生规范》（GB12694-2016）；</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（10）《排污许可证申请与核发技术规范农副食品加工工业-屠宰及肉类加工工业》（HJ860.3-2018）；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（11）《排污单位自行监测技术指南 农副食品加工业》（HJ884-2018）；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12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排污单位自行监测技术指南 火力发电及锅炉</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HJ820-2017</w:t>
      </w:r>
      <w:r>
        <w:rPr>
          <w:rFonts w:hint="default" w:ascii="Times New Roman" w:hAnsi="Times New Roman" w:eastAsia="宋体"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（1</w:t>
      </w:r>
      <w:r>
        <w:rPr>
          <w:rFonts w:hint="default" w:ascii="Times New Roman" w:hAnsi="Times New Roman" w:eastAsia="宋体" w:cs="Times New Roman"/>
          <w:snapToGrid w:val="0"/>
          <w:color w:val="auto"/>
          <w:kern w:val="0"/>
          <w:sz w:val="24"/>
          <w:highlight w:val="none"/>
          <w:lang w:val="en-US" w:eastAsia="zh-CN"/>
        </w:rPr>
        <w:t>3</w:t>
      </w:r>
      <w:r>
        <w:rPr>
          <w:rFonts w:hint="default" w:ascii="Times New Roman" w:hAnsi="Times New Roman" w:eastAsia="宋体" w:cs="Times New Roman"/>
          <w:snapToGrid w:val="0"/>
          <w:color w:val="auto"/>
          <w:kern w:val="0"/>
          <w:sz w:val="24"/>
          <w:highlight w:val="none"/>
          <w:lang w:eastAsia="zh-CN"/>
        </w:rPr>
        <w:t>）《屠宰与肉类加工废水治理工程技术规范》（HJ 2004-2010）；</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（1</w:t>
      </w:r>
      <w:r>
        <w:rPr>
          <w:rFonts w:hint="default" w:ascii="Times New Roman" w:hAnsi="Times New Roman" w:eastAsia="宋体" w:cs="Times New Roman"/>
          <w:snapToGrid w:val="0"/>
          <w:color w:val="auto"/>
          <w:kern w:val="0"/>
          <w:sz w:val="24"/>
          <w:highlight w:val="none"/>
          <w:lang w:val="en-US" w:eastAsia="zh-CN"/>
        </w:rPr>
        <w:t>4</w:t>
      </w:r>
      <w:r>
        <w:rPr>
          <w:rFonts w:hint="default" w:ascii="Times New Roman" w:hAnsi="Times New Roman" w:eastAsia="宋体" w:cs="Times New Roman"/>
          <w:snapToGrid w:val="0"/>
          <w:color w:val="auto"/>
          <w:kern w:val="0"/>
          <w:sz w:val="24"/>
          <w:highlight w:val="none"/>
          <w:lang w:eastAsia="zh-CN"/>
        </w:rPr>
        <w:t>）《大气有害物质无组织排放卫生防护距离推导技术导则》（GB/T39499-2020）。</w:t>
      </w:r>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highlight w:val="magenta"/>
          <w:lang w:val="en-US" w:eastAsia="zh-CN"/>
        </w:rPr>
      </w:pPr>
      <w:r>
        <w:rPr>
          <w:rFonts w:hint="default" w:ascii="Times New Roman" w:hAnsi="Times New Roman" w:eastAsia="宋体" w:cs="Times New Roman"/>
          <w:b/>
          <w:bCs w:val="0"/>
          <w:snapToGrid/>
          <w:color w:val="auto"/>
          <w:kern w:val="2"/>
          <w:sz w:val="28"/>
          <w:szCs w:val="28"/>
          <w:lang w:val="en-US" w:eastAsia="zh-CN"/>
        </w:rPr>
        <w:t>2.1.4  其他文件</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64" w:firstLineChars="200"/>
        <w:jc w:val="both"/>
        <w:textAlignment w:val="baseline"/>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rPr>
        <w:t>（</w:t>
      </w:r>
      <w:r>
        <w:rPr>
          <w:rFonts w:hint="default" w:ascii="Times New Roman" w:hAnsi="Times New Roman" w:eastAsia="Times New Roman" w:cs="Times New Roman"/>
          <w:spacing w:val="-4"/>
          <w:sz w:val="24"/>
          <w:szCs w:val="24"/>
        </w:rPr>
        <w:t>1</w:t>
      </w:r>
      <w:r>
        <w:rPr>
          <w:rFonts w:hint="default" w:ascii="Times New Roman" w:hAnsi="Times New Roman" w:eastAsia="宋体" w:cs="Times New Roman"/>
          <w:spacing w:val="-4"/>
          <w:sz w:val="24"/>
          <w:szCs w:val="24"/>
        </w:rPr>
        <w:t>）</w:t>
      </w:r>
      <w:r>
        <w:rPr>
          <w:rFonts w:hint="default" w:ascii="Times New Roman" w:hAnsi="Times New Roman" w:eastAsia="宋体" w:cs="Times New Roman"/>
          <w:snapToGrid w:val="0"/>
          <w:color w:val="auto"/>
          <w:kern w:val="0"/>
          <w:sz w:val="24"/>
          <w:highlight w:val="none"/>
          <w:lang w:eastAsia="zh-CN"/>
        </w:rPr>
        <w:t>项目建设单位与评价单位签订的环境影响评价合同</w:t>
      </w:r>
      <w:r>
        <w:rPr>
          <w:rFonts w:hint="default" w:ascii="Times New Roman" w:hAnsi="Times New Roman" w:eastAsia="宋体" w:cs="Times New Roman"/>
          <w:spacing w:val="-4"/>
          <w:sz w:val="24"/>
          <w:szCs w:val="24"/>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64" w:firstLineChars="200"/>
        <w:jc w:val="both"/>
        <w:textAlignment w:val="baseline"/>
        <w:rPr>
          <w:rFonts w:hint="default" w:ascii="Times New Roman" w:hAnsi="Times New Roman" w:eastAsia="宋体" w:cs="Times New Roman"/>
          <w:spacing w:val="-4"/>
          <w:sz w:val="24"/>
          <w:szCs w:val="24"/>
          <w:lang w:val="en-US" w:eastAsia="zh-CN"/>
        </w:rPr>
      </w:pPr>
      <w:r>
        <w:rPr>
          <w:rFonts w:hint="default" w:ascii="Times New Roman" w:hAnsi="Times New Roman" w:eastAsia="宋体" w:cs="Times New Roman"/>
          <w:spacing w:val="-4"/>
          <w:sz w:val="24"/>
          <w:szCs w:val="24"/>
        </w:rPr>
        <w:t>（2）《</w:t>
      </w:r>
      <w:r>
        <w:rPr>
          <w:rFonts w:hint="default" w:ascii="Times New Roman" w:hAnsi="Times New Roman" w:eastAsia="宋体" w:cs="Times New Roman"/>
          <w:spacing w:val="-4"/>
          <w:sz w:val="24"/>
          <w:szCs w:val="24"/>
          <w:highlight w:val="none"/>
          <w:lang w:eastAsia="zh-CN"/>
        </w:rPr>
        <w:t>哈尔滨华康肉制品加工有限责任公司</w:t>
      </w:r>
      <w:r>
        <w:rPr>
          <w:rFonts w:hint="default" w:ascii="Times New Roman" w:hAnsi="Times New Roman" w:eastAsia="宋体" w:cs="Times New Roman"/>
          <w:spacing w:val="-4"/>
          <w:sz w:val="24"/>
          <w:szCs w:val="24"/>
          <w:highlight w:val="none"/>
          <w:lang w:val="en-US" w:eastAsia="zh-CN"/>
        </w:rPr>
        <w:t>污水处理站</w:t>
      </w:r>
      <w:r>
        <w:rPr>
          <w:rFonts w:hint="default" w:ascii="Times New Roman" w:hAnsi="Times New Roman" w:eastAsia="宋体" w:cs="Times New Roman"/>
          <w:spacing w:val="-4"/>
          <w:sz w:val="24"/>
          <w:szCs w:val="24"/>
          <w:highlight w:val="none"/>
          <w:lang w:eastAsia="zh-CN"/>
        </w:rPr>
        <w:t>扩建项目</w:t>
      </w:r>
      <w:r>
        <w:rPr>
          <w:rFonts w:hint="default" w:ascii="Times New Roman" w:hAnsi="Times New Roman" w:eastAsia="宋体" w:cs="Times New Roman"/>
          <w:spacing w:val="-4"/>
          <w:sz w:val="24"/>
          <w:szCs w:val="24"/>
          <w:lang w:val="en-US" w:eastAsia="zh-CN"/>
        </w:rPr>
        <w:t>环境影响登记表</w:t>
      </w:r>
      <w:r>
        <w:rPr>
          <w:rFonts w:hint="default" w:ascii="Times New Roman" w:hAnsi="Times New Roman" w:eastAsia="宋体" w:cs="Times New Roman"/>
          <w:spacing w:val="-4"/>
          <w:sz w:val="24"/>
          <w:szCs w:val="24"/>
        </w:rPr>
        <w:t>》</w:t>
      </w:r>
      <w:r>
        <w:rPr>
          <w:rFonts w:hint="eastAsia" w:ascii="Times New Roman" w:hAnsi="Times New Roman" w:eastAsia="宋体" w:cs="Times New Roman"/>
          <w:spacing w:val="-4"/>
          <w:sz w:val="24"/>
          <w:szCs w:val="24"/>
          <w:lang w:eastAsia="zh-CN"/>
        </w:rPr>
        <w:t>（</w:t>
      </w:r>
      <w:r>
        <w:rPr>
          <w:rFonts w:hint="eastAsia" w:ascii="Times New Roman" w:hAnsi="Times New Roman" w:eastAsia="宋体" w:cs="Times New Roman"/>
          <w:spacing w:val="-4"/>
          <w:sz w:val="24"/>
          <w:szCs w:val="24"/>
          <w:lang w:val="en-US" w:eastAsia="zh-CN"/>
        </w:rPr>
        <w:t>2023.09.25）</w:t>
      </w:r>
      <w:r>
        <w:rPr>
          <w:rFonts w:hint="default" w:ascii="Times New Roman" w:hAnsi="Times New Roman" w:eastAsia="宋体" w:cs="Times New Roman"/>
          <w:spacing w:val="-4"/>
          <w:sz w:val="24"/>
          <w:szCs w:val="24"/>
          <w:lang w:val="en-US" w:eastAsia="zh-CN"/>
        </w:rPr>
        <w:t>；</w:t>
      </w:r>
    </w:p>
    <w:p>
      <w:pPr>
        <w:pStyle w:val="29"/>
        <w:rPr>
          <w:rFonts w:hint="default"/>
          <w:lang w:val="en-US" w:eastAsia="zh-CN"/>
        </w:rPr>
      </w:pPr>
      <w:r>
        <w:rPr>
          <w:rFonts w:hint="eastAsia" w:ascii="Times New Roman" w:hAnsi="Times New Roman" w:eastAsia="宋体" w:cs="Times New Roman"/>
          <w:spacing w:val="-4"/>
          <w:sz w:val="24"/>
          <w:szCs w:val="24"/>
          <w:lang w:val="en-US" w:eastAsia="zh-CN"/>
        </w:rPr>
        <w:t>（3）《哈尔滨市巴彦县利民禽畜加工冷冻厂工程建设项目环境影响报告表》（2006.06.12）；</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64" w:firstLineChars="200"/>
        <w:jc w:val="both"/>
        <w:textAlignment w:val="baseline"/>
        <w:rPr>
          <w:rFonts w:hint="default" w:ascii="Times New Roman" w:hAnsi="Times New Roman" w:eastAsia="宋体" w:cs="Times New Roman"/>
          <w:spacing w:val="-4"/>
          <w:sz w:val="24"/>
          <w:szCs w:val="24"/>
          <w:lang w:val="en-US" w:eastAsia="zh-CN"/>
        </w:rPr>
      </w:pPr>
      <w:r>
        <w:rPr>
          <w:rFonts w:hint="default" w:ascii="Times New Roman" w:hAnsi="Times New Roman" w:eastAsia="宋体" w:cs="Times New Roman"/>
          <w:spacing w:val="-4"/>
          <w:sz w:val="24"/>
          <w:szCs w:val="24"/>
        </w:rPr>
        <w:t>（</w:t>
      </w:r>
      <w:r>
        <w:rPr>
          <w:rFonts w:hint="eastAsia" w:ascii="Times New Roman" w:hAnsi="Times New Roman" w:eastAsia="宋体" w:cs="Times New Roman"/>
          <w:spacing w:val="-4"/>
          <w:sz w:val="24"/>
          <w:szCs w:val="24"/>
          <w:lang w:val="en-US" w:eastAsia="zh-CN"/>
        </w:rPr>
        <w:t>4</w:t>
      </w:r>
      <w:r>
        <w:rPr>
          <w:rFonts w:hint="default" w:ascii="Times New Roman" w:hAnsi="Times New Roman" w:eastAsia="宋体" w:cs="Times New Roman"/>
          <w:spacing w:val="-4"/>
          <w:sz w:val="24"/>
          <w:szCs w:val="24"/>
          <w:lang w:val="en-US" w:eastAsia="zh-CN"/>
        </w:rPr>
        <w:t>）</w:t>
      </w:r>
      <w:r>
        <w:rPr>
          <w:rFonts w:hint="eastAsia" w:ascii="Times New Roman" w:hAnsi="Times New Roman" w:eastAsia="宋体" w:cs="Times New Roman"/>
          <w:spacing w:val="-4"/>
          <w:sz w:val="24"/>
          <w:szCs w:val="24"/>
          <w:lang w:val="en-US" w:eastAsia="zh-CN"/>
        </w:rPr>
        <w:t>《</w:t>
      </w:r>
      <w:r>
        <w:rPr>
          <w:rFonts w:hint="default" w:ascii="Times New Roman" w:hAnsi="Times New Roman" w:eastAsia="宋体" w:cs="Times New Roman"/>
          <w:spacing w:val="-4"/>
          <w:sz w:val="24"/>
          <w:szCs w:val="24"/>
          <w:lang w:val="en-US" w:eastAsia="zh-CN"/>
        </w:rPr>
        <w:t>固定污染源排污登记回执</w:t>
      </w:r>
      <w:r>
        <w:rPr>
          <w:rFonts w:hint="eastAsia" w:ascii="Times New Roman" w:hAnsi="Times New Roman" w:eastAsia="宋体" w:cs="Times New Roman"/>
          <w:spacing w:val="-4"/>
          <w:sz w:val="24"/>
          <w:szCs w:val="24"/>
          <w:lang w:val="en-US" w:eastAsia="zh-CN"/>
        </w:rPr>
        <w:t>》，登记编号：9123012666565472XE002W（2023.09.04）</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64" w:firstLineChars="200"/>
        <w:jc w:val="both"/>
        <w:textAlignment w:val="baseline"/>
        <w:rPr>
          <w:rFonts w:hint="default"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（5）</w:t>
      </w:r>
      <w:r>
        <w:rPr>
          <w:rFonts w:hint="default" w:ascii="Times New Roman" w:hAnsi="Times New Roman" w:eastAsia="宋体" w:cs="Times New Roman"/>
          <w:spacing w:val="-4"/>
          <w:sz w:val="24"/>
          <w:szCs w:val="24"/>
          <w:lang w:val="en-US" w:eastAsia="zh-CN"/>
        </w:rPr>
        <w:t>企业提供的其他相关资料；</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64" w:firstLineChars="200"/>
        <w:jc w:val="both"/>
        <w:textAlignment w:val="baseline"/>
        <w:rPr>
          <w:rFonts w:hint="default" w:ascii="Times New Roman" w:hAnsi="Times New Roman" w:eastAsia="宋体" w:cs="Times New Roman"/>
          <w:spacing w:val="-4"/>
          <w:sz w:val="24"/>
          <w:szCs w:val="24"/>
          <w:lang w:val="en-US" w:eastAsia="zh-CN"/>
        </w:rPr>
      </w:pPr>
      <w:r>
        <w:rPr>
          <w:rFonts w:hint="default" w:ascii="Times New Roman" w:hAnsi="Times New Roman" w:eastAsia="宋体" w:cs="Times New Roman"/>
          <w:spacing w:val="-4"/>
          <w:sz w:val="24"/>
          <w:szCs w:val="24"/>
          <w:lang w:val="en-US" w:eastAsia="zh-CN"/>
        </w:rPr>
        <w:t>（</w:t>
      </w:r>
      <w:r>
        <w:rPr>
          <w:rFonts w:hint="eastAsia" w:ascii="Times New Roman" w:hAnsi="Times New Roman" w:eastAsia="宋体" w:cs="Times New Roman"/>
          <w:spacing w:val="-4"/>
          <w:sz w:val="24"/>
          <w:szCs w:val="24"/>
          <w:lang w:val="en-US" w:eastAsia="zh-CN"/>
        </w:rPr>
        <w:t>6</w:t>
      </w:r>
      <w:r>
        <w:rPr>
          <w:rFonts w:hint="default" w:ascii="Times New Roman" w:hAnsi="Times New Roman" w:eastAsia="宋体" w:cs="Times New Roman"/>
          <w:spacing w:val="-4"/>
          <w:sz w:val="24"/>
          <w:szCs w:val="24"/>
          <w:lang w:val="en-US" w:eastAsia="zh-CN"/>
        </w:rPr>
        <w:t>）有关项目周围社会、经济、环境状况资料。</w:t>
      </w:r>
    </w:p>
    <w:p>
      <w:pPr>
        <w:widowControl w:val="0"/>
        <w:kinsoku/>
        <w:autoSpaceDE/>
        <w:autoSpaceDN/>
        <w:adjustRightInd/>
        <w:snapToGrid/>
        <w:spacing w:line="360" w:lineRule="auto"/>
        <w:jc w:val="left"/>
        <w:textAlignment w:val="auto"/>
        <w:outlineLvl w:val="1"/>
        <w:rPr>
          <w:rFonts w:hint="default" w:ascii="Times New Roman" w:hAnsi="Times New Roman" w:eastAsia="宋体" w:cs="Times New Roman"/>
          <w:b/>
          <w:bCs/>
          <w:snapToGrid/>
          <w:color w:val="auto"/>
          <w:kern w:val="44"/>
          <w:sz w:val="30"/>
          <w:szCs w:val="30"/>
          <w:lang w:val="en-US" w:eastAsia="zh-CN"/>
        </w:rPr>
      </w:pPr>
      <w:bookmarkStart w:id="24" w:name="_Toc18900"/>
      <w:r>
        <w:rPr>
          <w:rFonts w:hint="default" w:ascii="Times New Roman" w:hAnsi="Times New Roman" w:eastAsia="宋体" w:cs="Times New Roman"/>
          <w:b/>
          <w:bCs/>
          <w:snapToGrid/>
          <w:color w:val="auto"/>
          <w:kern w:val="44"/>
          <w:sz w:val="30"/>
          <w:szCs w:val="30"/>
          <w:lang w:val="en-US" w:eastAsia="zh-CN"/>
        </w:rPr>
        <w:t>2.2 评级工作原则及评价重点</w:t>
      </w:r>
      <w:bookmarkEnd w:id="24"/>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2.2.1  评价工作原则</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w:t>
      </w:r>
      <w:r>
        <w:rPr>
          <w:rFonts w:hint="default" w:ascii="Times New Roman" w:hAnsi="Times New Roman" w:eastAsia="Times New Roman" w:cs="Times New Roman"/>
          <w:spacing w:val="-2"/>
          <w:sz w:val="24"/>
          <w:szCs w:val="24"/>
        </w:rPr>
        <w:t>1</w:t>
      </w:r>
      <w:r>
        <w:rPr>
          <w:rFonts w:hint="default" w:ascii="Times New Roman" w:hAnsi="Times New Roman" w:eastAsia="宋体" w:cs="Times New Roman"/>
          <w:spacing w:val="-2"/>
          <w:sz w:val="24"/>
          <w:szCs w:val="24"/>
        </w:rPr>
        <w:t>）建设项目环境保护管理的有关规定，贯彻</w:t>
      </w:r>
      <w:r>
        <w:rPr>
          <w:rFonts w:hint="default" w:ascii="Times New Roman" w:hAnsi="Times New Roman" w:eastAsia="Times New Roman" w:cs="Times New Roman"/>
          <w:spacing w:val="-2"/>
          <w:sz w:val="24"/>
          <w:szCs w:val="24"/>
        </w:rPr>
        <w:t>“</w:t>
      </w:r>
      <w:r>
        <w:rPr>
          <w:rFonts w:hint="default" w:ascii="Times New Roman" w:hAnsi="Times New Roman" w:eastAsia="宋体" w:cs="Times New Roman"/>
          <w:spacing w:val="-2"/>
          <w:sz w:val="24"/>
          <w:szCs w:val="24"/>
        </w:rPr>
        <w:t>可持续发展</w:t>
      </w:r>
      <w:r>
        <w:rPr>
          <w:rFonts w:hint="default" w:ascii="Times New Roman" w:hAnsi="Times New Roman" w:eastAsia="Times New Roman" w:cs="Times New Roman"/>
          <w:spacing w:val="-2"/>
          <w:sz w:val="24"/>
          <w:szCs w:val="24"/>
        </w:rPr>
        <w:t>”</w:t>
      </w:r>
      <w:r>
        <w:rPr>
          <w:rFonts w:hint="default" w:ascii="Times New Roman" w:hAnsi="Times New Roman" w:eastAsia="Times New Roman" w:cs="Times New Roman"/>
          <w:spacing w:val="-32"/>
          <w:sz w:val="24"/>
          <w:szCs w:val="24"/>
        </w:rPr>
        <w:t xml:space="preserve"> </w:t>
      </w:r>
      <w:r>
        <w:rPr>
          <w:rFonts w:hint="default" w:ascii="Times New Roman" w:hAnsi="Times New Roman" w:eastAsia="宋体" w:cs="Times New Roman"/>
          <w:spacing w:val="-2"/>
          <w:sz w:val="24"/>
          <w:szCs w:val="24"/>
        </w:rPr>
        <w:t>、</w:t>
      </w:r>
      <w:r>
        <w:rPr>
          <w:rFonts w:hint="default" w:ascii="Times New Roman" w:hAnsi="Times New Roman" w:eastAsia="Times New Roman" w:cs="Times New Roman"/>
          <w:spacing w:val="-2"/>
          <w:sz w:val="24"/>
          <w:szCs w:val="24"/>
        </w:rPr>
        <w:t>“</w:t>
      </w:r>
      <w:r>
        <w:rPr>
          <w:rFonts w:hint="default" w:ascii="Times New Roman" w:hAnsi="Times New Roman" w:eastAsia="宋体" w:cs="Times New Roman"/>
          <w:spacing w:val="-2"/>
          <w:sz w:val="24"/>
          <w:szCs w:val="24"/>
        </w:rPr>
        <w:t>清洁生产</w:t>
      </w:r>
      <w:r>
        <w:rPr>
          <w:rFonts w:hint="default" w:ascii="Times New Roman" w:hAnsi="Times New Roman" w:eastAsia="Times New Roman" w:cs="Times New Roman"/>
          <w:spacing w:val="-2"/>
          <w:sz w:val="24"/>
          <w:szCs w:val="24"/>
        </w:rPr>
        <w:t>”</w:t>
      </w:r>
      <w:r>
        <w:rPr>
          <w:rFonts w:hint="default" w:ascii="Times New Roman" w:hAnsi="Times New Roman" w:eastAsia="Times New Roman" w:cs="Times New Roman"/>
          <w:spacing w:val="-32"/>
          <w:sz w:val="24"/>
          <w:szCs w:val="24"/>
        </w:rPr>
        <w:t xml:space="preserve"> </w:t>
      </w:r>
      <w:r>
        <w:rPr>
          <w:rFonts w:hint="default" w:ascii="Times New Roman" w:hAnsi="Times New Roman" w:eastAsia="宋体" w:cs="Times New Roman"/>
          <w:spacing w:val="-2"/>
          <w:sz w:val="24"/>
          <w:szCs w:val="24"/>
        </w:rPr>
        <w:t>、</w:t>
      </w:r>
      <w:r>
        <w:rPr>
          <w:rFonts w:hint="default" w:ascii="Times New Roman" w:hAnsi="Times New Roman" w:eastAsia="Times New Roman" w:cs="Times New Roman"/>
          <w:spacing w:val="-2"/>
          <w:sz w:val="24"/>
          <w:szCs w:val="24"/>
        </w:rPr>
        <w:t>“</w:t>
      </w:r>
      <w:r>
        <w:rPr>
          <w:rFonts w:hint="default" w:ascii="Times New Roman" w:hAnsi="Times New Roman" w:eastAsia="宋体" w:cs="Times New Roman"/>
          <w:spacing w:val="-2"/>
          <w:sz w:val="24"/>
          <w:szCs w:val="24"/>
        </w:rPr>
        <w:t>达标排放</w:t>
      </w:r>
      <w:r>
        <w:rPr>
          <w:rFonts w:hint="default" w:ascii="Times New Roman" w:hAnsi="Times New Roman" w:eastAsia="Times New Roman" w:cs="Times New Roman"/>
          <w:spacing w:val="-2"/>
          <w:sz w:val="24"/>
          <w:szCs w:val="24"/>
        </w:rPr>
        <w:t>”</w:t>
      </w:r>
      <w:r>
        <w:rPr>
          <w:rFonts w:hint="default" w:ascii="Times New Roman" w:hAnsi="Times New Roman" w:eastAsia="Times New Roman" w:cs="Times New Roman"/>
          <w:spacing w:val="-21"/>
          <w:sz w:val="24"/>
          <w:szCs w:val="24"/>
        </w:rPr>
        <w:t xml:space="preserve"> </w:t>
      </w:r>
      <w:r>
        <w:rPr>
          <w:rFonts w:hint="default" w:ascii="Times New Roman" w:hAnsi="Times New Roman" w:eastAsia="宋体" w:cs="Times New Roman"/>
          <w:spacing w:val="-2"/>
          <w:sz w:val="24"/>
          <w:szCs w:val="24"/>
        </w:rPr>
        <w:t>、</w:t>
      </w:r>
      <w:r>
        <w:rPr>
          <w:rFonts w:hint="default" w:ascii="Times New Roman" w:hAnsi="Times New Roman" w:eastAsia="Times New Roman" w:cs="Times New Roman"/>
          <w:spacing w:val="-2"/>
          <w:sz w:val="24"/>
          <w:szCs w:val="24"/>
        </w:rPr>
        <w:t>“</w:t>
      </w:r>
      <w:r>
        <w:rPr>
          <w:rFonts w:hint="default" w:ascii="Times New Roman" w:hAnsi="Times New Roman" w:eastAsia="宋体" w:cs="Times New Roman"/>
          <w:spacing w:val="-2"/>
          <w:sz w:val="24"/>
          <w:szCs w:val="24"/>
        </w:rPr>
        <w:t>污染物排放总量控制</w:t>
      </w:r>
      <w:r>
        <w:rPr>
          <w:rFonts w:hint="default" w:ascii="Times New Roman" w:hAnsi="Times New Roman" w:eastAsia="Times New Roman" w:cs="Times New Roman"/>
          <w:spacing w:val="-2"/>
          <w:sz w:val="24"/>
          <w:szCs w:val="24"/>
        </w:rPr>
        <w:t>”</w:t>
      </w:r>
      <w:r>
        <w:rPr>
          <w:rFonts w:hint="default" w:ascii="Times New Roman" w:hAnsi="Times New Roman" w:eastAsia="Times New Roman" w:cs="Times New Roman"/>
          <w:spacing w:val="-32"/>
          <w:sz w:val="24"/>
          <w:szCs w:val="24"/>
        </w:rPr>
        <w:t xml:space="preserve"> </w:t>
      </w:r>
      <w:r>
        <w:rPr>
          <w:rFonts w:hint="default" w:ascii="Times New Roman" w:hAnsi="Times New Roman" w:eastAsia="宋体" w:cs="Times New Roman"/>
          <w:spacing w:val="-2"/>
          <w:sz w:val="24"/>
          <w:szCs w:val="24"/>
        </w:rPr>
        <w:t>的原则。最大限度地减少污染物的排放，通过评价找出生产过程中污染物产生环节，有针对性地提出切实可行、经济合理的污染防治措施。</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（2）针对本项目的污染物排放特点，委托现状监测，以保证数据时效性、代表性。</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（3）评价工作做到客观、公正、真实可靠。通过环境影响评价为环境管理提供决策依据，为项目实施环保措施提供指导性意见。</w:t>
      </w:r>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2.2.2  评价重点</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根据该项目的污染特征，本着抓主要矛盾、突出重点、提高报告书实用性的原则，</w:t>
      </w:r>
      <w:r>
        <w:rPr>
          <w:rFonts w:hint="default" w:ascii="Times New Roman" w:hAnsi="Times New Roman" w:eastAsia="宋体" w:cs="Times New Roman"/>
          <w:spacing w:val="13"/>
          <w:sz w:val="24"/>
          <w:szCs w:val="24"/>
        </w:rPr>
        <w:t xml:space="preserve"> </w:t>
      </w:r>
      <w:r>
        <w:rPr>
          <w:rFonts w:hint="default" w:ascii="Times New Roman" w:hAnsi="Times New Roman" w:eastAsia="宋体" w:cs="Times New Roman"/>
          <w:spacing w:val="-3"/>
          <w:sz w:val="24"/>
          <w:szCs w:val="24"/>
        </w:rPr>
        <w:t>本次环评将在加强工程分析的基础上认真贯彻</w:t>
      </w:r>
      <w:r>
        <w:rPr>
          <w:rFonts w:hint="default" w:ascii="Times New Roman" w:hAnsi="Times New Roman" w:eastAsia="Times New Roman" w:cs="Times New Roman"/>
          <w:spacing w:val="-3"/>
          <w:sz w:val="24"/>
          <w:szCs w:val="24"/>
        </w:rPr>
        <w:t>“</w:t>
      </w:r>
      <w:r>
        <w:rPr>
          <w:rFonts w:hint="default" w:ascii="Times New Roman" w:hAnsi="Times New Roman" w:eastAsia="宋体" w:cs="Times New Roman"/>
          <w:spacing w:val="-3"/>
          <w:sz w:val="24"/>
          <w:szCs w:val="24"/>
        </w:rPr>
        <w:t>清洁生产</w:t>
      </w:r>
      <w:r>
        <w:rPr>
          <w:rFonts w:hint="default" w:ascii="Times New Roman" w:hAnsi="Times New Roman" w:eastAsia="Times New Roman" w:cs="Times New Roman"/>
          <w:spacing w:val="-3"/>
          <w:sz w:val="24"/>
          <w:szCs w:val="24"/>
        </w:rPr>
        <w:t>”</w:t>
      </w:r>
      <w:r>
        <w:rPr>
          <w:rFonts w:hint="default" w:ascii="Times New Roman" w:hAnsi="Times New Roman" w:eastAsia="Times New Roman" w:cs="Times New Roman"/>
          <w:spacing w:val="-20"/>
          <w:sz w:val="24"/>
          <w:szCs w:val="24"/>
        </w:rPr>
        <w:t xml:space="preserve"> </w:t>
      </w:r>
      <w:r>
        <w:rPr>
          <w:rFonts w:hint="default" w:ascii="Times New Roman" w:hAnsi="Times New Roman" w:eastAsia="宋体" w:cs="Times New Roman"/>
          <w:spacing w:val="-3"/>
          <w:sz w:val="24"/>
          <w:szCs w:val="24"/>
        </w:rPr>
        <w:t>、</w:t>
      </w:r>
      <w:r>
        <w:rPr>
          <w:rFonts w:hint="default" w:ascii="Times New Roman" w:hAnsi="Times New Roman" w:eastAsia="Times New Roman" w:cs="Times New Roman"/>
          <w:spacing w:val="-3"/>
          <w:sz w:val="24"/>
          <w:szCs w:val="24"/>
        </w:rPr>
        <w:t>“</w:t>
      </w:r>
      <w:r>
        <w:rPr>
          <w:rFonts w:hint="default" w:ascii="Times New Roman" w:hAnsi="Times New Roman" w:eastAsia="Times New Roman" w:cs="Times New Roman"/>
          <w:spacing w:val="-45"/>
          <w:sz w:val="24"/>
          <w:szCs w:val="24"/>
        </w:rPr>
        <w:t xml:space="preserve"> </w:t>
      </w:r>
      <w:r>
        <w:rPr>
          <w:rFonts w:hint="default" w:ascii="Times New Roman" w:hAnsi="Times New Roman" w:eastAsia="宋体" w:cs="Times New Roman"/>
          <w:spacing w:val="-3"/>
          <w:sz w:val="24"/>
          <w:szCs w:val="24"/>
        </w:rPr>
        <w:t>总量控制</w:t>
      </w:r>
      <w:r>
        <w:rPr>
          <w:rFonts w:hint="default" w:ascii="Times New Roman" w:hAnsi="Times New Roman" w:eastAsia="Times New Roman" w:cs="Times New Roman"/>
          <w:spacing w:val="-3"/>
          <w:sz w:val="24"/>
          <w:szCs w:val="24"/>
        </w:rPr>
        <w:t>”</w:t>
      </w:r>
      <w:r>
        <w:rPr>
          <w:rFonts w:hint="default" w:ascii="Times New Roman" w:hAnsi="Times New Roman" w:eastAsia="Times New Roman" w:cs="Times New Roman"/>
          <w:spacing w:val="-33"/>
          <w:sz w:val="24"/>
          <w:szCs w:val="24"/>
        </w:rPr>
        <w:t xml:space="preserve"> </w:t>
      </w:r>
      <w:r>
        <w:rPr>
          <w:rFonts w:hint="default" w:ascii="Times New Roman" w:hAnsi="Times New Roman" w:eastAsia="宋体" w:cs="Times New Roman"/>
          <w:spacing w:val="-3"/>
          <w:sz w:val="24"/>
          <w:szCs w:val="24"/>
        </w:rPr>
        <w:t>、</w:t>
      </w:r>
      <w:r>
        <w:rPr>
          <w:rFonts w:hint="default" w:ascii="Times New Roman" w:hAnsi="Times New Roman" w:eastAsia="Times New Roman" w:cs="Times New Roman"/>
          <w:spacing w:val="-3"/>
          <w:sz w:val="24"/>
          <w:szCs w:val="24"/>
        </w:rPr>
        <w:t>“</w:t>
      </w:r>
      <w:r>
        <w:rPr>
          <w:rFonts w:hint="default" w:ascii="Times New Roman" w:hAnsi="Times New Roman" w:eastAsia="宋体" w:cs="Times New Roman"/>
          <w:spacing w:val="-3"/>
          <w:sz w:val="24"/>
          <w:szCs w:val="24"/>
        </w:rPr>
        <w:t>达标排放</w:t>
      </w:r>
      <w:r>
        <w:rPr>
          <w:rFonts w:hint="default" w:ascii="Times New Roman" w:hAnsi="Times New Roman" w:eastAsia="Times New Roman" w:cs="Times New Roman"/>
          <w:spacing w:val="-3"/>
          <w:sz w:val="24"/>
          <w:szCs w:val="24"/>
        </w:rPr>
        <w:t>”</w:t>
      </w:r>
      <w:r>
        <w:rPr>
          <w:rFonts w:hint="default" w:ascii="Times New Roman" w:hAnsi="Times New Roman" w:eastAsia="Times New Roman" w:cs="Times New Roman"/>
          <w:spacing w:val="-29"/>
          <w:sz w:val="24"/>
          <w:szCs w:val="24"/>
        </w:rPr>
        <w:t xml:space="preserve"> </w:t>
      </w:r>
      <w:r>
        <w:rPr>
          <w:rFonts w:hint="default" w:ascii="Times New Roman" w:hAnsi="Times New Roman" w:eastAsia="宋体" w:cs="Times New Roman"/>
          <w:spacing w:val="-3"/>
          <w:sz w:val="24"/>
          <w:szCs w:val="24"/>
        </w:rPr>
        <w:t>的</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2"/>
          <w:sz w:val="24"/>
          <w:szCs w:val="24"/>
        </w:rPr>
        <w:t>原则，并以水环境和环境空气影响评价为重点，同时注重污染防治措施的论证分析，对噪声、固体废物</w:t>
      </w:r>
      <w:r>
        <w:rPr>
          <w:rFonts w:hint="eastAsia" w:ascii="Times New Roman" w:hAnsi="Times New Roman" w:eastAsia="宋体" w:cs="Times New Roman"/>
          <w:spacing w:val="-2"/>
          <w:sz w:val="24"/>
          <w:szCs w:val="24"/>
          <w:lang w:eastAsia="zh-CN"/>
        </w:rPr>
        <w:t>、</w:t>
      </w:r>
      <w:r>
        <w:rPr>
          <w:rFonts w:hint="eastAsia" w:ascii="Times New Roman" w:hAnsi="Times New Roman" w:eastAsia="宋体" w:cs="Times New Roman"/>
          <w:spacing w:val="-2"/>
          <w:sz w:val="24"/>
          <w:szCs w:val="24"/>
          <w:lang w:val="en-US" w:eastAsia="zh-CN"/>
        </w:rPr>
        <w:t>环境风险</w:t>
      </w:r>
      <w:r>
        <w:rPr>
          <w:rFonts w:hint="default" w:ascii="Times New Roman" w:hAnsi="Times New Roman" w:eastAsia="宋体" w:cs="Times New Roman"/>
          <w:spacing w:val="-2"/>
          <w:sz w:val="24"/>
          <w:szCs w:val="24"/>
        </w:rPr>
        <w:t>的环境影响予以一般性评价。</w:t>
      </w:r>
    </w:p>
    <w:p>
      <w:pPr>
        <w:widowControl w:val="0"/>
        <w:kinsoku/>
        <w:autoSpaceDE/>
        <w:autoSpaceDN/>
        <w:adjustRightInd/>
        <w:snapToGrid/>
        <w:spacing w:line="360" w:lineRule="auto"/>
        <w:jc w:val="left"/>
        <w:textAlignment w:val="auto"/>
        <w:outlineLvl w:val="1"/>
        <w:rPr>
          <w:rFonts w:hint="default" w:ascii="Times New Roman" w:hAnsi="Times New Roman" w:eastAsia="宋体" w:cs="Times New Roman"/>
          <w:b/>
          <w:bCs/>
          <w:snapToGrid/>
          <w:color w:val="auto"/>
          <w:kern w:val="44"/>
          <w:sz w:val="30"/>
          <w:szCs w:val="30"/>
          <w:lang w:val="en-US" w:eastAsia="zh-CN"/>
        </w:rPr>
      </w:pPr>
      <w:bookmarkStart w:id="25" w:name="_Toc32503"/>
      <w:r>
        <w:rPr>
          <w:rFonts w:hint="default" w:ascii="Times New Roman" w:hAnsi="Times New Roman" w:eastAsia="宋体" w:cs="Times New Roman"/>
          <w:b/>
          <w:bCs/>
          <w:snapToGrid/>
          <w:color w:val="auto"/>
          <w:kern w:val="44"/>
          <w:sz w:val="30"/>
          <w:szCs w:val="30"/>
          <w:lang w:val="en-US" w:eastAsia="zh-CN"/>
        </w:rPr>
        <w:t>2.3 环境影响识别及评价因子筛选</w:t>
      </w:r>
      <w:bookmarkEnd w:id="25"/>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2.3.1  环境影响识别</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68" w:firstLineChars="200"/>
        <w:jc w:val="both"/>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3"/>
          <w:sz w:val="24"/>
          <w:szCs w:val="24"/>
          <w:highlight w:val="none"/>
        </w:rPr>
        <w:t>本项目工程环境影响与环境影响因子识别表见表</w:t>
      </w:r>
      <w:r>
        <w:rPr>
          <w:rFonts w:hint="default" w:ascii="Times New Roman" w:hAnsi="Times New Roman" w:eastAsia="宋体" w:cs="Times New Roman"/>
          <w:spacing w:val="-19"/>
          <w:sz w:val="24"/>
          <w:szCs w:val="24"/>
          <w:highlight w:val="none"/>
        </w:rPr>
        <w:t xml:space="preserve"> </w:t>
      </w:r>
      <w:r>
        <w:rPr>
          <w:rFonts w:hint="default" w:ascii="Times New Roman" w:hAnsi="Times New Roman" w:eastAsia="宋体" w:cs="Times New Roman"/>
          <w:spacing w:val="-3"/>
          <w:sz w:val="24"/>
          <w:szCs w:val="24"/>
          <w:highlight w:val="none"/>
          <w:lang w:val="en-US" w:eastAsia="zh-CN"/>
        </w:rPr>
        <w:t>2-</w:t>
      </w:r>
      <w:r>
        <w:rPr>
          <w:rFonts w:hint="default" w:ascii="Times New Roman" w:hAnsi="Times New Roman" w:eastAsia="Times New Roman" w:cs="Times New Roman"/>
          <w:spacing w:val="-3"/>
          <w:sz w:val="24"/>
          <w:szCs w:val="24"/>
          <w:highlight w:val="none"/>
        </w:rPr>
        <w:t>3-</w:t>
      </w:r>
      <w:r>
        <w:rPr>
          <w:rFonts w:hint="default" w:ascii="Times New Roman" w:hAnsi="Times New Roman" w:eastAsia="Times New Roman" w:cs="Times New Roman"/>
          <w:spacing w:val="-33"/>
          <w:sz w:val="24"/>
          <w:szCs w:val="24"/>
          <w:highlight w:val="none"/>
        </w:rPr>
        <w:t xml:space="preserve"> </w:t>
      </w:r>
      <w:r>
        <w:rPr>
          <w:rFonts w:hint="default" w:ascii="Times New Roman" w:hAnsi="Times New Roman" w:eastAsia="Times New Roman" w:cs="Times New Roman"/>
          <w:spacing w:val="-3"/>
          <w:sz w:val="24"/>
          <w:szCs w:val="24"/>
          <w:highlight w:val="none"/>
        </w:rPr>
        <w:t>1</w:t>
      </w:r>
      <w:r>
        <w:rPr>
          <w:rFonts w:hint="default" w:ascii="Times New Roman" w:hAnsi="Times New Roman" w:eastAsia="宋体" w:cs="Times New Roman"/>
          <w:spacing w:val="-3"/>
          <w:sz w:val="24"/>
          <w:szCs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z w:val="20"/>
          <w:szCs w:val="20"/>
          <w:highlight w:val="magenta"/>
          <w:lang w:eastAsia="zh-CN"/>
        </w:rPr>
      </w:pP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17"/>
          <w:sz w:val="20"/>
          <w:szCs w:val="20"/>
          <w:highlight w:val="none"/>
        </w:rPr>
        <w:t xml:space="preserve"> </w:t>
      </w:r>
      <w:r>
        <w:rPr>
          <w:rFonts w:hint="default" w:ascii="Times New Roman" w:hAnsi="Times New Roman" w:eastAsia="宋体" w:cs="Times New Roman"/>
          <w:b/>
          <w:bCs/>
          <w:spacing w:val="7"/>
          <w:sz w:val="20"/>
          <w:szCs w:val="20"/>
          <w:highlight w:val="none"/>
          <w:lang w:val="en-US" w:eastAsia="zh-CN"/>
        </w:rPr>
        <w:t>2-</w:t>
      </w:r>
      <w:r>
        <w:rPr>
          <w:rFonts w:hint="default" w:ascii="Times New Roman" w:hAnsi="Times New Roman" w:eastAsia="Times New Roman" w:cs="Times New Roman"/>
          <w:b/>
          <w:bCs/>
          <w:spacing w:val="7"/>
          <w:sz w:val="20"/>
          <w:szCs w:val="20"/>
          <w:highlight w:val="none"/>
        </w:rPr>
        <w:t xml:space="preserve">3-1  </w:t>
      </w: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工程环境影响与环境影响因子识别表</w:t>
      </w:r>
    </w:p>
    <w:p>
      <w:pPr>
        <w:spacing w:line="14" w:lineRule="exact"/>
        <w:rPr>
          <w:rFonts w:hint="default" w:ascii="Times New Roman" w:hAnsi="Times New Roman" w:cs="Times New Roman"/>
          <w:highlight w:val="none"/>
        </w:rPr>
      </w:pPr>
    </w:p>
    <w:tbl>
      <w:tblPr>
        <w:tblStyle w:val="34"/>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74"/>
        <w:gridCol w:w="1139"/>
        <w:gridCol w:w="828"/>
        <w:gridCol w:w="647"/>
        <w:gridCol w:w="767"/>
        <w:gridCol w:w="1079"/>
        <w:gridCol w:w="784"/>
        <w:gridCol w:w="871"/>
        <w:gridCol w:w="873"/>
        <w:gridCol w:w="873"/>
        <w:gridCol w:w="89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454" w:type="pct"/>
            <w:vMerge w:val="restart"/>
            <w:tcBorders>
              <w:bottom w:val="nil"/>
            </w:tcBorders>
            <w:vAlign w:val="top"/>
          </w:tcPr>
          <w:p>
            <w:pPr>
              <w:spacing w:before="215" w:line="228" w:lineRule="auto"/>
              <w:ind w:left="207"/>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类别</w:t>
            </w:r>
          </w:p>
        </w:tc>
        <w:tc>
          <w:tcPr>
            <w:tcW w:w="2315" w:type="pct"/>
            <w:gridSpan w:val="5"/>
            <w:vAlign w:val="top"/>
          </w:tcPr>
          <w:p>
            <w:pPr>
              <w:spacing w:before="55" w:line="228" w:lineRule="auto"/>
              <w:ind w:left="1790"/>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施工期</w:t>
            </w:r>
          </w:p>
        </w:tc>
        <w:tc>
          <w:tcPr>
            <w:tcW w:w="2230" w:type="pct"/>
            <w:gridSpan w:val="5"/>
            <w:vAlign w:val="top"/>
          </w:tcPr>
          <w:p>
            <w:pPr>
              <w:spacing w:before="55" w:line="228" w:lineRule="auto"/>
              <w:ind w:left="1715"/>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运营期</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54" w:type="pct"/>
            <w:vMerge w:val="continue"/>
            <w:tcBorders>
              <w:top w:val="nil"/>
            </w:tcBorders>
            <w:vAlign w:val="top"/>
          </w:tcPr>
          <w:p>
            <w:pPr>
              <w:pStyle w:val="35"/>
              <w:rPr>
                <w:rFonts w:hint="default" w:ascii="Times New Roman" w:hAnsi="Times New Roman" w:cs="Times New Roman"/>
                <w:highlight w:val="none"/>
              </w:rPr>
            </w:pPr>
          </w:p>
        </w:tc>
        <w:tc>
          <w:tcPr>
            <w:tcW w:w="591" w:type="pct"/>
            <w:vAlign w:val="top"/>
          </w:tcPr>
          <w:p>
            <w:pPr>
              <w:spacing w:before="50" w:line="228" w:lineRule="auto"/>
              <w:ind w:left="139"/>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2"/>
                <w:sz w:val="20"/>
                <w:szCs w:val="20"/>
                <w:highlight w:val="none"/>
              </w:rPr>
              <w:t>因素类别</w:t>
            </w:r>
          </w:p>
        </w:tc>
        <w:tc>
          <w:tcPr>
            <w:tcW w:w="430" w:type="pct"/>
            <w:vAlign w:val="top"/>
          </w:tcPr>
          <w:p>
            <w:pPr>
              <w:spacing w:before="51" w:line="229" w:lineRule="auto"/>
              <w:ind w:left="186"/>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土建</w:t>
            </w:r>
          </w:p>
        </w:tc>
        <w:tc>
          <w:tcPr>
            <w:tcW w:w="336" w:type="pct"/>
            <w:vAlign w:val="top"/>
          </w:tcPr>
          <w:p>
            <w:pPr>
              <w:spacing w:before="51" w:line="228" w:lineRule="auto"/>
              <w:ind w:left="105"/>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2"/>
                <w:sz w:val="20"/>
                <w:szCs w:val="20"/>
                <w:highlight w:val="none"/>
              </w:rPr>
              <w:t>安装</w:t>
            </w:r>
          </w:p>
        </w:tc>
        <w:tc>
          <w:tcPr>
            <w:tcW w:w="398" w:type="pct"/>
            <w:vAlign w:val="top"/>
          </w:tcPr>
          <w:p>
            <w:pPr>
              <w:spacing w:before="50" w:line="228" w:lineRule="auto"/>
              <w:ind w:left="158"/>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运输</w:t>
            </w:r>
          </w:p>
        </w:tc>
        <w:tc>
          <w:tcPr>
            <w:tcW w:w="557" w:type="pct"/>
            <w:vAlign w:val="top"/>
          </w:tcPr>
          <w:p>
            <w:pPr>
              <w:spacing w:before="51" w:line="228" w:lineRule="auto"/>
              <w:ind w:left="98"/>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噪声振动</w:t>
            </w:r>
          </w:p>
        </w:tc>
        <w:tc>
          <w:tcPr>
            <w:tcW w:w="407" w:type="pct"/>
            <w:vAlign w:val="top"/>
          </w:tcPr>
          <w:p>
            <w:pPr>
              <w:spacing w:before="50" w:line="228" w:lineRule="auto"/>
              <w:ind w:left="166"/>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废水</w:t>
            </w:r>
          </w:p>
        </w:tc>
        <w:tc>
          <w:tcPr>
            <w:tcW w:w="452" w:type="pct"/>
            <w:vAlign w:val="top"/>
          </w:tcPr>
          <w:p>
            <w:pPr>
              <w:spacing w:before="51" w:line="228" w:lineRule="auto"/>
              <w:ind w:left="205"/>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废气</w:t>
            </w:r>
          </w:p>
        </w:tc>
        <w:tc>
          <w:tcPr>
            <w:tcW w:w="453" w:type="pct"/>
            <w:vAlign w:val="top"/>
          </w:tcPr>
          <w:p>
            <w:pPr>
              <w:spacing w:before="51" w:line="228" w:lineRule="auto"/>
              <w:ind w:left="227"/>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固废</w:t>
            </w:r>
          </w:p>
        </w:tc>
        <w:tc>
          <w:tcPr>
            <w:tcW w:w="453" w:type="pct"/>
            <w:vAlign w:val="top"/>
          </w:tcPr>
          <w:p>
            <w:pPr>
              <w:spacing w:before="51" w:line="228" w:lineRule="auto"/>
              <w:ind w:left="219"/>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1"/>
                <w:sz w:val="20"/>
                <w:szCs w:val="20"/>
                <w:highlight w:val="none"/>
              </w:rPr>
              <w:t>噪声</w:t>
            </w:r>
          </w:p>
        </w:tc>
        <w:tc>
          <w:tcPr>
            <w:tcW w:w="462" w:type="pct"/>
            <w:vAlign w:val="top"/>
          </w:tcPr>
          <w:p>
            <w:pPr>
              <w:spacing w:before="50" w:line="228" w:lineRule="auto"/>
              <w:ind w:left="215"/>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运输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54" w:type="pct"/>
            <w:vMerge w:val="restart"/>
            <w:tcBorders>
              <w:bottom w:val="nil"/>
            </w:tcBorders>
            <w:vAlign w:val="top"/>
          </w:tcPr>
          <w:p>
            <w:pPr>
              <w:pStyle w:val="35"/>
              <w:spacing w:line="270" w:lineRule="auto"/>
              <w:rPr>
                <w:rFonts w:hint="default" w:ascii="Times New Roman" w:hAnsi="Times New Roman" w:cs="Times New Roman"/>
                <w:highlight w:val="none"/>
              </w:rPr>
            </w:pPr>
          </w:p>
          <w:p>
            <w:pPr>
              <w:pStyle w:val="35"/>
              <w:spacing w:line="270" w:lineRule="auto"/>
              <w:rPr>
                <w:rFonts w:hint="default" w:ascii="Times New Roman" w:hAnsi="Times New Roman" w:cs="Times New Roman"/>
                <w:highlight w:val="none"/>
              </w:rPr>
            </w:pPr>
          </w:p>
          <w:p>
            <w:pPr>
              <w:pStyle w:val="35"/>
              <w:spacing w:line="271" w:lineRule="auto"/>
              <w:rPr>
                <w:rFonts w:hint="default" w:ascii="Times New Roman" w:hAnsi="Times New Roman" w:cs="Times New Roman"/>
                <w:highlight w:val="none"/>
              </w:rPr>
            </w:pPr>
          </w:p>
          <w:p>
            <w:pPr>
              <w:spacing w:before="65" w:line="239" w:lineRule="auto"/>
              <w:ind w:left="104" w:right="95" w:firstLine="36"/>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自然生</w:t>
            </w:r>
            <w:r>
              <w:rPr>
                <w:rFonts w:hint="default" w:ascii="Times New Roman" w:hAnsi="Times New Roman" w:eastAsia="宋体" w:cs="Times New Roman"/>
                <w:spacing w:val="1"/>
                <w:sz w:val="20"/>
                <w:szCs w:val="20"/>
                <w:highlight w:val="none"/>
              </w:rPr>
              <w:t xml:space="preserve"> </w:t>
            </w:r>
            <w:r>
              <w:rPr>
                <w:rFonts w:hint="default" w:ascii="Times New Roman" w:hAnsi="Times New Roman" w:eastAsia="宋体" w:cs="Times New Roman"/>
                <w:spacing w:val="6"/>
                <w:sz w:val="20"/>
                <w:szCs w:val="20"/>
                <w:highlight w:val="none"/>
              </w:rPr>
              <w:t>态环境</w:t>
            </w:r>
          </w:p>
        </w:tc>
        <w:tc>
          <w:tcPr>
            <w:tcW w:w="591" w:type="pct"/>
            <w:vAlign w:val="top"/>
          </w:tcPr>
          <w:p>
            <w:pPr>
              <w:spacing w:before="50" w:line="228" w:lineRule="auto"/>
              <w:ind w:left="226"/>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地表水</w:t>
            </w:r>
          </w:p>
        </w:tc>
        <w:tc>
          <w:tcPr>
            <w:tcW w:w="430" w:type="pct"/>
            <w:vAlign w:val="top"/>
          </w:tcPr>
          <w:p>
            <w:pPr>
              <w:spacing w:before="88" w:line="195" w:lineRule="auto"/>
              <w:ind w:left="243"/>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1SP</w:t>
            </w:r>
          </w:p>
        </w:tc>
        <w:tc>
          <w:tcPr>
            <w:tcW w:w="336" w:type="pct"/>
            <w:vAlign w:val="top"/>
          </w:tcPr>
          <w:p>
            <w:pPr>
              <w:pStyle w:val="35"/>
              <w:rPr>
                <w:rFonts w:hint="default" w:ascii="Times New Roman" w:hAnsi="Times New Roman" w:cs="Times New Roman"/>
                <w:highlight w:val="none"/>
              </w:rPr>
            </w:pPr>
          </w:p>
        </w:tc>
        <w:tc>
          <w:tcPr>
            <w:tcW w:w="398" w:type="pct"/>
            <w:vAlign w:val="top"/>
          </w:tcPr>
          <w:p>
            <w:pPr>
              <w:pStyle w:val="35"/>
              <w:rPr>
                <w:rFonts w:hint="default" w:ascii="Times New Roman" w:hAnsi="Times New Roman" w:cs="Times New Roman"/>
                <w:highlight w:val="none"/>
              </w:rPr>
            </w:pPr>
          </w:p>
        </w:tc>
        <w:tc>
          <w:tcPr>
            <w:tcW w:w="557" w:type="pct"/>
            <w:vAlign w:val="top"/>
          </w:tcPr>
          <w:p>
            <w:pPr>
              <w:pStyle w:val="35"/>
              <w:rPr>
                <w:rFonts w:hint="default" w:ascii="Times New Roman" w:hAnsi="Times New Roman" w:cs="Times New Roman"/>
                <w:highlight w:val="none"/>
              </w:rPr>
            </w:pPr>
          </w:p>
        </w:tc>
        <w:tc>
          <w:tcPr>
            <w:tcW w:w="407" w:type="pct"/>
            <w:vAlign w:val="top"/>
          </w:tcPr>
          <w:p>
            <w:pPr>
              <w:spacing w:before="89" w:line="195" w:lineRule="auto"/>
              <w:ind w:left="217"/>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1LP</w:t>
            </w:r>
          </w:p>
        </w:tc>
        <w:tc>
          <w:tcPr>
            <w:tcW w:w="452" w:type="pct"/>
            <w:vAlign w:val="top"/>
          </w:tcPr>
          <w:p>
            <w:pPr>
              <w:pStyle w:val="35"/>
              <w:rPr>
                <w:rFonts w:hint="default" w:ascii="Times New Roman" w:hAnsi="Times New Roman" w:cs="Times New Roman"/>
                <w:highlight w:val="none"/>
              </w:rPr>
            </w:pPr>
          </w:p>
        </w:tc>
        <w:tc>
          <w:tcPr>
            <w:tcW w:w="453" w:type="pct"/>
            <w:vAlign w:val="top"/>
          </w:tcPr>
          <w:p>
            <w:pPr>
              <w:pStyle w:val="35"/>
              <w:rPr>
                <w:rFonts w:hint="default" w:ascii="Times New Roman" w:hAnsi="Times New Roman" w:cs="Times New Roman"/>
                <w:highlight w:val="none"/>
              </w:rPr>
            </w:pPr>
          </w:p>
        </w:tc>
        <w:tc>
          <w:tcPr>
            <w:tcW w:w="453" w:type="pct"/>
            <w:vAlign w:val="top"/>
          </w:tcPr>
          <w:p>
            <w:pPr>
              <w:pStyle w:val="35"/>
              <w:rPr>
                <w:rFonts w:hint="default" w:ascii="Times New Roman" w:hAnsi="Times New Roman" w:cs="Times New Roman"/>
                <w:highlight w:val="none"/>
              </w:rPr>
            </w:pPr>
          </w:p>
        </w:tc>
        <w:tc>
          <w:tcPr>
            <w:tcW w:w="462" w:type="pct"/>
            <w:vAlign w:val="top"/>
          </w:tcPr>
          <w:p>
            <w:pPr>
              <w:pStyle w:val="35"/>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54" w:type="pct"/>
            <w:vMerge w:val="continue"/>
            <w:tcBorders>
              <w:top w:val="nil"/>
              <w:bottom w:val="nil"/>
            </w:tcBorders>
            <w:vAlign w:val="top"/>
          </w:tcPr>
          <w:p>
            <w:pPr>
              <w:pStyle w:val="35"/>
              <w:rPr>
                <w:rFonts w:hint="default" w:ascii="Times New Roman" w:hAnsi="Times New Roman" w:cs="Times New Roman"/>
                <w:highlight w:val="none"/>
              </w:rPr>
            </w:pPr>
          </w:p>
        </w:tc>
        <w:tc>
          <w:tcPr>
            <w:tcW w:w="591" w:type="pct"/>
            <w:vAlign w:val="top"/>
          </w:tcPr>
          <w:p>
            <w:pPr>
              <w:spacing w:before="50" w:line="228" w:lineRule="auto"/>
              <w:ind w:left="226"/>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地下水</w:t>
            </w:r>
          </w:p>
        </w:tc>
        <w:tc>
          <w:tcPr>
            <w:tcW w:w="430" w:type="pct"/>
            <w:vAlign w:val="top"/>
          </w:tcPr>
          <w:p>
            <w:pPr>
              <w:pStyle w:val="35"/>
              <w:rPr>
                <w:rFonts w:hint="default" w:ascii="Times New Roman" w:hAnsi="Times New Roman" w:cs="Times New Roman"/>
                <w:highlight w:val="none"/>
              </w:rPr>
            </w:pPr>
          </w:p>
        </w:tc>
        <w:tc>
          <w:tcPr>
            <w:tcW w:w="336" w:type="pct"/>
            <w:vAlign w:val="top"/>
          </w:tcPr>
          <w:p>
            <w:pPr>
              <w:pStyle w:val="35"/>
              <w:rPr>
                <w:rFonts w:hint="default" w:ascii="Times New Roman" w:hAnsi="Times New Roman" w:cs="Times New Roman"/>
                <w:highlight w:val="none"/>
              </w:rPr>
            </w:pPr>
          </w:p>
        </w:tc>
        <w:tc>
          <w:tcPr>
            <w:tcW w:w="398" w:type="pct"/>
            <w:vAlign w:val="top"/>
          </w:tcPr>
          <w:p>
            <w:pPr>
              <w:pStyle w:val="35"/>
              <w:rPr>
                <w:rFonts w:hint="default" w:ascii="Times New Roman" w:hAnsi="Times New Roman" w:cs="Times New Roman"/>
                <w:highlight w:val="none"/>
              </w:rPr>
            </w:pPr>
          </w:p>
        </w:tc>
        <w:tc>
          <w:tcPr>
            <w:tcW w:w="557" w:type="pct"/>
            <w:vAlign w:val="top"/>
          </w:tcPr>
          <w:p>
            <w:pPr>
              <w:pStyle w:val="35"/>
              <w:rPr>
                <w:rFonts w:hint="default" w:ascii="Times New Roman" w:hAnsi="Times New Roman" w:cs="Times New Roman"/>
                <w:highlight w:val="none"/>
              </w:rPr>
            </w:pPr>
          </w:p>
        </w:tc>
        <w:tc>
          <w:tcPr>
            <w:tcW w:w="407" w:type="pct"/>
            <w:vAlign w:val="top"/>
          </w:tcPr>
          <w:p>
            <w:pPr>
              <w:spacing w:before="89" w:line="195" w:lineRule="auto"/>
              <w:ind w:left="217"/>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1LP</w:t>
            </w:r>
          </w:p>
        </w:tc>
        <w:tc>
          <w:tcPr>
            <w:tcW w:w="452" w:type="pct"/>
            <w:vAlign w:val="top"/>
          </w:tcPr>
          <w:p>
            <w:pPr>
              <w:pStyle w:val="35"/>
              <w:rPr>
                <w:rFonts w:hint="default" w:ascii="Times New Roman" w:hAnsi="Times New Roman" w:cs="Times New Roman"/>
                <w:highlight w:val="none"/>
              </w:rPr>
            </w:pPr>
          </w:p>
        </w:tc>
        <w:tc>
          <w:tcPr>
            <w:tcW w:w="453" w:type="pct"/>
            <w:vAlign w:val="top"/>
          </w:tcPr>
          <w:p>
            <w:pPr>
              <w:pStyle w:val="35"/>
              <w:rPr>
                <w:rFonts w:hint="default" w:ascii="Times New Roman" w:hAnsi="Times New Roman" w:cs="Times New Roman"/>
                <w:highlight w:val="none"/>
              </w:rPr>
            </w:pPr>
          </w:p>
        </w:tc>
        <w:tc>
          <w:tcPr>
            <w:tcW w:w="453" w:type="pct"/>
            <w:vAlign w:val="top"/>
          </w:tcPr>
          <w:p>
            <w:pPr>
              <w:pStyle w:val="35"/>
              <w:rPr>
                <w:rFonts w:hint="default" w:ascii="Times New Roman" w:hAnsi="Times New Roman" w:cs="Times New Roman"/>
                <w:highlight w:val="none"/>
              </w:rPr>
            </w:pPr>
          </w:p>
        </w:tc>
        <w:tc>
          <w:tcPr>
            <w:tcW w:w="462" w:type="pct"/>
            <w:vAlign w:val="top"/>
          </w:tcPr>
          <w:p>
            <w:pPr>
              <w:pStyle w:val="35"/>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54" w:type="pct"/>
            <w:vMerge w:val="continue"/>
            <w:tcBorders>
              <w:top w:val="nil"/>
              <w:bottom w:val="nil"/>
            </w:tcBorders>
            <w:vAlign w:val="top"/>
          </w:tcPr>
          <w:p>
            <w:pPr>
              <w:pStyle w:val="35"/>
              <w:rPr>
                <w:rFonts w:hint="default" w:ascii="Times New Roman" w:hAnsi="Times New Roman" w:cs="Times New Roman"/>
                <w:highlight w:val="none"/>
              </w:rPr>
            </w:pPr>
          </w:p>
        </w:tc>
        <w:tc>
          <w:tcPr>
            <w:tcW w:w="591" w:type="pct"/>
            <w:vAlign w:val="top"/>
          </w:tcPr>
          <w:p>
            <w:pPr>
              <w:spacing w:before="53" w:line="228" w:lineRule="auto"/>
              <w:ind w:left="123"/>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大气环境</w:t>
            </w:r>
          </w:p>
        </w:tc>
        <w:tc>
          <w:tcPr>
            <w:tcW w:w="430" w:type="pct"/>
            <w:vAlign w:val="top"/>
          </w:tcPr>
          <w:p>
            <w:pPr>
              <w:spacing w:before="89" w:line="195" w:lineRule="auto"/>
              <w:ind w:left="222"/>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10"/>
                <w:sz w:val="20"/>
                <w:szCs w:val="20"/>
                <w:highlight w:val="none"/>
              </w:rPr>
              <w:t>2</w:t>
            </w:r>
            <w:r>
              <w:rPr>
                <w:rFonts w:hint="default" w:ascii="Times New Roman" w:hAnsi="Times New Roman" w:eastAsia="Times New Roman" w:cs="Times New Roman"/>
                <w:sz w:val="20"/>
                <w:szCs w:val="20"/>
                <w:highlight w:val="none"/>
              </w:rPr>
              <w:t>SP</w:t>
            </w:r>
          </w:p>
        </w:tc>
        <w:tc>
          <w:tcPr>
            <w:tcW w:w="336" w:type="pct"/>
            <w:vAlign w:val="top"/>
          </w:tcPr>
          <w:p>
            <w:pPr>
              <w:pStyle w:val="35"/>
              <w:rPr>
                <w:rFonts w:hint="default" w:ascii="Times New Roman" w:hAnsi="Times New Roman" w:cs="Times New Roman"/>
                <w:highlight w:val="none"/>
              </w:rPr>
            </w:pPr>
          </w:p>
        </w:tc>
        <w:tc>
          <w:tcPr>
            <w:tcW w:w="398" w:type="pct"/>
            <w:vAlign w:val="top"/>
          </w:tcPr>
          <w:p>
            <w:pPr>
              <w:spacing w:before="89" w:line="195" w:lineRule="auto"/>
              <w:ind w:left="213"/>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1SP</w:t>
            </w:r>
          </w:p>
        </w:tc>
        <w:tc>
          <w:tcPr>
            <w:tcW w:w="557" w:type="pct"/>
            <w:vAlign w:val="top"/>
          </w:tcPr>
          <w:p>
            <w:pPr>
              <w:pStyle w:val="35"/>
              <w:rPr>
                <w:rFonts w:hint="default" w:ascii="Times New Roman" w:hAnsi="Times New Roman" w:cs="Times New Roman"/>
                <w:highlight w:val="none"/>
              </w:rPr>
            </w:pPr>
          </w:p>
        </w:tc>
        <w:tc>
          <w:tcPr>
            <w:tcW w:w="407" w:type="pct"/>
            <w:vAlign w:val="top"/>
          </w:tcPr>
          <w:p>
            <w:pPr>
              <w:pStyle w:val="35"/>
              <w:rPr>
                <w:rFonts w:hint="default" w:ascii="Times New Roman" w:hAnsi="Times New Roman" w:cs="Times New Roman"/>
                <w:highlight w:val="none"/>
              </w:rPr>
            </w:pPr>
          </w:p>
        </w:tc>
        <w:tc>
          <w:tcPr>
            <w:tcW w:w="452" w:type="pct"/>
            <w:vAlign w:val="top"/>
          </w:tcPr>
          <w:p>
            <w:pPr>
              <w:spacing w:before="89" w:line="195" w:lineRule="auto"/>
              <w:ind w:left="238"/>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11"/>
                <w:sz w:val="20"/>
                <w:szCs w:val="20"/>
                <w:highlight w:val="none"/>
              </w:rPr>
              <w:t>2</w:t>
            </w:r>
            <w:r>
              <w:rPr>
                <w:rFonts w:hint="default" w:ascii="Times New Roman" w:hAnsi="Times New Roman" w:eastAsia="Times New Roman" w:cs="Times New Roman"/>
                <w:sz w:val="20"/>
                <w:szCs w:val="20"/>
                <w:highlight w:val="none"/>
              </w:rPr>
              <w:t>LP</w:t>
            </w:r>
          </w:p>
        </w:tc>
        <w:tc>
          <w:tcPr>
            <w:tcW w:w="453" w:type="pct"/>
            <w:vAlign w:val="top"/>
          </w:tcPr>
          <w:p>
            <w:pPr>
              <w:pStyle w:val="35"/>
              <w:rPr>
                <w:rFonts w:hint="default" w:ascii="Times New Roman" w:hAnsi="Times New Roman" w:cs="Times New Roman"/>
                <w:highlight w:val="none"/>
              </w:rPr>
            </w:pPr>
          </w:p>
        </w:tc>
        <w:tc>
          <w:tcPr>
            <w:tcW w:w="453" w:type="pct"/>
            <w:vAlign w:val="top"/>
          </w:tcPr>
          <w:p>
            <w:pPr>
              <w:pStyle w:val="35"/>
              <w:rPr>
                <w:rFonts w:hint="default" w:ascii="Times New Roman" w:hAnsi="Times New Roman" w:cs="Times New Roman"/>
                <w:highlight w:val="none"/>
              </w:rPr>
            </w:pPr>
          </w:p>
        </w:tc>
        <w:tc>
          <w:tcPr>
            <w:tcW w:w="462" w:type="pct"/>
            <w:vAlign w:val="top"/>
          </w:tcPr>
          <w:p>
            <w:pPr>
              <w:spacing w:before="89" w:line="195" w:lineRule="auto"/>
              <w:ind w:left="265"/>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1LP</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54" w:type="pct"/>
            <w:vMerge w:val="continue"/>
            <w:tcBorders>
              <w:top w:val="nil"/>
              <w:bottom w:val="nil"/>
            </w:tcBorders>
            <w:vAlign w:val="top"/>
          </w:tcPr>
          <w:p>
            <w:pPr>
              <w:pStyle w:val="35"/>
              <w:rPr>
                <w:rFonts w:hint="default" w:ascii="Times New Roman" w:hAnsi="Times New Roman" w:cs="Times New Roman"/>
                <w:highlight w:val="none"/>
              </w:rPr>
            </w:pPr>
          </w:p>
        </w:tc>
        <w:tc>
          <w:tcPr>
            <w:tcW w:w="591" w:type="pct"/>
            <w:vAlign w:val="top"/>
          </w:tcPr>
          <w:p>
            <w:pPr>
              <w:spacing w:before="54" w:line="228" w:lineRule="auto"/>
              <w:ind w:left="230"/>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声环境</w:t>
            </w:r>
          </w:p>
        </w:tc>
        <w:tc>
          <w:tcPr>
            <w:tcW w:w="430" w:type="pct"/>
            <w:vAlign w:val="top"/>
          </w:tcPr>
          <w:p>
            <w:pPr>
              <w:spacing w:before="89" w:line="195" w:lineRule="auto"/>
              <w:ind w:left="243"/>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1SP</w:t>
            </w:r>
          </w:p>
        </w:tc>
        <w:tc>
          <w:tcPr>
            <w:tcW w:w="336" w:type="pct"/>
            <w:vAlign w:val="top"/>
          </w:tcPr>
          <w:p>
            <w:pPr>
              <w:spacing w:before="89" w:line="195" w:lineRule="auto"/>
              <w:ind w:left="135"/>
              <w:rPr>
                <w:rFonts w:hint="default" w:ascii="Times New Roman" w:hAnsi="Times New Roman" w:eastAsia="Times New Roman" w:cs="Times New Roman"/>
                <w:sz w:val="20"/>
                <w:szCs w:val="20"/>
                <w:highlight w:val="none"/>
              </w:rPr>
            </w:pPr>
          </w:p>
        </w:tc>
        <w:tc>
          <w:tcPr>
            <w:tcW w:w="398" w:type="pct"/>
            <w:vAlign w:val="top"/>
          </w:tcPr>
          <w:p>
            <w:pPr>
              <w:spacing w:before="89" w:line="195" w:lineRule="auto"/>
              <w:ind w:left="213"/>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1SP</w:t>
            </w:r>
          </w:p>
        </w:tc>
        <w:tc>
          <w:tcPr>
            <w:tcW w:w="557" w:type="pct"/>
            <w:vAlign w:val="top"/>
          </w:tcPr>
          <w:p>
            <w:pPr>
              <w:spacing w:before="89" w:line="195" w:lineRule="auto"/>
              <w:ind w:left="337"/>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10"/>
                <w:sz w:val="20"/>
                <w:szCs w:val="20"/>
                <w:highlight w:val="none"/>
              </w:rPr>
              <w:t>2</w:t>
            </w:r>
            <w:r>
              <w:rPr>
                <w:rFonts w:hint="default" w:ascii="Times New Roman" w:hAnsi="Times New Roman" w:eastAsia="Times New Roman" w:cs="Times New Roman"/>
                <w:sz w:val="20"/>
                <w:szCs w:val="20"/>
                <w:highlight w:val="none"/>
              </w:rPr>
              <w:t>SP</w:t>
            </w:r>
          </w:p>
        </w:tc>
        <w:tc>
          <w:tcPr>
            <w:tcW w:w="407" w:type="pct"/>
            <w:vAlign w:val="top"/>
          </w:tcPr>
          <w:p>
            <w:pPr>
              <w:pStyle w:val="35"/>
              <w:rPr>
                <w:rFonts w:hint="default" w:ascii="Times New Roman" w:hAnsi="Times New Roman" w:cs="Times New Roman"/>
                <w:highlight w:val="none"/>
              </w:rPr>
            </w:pPr>
          </w:p>
        </w:tc>
        <w:tc>
          <w:tcPr>
            <w:tcW w:w="452" w:type="pct"/>
            <w:vAlign w:val="top"/>
          </w:tcPr>
          <w:p>
            <w:pPr>
              <w:pStyle w:val="35"/>
              <w:rPr>
                <w:rFonts w:hint="default" w:ascii="Times New Roman" w:hAnsi="Times New Roman" w:cs="Times New Roman"/>
                <w:highlight w:val="none"/>
              </w:rPr>
            </w:pPr>
          </w:p>
        </w:tc>
        <w:tc>
          <w:tcPr>
            <w:tcW w:w="453" w:type="pct"/>
            <w:vAlign w:val="top"/>
          </w:tcPr>
          <w:p>
            <w:pPr>
              <w:pStyle w:val="35"/>
              <w:rPr>
                <w:rFonts w:hint="default" w:ascii="Times New Roman" w:hAnsi="Times New Roman" w:cs="Times New Roman"/>
                <w:highlight w:val="none"/>
              </w:rPr>
            </w:pPr>
          </w:p>
        </w:tc>
        <w:tc>
          <w:tcPr>
            <w:tcW w:w="453" w:type="pct"/>
            <w:vAlign w:val="top"/>
          </w:tcPr>
          <w:p>
            <w:pPr>
              <w:spacing w:before="89" w:line="195" w:lineRule="auto"/>
              <w:ind w:left="242"/>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11"/>
                <w:sz w:val="20"/>
                <w:szCs w:val="20"/>
                <w:highlight w:val="none"/>
              </w:rPr>
              <w:t>2</w:t>
            </w:r>
            <w:r>
              <w:rPr>
                <w:rFonts w:hint="default" w:ascii="Times New Roman" w:hAnsi="Times New Roman" w:eastAsia="Times New Roman" w:cs="Times New Roman"/>
                <w:sz w:val="20"/>
                <w:szCs w:val="20"/>
                <w:highlight w:val="none"/>
              </w:rPr>
              <w:t>LP</w:t>
            </w:r>
          </w:p>
        </w:tc>
        <w:tc>
          <w:tcPr>
            <w:tcW w:w="462" w:type="pct"/>
            <w:vAlign w:val="top"/>
          </w:tcPr>
          <w:p>
            <w:pPr>
              <w:spacing w:before="89" w:line="195" w:lineRule="auto"/>
              <w:ind w:left="265"/>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1LP</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454" w:type="pct"/>
            <w:vMerge w:val="continue"/>
            <w:tcBorders>
              <w:top w:val="nil"/>
              <w:bottom w:val="nil"/>
            </w:tcBorders>
            <w:vAlign w:val="top"/>
          </w:tcPr>
          <w:p>
            <w:pPr>
              <w:pStyle w:val="35"/>
              <w:rPr>
                <w:rFonts w:hint="default" w:ascii="Times New Roman" w:hAnsi="Times New Roman" w:cs="Times New Roman"/>
                <w:highlight w:val="none"/>
              </w:rPr>
            </w:pPr>
          </w:p>
        </w:tc>
        <w:tc>
          <w:tcPr>
            <w:tcW w:w="591" w:type="pct"/>
            <w:vAlign w:val="top"/>
          </w:tcPr>
          <w:p>
            <w:pPr>
              <w:spacing w:before="54" w:line="229" w:lineRule="auto"/>
              <w:ind w:left="332"/>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土壤</w:t>
            </w:r>
          </w:p>
        </w:tc>
        <w:tc>
          <w:tcPr>
            <w:tcW w:w="430" w:type="pct"/>
            <w:vAlign w:val="top"/>
          </w:tcPr>
          <w:p>
            <w:pPr>
              <w:spacing w:before="90" w:line="195" w:lineRule="auto"/>
              <w:ind w:left="243"/>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1SP</w:t>
            </w:r>
          </w:p>
        </w:tc>
        <w:tc>
          <w:tcPr>
            <w:tcW w:w="336" w:type="pct"/>
            <w:vAlign w:val="top"/>
          </w:tcPr>
          <w:p>
            <w:pPr>
              <w:pStyle w:val="35"/>
              <w:rPr>
                <w:rFonts w:hint="default" w:ascii="Times New Roman" w:hAnsi="Times New Roman" w:cs="Times New Roman"/>
                <w:highlight w:val="none"/>
              </w:rPr>
            </w:pPr>
          </w:p>
        </w:tc>
        <w:tc>
          <w:tcPr>
            <w:tcW w:w="398" w:type="pct"/>
            <w:vAlign w:val="top"/>
          </w:tcPr>
          <w:p>
            <w:pPr>
              <w:pStyle w:val="35"/>
              <w:rPr>
                <w:rFonts w:hint="default" w:ascii="Times New Roman" w:hAnsi="Times New Roman" w:cs="Times New Roman"/>
                <w:highlight w:val="none"/>
              </w:rPr>
            </w:pPr>
          </w:p>
        </w:tc>
        <w:tc>
          <w:tcPr>
            <w:tcW w:w="557" w:type="pct"/>
            <w:vAlign w:val="top"/>
          </w:tcPr>
          <w:p>
            <w:pPr>
              <w:pStyle w:val="35"/>
              <w:rPr>
                <w:rFonts w:hint="default" w:ascii="Times New Roman" w:hAnsi="Times New Roman" w:cs="Times New Roman"/>
                <w:highlight w:val="none"/>
              </w:rPr>
            </w:pPr>
          </w:p>
        </w:tc>
        <w:tc>
          <w:tcPr>
            <w:tcW w:w="407" w:type="pct"/>
            <w:vAlign w:val="top"/>
          </w:tcPr>
          <w:p>
            <w:pPr>
              <w:pStyle w:val="35"/>
              <w:rPr>
                <w:rFonts w:hint="default" w:ascii="Times New Roman" w:hAnsi="Times New Roman" w:cs="Times New Roman"/>
                <w:highlight w:val="none"/>
              </w:rPr>
            </w:pPr>
          </w:p>
        </w:tc>
        <w:tc>
          <w:tcPr>
            <w:tcW w:w="452" w:type="pct"/>
            <w:vAlign w:val="top"/>
          </w:tcPr>
          <w:p>
            <w:pPr>
              <w:pStyle w:val="35"/>
              <w:rPr>
                <w:rFonts w:hint="default" w:ascii="Times New Roman" w:hAnsi="Times New Roman" w:cs="Times New Roman"/>
                <w:highlight w:val="none"/>
              </w:rPr>
            </w:pPr>
          </w:p>
        </w:tc>
        <w:tc>
          <w:tcPr>
            <w:tcW w:w="453" w:type="pct"/>
            <w:vAlign w:val="top"/>
          </w:tcPr>
          <w:p>
            <w:pPr>
              <w:spacing w:before="90" w:line="195" w:lineRule="auto"/>
              <w:ind w:left="264"/>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1SP</w:t>
            </w:r>
          </w:p>
        </w:tc>
        <w:tc>
          <w:tcPr>
            <w:tcW w:w="453" w:type="pct"/>
            <w:vAlign w:val="top"/>
          </w:tcPr>
          <w:p>
            <w:pPr>
              <w:pStyle w:val="35"/>
              <w:rPr>
                <w:rFonts w:hint="default" w:ascii="Times New Roman" w:hAnsi="Times New Roman" w:cs="Times New Roman"/>
                <w:highlight w:val="none"/>
              </w:rPr>
            </w:pPr>
          </w:p>
        </w:tc>
        <w:tc>
          <w:tcPr>
            <w:tcW w:w="462" w:type="pct"/>
            <w:vAlign w:val="top"/>
          </w:tcPr>
          <w:p>
            <w:pPr>
              <w:pStyle w:val="35"/>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54" w:type="pct"/>
            <w:vMerge w:val="continue"/>
            <w:tcBorders>
              <w:top w:val="nil"/>
              <w:bottom w:val="nil"/>
            </w:tcBorders>
            <w:vAlign w:val="top"/>
          </w:tcPr>
          <w:p>
            <w:pPr>
              <w:pStyle w:val="35"/>
              <w:rPr>
                <w:rFonts w:hint="default" w:ascii="Times New Roman" w:hAnsi="Times New Roman" w:cs="Times New Roman"/>
                <w:highlight w:val="none"/>
              </w:rPr>
            </w:pPr>
          </w:p>
        </w:tc>
        <w:tc>
          <w:tcPr>
            <w:tcW w:w="591" w:type="pct"/>
            <w:vAlign w:val="top"/>
          </w:tcPr>
          <w:p>
            <w:pPr>
              <w:spacing w:before="53" w:line="228" w:lineRule="auto"/>
              <w:ind w:left="332"/>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植被</w:t>
            </w:r>
          </w:p>
        </w:tc>
        <w:tc>
          <w:tcPr>
            <w:tcW w:w="430" w:type="pct"/>
            <w:vAlign w:val="top"/>
          </w:tcPr>
          <w:p>
            <w:pPr>
              <w:spacing w:before="92" w:line="195" w:lineRule="auto"/>
              <w:ind w:left="243"/>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1SP</w:t>
            </w:r>
          </w:p>
        </w:tc>
        <w:tc>
          <w:tcPr>
            <w:tcW w:w="336" w:type="pct"/>
            <w:vAlign w:val="top"/>
          </w:tcPr>
          <w:p>
            <w:pPr>
              <w:pStyle w:val="35"/>
              <w:rPr>
                <w:rFonts w:hint="default" w:ascii="Times New Roman" w:hAnsi="Times New Roman" w:cs="Times New Roman"/>
                <w:highlight w:val="none"/>
              </w:rPr>
            </w:pPr>
          </w:p>
        </w:tc>
        <w:tc>
          <w:tcPr>
            <w:tcW w:w="398" w:type="pct"/>
            <w:vAlign w:val="top"/>
          </w:tcPr>
          <w:p>
            <w:pPr>
              <w:pStyle w:val="35"/>
              <w:rPr>
                <w:rFonts w:hint="default" w:ascii="Times New Roman" w:hAnsi="Times New Roman" w:cs="Times New Roman"/>
                <w:highlight w:val="none"/>
              </w:rPr>
            </w:pPr>
          </w:p>
        </w:tc>
        <w:tc>
          <w:tcPr>
            <w:tcW w:w="557" w:type="pct"/>
            <w:vAlign w:val="top"/>
          </w:tcPr>
          <w:p>
            <w:pPr>
              <w:pStyle w:val="35"/>
              <w:rPr>
                <w:rFonts w:hint="default" w:ascii="Times New Roman" w:hAnsi="Times New Roman" w:cs="Times New Roman"/>
                <w:highlight w:val="none"/>
              </w:rPr>
            </w:pPr>
          </w:p>
        </w:tc>
        <w:tc>
          <w:tcPr>
            <w:tcW w:w="407" w:type="pct"/>
            <w:vAlign w:val="top"/>
          </w:tcPr>
          <w:p>
            <w:pPr>
              <w:pStyle w:val="35"/>
              <w:rPr>
                <w:rFonts w:hint="default" w:ascii="Times New Roman" w:hAnsi="Times New Roman" w:cs="Times New Roman"/>
                <w:highlight w:val="none"/>
              </w:rPr>
            </w:pPr>
          </w:p>
        </w:tc>
        <w:tc>
          <w:tcPr>
            <w:tcW w:w="452" w:type="pct"/>
            <w:vAlign w:val="top"/>
          </w:tcPr>
          <w:p>
            <w:pPr>
              <w:pStyle w:val="35"/>
              <w:rPr>
                <w:rFonts w:hint="default" w:ascii="Times New Roman" w:hAnsi="Times New Roman" w:cs="Times New Roman"/>
                <w:highlight w:val="none"/>
              </w:rPr>
            </w:pPr>
          </w:p>
        </w:tc>
        <w:tc>
          <w:tcPr>
            <w:tcW w:w="453" w:type="pct"/>
            <w:vAlign w:val="top"/>
          </w:tcPr>
          <w:p>
            <w:pPr>
              <w:pStyle w:val="35"/>
              <w:rPr>
                <w:rFonts w:hint="default" w:ascii="Times New Roman" w:hAnsi="Times New Roman" w:cs="Times New Roman"/>
                <w:highlight w:val="none"/>
              </w:rPr>
            </w:pPr>
          </w:p>
        </w:tc>
        <w:tc>
          <w:tcPr>
            <w:tcW w:w="453" w:type="pct"/>
            <w:vAlign w:val="top"/>
          </w:tcPr>
          <w:p>
            <w:pPr>
              <w:pStyle w:val="35"/>
              <w:rPr>
                <w:rFonts w:hint="default" w:ascii="Times New Roman" w:hAnsi="Times New Roman" w:cs="Times New Roman"/>
                <w:highlight w:val="none"/>
              </w:rPr>
            </w:pPr>
          </w:p>
        </w:tc>
        <w:tc>
          <w:tcPr>
            <w:tcW w:w="462" w:type="pct"/>
            <w:vAlign w:val="top"/>
          </w:tcPr>
          <w:p>
            <w:pPr>
              <w:pStyle w:val="35"/>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54" w:type="pct"/>
            <w:vMerge w:val="continue"/>
            <w:tcBorders>
              <w:top w:val="nil"/>
            </w:tcBorders>
            <w:vAlign w:val="top"/>
          </w:tcPr>
          <w:p>
            <w:pPr>
              <w:pStyle w:val="35"/>
              <w:rPr>
                <w:rFonts w:hint="default" w:ascii="Times New Roman" w:hAnsi="Times New Roman" w:cs="Times New Roman"/>
                <w:highlight w:val="none"/>
              </w:rPr>
            </w:pPr>
          </w:p>
        </w:tc>
        <w:tc>
          <w:tcPr>
            <w:tcW w:w="591" w:type="pct"/>
            <w:vAlign w:val="top"/>
          </w:tcPr>
          <w:p>
            <w:pPr>
              <w:spacing w:before="54" w:line="228" w:lineRule="auto"/>
              <w:ind w:left="332"/>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气候</w:t>
            </w:r>
          </w:p>
        </w:tc>
        <w:tc>
          <w:tcPr>
            <w:tcW w:w="430" w:type="pct"/>
            <w:vAlign w:val="top"/>
          </w:tcPr>
          <w:p>
            <w:pPr>
              <w:pStyle w:val="35"/>
              <w:rPr>
                <w:rFonts w:hint="default" w:ascii="Times New Roman" w:hAnsi="Times New Roman" w:cs="Times New Roman"/>
                <w:highlight w:val="none"/>
              </w:rPr>
            </w:pPr>
          </w:p>
        </w:tc>
        <w:tc>
          <w:tcPr>
            <w:tcW w:w="336" w:type="pct"/>
            <w:vAlign w:val="top"/>
          </w:tcPr>
          <w:p>
            <w:pPr>
              <w:pStyle w:val="35"/>
              <w:rPr>
                <w:rFonts w:hint="default" w:ascii="Times New Roman" w:hAnsi="Times New Roman" w:cs="Times New Roman"/>
                <w:highlight w:val="none"/>
              </w:rPr>
            </w:pPr>
          </w:p>
        </w:tc>
        <w:tc>
          <w:tcPr>
            <w:tcW w:w="398" w:type="pct"/>
            <w:vAlign w:val="top"/>
          </w:tcPr>
          <w:p>
            <w:pPr>
              <w:pStyle w:val="35"/>
              <w:rPr>
                <w:rFonts w:hint="default" w:ascii="Times New Roman" w:hAnsi="Times New Roman" w:cs="Times New Roman"/>
                <w:highlight w:val="none"/>
              </w:rPr>
            </w:pPr>
          </w:p>
        </w:tc>
        <w:tc>
          <w:tcPr>
            <w:tcW w:w="557" w:type="pct"/>
            <w:vAlign w:val="top"/>
          </w:tcPr>
          <w:p>
            <w:pPr>
              <w:pStyle w:val="35"/>
              <w:rPr>
                <w:rFonts w:hint="default" w:ascii="Times New Roman" w:hAnsi="Times New Roman" w:cs="Times New Roman"/>
                <w:highlight w:val="none"/>
              </w:rPr>
            </w:pPr>
          </w:p>
        </w:tc>
        <w:tc>
          <w:tcPr>
            <w:tcW w:w="407" w:type="pct"/>
            <w:vAlign w:val="top"/>
          </w:tcPr>
          <w:p>
            <w:pPr>
              <w:pStyle w:val="35"/>
              <w:rPr>
                <w:rFonts w:hint="default" w:ascii="Times New Roman" w:hAnsi="Times New Roman" w:cs="Times New Roman"/>
                <w:highlight w:val="none"/>
              </w:rPr>
            </w:pPr>
          </w:p>
        </w:tc>
        <w:tc>
          <w:tcPr>
            <w:tcW w:w="452" w:type="pct"/>
            <w:vAlign w:val="top"/>
          </w:tcPr>
          <w:p>
            <w:pPr>
              <w:pStyle w:val="35"/>
              <w:rPr>
                <w:rFonts w:hint="default" w:ascii="Times New Roman" w:hAnsi="Times New Roman" w:cs="Times New Roman"/>
                <w:highlight w:val="none"/>
              </w:rPr>
            </w:pPr>
          </w:p>
        </w:tc>
        <w:tc>
          <w:tcPr>
            <w:tcW w:w="453" w:type="pct"/>
            <w:vAlign w:val="top"/>
          </w:tcPr>
          <w:p>
            <w:pPr>
              <w:pStyle w:val="35"/>
              <w:rPr>
                <w:rFonts w:hint="default" w:ascii="Times New Roman" w:hAnsi="Times New Roman" w:cs="Times New Roman"/>
                <w:highlight w:val="none"/>
              </w:rPr>
            </w:pPr>
          </w:p>
        </w:tc>
        <w:tc>
          <w:tcPr>
            <w:tcW w:w="453" w:type="pct"/>
            <w:vAlign w:val="top"/>
          </w:tcPr>
          <w:p>
            <w:pPr>
              <w:pStyle w:val="35"/>
              <w:rPr>
                <w:rFonts w:hint="default" w:ascii="Times New Roman" w:hAnsi="Times New Roman" w:cs="Times New Roman"/>
                <w:highlight w:val="none"/>
              </w:rPr>
            </w:pPr>
          </w:p>
        </w:tc>
        <w:tc>
          <w:tcPr>
            <w:tcW w:w="462" w:type="pct"/>
            <w:vAlign w:val="top"/>
          </w:tcPr>
          <w:p>
            <w:pPr>
              <w:spacing w:before="93" w:line="195" w:lineRule="auto"/>
              <w:ind w:left="265"/>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1LP</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54" w:type="pct"/>
            <w:vMerge w:val="restart"/>
            <w:tcBorders>
              <w:bottom w:val="nil"/>
            </w:tcBorders>
            <w:vAlign w:val="top"/>
          </w:tcPr>
          <w:p>
            <w:pPr>
              <w:pStyle w:val="35"/>
              <w:spacing w:line="247" w:lineRule="auto"/>
              <w:rPr>
                <w:rFonts w:hint="default" w:ascii="Times New Roman" w:hAnsi="Times New Roman" w:cs="Times New Roman"/>
                <w:highlight w:val="none"/>
              </w:rPr>
            </w:pPr>
          </w:p>
          <w:p>
            <w:pPr>
              <w:pStyle w:val="35"/>
              <w:spacing w:line="248" w:lineRule="auto"/>
              <w:rPr>
                <w:rFonts w:hint="default" w:ascii="Times New Roman" w:hAnsi="Times New Roman" w:cs="Times New Roman"/>
                <w:highlight w:val="none"/>
              </w:rPr>
            </w:pPr>
          </w:p>
          <w:p>
            <w:pPr>
              <w:spacing w:before="65" w:line="239" w:lineRule="auto"/>
              <w:ind w:left="105" w:right="95" w:firstLine="3"/>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社会经</w:t>
            </w:r>
            <w:r>
              <w:rPr>
                <w:rFonts w:hint="default" w:ascii="Times New Roman" w:hAnsi="Times New Roman" w:eastAsia="宋体" w:cs="Times New Roman"/>
                <w:sz w:val="20"/>
                <w:szCs w:val="20"/>
                <w:highlight w:val="none"/>
              </w:rPr>
              <w:t xml:space="preserve"> </w:t>
            </w:r>
            <w:r>
              <w:rPr>
                <w:rFonts w:hint="default" w:ascii="Times New Roman" w:hAnsi="Times New Roman" w:eastAsia="宋体" w:cs="Times New Roman"/>
                <w:spacing w:val="5"/>
                <w:sz w:val="20"/>
                <w:szCs w:val="20"/>
                <w:highlight w:val="none"/>
              </w:rPr>
              <w:t>济环境</w:t>
            </w:r>
          </w:p>
        </w:tc>
        <w:tc>
          <w:tcPr>
            <w:tcW w:w="591" w:type="pct"/>
            <w:vAlign w:val="top"/>
          </w:tcPr>
          <w:p>
            <w:pPr>
              <w:spacing w:before="54" w:line="233" w:lineRule="auto"/>
              <w:ind w:left="334"/>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工业</w:t>
            </w:r>
          </w:p>
        </w:tc>
        <w:tc>
          <w:tcPr>
            <w:tcW w:w="430" w:type="pct"/>
            <w:vAlign w:val="top"/>
          </w:tcPr>
          <w:p>
            <w:pPr>
              <w:spacing w:before="92" w:line="195" w:lineRule="auto"/>
              <w:ind w:left="243"/>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1SP</w:t>
            </w:r>
          </w:p>
        </w:tc>
        <w:tc>
          <w:tcPr>
            <w:tcW w:w="336" w:type="pct"/>
            <w:vAlign w:val="top"/>
          </w:tcPr>
          <w:p>
            <w:pPr>
              <w:pStyle w:val="35"/>
              <w:rPr>
                <w:rFonts w:hint="default" w:ascii="Times New Roman" w:hAnsi="Times New Roman" w:cs="Times New Roman"/>
                <w:highlight w:val="none"/>
              </w:rPr>
            </w:pPr>
          </w:p>
        </w:tc>
        <w:tc>
          <w:tcPr>
            <w:tcW w:w="398" w:type="pct"/>
            <w:vAlign w:val="top"/>
          </w:tcPr>
          <w:p>
            <w:pPr>
              <w:pStyle w:val="35"/>
              <w:rPr>
                <w:rFonts w:hint="default" w:ascii="Times New Roman" w:hAnsi="Times New Roman" w:cs="Times New Roman"/>
                <w:highlight w:val="none"/>
              </w:rPr>
            </w:pPr>
          </w:p>
        </w:tc>
        <w:tc>
          <w:tcPr>
            <w:tcW w:w="557" w:type="pct"/>
            <w:vAlign w:val="top"/>
          </w:tcPr>
          <w:p>
            <w:pPr>
              <w:pStyle w:val="35"/>
              <w:rPr>
                <w:rFonts w:hint="default" w:ascii="Times New Roman" w:hAnsi="Times New Roman" w:cs="Times New Roman"/>
                <w:highlight w:val="none"/>
              </w:rPr>
            </w:pPr>
          </w:p>
        </w:tc>
        <w:tc>
          <w:tcPr>
            <w:tcW w:w="407" w:type="pct"/>
            <w:vAlign w:val="top"/>
          </w:tcPr>
          <w:p>
            <w:pPr>
              <w:pStyle w:val="35"/>
              <w:rPr>
                <w:rFonts w:hint="default" w:ascii="Times New Roman" w:hAnsi="Times New Roman" w:cs="Times New Roman"/>
                <w:highlight w:val="none"/>
              </w:rPr>
            </w:pPr>
          </w:p>
        </w:tc>
        <w:tc>
          <w:tcPr>
            <w:tcW w:w="452" w:type="pct"/>
            <w:vAlign w:val="top"/>
          </w:tcPr>
          <w:p>
            <w:pPr>
              <w:pStyle w:val="35"/>
              <w:rPr>
                <w:rFonts w:hint="default" w:ascii="Times New Roman" w:hAnsi="Times New Roman" w:cs="Times New Roman"/>
                <w:highlight w:val="none"/>
              </w:rPr>
            </w:pPr>
          </w:p>
        </w:tc>
        <w:tc>
          <w:tcPr>
            <w:tcW w:w="453" w:type="pct"/>
            <w:vAlign w:val="top"/>
          </w:tcPr>
          <w:p>
            <w:pPr>
              <w:pStyle w:val="35"/>
              <w:rPr>
                <w:rFonts w:hint="default" w:ascii="Times New Roman" w:hAnsi="Times New Roman" w:cs="Times New Roman"/>
                <w:highlight w:val="none"/>
              </w:rPr>
            </w:pPr>
          </w:p>
        </w:tc>
        <w:tc>
          <w:tcPr>
            <w:tcW w:w="453" w:type="pct"/>
            <w:vAlign w:val="top"/>
          </w:tcPr>
          <w:p>
            <w:pPr>
              <w:pStyle w:val="35"/>
              <w:rPr>
                <w:rFonts w:hint="default" w:ascii="Times New Roman" w:hAnsi="Times New Roman" w:cs="Times New Roman"/>
                <w:highlight w:val="none"/>
              </w:rPr>
            </w:pPr>
          </w:p>
        </w:tc>
        <w:tc>
          <w:tcPr>
            <w:tcW w:w="462" w:type="pct"/>
            <w:vAlign w:val="top"/>
          </w:tcPr>
          <w:p>
            <w:pPr>
              <w:pStyle w:val="35"/>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54" w:type="pct"/>
            <w:vMerge w:val="continue"/>
            <w:tcBorders>
              <w:top w:val="nil"/>
              <w:bottom w:val="nil"/>
            </w:tcBorders>
            <w:vAlign w:val="top"/>
          </w:tcPr>
          <w:p>
            <w:pPr>
              <w:pStyle w:val="35"/>
              <w:rPr>
                <w:rFonts w:hint="default" w:ascii="Times New Roman" w:hAnsi="Times New Roman" w:cs="Times New Roman"/>
                <w:highlight w:val="none"/>
              </w:rPr>
            </w:pPr>
          </w:p>
        </w:tc>
        <w:tc>
          <w:tcPr>
            <w:tcW w:w="591" w:type="pct"/>
            <w:vAlign w:val="top"/>
          </w:tcPr>
          <w:p>
            <w:pPr>
              <w:spacing w:before="56" w:line="230" w:lineRule="auto"/>
              <w:ind w:left="332"/>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农业</w:t>
            </w:r>
          </w:p>
        </w:tc>
        <w:tc>
          <w:tcPr>
            <w:tcW w:w="430" w:type="pct"/>
            <w:vAlign w:val="top"/>
          </w:tcPr>
          <w:p>
            <w:pPr>
              <w:spacing w:before="92" w:line="195" w:lineRule="auto"/>
              <w:ind w:left="243"/>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1SP</w:t>
            </w:r>
          </w:p>
        </w:tc>
        <w:tc>
          <w:tcPr>
            <w:tcW w:w="336" w:type="pct"/>
            <w:vAlign w:val="top"/>
          </w:tcPr>
          <w:p>
            <w:pPr>
              <w:pStyle w:val="35"/>
              <w:rPr>
                <w:rFonts w:hint="default" w:ascii="Times New Roman" w:hAnsi="Times New Roman" w:cs="Times New Roman"/>
                <w:highlight w:val="none"/>
              </w:rPr>
            </w:pPr>
          </w:p>
        </w:tc>
        <w:tc>
          <w:tcPr>
            <w:tcW w:w="398" w:type="pct"/>
            <w:vAlign w:val="top"/>
          </w:tcPr>
          <w:p>
            <w:pPr>
              <w:pStyle w:val="35"/>
              <w:rPr>
                <w:rFonts w:hint="default" w:ascii="Times New Roman" w:hAnsi="Times New Roman" w:cs="Times New Roman"/>
                <w:highlight w:val="none"/>
              </w:rPr>
            </w:pPr>
          </w:p>
        </w:tc>
        <w:tc>
          <w:tcPr>
            <w:tcW w:w="557" w:type="pct"/>
            <w:vAlign w:val="top"/>
          </w:tcPr>
          <w:p>
            <w:pPr>
              <w:pStyle w:val="35"/>
              <w:rPr>
                <w:rFonts w:hint="default" w:ascii="Times New Roman" w:hAnsi="Times New Roman" w:cs="Times New Roman"/>
                <w:highlight w:val="none"/>
              </w:rPr>
            </w:pPr>
          </w:p>
        </w:tc>
        <w:tc>
          <w:tcPr>
            <w:tcW w:w="407" w:type="pct"/>
            <w:vAlign w:val="top"/>
          </w:tcPr>
          <w:p>
            <w:pPr>
              <w:pStyle w:val="35"/>
              <w:rPr>
                <w:rFonts w:hint="default" w:ascii="Times New Roman" w:hAnsi="Times New Roman" w:cs="Times New Roman"/>
                <w:highlight w:val="none"/>
              </w:rPr>
            </w:pPr>
          </w:p>
        </w:tc>
        <w:tc>
          <w:tcPr>
            <w:tcW w:w="452" w:type="pct"/>
            <w:vAlign w:val="top"/>
          </w:tcPr>
          <w:p>
            <w:pPr>
              <w:pStyle w:val="35"/>
              <w:rPr>
                <w:rFonts w:hint="default" w:ascii="Times New Roman" w:hAnsi="Times New Roman" w:cs="Times New Roman"/>
                <w:highlight w:val="none"/>
              </w:rPr>
            </w:pPr>
          </w:p>
        </w:tc>
        <w:tc>
          <w:tcPr>
            <w:tcW w:w="453" w:type="pct"/>
            <w:vAlign w:val="top"/>
          </w:tcPr>
          <w:p>
            <w:pPr>
              <w:pStyle w:val="35"/>
              <w:rPr>
                <w:rFonts w:hint="default" w:ascii="Times New Roman" w:hAnsi="Times New Roman" w:cs="Times New Roman"/>
                <w:highlight w:val="none"/>
              </w:rPr>
            </w:pPr>
          </w:p>
        </w:tc>
        <w:tc>
          <w:tcPr>
            <w:tcW w:w="453" w:type="pct"/>
            <w:vAlign w:val="top"/>
          </w:tcPr>
          <w:p>
            <w:pPr>
              <w:pStyle w:val="35"/>
              <w:rPr>
                <w:rFonts w:hint="default" w:ascii="Times New Roman" w:hAnsi="Times New Roman" w:cs="Times New Roman"/>
                <w:highlight w:val="none"/>
              </w:rPr>
            </w:pPr>
          </w:p>
        </w:tc>
        <w:tc>
          <w:tcPr>
            <w:tcW w:w="462" w:type="pct"/>
            <w:vAlign w:val="top"/>
          </w:tcPr>
          <w:p>
            <w:pPr>
              <w:pStyle w:val="35"/>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54" w:type="pct"/>
            <w:vMerge w:val="continue"/>
            <w:tcBorders>
              <w:top w:val="nil"/>
              <w:bottom w:val="nil"/>
            </w:tcBorders>
            <w:vAlign w:val="top"/>
          </w:tcPr>
          <w:p>
            <w:pPr>
              <w:pStyle w:val="35"/>
              <w:rPr>
                <w:rFonts w:hint="default" w:ascii="Times New Roman" w:hAnsi="Times New Roman" w:cs="Times New Roman"/>
                <w:highlight w:val="none"/>
              </w:rPr>
            </w:pPr>
          </w:p>
        </w:tc>
        <w:tc>
          <w:tcPr>
            <w:tcW w:w="591" w:type="pct"/>
            <w:vAlign w:val="top"/>
          </w:tcPr>
          <w:p>
            <w:pPr>
              <w:spacing w:before="55" w:line="229" w:lineRule="auto"/>
              <w:ind w:left="336"/>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2"/>
                <w:sz w:val="20"/>
                <w:szCs w:val="20"/>
                <w:highlight w:val="none"/>
              </w:rPr>
              <w:t>交通</w:t>
            </w:r>
          </w:p>
        </w:tc>
        <w:tc>
          <w:tcPr>
            <w:tcW w:w="430" w:type="pct"/>
            <w:vAlign w:val="top"/>
          </w:tcPr>
          <w:p>
            <w:pPr>
              <w:spacing w:before="91" w:line="195" w:lineRule="auto"/>
              <w:ind w:left="243"/>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1SP</w:t>
            </w:r>
          </w:p>
        </w:tc>
        <w:tc>
          <w:tcPr>
            <w:tcW w:w="336" w:type="pct"/>
            <w:vAlign w:val="top"/>
          </w:tcPr>
          <w:p>
            <w:pPr>
              <w:pStyle w:val="35"/>
              <w:rPr>
                <w:rFonts w:hint="default" w:ascii="Times New Roman" w:hAnsi="Times New Roman" w:cs="Times New Roman"/>
                <w:highlight w:val="none"/>
              </w:rPr>
            </w:pPr>
          </w:p>
        </w:tc>
        <w:tc>
          <w:tcPr>
            <w:tcW w:w="398" w:type="pct"/>
            <w:vAlign w:val="top"/>
          </w:tcPr>
          <w:p>
            <w:pPr>
              <w:spacing w:before="91" w:line="195" w:lineRule="auto"/>
              <w:ind w:left="213"/>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1SP</w:t>
            </w:r>
          </w:p>
        </w:tc>
        <w:tc>
          <w:tcPr>
            <w:tcW w:w="557" w:type="pct"/>
            <w:vAlign w:val="top"/>
          </w:tcPr>
          <w:p>
            <w:pPr>
              <w:pStyle w:val="35"/>
              <w:rPr>
                <w:rFonts w:hint="default" w:ascii="Times New Roman" w:hAnsi="Times New Roman" w:cs="Times New Roman"/>
                <w:highlight w:val="none"/>
              </w:rPr>
            </w:pPr>
          </w:p>
        </w:tc>
        <w:tc>
          <w:tcPr>
            <w:tcW w:w="407" w:type="pct"/>
            <w:vAlign w:val="top"/>
          </w:tcPr>
          <w:p>
            <w:pPr>
              <w:pStyle w:val="35"/>
              <w:rPr>
                <w:rFonts w:hint="default" w:ascii="Times New Roman" w:hAnsi="Times New Roman" w:cs="Times New Roman"/>
                <w:highlight w:val="none"/>
              </w:rPr>
            </w:pPr>
          </w:p>
        </w:tc>
        <w:tc>
          <w:tcPr>
            <w:tcW w:w="452" w:type="pct"/>
            <w:vAlign w:val="top"/>
          </w:tcPr>
          <w:p>
            <w:pPr>
              <w:pStyle w:val="35"/>
              <w:rPr>
                <w:rFonts w:hint="default" w:ascii="Times New Roman" w:hAnsi="Times New Roman" w:cs="Times New Roman"/>
                <w:highlight w:val="none"/>
              </w:rPr>
            </w:pPr>
          </w:p>
        </w:tc>
        <w:tc>
          <w:tcPr>
            <w:tcW w:w="453" w:type="pct"/>
            <w:vAlign w:val="top"/>
          </w:tcPr>
          <w:p>
            <w:pPr>
              <w:pStyle w:val="35"/>
              <w:rPr>
                <w:rFonts w:hint="default" w:ascii="Times New Roman" w:hAnsi="Times New Roman" w:cs="Times New Roman"/>
                <w:highlight w:val="none"/>
              </w:rPr>
            </w:pPr>
          </w:p>
        </w:tc>
        <w:tc>
          <w:tcPr>
            <w:tcW w:w="453" w:type="pct"/>
            <w:vAlign w:val="top"/>
          </w:tcPr>
          <w:p>
            <w:pPr>
              <w:pStyle w:val="35"/>
              <w:rPr>
                <w:rFonts w:hint="default" w:ascii="Times New Roman" w:hAnsi="Times New Roman" w:cs="Times New Roman"/>
                <w:highlight w:val="none"/>
              </w:rPr>
            </w:pPr>
          </w:p>
        </w:tc>
        <w:tc>
          <w:tcPr>
            <w:tcW w:w="462" w:type="pct"/>
            <w:vAlign w:val="top"/>
          </w:tcPr>
          <w:p>
            <w:pPr>
              <w:spacing w:before="91" w:line="195" w:lineRule="auto"/>
              <w:ind w:left="265"/>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1LP</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54" w:type="pct"/>
            <w:vMerge w:val="continue"/>
            <w:tcBorders>
              <w:top w:val="nil"/>
              <w:bottom w:val="nil"/>
            </w:tcBorders>
            <w:vAlign w:val="top"/>
          </w:tcPr>
          <w:p>
            <w:pPr>
              <w:pStyle w:val="35"/>
              <w:rPr>
                <w:rFonts w:hint="default" w:ascii="Times New Roman" w:hAnsi="Times New Roman" w:cs="Times New Roman"/>
                <w:highlight w:val="none"/>
              </w:rPr>
            </w:pPr>
          </w:p>
        </w:tc>
        <w:tc>
          <w:tcPr>
            <w:tcW w:w="591" w:type="pct"/>
            <w:vAlign w:val="top"/>
          </w:tcPr>
          <w:p>
            <w:pPr>
              <w:spacing w:before="55" w:line="228" w:lineRule="auto"/>
              <w:ind w:left="127"/>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公众健康</w:t>
            </w:r>
          </w:p>
        </w:tc>
        <w:tc>
          <w:tcPr>
            <w:tcW w:w="430" w:type="pct"/>
            <w:vAlign w:val="top"/>
          </w:tcPr>
          <w:p>
            <w:pPr>
              <w:spacing w:before="91" w:line="195" w:lineRule="auto"/>
              <w:ind w:left="243"/>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1SP</w:t>
            </w:r>
          </w:p>
        </w:tc>
        <w:tc>
          <w:tcPr>
            <w:tcW w:w="336" w:type="pct"/>
            <w:vAlign w:val="top"/>
          </w:tcPr>
          <w:p>
            <w:pPr>
              <w:pStyle w:val="35"/>
              <w:rPr>
                <w:rFonts w:hint="default" w:ascii="Times New Roman" w:hAnsi="Times New Roman" w:cs="Times New Roman"/>
                <w:highlight w:val="none"/>
              </w:rPr>
            </w:pPr>
          </w:p>
        </w:tc>
        <w:tc>
          <w:tcPr>
            <w:tcW w:w="398" w:type="pct"/>
            <w:vAlign w:val="top"/>
          </w:tcPr>
          <w:p>
            <w:pPr>
              <w:pStyle w:val="35"/>
              <w:rPr>
                <w:rFonts w:hint="default" w:ascii="Times New Roman" w:hAnsi="Times New Roman" w:cs="Times New Roman"/>
                <w:highlight w:val="none"/>
              </w:rPr>
            </w:pPr>
          </w:p>
        </w:tc>
        <w:tc>
          <w:tcPr>
            <w:tcW w:w="557" w:type="pct"/>
            <w:vAlign w:val="top"/>
          </w:tcPr>
          <w:p>
            <w:pPr>
              <w:spacing w:before="91" w:line="195" w:lineRule="auto"/>
              <w:ind w:left="357"/>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1SP</w:t>
            </w:r>
          </w:p>
        </w:tc>
        <w:tc>
          <w:tcPr>
            <w:tcW w:w="407" w:type="pct"/>
            <w:vAlign w:val="top"/>
          </w:tcPr>
          <w:p>
            <w:pPr>
              <w:pStyle w:val="35"/>
              <w:rPr>
                <w:rFonts w:hint="default" w:ascii="Times New Roman" w:hAnsi="Times New Roman" w:cs="Times New Roman"/>
                <w:highlight w:val="none"/>
              </w:rPr>
            </w:pPr>
          </w:p>
        </w:tc>
        <w:tc>
          <w:tcPr>
            <w:tcW w:w="452" w:type="pct"/>
            <w:vAlign w:val="top"/>
          </w:tcPr>
          <w:p>
            <w:pPr>
              <w:spacing w:before="91" w:line="195" w:lineRule="auto"/>
              <w:ind w:left="259"/>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1LP</w:t>
            </w:r>
          </w:p>
        </w:tc>
        <w:tc>
          <w:tcPr>
            <w:tcW w:w="453" w:type="pct"/>
            <w:vAlign w:val="top"/>
          </w:tcPr>
          <w:p>
            <w:pPr>
              <w:pStyle w:val="35"/>
              <w:rPr>
                <w:rFonts w:hint="default" w:ascii="Times New Roman" w:hAnsi="Times New Roman" w:cs="Times New Roman"/>
                <w:highlight w:val="none"/>
              </w:rPr>
            </w:pPr>
          </w:p>
        </w:tc>
        <w:tc>
          <w:tcPr>
            <w:tcW w:w="453" w:type="pct"/>
            <w:vAlign w:val="top"/>
          </w:tcPr>
          <w:p>
            <w:pPr>
              <w:spacing w:before="91" w:line="195" w:lineRule="auto"/>
              <w:ind w:left="262"/>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1LP</w:t>
            </w:r>
          </w:p>
        </w:tc>
        <w:tc>
          <w:tcPr>
            <w:tcW w:w="462" w:type="pct"/>
            <w:vAlign w:val="top"/>
          </w:tcPr>
          <w:p>
            <w:pPr>
              <w:pStyle w:val="35"/>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54" w:type="pct"/>
            <w:vMerge w:val="continue"/>
            <w:tcBorders>
              <w:top w:val="nil"/>
            </w:tcBorders>
            <w:vAlign w:val="top"/>
          </w:tcPr>
          <w:p>
            <w:pPr>
              <w:pStyle w:val="35"/>
              <w:rPr>
                <w:rFonts w:hint="default" w:ascii="Times New Roman" w:hAnsi="Times New Roman" w:cs="Times New Roman"/>
                <w:highlight w:val="none"/>
              </w:rPr>
            </w:pPr>
          </w:p>
        </w:tc>
        <w:tc>
          <w:tcPr>
            <w:tcW w:w="591" w:type="pct"/>
            <w:vAlign w:val="top"/>
          </w:tcPr>
          <w:p>
            <w:pPr>
              <w:spacing w:before="55" w:line="228" w:lineRule="auto"/>
              <w:ind w:left="122"/>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生活质量</w:t>
            </w:r>
          </w:p>
        </w:tc>
        <w:tc>
          <w:tcPr>
            <w:tcW w:w="430" w:type="pct"/>
            <w:vAlign w:val="top"/>
          </w:tcPr>
          <w:p>
            <w:pPr>
              <w:pStyle w:val="35"/>
              <w:rPr>
                <w:rFonts w:hint="default" w:ascii="Times New Roman" w:hAnsi="Times New Roman" w:cs="Times New Roman"/>
                <w:highlight w:val="none"/>
              </w:rPr>
            </w:pPr>
          </w:p>
        </w:tc>
        <w:tc>
          <w:tcPr>
            <w:tcW w:w="336" w:type="pct"/>
            <w:vAlign w:val="top"/>
          </w:tcPr>
          <w:p>
            <w:pPr>
              <w:pStyle w:val="35"/>
              <w:rPr>
                <w:rFonts w:hint="default" w:ascii="Times New Roman" w:hAnsi="Times New Roman" w:cs="Times New Roman"/>
                <w:highlight w:val="none"/>
              </w:rPr>
            </w:pPr>
          </w:p>
        </w:tc>
        <w:tc>
          <w:tcPr>
            <w:tcW w:w="398" w:type="pct"/>
            <w:vAlign w:val="top"/>
          </w:tcPr>
          <w:p>
            <w:pPr>
              <w:pStyle w:val="35"/>
              <w:rPr>
                <w:rFonts w:hint="default" w:ascii="Times New Roman" w:hAnsi="Times New Roman" w:cs="Times New Roman"/>
                <w:highlight w:val="none"/>
              </w:rPr>
            </w:pPr>
          </w:p>
        </w:tc>
        <w:tc>
          <w:tcPr>
            <w:tcW w:w="557" w:type="pct"/>
            <w:vAlign w:val="top"/>
          </w:tcPr>
          <w:p>
            <w:pPr>
              <w:spacing w:before="93" w:line="195" w:lineRule="auto"/>
              <w:ind w:left="357"/>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1SP</w:t>
            </w:r>
          </w:p>
        </w:tc>
        <w:tc>
          <w:tcPr>
            <w:tcW w:w="407" w:type="pct"/>
            <w:vAlign w:val="top"/>
          </w:tcPr>
          <w:p>
            <w:pPr>
              <w:spacing w:before="93" w:line="195" w:lineRule="auto"/>
              <w:ind w:left="197"/>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11"/>
                <w:sz w:val="20"/>
                <w:szCs w:val="20"/>
                <w:highlight w:val="none"/>
              </w:rPr>
              <w:t>2</w:t>
            </w:r>
            <w:r>
              <w:rPr>
                <w:rFonts w:hint="default" w:ascii="Times New Roman" w:hAnsi="Times New Roman" w:eastAsia="Times New Roman" w:cs="Times New Roman"/>
                <w:sz w:val="20"/>
                <w:szCs w:val="20"/>
                <w:highlight w:val="none"/>
              </w:rPr>
              <w:t>LP</w:t>
            </w:r>
          </w:p>
        </w:tc>
        <w:tc>
          <w:tcPr>
            <w:tcW w:w="452" w:type="pct"/>
            <w:vAlign w:val="top"/>
          </w:tcPr>
          <w:p>
            <w:pPr>
              <w:spacing w:before="93" w:line="195" w:lineRule="auto"/>
              <w:ind w:left="259"/>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1LP</w:t>
            </w:r>
          </w:p>
        </w:tc>
        <w:tc>
          <w:tcPr>
            <w:tcW w:w="453" w:type="pct"/>
            <w:vAlign w:val="top"/>
          </w:tcPr>
          <w:p>
            <w:pPr>
              <w:pStyle w:val="35"/>
              <w:rPr>
                <w:rFonts w:hint="default" w:ascii="Times New Roman" w:hAnsi="Times New Roman" w:cs="Times New Roman"/>
                <w:highlight w:val="none"/>
              </w:rPr>
            </w:pPr>
          </w:p>
        </w:tc>
        <w:tc>
          <w:tcPr>
            <w:tcW w:w="453" w:type="pct"/>
            <w:vAlign w:val="top"/>
          </w:tcPr>
          <w:p>
            <w:pPr>
              <w:spacing w:before="93" w:line="195" w:lineRule="auto"/>
              <w:ind w:left="262"/>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1LP</w:t>
            </w:r>
          </w:p>
        </w:tc>
        <w:tc>
          <w:tcPr>
            <w:tcW w:w="462" w:type="pct"/>
            <w:vAlign w:val="top"/>
          </w:tcPr>
          <w:p>
            <w:pPr>
              <w:spacing w:before="93" w:line="195" w:lineRule="auto"/>
              <w:ind w:left="265"/>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1LP</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trPr>
        <w:tc>
          <w:tcPr>
            <w:tcW w:w="5000" w:type="pct"/>
            <w:gridSpan w:val="11"/>
            <w:vAlign w:val="top"/>
          </w:tcPr>
          <w:p>
            <w:pPr>
              <w:spacing w:before="34" w:line="235" w:lineRule="auto"/>
              <w:ind w:left="3159" w:right="1183" w:hanging="2018"/>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备注：影响程度：</w:t>
            </w:r>
            <w:r>
              <w:rPr>
                <w:rFonts w:hint="default" w:ascii="Times New Roman" w:hAnsi="Times New Roman" w:eastAsia="Times New Roman" w:cs="Times New Roman"/>
                <w:spacing w:val="8"/>
                <w:sz w:val="20"/>
                <w:szCs w:val="20"/>
                <w:highlight w:val="none"/>
              </w:rPr>
              <w:t>1-</w:t>
            </w:r>
            <w:r>
              <w:rPr>
                <w:rFonts w:hint="default" w:ascii="Times New Roman" w:hAnsi="Times New Roman" w:eastAsia="宋体" w:cs="Times New Roman"/>
                <w:spacing w:val="8"/>
                <w:sz w:val="20"/>
                <w:szCs w:val="20"/>
                <w:highlight w:val="none"/>
              </w:rPr>
              <w:t>轻微，</w:t>
            </w:r>
            <w:r>
              <w:rPr>
                <w:rFonts w:hint="default" w:ascii="Times New Roman" w:hAnsi="Times New Roman" w:eastAsia="Times New Roman" w:cs="Times New Roman"/>
                <w:spacing w:val="8"/>
                <w:sz w:val="20"/>
                <w:szCs w:val="20"/>
                <w:highlight w:val="none"/>
              </w:rPr>
              <w:t>2-</w:t>
            </w:r>
            <w:r>
              <w:rPr>
                <w:rFonts w:hint="default" w:ascii="Times New Roman" w:hAnsi="Times New Roman" w:eastAsia="宋体" w:cs="Times New Roman"/>
                <w:spacing w:val="8"/>
                <w:sz w:val="20"/>
                <w:szCs w:val="20"/>
                <w:highlight w:val="none"/>
              </w:rPr>
              <w:t>一般、</w:t>
            </w:r>
            <w:r>
              <w:rPr>
                <w:rFonts w:hint="default" w:ascii="Times New Roman" w:hAnsi="Times New Roman" w:eastAsia="Times New Roman" w:cs="Times New Roman"/>
                <w:spacing w:val="8"/>
                <w:sz w:val="20"/>
                <w:szCs w:val="20"/>
                <w:highlight w:val="none"/>
              </w:rPr>
              <w:t>3-</w:t>
            </w:r>
            <w:r>
              <w:rPr>
                <w:rFonts w:hint="default" w:ascii="Times New Roman" w:hAnsi="Times New Roman" w:eastAsia="宋体" w:cs="Times New Roman"/>
                <w:spacing w:val="8"/>
                <w:sz w:val="20"/>
                <w:szCs w:val="20"/>
                <w:highlight w:val="none"/>
              </w:rPr>
              <w:t>显</w:t>
            </w:r>
            <w:r>
              <w:rPr>
                <w:rFonts w:hint="default" w:ascii="Times New Roman" w:hAnsi="Times New Roman" w:eastAsia="宋体" w:cs="Times New Roman"/>
                <w:spacing w:val="7"/>
                <w:sz w:val="20"/>
                <w:szCs w:val="20"/>
                <w:highlight w:val="none"/>
              </w:rPr>
              <w:t>著；影响时段：</w:t>
            </w:r>
            <w:r>
              <w:rPr>
                <w:rFonts w:hint="default" w:ascii="Times New Roman" w:hAnsi="Times New Roman" w:eastAsia="Times New Roman" w:cs="Times New Roman"/>
                <w:spacing w:val="7"/>
                <w:sz w:val="20"/>
                <w:szCs w:val="20"/>
                <w:highlight w:val="none"/>
              </w:rPr>
              <w:t>S-</w:t>
            </w:r>
            <w:r>
              <w:rPr>
                <w:rFonts w:hint="default" w:ascii="Times New Roman" w:hAnsi="Times New Roman" w:eastAsia="宋体" w:cs="Times New Roman"/>
                <w:spacing w:val="7"/>
                <w:sz w:val="20"/>
                <w:szCs w:val="20"/>
                <w:highlight w:val="none"/>
              </w:rPr>
              <w:t>短期、</w:t>
            </w:r>
            <w:r>
              <w:rPr>
                <w:rFonts w:hint="default" w:ascii="Times New Roman" w:hAnsi="Times New Roman" w:eastAsia="Times New Roman" w:cs="Times New Roman"/>
                <w:spacing w:val="7"/>
                <w:sz w:val="20"/>
                <w:szCs w:val="20"/>
                <w:highlight w:val="none"/>
              </w:rPr>
              <w:t>L-</w:t>
            </w:r>
            <w:r>
              <w:rPr>
                <w:rFonts w:hint="default" w:ascii="Times New Roman" w:hAnsi="Times New Roman" w:eastAsia="宋体" w:cs="Times New Roman"/>
                <w:spacing w:val="7"/>
                <w:sz w:val="20"/>
                <w:szCs w:val="20"/>
                <w:highlight w:val="none"/>
              </w:rPr>
              <w:t>长期；</w:t>
            </w:r>
            <w:r>
              <w:rPr>
                <w:rFonts w:hint="default" w:ascii="Times New Roman" w:hAnsi="Times New Roman" w:eastAsia="宋体" w:cs="Times New Roman"/>
                <w:sz w:val="20"/>
                <w:szCs w:val="20"/>
                <w:highlight w:val="none"/>
              </w:rPr>
              <w:t xml:space="preserve"> </w:t>
            </w:r>
            <w:r>
              <w:rPr>
                <w:rFonts w:hint="default" w:ascii="Times New Roman" w:hAnsi="Times New Roman" w:eastAsia="宋体" w:cs="Times New Roman"/>
                <w:spacing w:val="8"/>
                <w:sz w:val="20"/>
                <w:szCs w:val="20"/>
                <w:highlight w:val="none"/>
              </w:rPr>
              <w:t>影响范围：</w:t>
            </w:r>
            <w:r>
              <w:rPr>
                <w:rFonts w:hint="default" w:ascii="Times New Roman" w:hAnsi="Times New Roman" w:eastAsia="Times New Roman" w:cs="Times New Roman"/>
                <w:spacing w:val="8"/>
                <w:sz w:val="20"/>
                <w:szCs w:val="20"/>
                <w:highlight w:val="none"/>
              </w:rPr>
              <w:t>P-</w:t>
            </w:r>
            <w:r>
              <w:rPr>
                <w:rFonts w:hint="default" w:ascii="Times New Roman" w:hAnsi="Times New Roman" w:eastAsia="宋体" w:cs="Times New Roman"/>
                <w:spacing w:val="8"/>
                <w:sz w:val="20"/>
                <w:szCs w:val="20"/>
                <w:highlight w:val="none"/>
              </w:rPr>
              <w:t>局部、</w:t>
            </w:r>
            <w:r>
              <w:rPr>
                <w:rFonts w:hint="default" w:ascii="Times New Roman" w:hAnsi="Times New Roman" w:eastAsia="Times New Roman" w:cs="Times New Roman"/>
                <w:spacing w:val="8"/>
                <w:sz w:val="20"/>
                <w:szCs w:val="20"/>
                <w:highlight w:val="none"/>
              </w:rPr>
              <w:t>W-</w:t>
            </w:r>
            <w:r>
              <w:rPr>
                <w:rFonts w:hint="default" w:ascii="Times New Roman" w:hAnsi="Times New Roman" w:eastAsia="宋体" w:cs="Times New Roman"/>
                <w:spacing w:val="8"/>
                <w:sz w:val="20"/>
                <w:szCs w:val="20"/>
                <w:highlight w:val="none"/>
              </w:rPr>
              <w:t>大范围</w:t>
            </w:r>
          </w:p>
        </w:tc>
      </w:tr>
    </w:tbl>
    <w:p>
      <w:pPr>
        <w:pStyle w:val="6"/>
        <w:rPr>
          <w:rFonts w:hint="default" w:ascii="Times New Roman" w:hAnsi="Times New Roman" w:cs="Times New Roman"/>
        </w:rPr>
      </w:pPr>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2.3.2  环境因子筛选</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 xml:space="preserve">由环境影响因子的识别，本项目评价因子见表 </w:t>
      </w:r>
      <w:r>
        <w:rPr>
          <w:rFonts w:hint="default" w:ascii="Times New Roman" w:hAnsi="Times New Roman" w:eastAsia="宋体" w:cs="Times New Roman"/>
          <w:spacing w:val="-2"/>
          <w:sz w:val="24"/>
          <w:szCs w:val="24"/>
          <w:lang w:val="en-US" w:eastAsia="zh-CN"/>
        </w:rPr>
        <w:t>2-</w:t>
      </w:r>
      <w:r>
        <w:rPr>
          <w:rFonts w:hint="default" w:ascii="Times New Roman" w:hAnsi="Times New Roman" w:eastAsia="Times New Roman" w:cs="Times New Roman"/>
          <w:spacing w:val="-2"/>
          <w:sz w:val="24"/>
          <w:szCs w:val="24"/>
        </w:rPr>
        <w:t>3-2</w:t>
      </w:r>
      <w:r>
        <w:rPr>
          <w:rFonts w:hint="default" w:ascii="Times New Roman" w:hAnsi="Times New Roman" w:eastAsia="宋体" w:cs="Times New Roman"/>
          <w:spacing w:val="-2"/>
          <w:sz w:val="24"/>
          <w:szCs w:val="24"/>
        </w:rPr>
        <w:t>。</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z w:val="20"/>
          <w:szCs w:val="20"/>
        </w:rPr>
      </w:pPr>
      <w:r>
        <w:rPr>
          <w:rFonts w:hint="default" w:ascii="Times New Roman" w:hAnsi="Times New Roman" w:eastAsia="宋体" w:cs="Times New Roman"/>
          <w:spacing w:val="4"/>
          <w:sz w:val="20"/>
          <w:szCs w:val="20"/>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26"/>
          <w:sz w:val="20"/>
          <w:szCs w:val="20"/>
        </w:rPr>
        <w:t xml:space="preserve"> </w:t>
      </w:r>
      <w:r>
        <w:rPr>
          <w:rFonts w:hint="default" w:ascii="Times New Roman" w:hAnsi="Times New Roman" w:eastAsia="宋体" w:cs="Times New Roman"/>
          <w:b/>
          <w:bCs/>
          <w:spacing w:val="4"/>
          <w:sz w:val="20"/>
          <w:szCs w:val="20"/>
          <w:lang w:val="en-US" w:eastAsia="zh-CN"/>
        </w:rPr>
        <w:t>2-</w:t>
      </w:r>
      <w:r>
        <w:rPr>
          <w:rFonts w:hint="default" w:ascii="Times New Roman" w:hAnsi="Times New Roman" w:eastAsia="Times New Roman" w:cs="Times New Roman"/>
          <w:b/>
          <w:bCs/>
          <w:spacing w:val="4"/>
          <w:sz w:val="20"/>
          <w:szCs w:val="20"/>
        </w:rPr>
        <w:t>3-2</w:t>
      </w:r>
      <w:r>
        <w:rPr>
          <w:rFonts w:hint="default" w:ascii="Times New Roman" w:hAnsi="Times New Roman" w:eastAsia="Times New Roman" w:cs="Times New Roman"/>
          <w:b/>
          <w:bCs/>
          <w:spacing w:val="24"/>
          <w:sz w:val="20"/>
          <w:szCs w:val="20"/>
        </w:rPr>
        <w:t xml:space="preserve">  </w:t>
      </w:r>
      <w:r>
        <w:rPr>
          <w:rFonts w:hint="default" w:ascii="Times New Roman" w:hAnsi="Times New Roman" w:eastAsia="宋体" w:cs="Times New Roman"/>
          <w:spacing w:val="4"/>
          <w:sz w:val="20"/>
          <w:szCs w:val="20"/>
          <w14:textOutline w14:w="3795" w14:cap="sq" w14:cmpd="sng">
            <w14:solidFill>
              <w14:srgbClr w14:val="000000"/>
            </w14:solidFill>
            <w14:prstDash w14:val="solid"/>
            <w14:bevel/>
          </w14:textOutline>
        </w:rPr>
        <w:t>评价因子表</w:t>
      </w:r>
    </w:p>
    <w:p>
      <w:pPr>
        <w:spacing w:line="16" w:lineRule="exact"/>
        <w:rPr>
          <w:rFonts w:hint="default" w:ascii="Times New Roman" w:hAnsi="Times New Roman" w:cs="Times New Roman"/>
        </w:rPr>
      </w:pPr>
    </w:p>
    <w:tbl>
      <w:tblPr>
        <w:tblStyle w:val="34"/>
        <w:tblW w:w="5001"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539"/>
        <w:gridCol w:w="5169"/>
        <w:gridCol w:w="293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jc w:val="center"/>
        </w:trPr>
        <w:tc>
          <w:tcPr>
            <w:tcW w:w="798" w:type="pct"/>
            <w:vAlign w:val="top"/>
          </w:tcPr>
          <w:p>
            <w:pPr>
              <w:spacing w:before="55" w:line="228" w:lineRule="auto"/>
              <w:jc w:val="center"/>
              <w:rPr>
                <w:rFonts w:hint="default" w:ascii="Times New Roman" w:hAnsi="Times New Roman" w:eastAsia="宋体" w:cs="Times New Roman"/>
                <w:sz w:val="20"/>
                <w:szCs w:val="20"/>
              </w:rPr>
            </w:pPr>
            <w:r>
              <w:rPr>
                <w:rFonts w:hint="default" w:ascii="Times New Roman" w:hAnsi="Times New Roman" w:eastAsia="宋体" w:cs="Times New Roman"/>
                <w:spacing w:val="7"/>
                <w:sz w:val="20"/>
                <w:szCs w:val="20"/>
              </w:rPr>
              <w:t>环境因素</w:t>
            </w:r>
          </w:p>
        </w:tc>
        <w:tc>
          <w:tcPr>
            <w:tcW w:w="2680" w:type="pct"/>
            <w:vAlign w:val="top"/>
          </w:tcPr>
          <w:p>
            <w:pPr>
              <w:spacing w:before="55" w:line="226" w:lineRule="auto"/>
              <w:jc w:val="center"/>
              <w:rPr>
                <w:rFonts w:hint="default" w:ascii="Times New Roman" w:hAnsi="Times New Roman" w:eastAsia="宋体" w:cs="Times New Roman"/>
                <w:sz w:val="20"/>
                <w:szCs w:val="20"/>
              </w:rPr>
            </w:pPr>
            <w:r>
              <w:rPr>
                <w:rFonts w:hint="default" w:ascii="Times New Roman" w:hAnsi="Times New Roman" w:eastAsia="宋体" w:cs="Times New Roman"/>
                <w:spacing w:val="7"/>
                <w:sz w:val="20"/>
                <w:szCs w:val="20"/>
              </w:rPr>
              <w:t>现状评价因子</w:t>
            </w:r>
          </w:p>
        </w:tc>
        <w:tc>
          <w:tcPr>
            <w:tcW w:w="1520" w:type="pct"/>
            <w:vAlign w:val="top"/>
          </w:tcPr>
          <w:p>
            <w:pPr>
              <w:spacing w:before="55" w:line="226"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影响评价因子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798" w:type="pct"/>
            <w:vAlign w:val="top"/>
          </w:tcPr>
          <w:p>
            <w:pPr>
              <w:spacing w:before="209" w:line="228" w:lineRule="auto"/>
              <w:jc w:val="center"/>
              <w:rPr>
                <w:rFonts w:hint="default" w:ascii="Times New Roman" w:hAnsi="Times New Roman" w:eastAsia="宋体" w:cs="Times New Roman"/>
                <w:sz w:val="20"/>
                <w:szCs w:val="20"/>
              </w:rPr>
            </w:pPr>
            <w:r>
              <w:rPr>
                <w:rFonts w:hint="default" w:ascii="Times New Roman" w:hAnsi="Times New Roman" w:eastAsia="宋体" w:cs="Times New Roman"/>
                <w:spacing w:val="6"/>
                <w:sz w:val="20"/>
                <w:szCs w:val="20"/>
              </w:rPr>
              <w:t>大气环境</w:t>
            </w:r>
          </w:p>
        </w:tc>
        <w:tc>
          <w:tcPr>
            <w:tcW w:w="2680"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0"/>
                <w:szCs w:val="20"/>
              </w:rPr>
            </w:pPr>
            <w:r>
              <w:rPr>
                <w:rFonts w:hint="default" w:ascii="Times New Roman" w:hAnsi="Times New Roman" w:eastAsia="宋体" w:cs="Times New Roman"/>
                <w:color w:val="auto"/>
                <w:spacing w:val="0"/>
                <w:kern w:val="10"/>
                <w:position w:val="0"/>
                <w:sz w:val="20"/>
                <w:szCs w:val="20"/>
              </w:rPr>
              <w:t>NO</w:t>
            </w:r>
            <w:r>
              <w:rPr>
                <w:rFonts w:hint="default" w:ascii="Times New Roman" w:hAnsi="Times New Roman" w:eastAsia="宋体" w:cs="Times New Roman"/>
                <w:color w:val="auto"/>
                <w:spacing w:val="0"/>
                <w:kern w:val="10"/>
                <w:position w:val="0"/>
                <w:sz w:val="20"/>
                <w:szCs w:val="20"/>
                <w:vertAlign w:val="subscript"/>
              </w:rPr>
              <w:t>2</w:t>
            </w:r>
            <w:r>
              <w:rPr>
                <w:rFonts w:hint="default" w:ascii="Times New Roman" w:hAnsi="Times New Roman" w:eastAsia="宋体" w:cs="Times New Roman"/>
                <w:color w:val="auto"/>
                <w:spacing w:val="0"/>
                <w:kern w:val="10"/>
                <w:position w:val="0"/>
                <w:sz w:val="20"/>
                <w:szCs w:val="20"/>
              </w:rPr>
              <w:t>、SO</w:t>
            </w:r>
            <w:r>
              <w:rPr>
                <w:rFonts w:hint="default" w:ascii="Times New Roman" w:hAnsi="Times New Roman" w:eastAsia="宋体" w:cs="Times New Roman"/>
                <w:color w:val="auto"/>
                <w:spacing w:val="0"/>
                <w:kern w:val="10"/>
                <w:position w:val="0"/>
                <w:sz w:val="20"/>
                <w:szCs w:val="20"/>
                <w:vertAlign w:val="subscript"/>
              </w:rPr>
              <w:t>2</w:t>
            </w:r>
            <w:r>
              <w:rPr>
                <w:rFonts w:hint="default" w:ascii="Times New Roman" w:hAnsi="Times New Roman" w:eastAsia="宋体" w:cs="Times New Roman"/>
                <w:color w:val="auto"/>
                <w:spacing w:val="0"/>
                <w:kern w:val="10"/>
                <w:position w:val="0"/>
                <w:sz w:val="20"/>
                <w:szCs w:val="20"/>
              </w:rPr>
              <w:t>、PM</w:t>
            </w:r>
            <w:r>
              <w:rPr>
                <w:rFonts w:hint="default" w:ascii="Times New Roman" w:hAnsi="Times New Roman" w:eastAsia="宋体" w:cs="Times New Roman"/>
                <w:color w:val="auto"/>
                <w:spacing w:val="0"/>
                <w:kern w:val="10"/>
                <w:position w:val="0"/>
                <w:sz w:val="20"/>
                <w:szCs w:val="20"/>
                <w:vertAlign w:val="subscript"/>
              </w:rPr>
              <w:t>10</w:t>
            </w:r>
            <w:r>
              <w:rPr>
                <w:rFonts w:hint="default" w:ascii="Times New Roman" w:hAnsi="Times New Roman" w:eastAsia="宋体" w:cs="Times New Roman"/>
                <w:color w:val="auto"/>
                <w:spacing w:val="0"/>
                <w:kern w:val="10"/>
                <w:position w:val="0"/>
                <w:sz w:val="20"/>
                <w:szCs w:val="20"/>
              </w:rPr>
              <w:t>、PM</w:t>
            </w:r>
            <w:r>
              <w:rPr>
                <w:rFonts w:hint="default" w:ascii="Times New Roman" w:hAnsi="Times New Roman" w:eastAsia="宋体" w:cs="Times New Roman"/>
                <w:color w:val="auto"/>
                <w:spacing w:val="0"/>
                <w:kern w:val="10"/>
                <w:position w:val="0"/>
                <w:sz w:val="20"/>
                <w:szCs w:val="20"/>
                <w:vertAlign w:val="subscript"/>
              </w:rPr>
              <w:t>2.5</w:t>
            </w:r>
            <w:r>
              <w:rPr>
                <w:rFonts w:hint="default" w:ascii="Times New Roman" w:hAnsi="Times New Roman" w:eastAsia="宋体" w:cs="Times New Roman"/>
                <w:color w:val="auto"/>
                <w:spacing w:val="0"/>
                <w:kern w:val="10"/>
                <w:position w:val="0"/>
                <w:sz w:val="20"/>
                <w:szCs w:val="20"/>
              </w:rPr>
              <w:t>、CO、O</w:t>
            </w:r>
            <w:r>
              <w:rPr>
                <w:rFonts w:hint="default" w:ascii="Times New Roman" w:hAnsi="Times New Roman" w:eastAsia="宋体" w:cs="Times New Roman"/>
                <w:color w:val="auto"/>
                <w:spacing w:val="0"/>
                <w:kern w:val="10"/>
                <w:position w:val="0"/>
                <w:sz w:val="20"/>
                <w:szCs w:val="20"/>
                <w:vertAlign w:val="subscript"/>
              </w:rPr>
              <w:t>3</w:t>
            </w:r>
            <w:r>
              <w:rPr>
                <w:rFonts w:hint="default" w:ascii="Times New Roman" w:hAnsi="Times New Roman" w:eastAsia="宋体" w:cs="Times New Roman"/>
                <w:color w:val="auto"/>
                <w:spacing w:val="0"/>
                <w:kern w:val="10"/>
                <w:position w:val="0"/>
                <w:sz w:val="20"/>
                <w:szCs w:val="20"/>
              </w:rPr>
              <w:t>、氨、硫化氢、</w:t>
            </w:r>
            <w:r>
              <w:rPr>
                <w:rFonts w:hint="default" w:ascii="Times New Roman" w:hAnsi="Times New Roman" w:eastAsia="宋体" w:cs="Times New Roman"/>
                <w:color w:val="auto"/>
                <w:spacing w:val="0"/>
                <w:kern w:val="10"/>
                <w:position w:val="0"/>
                <w:sz w:val="20"/>
                <w:szCs w:val="20"/>
                <w:highlight w:val="none"/>
              </w:rPr>
              <w:t>臭气浓度</w:t>
            </w:r>
            <w:r>
              <w:rPr>
                <w:rFonts w:hint="default" w:ascii="Times New Roman" w:hAnsi="Times New Roman" w:eastAsia="宋体" w:cs="Times New Roman"/>
                <w:color w:val="auto"/>
                <w:spacing w:val="0"/>
                <w:kern w:val="10"/>
                <w:position w:val="0"/>
                <w:sz w:val="20"/>
                <w:szCs w:val="20"/>
                <w:highlight w:val="none"/>
                <w:lang w:eastAsia="zh-CN"/>
              </w:rPr>
              <w:t>、非甲烷总烃</w:t>
            </w:r>
          </w:p>
        </w:tc>
        <w:tc>
          <w:tcPr>
            <w:tcW w:w="1520"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0"/>
                <w:szCs w:val="20"/>
                <w:highlight w:val="none"/>
              </w:rPr>
            </w:pPr>
            <w:r>
              <w:rPr>
                <w:rFonts w:hint="default" w:ascii="Times New Roman" w:hAnsi="Times New Roman" w:eastAsia="宋体" w:cs="Times New Roman"/>
                <w:snapToGrid w:val="0"/>
                <w:color w:val="auto"/>
                <w:spacing w:val="0"/>
                <w:kern w:val="10"/>
                <w:position w:val="0"/>
                <w:sz w:val="20"/>
                <w:szCs w:val="20"/>
                <w:highlight w:val="none"/>
                <w:lang w:val="zh-CN"/>
              </w:rPr>
              <w:t>H</w:t>
            </w:r>
            <w:r>
              <w:rPr>
                <w:rFonts w:hint="default" w:ascii="Times New Roman" w:hAnsi="Times New Roman" w:eastAsia="宋体" w:cs="Times New Roman"/>
                <w:snapToGrid w:val="0"/>
                <w:color w:val="auto"/>
                <w:spacing w:val="0"/>
                <w:kern w:val="10"/>
                <w:position w:val="0"/>
                <w:sz w:val="20"/>
                <w:szCs w:val="20"/>
                <w:highlight w:val="none"/>
                <w:vertAlign w:val="subscript"/>
                <w:lang w:val="zh-CN"/>
              </w:rPr>
              <w:t>2</w:t>
            </w:r>
            <w:r>
              <w:rPr>
                <w:rFonts w:hint="default" w:ascii="Times New Roman" w:hAnsi="Times New Roman" w:eastAsia="宋体" w:cs="Times New Roman"/>
                <w:snapToGrid w:val="0"/>
                <w:color w:val="auto"/>
                <w:spacing w:val="0"/>
                <w:kern w:val="10"/>
                <w:position w:val="0"/>
                <w:sz w:val="20"/>
                <w:szCs w:val="20"/>
                <w:highlight w:val="none"/>
                <w:lang w:val="zh-CN"/>
              </w:rPr>
              <w:t>S、NH</w:t>
            </w:r>
            <w:r>
              <w:rPr>
                <w:rFonts w:hint="default" w:ascii="Times New Roman" w:hAnsi="Times New Roman" w:eastAsia="宋体" w:cs="Times New Roman"/>
                <w:snapToGrid w:val="0"/>
                <w:color w:val="auto"/>
                <w:spacing w:val="0"/>
                <w:kern w:val="10"/>
                <w:position w:val="0"/>
                <w:sz w:val="20"/>
                <w:szCs w:val="20"/>
                <w:highlight w:val="none"/>
                <w:vertAlign w:val="subscript"/>
                <w:lang w:val="zh-CN"/>
              </w:rPr>
              <w:t>3</w:t>
            </w:r>
            <w:r>
              <w:rPr>
                <w:rFonts w:hint="default" w:ascii="Times New Roman" w:hAnsi="Times New Roman" w:eastAsia="宋体" w:cs="Times New Roman"/>
                <w:snapToGrid w:val="0"/>
                <w:color w:val="auto"/>
                <w:spacing w:val="0"/>
                <w:kern w:val="10"/>
                <w:position w:val="0"/>
                <w:sz w:val="20"/>
                <w:szCs w:val="20"/>
                <w:highlight w:val="none"/>
                <w:lang w:val="zh-CN"/>
              </w:rPr>
              <w:t>、臭气浓度、</w:t>
            </w:r>
            <w:r>
              <w:rPr>
                <w:rFonts w:hint="default" w:ascii="Times New Roman" w:hAnsi="Times New Roman" w:eastAsia="宋体" w:cs="Times New Roman"/>
                <w:snapToGrid w:val="0"/>
                <w:color w:val="auto"/>
                <w:spacing w:val="0"/>
                <w:kern w:val="10"/>
                <w:position w:val="0"/>
                <w:sz w:val="20"/>
                <w:szCs w:val="20"/>
                <w:highlight w:val="none"/>
              </w:rPr>
              <w:t>SO</w:t>
            </w:r>
            <w:r>
              <w:rPr>
                <w:rFonts w:hint="default" w:ascii="Times New Roman" w:hAnsi="Times New Roman" w:eastAsia="宋体" w:cs="Times New Roman"/>
                <w:snapToGrid w:val="0"/>
                <w:color w:val="auto"/>
                <w:spacing w:val="0"/>
                <w:kern w:val="10"/>
                <w:position w:val="0"/>
                <w:sz w:val="20"/>
                <w:szCs w:val="20"/>
                <w:highlight w:val="none"/>
                <w:vertAlign w:val="subscript"/>
              </w:rPr>
              <w:t>2</w:t>
            </w:r>
            <w:r>
              <w:rPr>
                <w:rFonts w:hint="default" w:ascii="Times New Roman" w:hAnsi="Times New Roman" w:eastAsia="宋体" w:cs="Times New Roman"/>
                <w:snapToGrid w:val="0"/>
                <w:color w:val="auto"/>
                <w:spacing w:val="0"/>
                <w:kern w:val="10"/>
                <w:position w:val="0"/>
                <w:sz w:val="20"/>
                <w:szCs w:val="20"/>
                <w:highlight w:val="none"/>
              </w:rPr>
              <w:t>、NO</w:t>
            </w:r>
            <w:r>
              <w:rPr>
                <w:rFonts w:hint="default" w:ascii="Times New Roman" w:hAnsi="Times New Roman" w:eastAsia="宋体" w:cs="Times New Roman"/>
                <w:snapToGrid w:val="0"/>
                <w:color w:val="auto"/>
                <w:spacing w:val="0"/>
                <w:kern w:val="10"/>
                <w:position w:val="0"/>
                <w:sz w:val="20"/>
                <w:szCs w:val="20"/>
                <w:highlight w:val="none"/>
                <w:vertAlign w:val="subscript"/>
              </w:rPr>
              <w:t>x</w:t>
            </w:r>
            <w:r>
              <w:rPr>
                <w:rFonts w:hint="default" w:ascii="Times New Roman" w:hAnsi="Times New Roman" w:eastAsia="宋体" w:cs="Times New Roman"/>
                <w:snapToGrid w:val="0"/>
                <w:color w:val="auto"/>
                <w:spacing w:val="0"/>
                <w:kern w:val="10"/>
                <w:position w:val="0"/>
                <w:sz w:val="20"/>
                <w:szCs w:val="20"/>
                <w:highlight w:val="none"/>
              </w:rPr>
              <w:t>、</w:t>
            </w:r>
            <w:r>
              <w:rPr>
                <w:rFonts w:hint="default" w:ascii="Times New Roman" w:hAnsi="Times New Roman" w:eastAsia="宋体" w:cs="Times New Roman"/>
                <w:color w:val="auto"/>
                <w:spacing w:val="0"/>
                <w:kern w:val="10"/>
                <w:position w:val="0"/>
                <w:sz w:val="20"/>
                <w:szCs w:val="20"/>
              </w:rPr>
              <w:t>PM</w:t>
            </w:r>
            <w:r>
              <w:rPr>
                <w:rFonts w:hint="default" w:ascii="Times New Roman" w:hAnsi="Times New Roman" w:eastAsia="宋体" w:cs="Times New Roman"/>
                <w:color w:val="auto"/>
                <w:spacing w:val="0"/>
                <w:kern w:val="10"/>
                <w:position w:val="0"/>
                <w:sz w:val="20"/>
                <w:szCs w:val="20"/>
                <w:vertAlign w:val="subscript"/>
              </w:rPr>
              <w:t>10</w:t>
            </w:r>
            <w:r>
              <w:rPr>
                <w:rFonts w:hint="default" w:ascii="Times New Roman" w:hAnsi="Times New Roman" w:eastAsia="宋体" w:cs="Times New Roman"/>
                <w:color w:val="auto"/>
                <w:spacing w:val="0"/>
                <w:kern w:val="10"/>
                <w:position w:val="0"/>
                <w:sz w:val="20"/>
                <w:szCs w:val="20"/>
              </w:rPr>
              <w:t>、</w:t>
            </w:r>
            <w:r>
              <w:rPr>
                <w:rFonts w:hint="default" w:ascii="Times New Roman" w:hAnsi="Times New Roman" w:eastAsia="宋体" w:cs="Times New Roman"/>
                <w:color w:val="auto"/>
                <w:spacing w:val="0"/>
                <w:kern w:val="10"/>
                <w:position w:val="0"/>
                <w:sz w:val="20"/>
                <w:szCs w:val="20"/>
                <w:highlight w:val="none"/>
                <w:lang w:eastAsia="zh-CN"/>
              </w:rPr>
              <w:t>非甲烷总烃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798" w:type="pct"/>
            <w:vAlign w:val="top"/>
          </w:tcPr>
          <w:p>
            <w:pPr>
              <w:spacing w:before="65" w:line="228" w:lineRule="auto"/>
              <w:jc w:val="center"/>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rPr>
              <w:t>地表水环境</w:t>
            </w:r>
          </w:p>
        </w:tc>
        <w:tc>
          <w:tcPr>
            <w:tcW w:w="2680"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0"/>
                <w:szCs w:val="20"/>
              </w:rPr>
            </w:pPr>
            <w:r>
              <w:rPr>
                <w:rFonts w:hint="default" w:ascii="Times New Roman" w:hAnsi="Times New Roman" w:cs="Times New Roman" w:eastAsiaTheme="minorEastAsia"/>
                <w:snapToGrid w:val="0"/>
                <w:color w:val="auto"/>
                <w:kern w:val="0"/>
              </w:rPr>
              <w:t>pH、溶解氧、COD、高锰酸盐指数、BOD</w:t>
            </w:r>
            <w:r>
              <w:rPr>
                <w:rFonts w:hint="default" w:ascii="Times New Roman" w:hAnsi="Times New Roman" w:cs="Times New Roman" w:eastAsiaTheme="minorEastAsia"/>
                <w:snapToGrid w:val="0"/>
                <w:color w:val="auto"/>
                <w:kern w:val="0"/>
                <w:vertAlign w:val="subscript"/>
              </w:rPr>
              <w:t>5</w:t>
            </w:r>
            <w:r>
              <w:rPr>
                <w:rFonts w:hint="default" w:ascii="Times New Roman" w:hAnsi="Times New Roman" w:cs="Times New Roman" w:eastAsiaTheme="minorEastAsia"/>
                <w:snapToGrid w:val="0"/>
                <w:color w:val="auto"/>
                <w:kern w:val="0"/>
              </w:rPr>
              <w:t>、氨氮、总氮、SS、总磷、粪大肠菌群</w:t>
            </w:r>
          </w:p>
        </w:tc>
        <w:tc>
          <w:tcPr>
            <w:tcW w:w="1520" w:type="pct"/>
            <w:vAlign w:val="top"/>
          </w:tcPr>
          <w:p>
            <w:pPr>
              <w:spacing w:before="53" w:line="227" w:lineRule="auto"/>
              <w:jc w:val="center"/>
              <w:rPr>
                <w:rFonts w:hint="default" w:ascii="Times New Roman" w:hAnsi="Times New Roman" w:eastAsia="宋体" w:cs="Times New Roman"/>
                <w:sz w:val="20"/>
                <w:szCs w:val="20"/>
                <w:highlight w:val="none"/>
              </w:rPr>
            </w:pPr>
            <w:r>
              <w:rPr>
                <w:rFonts w:hint="default" w:ascii="Times New Roman" w:hAnsi="Times New Roman" w:cs="Times New Roman" w:eastAsiaTheme="minorEastAsia"/>
                <w:bCs/>
                <w:snapToGrid w:val="0"/>
                <w:color w:val="auto"/>
                <w:kern w:val="0"/>
              </w:rPr>
              <w:t>pH、COD、BOD</w:t>
            </w:r>
            <w:r>
              <w:rPr>
                <w:rFonts w:hint="default" w:ascii="Times New Roman" w:hAnsi="Times New Roman" w:cs="Times New Roman" w:eastAsiaTheme="minorEastAsia"/>
                <w:bCs/>
                <w:snapToGrid w:val="0"/>
                <w:color w:val="auto"/>
                <w:kern w:val="0"/>
                <w:vertAlign w:val="subscript"/>
              </w:rPr>
              <w:t>5</w:t>
            </w:r>
            <w:r>
              <w:rPr>
                <w:rFonts w:hint="default" w:ascii="Times New Roman" w:hAnsi="Times New Roman" w:cs="Times New Roman" w:eastAsiaTheme="minorEastAsia"/>
                <w:bCs/>
                <w:snapToGrid w:val="0"/>
                <w:color w:val="auto"/>
                <w:kern w:val="0"/>
              </w:rPr>
              <w:t>、SS、动植物油、NH</w:t>
            </w:r>
            <w:r>
              <w:rPr>
                <w:rFonts w:hint="default" w:ascii="Times New Roman" w:hAnsi="Times New Roman" w:cs="Times New Roman" w:eastAsiaTheme="minorEastAsia"/>
                <w:bCs/>
                <w:snapToGrid w:val="0"/>
                <w:color w:val="auto"/>
                <w:kern w:val="0"/>
                <w:vertAlign w:val="subscript"/>
              </w:rPr>
              <w:t>3</w:t>
            </w:r>
            <w:r>
              <w:rPr>
                <w:rFonts w:hint="default" w:ascii="Times New Roman" w:hAnsi="Times New Roman" w:cs="Times New Roman" w:eastAsiaTheme="minorEastAsia"/>
                <w:bCs/>
                <w:snapToGrid w:val="0"/>
                <w:color w:val="auto"/>
                <w:kern w:val="0"/>
              </w:rPr>
              <w:t>-N、大肠菌群数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75" w:hRule="atLeast"/>
          <w:jc w:val="center"/>
        </w:trPr>
        <w:tc>
          <w:tcPr>
            <w:tcW w:w="798" w:type="pct"/>
            <w:vAlign w:val="top"/>
          </w:tcPr>
          <w:p>
            <w:pPr>
              <w:pStyle w:val="35"/>
              <w:spacing w:line="254" w:lineRule="auto"/>
              <w:jc w:val="center"/>
              <w:rPr>
                <w:rFonts w:hint="default" w:ascii="Times New Roman" w:hAnsi="Times New Roman" w:cs="Times New Roman"/>
                <w:sz w:val="20"/>
                <w:szCs w:val="20"/>
              </w:rPr>
            </w:pPr>
          </w:p>
          <w:p>
            <w:pPr>
              <w:pStyle w:val="35"/>
              <w:spacing w:line="255" w:lineRule="auto"/>
              <w:jc w:val="center"/>
              <w:rPr>
                <w:rFonts w:hint="default" w:ascii="Times New Roman" w:hAnsi="Times New Roman" w:cs="Times New Roman"/>
                <w:sz w:val="20"/>
                <w:szCs w:val="20"/>
              </w:rPr>
            </w:pPr>
          </w:p>
          <w:p>
            <w:pPr>
              <w:pStyle w:val="35"/>
              <w:spacing w:line="255" w:lineRule="auto"/>
              <w:jc w:val="center"/>
              <w:rPr>
                <w:rFonts w:hint="default" w:ascii="Times New Roman" w:hAnsi="Times New Roman" w:cs="Times New Roman"/>
                <w:sz w:val="20"/>
                <w:szCs w:val="20"/>
              </w:rPr>
            </w:pPr>
          </w:p>
          <w:p>
            <w:pPr>
              <w:spacing w:before="65" w:line="228" w:lineRule="auto"/>
              <w:jc w:val="center"/>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rPr>
              <w:t>地下水环境</w:t>
            </w:r>
          </w:p>
        </w:tc>
        <w:tc>
          <w:tcPr>
            <w:tcW w:w="2680" w:type="pct"/>
            <w:vAlign w:val="top"/>
          </w:tcPr>
          <w:p>
            <w:pPr>
              <w:spacing w:before="54" w:line="276" w:lineRule="auto"/>
              <w:jc w:val="center"/>
              <w:rPr>
                <w:rFonts w:hint="default" w:ascii="Times New Roman" w:hAnsi="Times New Roman" w:eastAsia="宋体" w:cs="Times New Roman"/>
                <w:sz w:val="20"/>
                <w:szCs w:val="20"/>
                <w:highlight w:val="none"/>
              </w:rPr>
            </w:pPr>
            <w:r>
              <w:rPr>
                <w:rFonts w:hint="default" w:ascii="Times New Roman" w:hAnsi="Times New Roman" w:eastAsia="Times New Roman" w:cs="Times New Roman"/>
                <w:sz w:val="20"/>
                <w:szCs w:val="20"/>
                <w:highlight w:val="none"/>
              </w:rPr>
              <w:t>pH</w:t>
            </w:r>
            <w:r>
              <w:rPr>
                <w:rFonts w:hint="default" w:ascii="Times New Roman" w:hAnsi="Times New Roman" w:eastAsia="Times New Roman" w:cs="Times New Roman"/>
                <w:spacing w:val="-25"/>
                <w:sz w:val="20"/>
                <w:szCs w:val="20"/>
                <w:highlight w:val="none"/>
              </w:rPr>
              <w:t xml:space="preserve"> </w:t>
            </w:r>
            <w:r>
              <w:rPr>
                <w:rFonts w:hint="default" w:ascii="Times New Roman" w:hAnsi="Times New Roman" w:eastAsia="宋体" w:cs="Times New Roman"/>
                <w:spacing w:val="8"/>
                <w:sz w:val="20"/>
                <w:szCs w:val="20"/>
                <w:highlight w:val="none"/>
              </w:rPr>
              <w:t>、氨氮、硝酸盐、亚硝酸盐、挥发性酚</w:t>
            </w:r>
            <w:r>
              <w:rPr>
                <w:rFonts w:hint="default" w:ascii="Times New Roman" w:hAnsi="Times New Roman" w:eastAsia="宋体" w:cs="Times New Roman"/>
                <w:sz w:val="20"/>
                <w:szCs w:val="20"/>
                <w:highlight w:val="none"/>
              </w:rPr>
              <w:t xml:space="preserve"> </w:t>
            </w:r>
            <w:r>
              <w:rPr>
                <w:rFonts w:hint="default" w:ascii="Times New Roman" w:hAnsi="Times New Roman" w:eastAsia="宋体" w:cs="Times New Roman"/>
                <w:spacing w:val="10"/>
                <w:sz w:val="20"/>
                <w:szCs w:val="20"/>
                <w:highlight w:val="none"/>
              </w:rPr>
              <w:t>类、氰化物、砷、汞、六价铬、总硬度、</w:t>
            </w:r>
            <w:r>
              <w:rPr>
                <w:rFonts w:hint="default" w:ascii="Times New Roman" w:hAnsi="Times New Roman" w:eastAsia="宋体" w:cs="Times New Roman"/>
                <w:spacing w:val="12"/>
                <w:sz w:val="20"/>
                <w:szCs w:val="20"/>
                <w:highlight w:val="none"/>
              </w:rPr>
              <w:t xml:space="preserve"> </w:t>
            </w:r>
            <w:r>
              <w:rPr>
                <w:rFonts w:hint="default" w:ascii="Times New Roman" w:hAnsi="Times New Roman" w:eastAsia="宋体" w:cs="Times New Roman"/>
                <w:spacing w:val="9"/>
                <w:sz w:val="20"/>
                <w:szCs w:val="20"/>
                <w:highlight w:val="none"/>
              </w:rPr>
              <w:t>铅、氟、镉、铁、锰、溶解性总固体、高锰酸盐指数、硫酸盐、氯化物、总大肠菌</w:t>
            </w:r>
            <w:r>
              <w:rPr>
                <w:rFonts w:hint="default" w:ascii="Times New Roman" w:hAnsi="Times New Roman" w:eastAsia="宋体" w:cs="Times New Roman"/>
                <w:spacing w:val="16"/>
                <w:sz w:val="20"/>
                <w:szCs w:val="20"/>
                <w:highlight w:val="none"/>
              </w:rPr>
              <w:t xml:space="preserve"> </w:t>
            </w:r>
            <w:r>
              <w:rPr>
                <w:rFonts w:hint="default" w:ascii="Times New Roman" w:hAnsi="Times New Roman" w:eastAsia="宋体" w:cs="Times New Roman"/>
                <w:spacing w:val="4"/>
                <w:sz w:val="20"/>
                <w:szCs w:val="20"/>
                <w:highlight w:val="none"/>
              </w:rPr>
              <w:t>群、细菌总数、氟化物、</w:t>
            </w:r>
            <w:r>
              <w:rPr>
                <w:rFonts w:hint="default" w:ascii="Times New Roman" w:hAnsi="Times New Roman" w:eastAsia="Times New Roman" w:cs="Times New Roman"/>
                <w:spacing w:val="4"/>
                <w:sz w:val="20"/>
                <w:szCs w:val="20"/>
                <w:highlight w:val="none"/>
              </w:rPr>
              <w:t>K</w:t>
            </w:r>
            <w:r>
              <w:rPr>
                <w:rFonts w:hint="default" w:ascii="Times New Roman" w:hAnsi="Times New Roman" w:eastAsia="Times New Roman" w:cs="Times New Roman"/>
                <w:spacing w:val="4"/>
                <w:position w:val="6"/>
                <w:sz w:val="20"/>
                <w:szCs w:val="20"/>
                <w:highlight w:val="none"/>
              </w:rPr>
              <w:t>+</w:t>
            </w:r>
            <w:r>
              <w:rPr>
                <w:rFonts w:hint="default" w:ascii="Times New Roman" w:hAnsi="Times New Roman" w:eastAsia="Times New Roman" w:cs="Times New Roman"/>
                <w:spacing w:val="-3"/>
                <w:position w:val="6"/>
                <w:sz w:val="20"/>
                <w:szCs w:val="20"/>
                <w:highlight w:val="none"/>
              </w:rPr>
              <w:t xml:space="preserve"> </w:t>
            </w:r>
            <w:r>
              <w:rPr>
                <w:rFonts w:hint="default" w:ascii="Times New Roman" w:hAnsi="Times New Roman" w:eastAsia="宋体" w:cs="Times New Roman"/>
                <w:spacing w:val="4"/>
                <w:sz w:val="20"/>
                <w:szCs w:val="20"/>
                <w:highlight w:val="none"/>
              </w:rPr>
              <w:t>、</w:t>
            </w:r>
            <w:r>
              <w:rPr>
                <w:rFonts w:hint="default" w:ascii="Times New Roman" w:hAnsi="Times New Roman" w:eastAsia="Times New Roman" w:cs="Times New Roman"/>
                <w:sz w:val="20"/>
                <w:szCs w:val="20"/>
                <w:highlight w:val="none"/>
              </w:rPr>
              <w:t>Na</w:t>
            </w:r>
            <w:r>
              <w:rPr>
                <w:rFonts w:hint="default" w:ascii="Times New Roman" w:hAnsi="Times New Roman" w:eastAsia="Times New Roman" w:cs="Times New Roman"/>
                <w:spacing w:val="4"/>
                <w:position w:val="6"/>
                <w:sz w:val="20"/>
                <w:szCs w:val="20"/>
                <w:highlight w:val="none"/>
              </w:rPr>
              <w:t>+</w:t>
            </w:r>
            <w:r>
              <w:rPr>
                <w:rFonts w:hint="default" w:ascii="Times New Roman" w:hAnsi="Times New Roman" w:eastAsia="Times New Roman" w:cs="Times New Roman"/>
                <w:spacing w:val="-13"/>
                <w:position w:val="6"/>
                <w:sz w:val="20"/>
                <w:szCs w:val="20"/>
                <w:highlight w:val="none"/>
              </w:rPr>
              <w:t xml:space="preserve"> </w:t>
            </w:r>
            <w:r>
              <w:rPr>
                <w:rFonts w:hint="default" w:ascii="Times New Roman" w:hAnsi="Times New Roman" w:eastAsia="宋体" w:cs="Times New Roman"/>
                <w:spacing w:val="4"/>
                <w:sz w:val="20"/>
                <w:szCs w:val="20"/>
                <w:highlight w:val="none"/>
              </w:rPr>
              <w:t>、</w:t>
            </w:r>
            <w:r>
              <w:rPr>
                <w:rFonts w:hint="default" w:ascii="Times New Roman" w:hAnsi="Times New Roman" w:eastAsia="Times New Roman" w:cs="Times New Roman"/>
                <w:sz w:val="20"/>
                <w:szCs w:val="20"/>
                <w:highlight w:val="none"/>
              </w:rPr>
              <w:t>Ca</w:t>
            </w:r>
            <w:r>
              <w:rPr>
                <w:rFonts w:hint="default" w:ascii="Times New Roman" w:hAnsi="Times New Roman" w:eastAsia="Times New Roman" w:cs="Times New Roman"/>
                <w:spacing w:val="4"/>
                <w:position w:val="6"/>
                <w:sz w:val="20"/>
                <w:szCs w:val="20"/>
                <w:highlight w:val="none"/>
              </w:rPr>
              <w:t>2+</w:t>
            </w:r>
            <w:r>
              <w:rPr>
                <w:rFonts w:hint="default" w:ascii="Times New Roman" w:hAnsi="Times New Roman" w:eastAsia="宋体" w:cs="Times New Roman"/>
                <w:spacing w:val="4"/>
                <w:sz w:val="20"/>
                <w:szCs w:val="20"/>
                <w:highlight w:val="none"/>
              </w:rPr>
              <w:t>、</w:t>
            </w:r>
          </w:p>
          <w:p>
            <w:pPr>
              <w:spacing w:before="81" w:line="240" w:lineRule="auto"/>
              <w:ind w:left="379"/>
              <w:jc w:val="center"/>
              <w:rPr>
                <w:rFonts w:hint="eastAsia" w:ascii="Times New Roman" w:hAnsi="Times New Roman" w:eastAsia="宋体" w:cs="Times New Roman"/>
                <w:sz w:val="20"/>
                <w:szCs w:val="20"/>
                <w:highlight w:val="none"/>
                <w:lang w:eastAsia="zh-CN"/>
              </w:rPr>
            </w:pPr>
            <w:r>
              <w:rPr>
                <w:rFonts w:hint="default" w:ascii="Times New Roman" w:hAnsi="Times New Roman" w:eastAsia="Times New Roman" w:cs="Times New Roman"/>
                <w:sz w:val="20"/>
                <w:szCs w:val="20"/>
                <w:highlight w:val="none"/>
              </w:rPr>
              <w:t>Mg</w:t>
            </w:r>
            <w:r>
              <w:rPr>
                <w:rFonts w:hint="default" w:ascii="Times New Roman" w:hAnsi="Times New Roman" w:eastAsia="Times New Roman" w:cs="Times New Roman"/>
                <w:spacing w:val="3"/>
                <w:position w:val="6"/>
                <w:sz w:val="20"/>
                <w:szCs w:val="20"/>
                <w:highlight w:val="none"/>
              </w:rPr>
              <w:t>2+</w:t>
            </w:r>
            <w:r>
              <w:rPr>
                <w:rFonts w:hint="default" w:ascii="Times New Roman" w:hAnsi="Times New Roman" w:eastAsia="Times New Roman" w:cs="Times New Roman"/>
                <w:spacing w:val="-6"/>
                <w:position w:val="6"/>
                <w:sz w:val="20"/>
                <w:szCs w:val="20"/>
                <w:highlight w:val="none"/>
              </w:rPr>
              <w:t xml:space="preserve"> </w:t>
            </w:r>
            <w:r>
              <w:rPr>
                <w:rFonts w:hint="default" w:ascii="Times New Roman" w:hAnsi="Times New Roman" w:eastAsia="宋体" w:cs="Times New Roman"/>
                <w:spacing w:val="3"/>
                <w:sz w:val="20"/>
                <w:szCs w:val="20"/>
                <w:highlight w:val="none"/>
              </w:rPr>
              <w:t>、</w:t>
            </w:r>
            <w:r>
              <w:rPr>
                <w:rFonts w:hint="default" w:ascii="Times New Roman" w:hAnsi="Times New Roman" w:eastAsia="Times New Roman" w:cs="Times New Roman"/>
                <w:sz w:val="20"/>
                <w:szCs w:val="20"/>
                <w:highlight w:val="none"/>
              </w:rPr>
              <w:t>CO</w:t>
            </w:r>
            <w:r>
              <w:rPr>
                <w:rFonts w:hint="default" w:ascii="Times New Roman" w:hAnsi="Times New Roman" w:eastAsia="Times New Roman" w:cs="Times New Roman"/>
                <w:spacing w:val="3"/>
                <w:position w:val="-2"/>
                <w:sz w:val="20"/>
                <w:szCs w:val="20"/>
                <w:highlight w:val="none"/>
              </w:rPr>
              <w:t>3</w:t>
            </w:r>
            <w:r>
              <w:rPr>
                <w:rFonts w:hint="default" w:ascii="Times New Roman" w:hAnsi="Times New Roman" w:eastAsia="Times New Roman" w:cs="Times New Roman"/>
                <w:spacing w:val="3"/>
                <w:position w:val="6"/>
                <w:sz w:val="20"/>
                <w:szCs w:val="20"/>
                <w:highlight w:val="none"/>
              </w:rPr>
              <w:t>2-</w:t>
            </w:r>
            <w:r>
              <w:rPr>
                <w:rFonts w:hint="default" w:ascii="Times New Roman" w:hAnsi="Times New Roman" w:eastAsia="Times New Roman" w:cs="Times New Roman"/>
                <w:spacing w:val="-12"/>
                <w:position w:val="6"/>
                <w:sz w:val="20"/>
                <w:szCs w:val="20"/>
                <w:highlight w:val="none"/>
              </w:rPr>
              <w:t xml:space="preserve"> </w:t>
            </w:r>
            <w:r>
              <w:rPr>
                <w:rFonts w:hint="default" w:ascii="Times New Roman" w:hAnsi="Times New Roman" w:eastAsia="宋体" w:cs="Times New Roman"/>
                <w:spacing w:val="3"/>
                <w:sz w:val="20"/>
                <w:szCs w:val="20"/>
                <w:highlight w:val="none"/>
              </w:rPr>
              <w:t>、</w:t>
            </w:r>
            <w:r>
              <w:rPr>
                <w:rFonts w:hint="default" w:ascii="Times New Roman" w:hAnsi="Times New Roman" w:eastAsia="Times New Roman" w:cs="Times New Roman"/>
                <w:sz w:val="20"/>
                <w:szCs w:val="20"/>
                <w:highlight w:val="none"/>
              </w:rPr>
              <w:t>HCO</w:t>
            </w:r>
            <w:r>
              <w:rPr>
                <w:rFonts w:hint="default" w:ascii="Times New Roman" w:hAnsi="Times New Roman" w:eastAsia="Times New Roman" w:cs="Times New Roman"/>
                <w:spacing w:val="3"/>
                <w:position w:val="-2"/>
                <w:sz w:val="20"/>
                <w:szCs w:val="20"/>
                <w:highlight w:val="none"/>
              </w:rPr>
              <w:t>3</w:t>
            </w:r>
            <w:r>
              <w:rPr>
                <w:rFonts w:hint="default" w:ascii="Times New Roman" w:hAnsi="Times New Roman" w:eastAsia="Times New Roman" w:cs="Times New Roman"/>
                <w:spacing w:val="3"/>
                <w:position w:val="6"/>
                <w:sz w:val="20"/>
                <w:szCs w:val="20"/>
                <w:highlight w:val="none"/>
              </w:rPr>
              <w:t>2-</w:t>
            </w:r>
            <w:r>
              <w:rPr>
                <w:rFonts w:hint="default" w:ascii="Times New Roman" w:hAnsi="Times New Roman" w:eastAsia="Times New Roman" w:cs="Times New Roman"/>
                <w:spacing w:val="-10"/>
                <w:position w:val="6"/>
                <w:sz w:val="20"/>
                <w:szCs w:val="20"/>
                <w:highlight w:val="none"/>
              </w:rPr>
              <w:t xml:space="preserve"> </w:t>
            </w:r>
            <w:r>
              <w:rPr>
                <w:rFonts w:hint="default" w:ascii="Times New Roman" w:hAnsi="Times New Roman" w:eastAsia="宋体" w:cs="Times New Roman"/>
                <w:spacing w:val="3"/>
                <w:sz w:val="20"/>
                <w:szCs w:val="20"/>
                <w:highlight w:val="none"/>
              </w:rPr>
              <w:t>、</w:t>
            </w:r>
            <w:r>
              <w:rPr>
                <w:rFonts w:hint="default" w:ascii="Times New Roman" w:hAnsi="Times New Roman" w:eastAsia="Times New Roman" w:cs="Times New Roman"/>
                <w:sz w:val="20"/>
                <w:szCs w:val="20"/>
                <w:highlight w:val="none"/>
              </w:rPr>
              <w:t>Cl</w:t>
            </w:r>
            <w:r>
              <w:rPr>
                <w:rFonts w:hint="default" w:ascii="Times New Roman" w:hAnsi="Times New Roman" w:eastAsia="Times New Roman" w:cs="Times New Roman"/>
                <w:spacing w:val="3"/>
                <w:position w:val="6"/>
                <w:sz w:val="20"/>
                <w:szCs w:val="20"/>
                <w:highlight w:val="none"/>
              </w:rPr>
              <w:t>-</w:t>
            </w:r>
            <w:r>
              <w:rPr>
                <w:rFonts w:hint="default" w:ascii="Times New Roman" w:hAnsi="Times New Roman" w:eastAsia="Times New Roman" w:cs="Times New Roman"/>
                <w:spacing w:val="-9"/>
                <w:position w:val="6"/>
                <w:sz w:val="20"/>
                <w:szCs w:val="20"/>
                <w:highlight w:val="none"/>
              </w:rPr>
              <w:t xml:space="preserve"> </w:t>
            </w:r>
            <w:r>
              <w:rPr>
                <w:rFonts w:hint="default" w:ascii="Times New Roman" w:hAnsi="Times New Roman" w:eastAsia="宋体" w:cs="Times New Roman"/>
                <w:spacing w:val="3"/>
                <w:sz w:val="20"/>
                <w:szCs w:val="20"/>
                <w:highlight w:val="none"/>
              </w:rPr>
              <w:t>、</w:t>
            </w:r>
            <w:r>
              <w:rPr>
                <w:rFonts w:hint="default" w:ascii="Times New Roman" w:hAnsi="Times New Roman" w:eastAsia="Times New Roman" w:cs="Times New Roman"/>
                <w:sz w:val="20"/>
                <w:szCs w:val="20"/>
                <w:highlight w:val="none"/>
              </w:rPr>
              <w:t>SO</w:t>
            </w:r>
            <w:r>
              <w:rPr>
                <w:rFonts w:hint="default" w:ascii="Times New Roman" w:hAnsi="Times New Roman" w:eastAsia="Times New Roman" w:cs="Times New Roman"/>
                <w:spacing w:val="3"/>
                <w:position w:val="-2"/>
                <w:sz w:val="20"/>
                <w:szCs w:val="20"/>
                <w:highlight w:val="none"/>
              </w:rPr>
              <w:t>4</w:t>
            </w:r>
            <w:r>
              <w:rPr>
                <w:rFonts w:hint="default" w:ascii="Times New Roman" w:hAnsi="Times New Roman" w:eastAsia="Times New Roman" w:cs="Times New Roman"/>
                <w:spacing w:val="3"/>
                <w:position w:val="6"/>
                <w:sz w:val="20"/>
                <w:szCs w:val="20"/>
                <w:highlight w:val="none"/>
              </w:rPr>
              <w:t>2-</w:t>
            </w:r>
            <w:r>
              <w:rPr>
                <w:rFonts w:hint="eastAsia" w:ascii="Times New Roman" w:hAnsi="Times New Roman" w:eastAsia="宋体" w:cs="Times New Roman"/>
                <w:spacing w:val="3"/>
                <w:position w:val="6"/>
                <w:sz w:val="20"/>
                <w:szCs w:val="20"/>
                <w:highlight w:val="none"/>
                <w:vertAlign w:val="baseline"/>
                <w:lang w:eastAsia="zh-CN"/>
              </w:rPr>
              <w:t>、</w:t>
            </w:r>
            <w:r>
              <w:rPr>
                <w:rFonts w:hint="eastAsia" w:ascii="Times New Roman" w:hAnsi="Times New Roman" w:eastAsia="宋体" w:cs="Times New Roman"/>
                <w:spacing w:val="3"/>
                <w:position w:val="6"/>
                <w:sz w:val="20"/>
                <w:szCs w:val="20"/>
                <w:highlight w:val="none"/>
                <w:vertAlign w:val="baseline"/>
                <w:lang w:val="en-US" w:eastAsia="zh-CN"/>
              </w:rPr>
              <w:t>石油类</w:t>
            </w:r>
          </w:p>
        </w:tc>
        <w:tc>
          <w:tcPr>
            <w:tcW w:w="1520" w:type="pct"/>
            <w:vAlign w:val="top"/>
          </w:tcPr>
          <w:p>
            <w:pPr>
              <w:pStyle w:val="35"/>
              <w:spacing w:line="267" w:lineRule="auto"/>
              <w:jc w:val="center"/>
              <w:rPr>
                <w:rFonts w:hint="default" w:ascii="Times New Roman" w:hAnsi="Times New Roman" w:cs="Times New Roman"/>
                <w:sz w:val="20"/>
                <w:szCs w:val="20"/>
                <w:highlight w:val="none"/>
              </w:rPr>
            </w:pPr>
          </w:p>
          <w:p>
            <w:pPr>
              <w:pStyle w:val="35"/>
              <w:spacing w:line="267" w:lineRule="auto"/>
              <w:jc w:val="center"/>
              <w:rPr>
                <w:rFonts w:hint="default" w:ascii="Times New Roman" w:hAnsi="Times New Roman" w:cs="Times New Roman"/>
                <w:sz w:val="20"/>
                <w:szCs w:val="20"/>
                <w:highlight w:val="none"/>
              </w:rPr>
            </w:pPr>
          </w:p>
          <w:p>
            <w:pPr>
              <w:pStyle w:val="35"/>
              <w:spacing w:line="267" w:lineRule="auto"/>
              <w:jc w:val="center"/>
              <w:rPr>
                <w:rFonts w:hint="default" w:ascii="Times New Roman" w:hAnsi="Times New Roman" w:cs="Times New Roman"/>
                <w:sz w:val="20"/>
                <w:szCs w:val="20"/>
                <w:highlight w:val="none"/>
              </w:rPr>
            </w:pPr>
          </w:p>
          <w:p>
            <w:pPr>
              <w:spacing w:before="65" w:line="240" w:lineRule="auto"/>
              <w:jc w:val="center"/>
              <w:rPr>
                <w:rFonts w:hint="eastAsia" w:ascii="Times New Roman" w:hAnsi="Times New Roman" w:eastAsia="宋体" w:cs="Times New Roman"/>
                <w:sz w:val="20"/>
                <w:szCs w:val="20"/>
                <w:highlight w:val="none"/>
                <w:lang w:eastAsia="zh-CN"/>
              </w:rPr>
            </w:pPr>
            <w:r>
              <w:rPr>
                <w:rFonts w:hint="default" w:ascii="Times New Roman" w:hAnsi="Times New Roman" w:eastAsia="Times New Roman" w:cs="Times New Roman"/>
                <w:sz w:val="20"/>
                <w:szCs w:val="20"/>
                <w:highlight w:val="none"/>
              </w:rPr>
              <w:t>COD</w:t>
            </w:r>
            <w:r>
              <w:rPr>
                <w:rFonts w:hint="default" w:ascii="Times New Roman" w:hAnsi="Times New Roman" w:eastAsia="Times New Roman" w:cs="Times New Roman"/>
                <w:spacing w:val="-27"/>
                <w:sz w:val="20"/>
                <w:szCs w:val="20"/>
                <w:highlight w:val="none"/>
              </w:rPr>
              <w:t xml:space="preserve"> </w:t>
            </w:r>
            <w:r>
              <w:rPr>
                <w:rFonts w:hint="default" w:ascii="Times New Roman" w:hAnsi="Times New Roman" w:eastAsia="宋体" w:cs="Times New Roman"/>
                <w:spacing w:val="6"/>
                <w:sz w:val="20"/>
                <w:szCs w:val="20"/>
                <w:highlight w:val="none"/>
              </w:rPr>
              <w:t>、</w:t>
            </w:r>
            <w:r>
              <w:rPr>
                <w:rFonts w:hint="default" w:ascii="Times New Roman" w:hAnsi="Times New Roman" w:eastAsia="Times New Roman" w:cs="Times New Roman"/>
                <w:sz w:val="20"/>
                <w:szCs w:val="20"/>
                <w:highlight w:val="none"/>
              </w:rPr>
              <w:t>NH</w:t>
            </w:r>
            <w:r>
              <w:rPr>
                <w:rFonts w:hint="default" w:ascii="Times New Roman" w:hAnsi="Times New Roman" w:eastAsia="Times New Roman" w:cs="Times New Roman"/>
                <w:spacing w:val="6"/>
                <w:position w:val="-1"/>
                <w:sz w:val="20"/>
                <w:szCs w:val="20"/>
                <w:highlight w:val="none"/>
                <w:vertAlign w:val="subscript"/>
              </w:rPr>
              <w:t>3</w:t>
            </w:r>
            <w:r>
              <w:rPr>
                <w:rFonts w:hint="default" w:ascii="Times New Roman" w:hAnsi="Times New Roman" w:eastAsia="Times New Roman" w:cs="Times New Roman"/>
                <w:spacing w:val="6"/>
                <w:sz w:val="20"/>
                <w:szCs w:val="20"/>
                <w:highlight w:val="none"/>
              </w:rPr>
              <w:t>-N</w:t>
            </w:r>
            <w:r>
              <w:rPr>
                <w:rFonts w:hint="eastAsia" w:ascii="Times New Roman" w:hAnsi="Times New Roman" w:eastAsia="宋体" w:cs="Times New Roman"/>
                <w:spacing w:val="6"/>
                <w:sz w:val="20"/>
                <w:szCs w:val="20"/>
                <w:highlight w:val="none"/>
                <w:lang w:eastAsia="zh-CN"/>
              </w:rPr>
              <w:t>、</w:t>
            </w:r>
            <w:r>
              <w:rPr>
                <w:rFonts w:hint="eastAsia" w:ascii="Times New Roman" w:hAnsi="Times New Roman" w:eastAsia="宋体" w:cs="Times New Roman"/>
                <w:spacing w:val="6"/>
                <w:sz w:val="20"/>
                <w:szCs w:val="20"/>
                <w:highlight w:val="none"/>
                <w:lang w:val="en-US" w:eastAsia="zh-CN"/>
              </w:rPr>
              <w:t>石油类</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798" w:type="pct"/>
            <w:vAlign w:val="top"/>
          </w:tcPr>
          <w:p>
            <w:pPr>
              <w:spacing w:before="56" w:line="228" w:lineRule="auto"/>
              <w:jc w:val="center"/>
              <w:rPr>
                <w:rFonts w:hint="default" w:ascii="Times New Roman" w:hAnsi="Times New Roman" w:eastAsia="宋体" w:cs="Times New Roman"/>
                <w:sz w:val="20"/>
                <w:szCs w:val="20"/>
              </w:rPr>
            </w:pPr>
            <w:r>
              <w:rPr>
                <w:rFonts w:hint="default" w:ascii="Times New Roman" w:hAnsi="Times New Roman" w:eastAsia="宋体" w:cs="Times New Roman"/>
                <w:spacing w:val="4"/>
                <w:sz w:val="20"/>
                <w:szCs w:val="20"/>
              </w:rPr>
              <w:t>噪声环境</w:t>
            </w:r>
          </w:p>
        </w:tc>
        <w:tc>
          <w:tcPr>
            <w:tcW w:w="2680" w:type="pct"/>
            <w:vAlign w:val="top"/>
          </w:tcPr>
          <w:p>
            <w:pPr>
              <w:spacing w:before="55" w:line="228" w:lineRule="auto"/>
              <w:jc w:val="center"/>
              <w:rPr>
                <w:rFonts w:hint="default" w:ascii="Times New Roman" w:hAnsi="Times New Roman" w:eastAsia="宋体" w:cs="Times New Roman"/>
                <w:sz w:val="20"/>
                <w:szCs w:val="20"/>
              </w:rPr>
            </w:pPr>
            <w:r>
              <w:rPr>
                <w:rFonts w:hint="default" w:ascii="Times New Roman" w:hAnsi="Times New Roman" w:eastAsia="宋体" w:cs="Times New Roman"/>
                <w:spacing w:val="5"/>
                <w:sz w:val="20"/>
                <w:szCs w:val="20"/>
              </w:rPr>
              <w:t>连续等效</w:t>
            </w:r>
            <w:r>
              <w:rPr>
                <w:rFonts w:hint="default" w:ascii="Times New Roman" w:hAnsi="Times New Roman" w:eastAsia="宋体" w:cs="Times New Roman"/>
                <w:spacing w:val="-41"/>
                <w:sz w:val="20"/>
                <w:szCs w:val="20"/>
              </w:rPr>
              <w:t xml:space="preserve"> </w:t>
            </w:r>
            <w:r>
              <w:rPr>
                <w:rFonts w:hint="default" w:ascii="Times New Roman" w:hAnsi="Times New Roman" w:eastAsia="Times New Roman" w:cs="Times New Roman"/>
                <w:spacing w:val="5"/>
                <w:sz w:val="20"/>
                <w:szCs w:val="20"/>
              </w:rPr>
              <w:t>A</w:t>
            </w:r>
            <w:r>
              <w:rPr>
                <w:rFonts w:hint="default" w:ascii="Times New Roman" w:hAnsi="Times New Roman" w:eastAsia="Times New Roman" w:cs="Times New Roman"/>
                <w:spacing w:val="16"/>
                <w:sz w:val="20"/>
                <w:szCs w:val="20"/>
              </w:rPr>
              <w:t xml:space="preserve"> </w:t>
            </w:r>
            <w:r>
              <w:rPr>
                <w:rFonts w:hint="default" w:ascii="Times New Roman" w:hAnsi="Times New Roman" w:eastAsia="宋体" w:cs="Times New Roman"/>
                <w:spacing w:val="5"/>
                <w:sz w:val="20"/>
                <w:szCs w:val="20"/>
              </w:rPr>
              <w:t>声级</w:t>
            </w:r>
          </w:p>
        </w:tc>
        <w:tc>
          <w:tcPr>
            <w:tcW w:w="1520" w:type="pct"/>
            <w:vAlign w:val="top"/>
          </w:tcPr>
          <w:p>
            <w:pPr>
              <w:spacing w:before="55" w:line="228" w:lineRule="auto"/>
              <w:jc w:val="center"/>
              <w:rPr>
                <w:rFonts w:hint="default" w:ascii="Times New Roman" w:hAnsi="Times New Roman" w:eastAsia="宋体" w:cs="Times New Roman"/>
                <w:spacing w:val="5"/>
                <w:sz w:val="20"/>
                <w:szCs w:val="20"/>
                <w:highlight w:val="none"/>
              </w:rPr>
            </w:pPr>
            <w:r>
              <w:rPr>
                <w:rFonts w:hint="default" w:ascii="Times New Roman" w:hAnsi="Times New Roman" w:eastAsia="宋体" w:cs="Times New Roman"/>
                <w:spacing w:val="5"/>
                <w:sz w:val="20"/>
                <w:szCs w:val="20"/>
                <w:highlight w:val="none"/>
              </w:rPr>
              <w:t>连续等效 A 声级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jc w:val="center"/>
        </w:trPr>
        <w:tc>
          <w:tcPr>
            <w:tcW w:w="798" w:type="pct"/>
            <w:vAlign w:val="top"/>
          </w:tcPr>
          <w:p>
            <w:pPr>
              <w:spacing w:before="212" w:line="228" w:lineRule="auto"/>
              <w:jc w:val="center"/>
              <w:rPr>
                <w:rFonts w:hint="default" w:ascii="Times New Roman" w:hAnsi="Times New Roman" w:eastAsia="宋体" w:cs="Times New Roman"/>
                <w:sz w:val="20"/>
                <w:szCs w:val="20"/>
              </w:rPr>
            </w:pPr>
            <w:r>
              <w:rPr>
                <w:rFonts w:hint="default" w:ascii="Times New Roman" w:hAnsi="Times New Roman" w:eastAsia="宋体" w:cs="Times New Roman"/>
                <w:spacing w:val="2"/>
                <w:sz w:val="20"/>
                <w:szCs w:val="20"/>
              </w:rPr>
              <w:t>固体废物</w:t>
            </w:r>
          </w:p>
        </w:tc>
        <w:tc>
          <w:tcPr>
            <w:tcW w:w="5164" w:type="dxa"/>
            <w:vAlign w:val="top"/>
          </w:tcPr>
          <w:p>
            <w:pPr>
              <w:spacing w:before="212" w:line="228" w:lineRule="auto"/>
              <w:jc w:val="center"/>
              <w:rPr>
                <w:rFonts w:hint="default" w:ascii="Times New Roman" w:hAnsi="Times New Roman" w:eastAsia="宋体" w:cs="Times New Roman"/>
                <w:sz w:val="20"/>
                <w:szCs w:val="20"/>
                <w:lang w:val="en-US" w:eastAsia="zh-CN"/>
              </w:rPr>
            </w:pPr>
            <w:r>
              <w:rPr>
                <w:rFonts w:hint="default" w:ascii="Times New Roman" w:hAnsi="Times New Roman" w:eastAsia="宋体" w:cs="Times New Roman"/>
                <w:sz w:val="20"/>
                <w:szCs w:val="20"/>
                <w:lang w:val="en-US" w:eastAsia="zh-CN"/>
              </w:rPr>
              <w:t>——</w:t>
            </w:r>
          </w:p>
        </w:tc>
        <w:tc>
          <w:tcPr>
            <w:tcW w:w="1520" w:type="pct"/>
            <w:vAlign w:val="top"/>
          </w:tcPr>
          <w:p>
            <w:pPr>
              <w:spacing w:before="55" w:line="228" w:lineRule="auto"/>
              <w:jc w:val="center"/>
              <w:rPr>
                <w:rFonts w:hint="default" w:ascii="Times New Roman" w:hAnsi="Times New Roman" w:eastAsia="宋体" w:cs="Times New Roman"/>
                <w:spacing w:val="5"/>
                <w:sz w:val="20"/>
                <w:szCs w:val="20"/>
                <w:highlight w:val="none"/>
              </w:rPr>
            </w:pPr>
            <w:r>
              <w:rPr>
                <w:rFonts w:hint="default" w:ascii="Times New Roman" w:hAnsi="Times New Roman" w:eastAsia="宋体" w:cs="Times New Roman"/>
                <w:spacing w:val="5"/>
                <w:sz w:val="20"/>
                <w:szCs w:val="20"/>
                <w:highlight w:val="none"/>
                <w:lang w:val="en-US" w:eastAsia="zh-CN"/>
              </w:rPr>
              <w:t>猪粪便、病变腺体、内脏及残留脂肪、猪毛、肠胃内容物</w:t>
            </w:r>
            <w:r>
              <w:rPr>
                <w:rFonts w:hint="default" w:ascii="Times New Roman" w:hAnsi="Times New Roman" w:eastAsia="宋体" w:cs="Times New Roman"/>
                <w:spacing w:val="5"/>
                <w:sz w:val="20"/>
                <w:szCs w:val="20"/>
                <w:highlight w:val="none"/>
                <w:lang w:eastAsia="zh-CN"/>
              </w:rPr>
              <w:t>、</w:t>
            </w:r>
            <w:r>
              <w:rPr>
                <w:rFonts w:hint="default" w:ascii="Times New Roman" w:hAnsi="Times New Roman" w:eastAsia="宋体" w:cs="Times New Roman"/>
                <w:spacing w:val="5"/>
                <w:sz w:val="20"/>
                <w:szCs w:val="20"/>
                <w:highlight w:val="none"/>
                <w:lang w:val="en-US" w:eastAsia="zh-CN"/>
              </w:rPr>
              <w:t>污水处理站污泥和栅渣、废离子交换树脂、废活性炭、病</w:t>
            </w:r>
            <w:r>
              <w:rPr>
                <w:rFonts w:hint="eastAsia" w:ascii="Times New Roman" w:hAnsi="Times New Roman" w:eastAsia="宋体" w:cs="Times New Roman"/>
                <w:spacing w:val="5"/>
                <w:sz w:val="20"/>
                <w:szCs w:val="20"/>
                <w:highlight w:val="none"/>
                <w:lang w:val="en-US" w:eastAsia="zh-CN"/>
              </w:rPr>
              <w:t>死</w:t>
            </w:r>
            <w:r>
              <w:rPr>
                <w:rFonts w:hint="default" w:ascii="Times New Roman" w:hAnsi="Times New Roman" w:eastAsia="宋体" w:cs="Times New Roman"/>
                <w:spacing w:val="5"/>
                <w:sz w:val="20"/>
                <w:szCs w:val="20"/>
                <w:highlight w:val="none"/>
                <w:lang w:val="en-US" w:eastAsia="zh-CN"/>
              </w:rPr>
              <w:t>猪。</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jc w:val="center"/>
        </w:trPr>
        <w:tc>
          <w:tcPr>
            <w:tcW w:w="798" w:type="pct"/>
            <w:vAlign w:val="top"/>
          </w:tcPr>
          <w:p>
            <w:pPr>
              <w:spacing w:before="212" w:line="228" w:lineRule="auto"/>
              <w:jc w:val="center"/>
              <w:rPr>
                <w:rFonts w:hint="default" w:ascii="Times New Roman" w:hAnsi="Times New Roman" w:eastAsia="宋体" w:cs="Times New Roman"/>
                <w:spacing w:val="2"/>
                <w:sz w:val="20"/>
                <w:szCs w:val="20"/>
                <w:lang w:val="en-US" w:eastAsia="zh-CN"/>
              </w:rPr>
            </w:pPr>
            <w:r>
              <w:rPr>
                <w:rFonts w:hint="default" w:ascii="Times New Roman" w:hAnsi="Times New Roman" w:eastAsia="宋体" w:cs="Times New Roman"/>
                <w:spacing w:val="2"/>
                <w:sz w:val="20"/>
                <w:szCs w:val="20"/>
                <w:lang w:val="en-US" w:eastAsia="zh-CN"/>
              </w:rPr>
              <w:t>环境风险</w:t>
            </w:r>
          </w:p>
        </w:tc>
        <w:tc>
          <w:tcPr>
            <w:tcW w:w="2680" w:type="pct"/>
            <w:vAlign w:val="top"/>
          </w:tcPr>
          <w:p>
            <w:pPr>
              <w:spacing w:before="212" w:line="228" w:lineRule="auto"/>
              <w:jc w:val="center"/>
              <w:rPr>
                <w:rFonts w:hint="default" w:ascii="Times New Roman" w:hAnsi="Times New Roman" w:eastAsia="宋体" w:cs="Times New Roman"/>
                <w:snapToGrid w:val="0"/>
                <w:color w:val="000000"/>
                <w:spacing w:val="2"/>
                <w:kern w:val="0"/>
                <w:sz w:val="20"/>
                <w:szCs w:val="20"/>
                <w:lang w:val="en-US" w:eastAsia="zh-CN" w:bidi="ar-SA"/>
              </w:rPr>
            </w:pPr>
            <w:r>
              <w:rPr>
                <w:rFonts w:hint="default" w:ascii="Times New Roman" w:hAnsi="Times New Roman" w:eastAsia="宋体" w:cs="Times New Roman"/>
                <w:snapToGrid w:val="0"/>
                <w:color w:val="000000"/>
                <w:spacing w:val="2"/>
                <w:kern w:val="0"/>
                <w:sz w:val="20"/>
                <w:szCs w:val="20"/>
                <w:lang w:val="en-US" w:eastAsia="zh-CN" w:bidi="ar-SA"/>
              </w:rPr>
              <w:t>——</w:t>
            </w:r>
          </w:p>
        </w:tc>
        <w:tc>
          <w:tcPr>
            <w:tcW w:w="2931" w:type="dxa"/>
            <w:vAlign w:val="top"/>
          </w:tcPr>
          <w:p>
            <w:pPr>
              <w:spacing w:before="212" w:line="228" w:lineRule="auto"/>
              <w:jc w:val="center"/>
              <w:rPr>
                <w:rFonts w:hint="eastAsia" w:ascii="Times New Roman" w:hAnsi="Times New Roman" w:eastAsia="宋体" w:cs="Times New Roman"/>
                <w:spacing w:val="5"/>
                <w:sz w:val="20"/>
                <w:szCs w:val="20"/>
                <w:highlight w:val="none"/>
                <w:lang w:val="en-US" w:eastAsia="zh-CN"/>
              </w:rPr>
            </w:pPr>
            <w:r>
              <w:rPr>
                <w:rFonts w:hint="default" w:ascii="Times New Roman" w:hAnsi="Times New Roman" w:cs="Times New Roman"/>
                <w:color w:val="auto"/>
                <w:szCs w:val="21"/>
              </w:rPr>
              <w:t>次氯酸</w:t>
            </w:r>
            <w:r>
              <w:rPr>
                <w:rFonts w:hint="default" w:ascii="Times New Roman" w:hAnsi="Times New Roman" w:cs="Times New Roman"/>
                <w:color w:val="auto"/>
                <w:szCs w:val="21"/>
                <w:highlight w:val="none"/>
              </w:rPr>
              <w:t>钠</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柴油</w:t>
            </w:r>
          </w:p>
        </w:tc>
      </w:tr>
    </w:tbl>
    <w:p>
      <w:pPr>
        <w:widowControl w:val="0"/>
        <w:kinsoku/>
        <w:autoSpaceDE/>
        <w:autoSpaceDN/>
        <w:adjustRightInd/>
        <w:snapToGrid/>
        <w:spacing w:line="360" w:lineRule="auto"/>
        <w:jc w:val="left"/>
        <w:textAlignment w:val="auto"/>
        <w:outlineLvl w:val="1"/>
        <w:rPr>
          <w:rFonts w:hint="default" w:ascii="Times New Roman" w:hAnsi="Times New Roman" w:eastAsia="宋体" w:cs="Times New Roman"/>
          <w:b/>
          <w:bCs/>
          <w:snapToGrid/>
          <w:color w:val="auto"/>
          <w:kern w:val="44"/>
          <w:sz w:val="30"/>
          <w:szCs w:val="30"/>
          <w:lang w:val="en-US" w:eastAsia="zh-CN"/>
        </w:rPr>
      </w:pPr>
      <w:bookmarkStart w:id="26" w:name="_Toc26971"/>
      <w:r>
        <w:rPr>
          <w:rFonts w:hint="default" w:ascii="Times New Roman" w:hAnsi="Times New Roman" w:eastAsia="宋体" w:cs="Times New Roman"/>
          <w:b/>
          <w:bCs/>
          <w:snapToGrid/>
          <w:color w:val="auto"/>
          <w:kern w:val="44"/>
          <w:sz w:val="30"/>
          <w:szCs w:val="30"/>
          <w:lang w:val="en-US" w:eastAsia="zh-CN"/>
        </w:rPr>
        <w:t>2.4 评级工作等级的确定和评价范围</w:t>
      </w:r>
      <w:bookmarkEnd w:id="26"/>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highlight w:val="none"/>
          <w:lang w:val="en-US" w:eastAsia="zh-CN"/>
        </w:rPr>
      </w:pPr>
      <w:r>
        <w:rPr>
          <w:rFonts w:hint="default" w:ascii="Times New Roman" w:hAnsi="Times New Roman" w:eastAsia="宋体" w:cs="Times New Roman"/>
          <w:b/>
          <w:bCs w:val="0"/>
          <w:snapToGrid/>
          <w:color w:val="auto"/>
          <w:kern w:val="2"/>
          <w:sz w:val="28"/>
          <w:szCs w:val="28"/>
          <w:highlight w:val="none"/>
          <w:lang w:val="en-US" w:eastAsia="zh-CN"/>
        </w:rPr>
        <w:t>2.4.1  评级工作等级</w:t>
      </w:r>
    </w:p>
    <w:p>
      <w:pPr>
        <w:spacing w:line="360" w:lineRule="auto"/>
        <w:ind w:firstLine="480" w:firstLineChars="200"/>
        <w:jc w:val="both"/>
        <w:outlineLvl w:val="0"/>
        <w:rPr>
          <w:rFonts w:hint="default" w:ascii="Times New Roman" w:hAnsi="Times New Roman" w:cs="Times New Roman"/>
          <w:color w:val="auto"/>
          <w:sz w:val="24"/>
          <w:highlight w:val="none"/>
        </w:rPr>
      </w:pPr>
      <w:bookmarkStart w:id="27" w:name="_Toc720"/>
      <w:bookmarkStart w:id="28" w:name="_Toc17592"/>
      <w:bookmarkStart w:id="29" w:name="_Toc20695"/>
      <w:r>
        <w:rPr>
          <w:rFonts w:hint="default" w:ascii="Times New Roman" w:hAnsi="Times New Roman" w:cs="Times New Roman"/>
          <w:color w:val="auto"/>
          <w:sz w:val="24"/>
          <w:highlight w:val="none"/>
        </w:rPr>
        <w:t>1 、环境空气影响评价等级</w:t>
      </w:r>
      <w:bookmarkEnd w:id="27"/>
      <w:bookmarkEnd w:id="28"/>
      <w:bookmarkEnd w:id="29"/>
    </w:p>
    <w:p>
      <w:pPr>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Times New Roman" w:cs="Times New Roman"/>
          <w:b/>
          <w:bCs/>
          <w:spacing w:val="4"/>
          <w:sz w:val="20"/>
          <w:szCs w:val="20"/>
          <w:highlight w:val="none"/>
        </w:rPr>
      </w:pPr>
      <w:r>
        <w:rPr>
          <w:rFonts w:hint="default" w:ascii="Times New Roman" w:hAnsi="Times New Roman" w:eastAsia="Times New Roman" w:cs="Times New Roman"/>
          <w:b/>
          <w:bCs/>
          <w:spacing w:val="4"/>
          <w:sz w:val="20"/>
          <w:szCs w:val="20"/>
          <w:highlight w:val="none"/>
        </w:rPr>
        <w:t>表2-4-1大气评价等级确定表</w:t>
      </w:r>
    </w:p>
    <w:tbl>
      <w:tblPr>
        <w:tblStyle w:val="24"/>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5881"/>
        <w:gridCol w:w="396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986" w:type="pct"/>
            <w:vAlign w:val="center"/>
          </w:tcPr>
          <w:p>
            <w:pPr>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评价工作等级判据</w:t>
            </w:r>
          </w:p>
        </w:tc>
        <w:tc>
          <w:tcPr>
            <w:tcW w:w="2013" w:type="pct"/>
            <w:vAlign w:val="center"/>
          </w:tcPr>
          <w:p>
            <w:pPr>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评价工作等级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986" w:type="pct"/>
            <w:vAlign w:val="center"/>
          </w:tcPr>
          <w:p>
            <w:pPr>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P</w:t>
            </w:r>
            <w:r>
              <w:rPr>
                <w:rFonts w:hint="default" w:ascii="Times New Roman" w:hAnsi="Times New Roman" w:eastAsia="宋体" w:cs="Times New Roman"/>
                <w:snapToGrid w:val="0"/>
                <w:color w:val="auto"/>
                <w:kern w:val="0"/>
                <w:sz w:val="21"/>
                <w:szCs w:val="21"/>
                <w:highlight w:val="none"/>
                <w:vertAlign w:val="subscript"/>
                <w:lang w:val="zh-CN"/>
              </w:rPr>
              <w:t>max</w:t>
            </w:r>
            <w:r>
              <w:rPr>
                <w:rFonts w:hint="default" w:ascii="Times New Roman" w:hAnsi="Times New Roman" w:eastAsia="宋体" w:cs="Times New Roman"/>
                <w:snapToGrid w:val="0"/>
                <w:color w:val="auto"/>
                <w:kern w:val="0"/>
                <w:sz w:val="21"/>
                <w:szCs w:val="21"/>
                <w:highlight w:val="none"/>
                <w:lang w:val="zh-CN"/>
              </w:rPr>
              <w:t>≥10%</w:t>
            </w:r>
          </w:p>
        </w:tc>
        <w:tc>
          <w:tcPr>
            <w:tcW w:w="2013" w:type="pct"/>
            <w:vAlign w:val="center"/>
          </w:tcPr>
          <w:p>
            <w:pPr>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一级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986" w:type="pct"/>
            <w:vAlign w:val="center"/>
          </w:tcPr>
          <w:p>
            <w:pPr>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1%≤P</w:t>
            </w:r>
            <w:r>
              <w:rPr>
                <w:rFonts w:hint="default" w:ascii="Times New Roman" w:hAnsi="Times New Roman" w:eastAsia="宋体" w:cs="Times New Roman"/>
                <w:snapToGrid w:val="0"/>
                <w:color w:val="auto"/>
                <w:kern w:val="0"/>
                <w:sz w:val="21"/>
                <w:szCs w:val="21"/>
                <w:highlight w:val="none"/>
                <w:vertAlign w:val="subscript"/>
                <w:lang w:val="zh-CN"/>
              </w:rPr>
              <w:t>max</w:t>
            </w:r>
            <w:r>
              <w:rPr>
                <w:rFonts w:hint="default" w:ascii="Times New Roman" w:hAnsi="Times New Roman" w:eastAsia="宋体" w:cs="Times New Roman"/>
                <w:snapToGrid w:val="0"/>
                <w:color w:val="auto"/>
                <w:kern w:val="0"/>
                <w:sz w:val="21"/>
                <w:szCs w:val="21"/>
                <w:highlight w:val="none"/>
                <w:lang w:val="zh-CN"/>
              </w:rPr>
              <w:t>＜10%</w:t>
            </w:r>
          </w:p>
        </w:tc>
        <w:tc>
          <w:tcPr>
            <w:tcW w:w="2013" w:type="pct"/>
            <w:vAlign w:val="center"/>
          </w:tcPr>
          <w:p>
            <w:pPr>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二级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986" w:type="pct"/>
            <w:vAlign w:val="center"/>
          </w:tcPr>
          <w:p>
            <w:pPr>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P</w:t>
            </w:r>
            <w:r>
              <w:rPr>
                <w:rFonts w:hint="default" w:ascii="Times New Roman" w:hAnsi="Times New Roman" w:eastAsia="宋体" w:cs="Times New Roman"/>
                <w:snapToGrid w:val="0"/>
                <w:color w:val="auto"/>
                <w:kern w:val="0"/>
                <w:sz w:val="21"/>
                <w:szCs w:val="21"/>
                <w:highlight w:val="none"/>
                <w:vertAlign w:val="subscript"/>
                <w:lang w:val="zh-CN"/>
              </w:rPr>
              <w:t>max</w:t>
            </w:r>
            <w:r>
              <w:rPr>
                <w:rFonts w:hint="default" w:ascii="Times New Roman" w:hAnsi="Times New Roman" w:eastAsia="宋体" w:cs="Times New Roman"/>
                <w:snapToGrid w:val="0"/>
                <w:color w:val="auto"/>
                <w:kern w:val="0"/>
                <w:sz w:val="21"/>
                <w:szCs w:val="21"/>
                <w:highlight w:val="none"/>
                <w:lang w:val="zh-CN"/>
              </w:rPr>
              <w:t>＜1%</w:t>
            </w:r>
          </w:p>
        </w:tc>
        <w:tc>
          <w:tcPr>
            <w:tcW w:w="2013" w:type="pct"/>
            <w:vAlign w:val="center"/>
          </w:tcPr>
          <w:p>
            <w:pPr>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三级</w:t>
            </w:r>
          </w:p>
        </w:tc>
      </w:tr>
    </w:tbl>
    <w:p>
      <w:pPr>
        <w:spacing w:line="480" w:lineRule="exact"/>
        <w:ind w:firstLine="422" w:firstLineChars="176"/>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依据《环境影响评价技术导则大气环境》(HJ2.2-2018)中最大地面浓度占标率P</w:t>
      </w:r>
      <w:r>
        <w:rPr>
          <w:rFonts w:hint="default" w:ascii="Times New Roman" w:hAnsi="Times New Roman" w:cs="Times New Roman"/>
          <w:i/>
          <w:color w:val="auto"/>
          <w:sz w:val="24"/>
          <w:highlight w:val="none"/>
        </w:rPr>
        <w:t>i</w:t>
      </w:r>
      <w:r>
        <w:rPr>
          <w:rFonts w:hint="default" w:ascii="Times New Roman" w:hAnsi="Times New Roman" w:cs="Times New Roman"/>
          <w:color w:val="auto"/>
          <w:sz w:val="24"/>
          <w:highlight w:val="none"/>
        </w:rPr>
        <w:t>定义如下：</w:t>
      </w:r>
    </w:p>
    <w:p>
      <w:pPr>
        <w:spacing w:line="276" w:lineRule="auto"/>
        <w:ind w:firstLine="422" w:firstLineChars="176"/>
        <w:jc w:val="center"/>
        <w:rPr>
          <w:rFonts w:hint="default" w:ascii="Times New Roman" w:hAnsi="Times New Roman" w:cs="Times New Roman"/>
          <w:color w:val="auto"/>
          <w:sz w:val="24"/>
          <w:highlight w:val="none"/>
        </w:rPr>
      </w:pPr>
      <m:oMathPara>
        <m:oMath>
          <m:sSub>
            <m:sSubPr>
              <m:ctrlPr>
                <w:rPr>
                  <w:rFonts w:hint="default" w:ascii="Cambria Math" w:hAnsi="Cambria Math" w:cs="Times New Roman"/>
                  <w:color w:val="auto"/>
                  <w:sz w:val="24"/>
                  <w:highlight w:val="none"/>
                </w:rPr>
              </m:ctrlPr>
            </m:sSubPr>
            <m:e>
              <m:r>
                <m:rPr/>
                <w:rPr>
                  <w:rFonts w:hint="default" w:ascii="Cambria Math" w:hAnsi="Cambria Math" w:cs="Times New Roman"/>
                  <w:color w:val="auto"/>
                  <w:sz w:val="24"/>
                  <w:highlight w:val="none"/>
                </w:rPr>
                <m:t>P</m:t>
              </m:r>
              <m:ctrlPr>
                <w:rPr>
                  <w:rFonts w:hint="default" w:ascii="Cambria Math" w:hAnsi="Cambria Math" w:cs="Times New Roman"/>
                  <w:color w:val="auto"/>
                  <w:sz w:val="24"/>
                  <w:highlight w:val="none"/>
                </w:rPr>
              </m:ctrlPr>
            </m:e>
            <m:sub>
              <m:r>
                <m:rPr/>
                <w:rPr>
                  <w:rFonts w:hint="default" w:ascii="Cambria Math" w:hAnsi="Cambria Math" w:cs="Times New Roman"/>
                  <w:color w:val="auto"/>
                  <w:sz w:val="24"/>
                  <w:highlight w:val="none"/>
                </w:rPr>
                <m:t>i</m:t>
              </m:r>
              <m:ctrlPr>
                <w:rPr>
                  <w:rFonts w:hint="default" w:ascii="Cambria Math" w:hAnsi="Cambria Math" w:cs="Times New Roman"/>
                  <w:color w:val="auto"/>
                  <w:sz w:val="24"/>
                  <w:highlight w:val="none"/>
                </w:rPr>
              </m:ctrlPr>
            </m:sub>
          </m:sSub>
          <m:r>
            <m:rPr>
              <m:sty m:val="p"/>
            </m:rPr>
            <w:rPr>
              <w:rFonts w:hint="default" w:ascii="Cambria Math" w:hAnsi="Cambria Math" w:cs="Times New Roman"/>
              <w:color w:val="auto"/>
              <w:sz w:val="24"/>
              <w:highlight w:val="none"/>
            </w:rPr>
            <m:t>=</m:t>
          </m:r>
          <m:f>
            <m:fPr>
              <m:ctrlPr>
                <w:rPr>
                  <w:rFonts w:hint="default" w:ascii="Cambria Math" w:hAnsi="Cambria Math" w:cs="Times New Roman"/>
                  <w:color w:val="auto"/>
                  <w:sz w:val="24"/>
                  <w:highlight w:val="none"/>
                </w:rPr>
              </m:ctrlPr>
            </m:fPr>
            <m:num>
              <m:sSub>
                <m:sSubPr>
                  <m:ctrlPr>
                    <w:rPr>
                      <w:rFonts w:hint="default" w:ascii="Cambria Math" w:hAnsi="Cambria Math" w:cs="Times New Roman"/>
                      <w:i/>
                      <w:color w:val="auto"/>
                      <w:sz w:val="24"/>
                      <w:highlight w:val="none"/>
                    </w:rPr>
                  </m:ctrlPr>
                </m:sSubPr>
                <m:e>
                  <m:r>
                    <m:rPr/>
                    <w:rPr>
                      <w:rFonts w:hint="default" w:ascii="Cambria Math" w:hAnsi="Cambria Math" w:cs="Times New Roman"/>
                      <w:color w:val="auto"/>
                      <w:sz w:val="24"/>
                      <w:highlight w:val="none"/>
                    </w:rPr>
                    <m:t>C</m:t>
                  </m:r>
                  <m:ctrlPr>
                    <w:rPr>
                      <w:rFonts w:hint="default" w:ascii="Cambria Math" w:hAnsi="Cambria Math" w:cs="Times New Roman"/>
                      <w:i/>
                      <w:color w:val="auto"/>
                      <w:sz w:val="24"/>
                      <w:highlight w:val="none"/>
                    </w:rPr>
                  </m:ctrlPr>
                </m:e>
                <m:sub>
                  <m:r>
                    <m:rPr/>
                    <w:rPr>
                      <w:rFonts w:hint="default" w:ascii="Cambria Math" w:hAnsi="Cambria Math" w:cs="Times New Roman"/>
                      <w:color w:val="auto"/>
                      <w:sz w:val="24"/>
                      <w:highlight w:val="none"/>
                    </w:rPr>
                    <m:t>i</m:t>
                  </m:r>
                  <m:ctrlPr>
                    <w:rPr>
                      <w:rFonts w:hint="default" w:ascii="Cambria Math" w:hAnsi="Cambria Math" w:cs="Times New Roman"/>
                      <w:i/>
                      <w:color w:val="auto"/>
                      <w:sz w:val="24"/>
                      <w:highlight w:val="none"/>
                    </w:rPr>
                  </m:ctrlPr>
                </m:sub>
              </m:sSub>
              <m:ctrlPr>
                <w:rPr>
                  <w:rFonts w:hint="default" w:ascii="Cambria Math" w:hAnsi="Cambria Math" w:cs="Times New Roman"/>
                  <w:color w:val="auto"/>
                  <w:sz w:val="24"/>
                  <w:highlight w:val="none"/>
                </w:rPr>
              </m:ctrlPr>
            </m:num>
            <m:den>
              <m:sSub>
                <m:sSubPr>
                  <m:ctrlPr>
                    <w:rPr>
                      <w:rFonts w:hint="default" w:ascii="Cambria Math" w:hAnsi="Cambria Math" w:cs="Times New Roman"/>
                      <w:i/>
                      <w:color w:val="auto"/>
                      <w:sz w:val="24"/>
                      <w:highlight w:val="none"/>
                    </w:rPr>
                  </m:ctrlPr>
                </m:sSubPr>
                <m:e>
                  <m:r>
                    <m:rPr/>
                    <w:rPr>
                      <w:rFonts w:hint="default" w:ascii="Cambria Math" w:hAnsi="Cambria Math" w:cs="Times New Roman"/>
                      <w:color w:val="auto"/>
                      <w:sz w:val="24"/>
                      <w:highlight w:val="none"/>
                    </w:rPr>
                    <m:t>C</m:t>
                  </m:r>
                  <m:ctrlPr>
                    <w:rPr>
                      <w:rFonts w:hint="default" w:ascii="Cambria Math" w:hAnsi="Cambria Math" w:cs="Times New Roman"/>
                      <w:i/>
                      <w:color w:val="auto"/>
                      <w:sz w:val="24"/>
                      <w:highlight w:val="none"/>
                    </w:rPr>
                  </m:ctrlPr>
                </m:e>
                <m:sub>
                  <m:r>
                    <m:rPr/>
                    <w:rPr>
                      <w:rFonts w:hint="default" w:ascii="Cambria Math" w:hAnsi="Cambria Math" w:cs="Times New Roman"/>
                      <w:color w:val="auto"/>
                      <w:sz w:val="24"/>
                      <w:highlight w:val="none"/>
                    </w:rPr>
                    <m:t>0i</m:t>
                  </m:r>
                  <m:ctrlPr>
                    <w:rPr>
                      <w:rFonts w:hint="default" w:ascii="Cambria Math" w:hAnsi="Cambria Math" w:cs="Times New Roman"/>
                      <w:i/>
                      <w:color w:val="auto"/>
                      <w:sz w:val="24"/>
                      <w:highlight w:val="none"/>
                    </w:rPr>
                  </m:ctrlPr>
                </m:sub>
              </m:sSub>
              <m:ctrlPr>
                <w:rPr>
                  <w:rFonts w:hint="default" w:ascii="Cambria Math" w:hAnsi="Cambria Math" w:cs="Times New Roman"/>
                  <w:color w:val="auto"/>
                  <w:sz w:val="24"/>
                  <w:highlight w:val="none"/>
                </w:rPr>
              </m:ctrlPr>
            </m:den>
          </m:f>
          <m:r>
            <m:rPr/>
            <w:rPr>
              <w:rFonts w:hint="default" w:ascii="Cambria Math" w:hAnsi="Cambria Math" w:cs="Times New Roman"/>
              <w:color w:val="auto"/>
              <w:sz w:val="24"/>
              <w:highlight w:val="none"/>
            </w:rPr>
            <m:t>×100%</m:t>
          </m:r>
        </m:oMath>
      </m:oMathPara>
    </w:p>
    <w:p>
      <w:pPr>
        <w:spacing w:line="480" w:lineRule="exact"/>
        <w:ind w:firstLine="422" w:firstLineChars="176"/>
        <w:jc w:val="both"/>
        <w:rPr>
          <w:rFonts w:hint="default" w:ascii="Times New Roman" w:hAnsi="Times New Roman" w:cs="Times New Roman"/>
          <w:color w:val="auto"/>
          <w:sz w:val="24"/>
          <w:highlight w:val="none"/>
        </w:rPr>
      </w:pPr>
      <m:oMath>
        <m:sSub>
          <m:sSubPr>
            <m:ctrlPr>
              <w:rPr>
                <w:rFonts w:hint="default" w:ascii="Cambria Math" w:hAnsi="Cambria Math" w:cs="Times New Roman"/>
                <w:color w:val="auto"/>
                <w:sz w:val="24"/>
                <w:highlight w:val="none"/>
              </w:rPr>
            </m:ctrlPr>
          </m:sSubPr>
          <m:e>
            <m:r>
              <m:rPr/>
              <w:rPr>
                <w:rFonts w:hint="default" w:ascii="Cambria Math" w:hAnsi="Cambria Math" w:cs="Times New Roman"/>
                <w:color w:val="auto"/>
                <w:sz w:val="24"/>
                <w:highlight w:val="none"/>
              </w:rPr>
              <m:t>P</m:t>
            </m:r>
            <m:ctrlPr>
              <w:rPr>
                <w:rFonts w:hint="default" w:ascii="Cambria Math" w:hAnsi="Cambria Math" w:cs="Times New Roman"/>
                <w:color w:val="auto"/>
                <w:sz w:val="24"/>
                <w:highlight w:val="none"/>
              </w:rPr>
            </m:ctrlPr>
          </m:e>
          <m:sub>
            <m:r>
              <m:rPr/>
              <w:rPr>
                <w:rFonts w:hint="default" w:ascii="Cambria Math" w:hAnsi="Cambria Math" w:cs="Times New Roman"/>
                <w:color w:val="auto"/>
                <w:sz w:val="24"/>
                <w:highlight w:val="none"/>
              </w:rPr>
              <m:t>i</m:t>
            </m:r>
            <m:ctrlPr>
              <w:rPr>
                <w:rFonts w:hint="default" w:ascii="Cambria Math" w:hAnsi="Cambria Math" w:cs="Times New Roman"/>
                <w:color w:val="auto"/>
                <w:sz w:val="24"/>
                <w:highlight w:val="none"/>
              </w:rPr>
            </m:ctrlPr>
          </m:sub>
        </m:sSub>
      </m:oMath>
      <w:r>
        <w:rPr>
          <w:rFonts w:hint="default" w:ascii="Times New Roman" w:hAnsi="Times New Roman" w:cs="Times New Roman"/>
          <w:color w:val="auto"/>
          <w:sz w:val="24"/>
          <w:highlight w:val="none"/>
        </w:rPr>
        <w:t xml:space="preserve"> ——第i个污染物的最大地面空气质量浓度占标率，%；</w:t>
      </w:r>
    </w:p>
    <w:p>
      <w:pPr>
        <w:spacing w:line="480" w:lineRule="exact"/>
        <w:ind w:firstLine="422" w:firstLineChars="176"/>
        <w:jc w:val="both"/>
        <w:rPr>
          <w:rFonts w:hint="default" w:ascii="Times New Roman" w:hAnsi="Times New Roman" w:cs="Times New Roman"/>
          <w:color w:val="auto"/>
          <w:sz w:val="24"/>
          <w:highlight w:val="none"/>
        </w:rPr>
      </w:pPr>
      <m:oMath>
        <m:sSub>
          <m:sSubPr>
            <m:ctrlPr>
              <w:rPr>
                <w:rFonts w:hint="default" w:ascii="Cambria Math" w:hAnsi="Cambria Math" w:cs="Times New Roman"/>
                <w:i/>
                <w:color w:val="auto"/>
                <w:sz w:val="24"/>
                <w:highlight w:val="none"/>
              </w:rPr>
            </m:ctrlPr>
          </m:sSubPr>
          <m:e>
            <m:r>
              <m:rPr/>
              <w:rPr>
                <w:rFonts w:hint="default" w:ascii="Cambria Math" w:hAnsi="Cambria Math" w:cs="Times New Roman"/>
                <w:color w:val="auto"/>
                <w:sz w:val="24"/>
                <w:highlight w:val="none"/>
              </w:rPr>
              <m:t>C</m:t>
            </m:r>
            <m:ctrlPr>
              <w:rPr>
                <w:rFonts w:hint="default" w:ascii="Cambria Math" w:hAnsi="Cambria Math" w:cs="Times New Roman"/>
                <w:i/>
                <w:color w:val="auto"/>
                <w:sz w:val="24"/>
                <w:highlight w:val="none"/>
              </w:rPr>
            </m:ctrlPr>
          </m:e>
          <m:sub>
            <m:r>
              <m:rPr/>
              <w:rPr>
                <w:rFonts w:hint="default" w:ascii="Cambria Math" w:hAnsi="Cambria Math" w:cs="Times New Roman"/>
                <w:color w:val="auto"/>
                <w:sz w:val="24"/>
                <w:highlight w:val="none"/>
              </w:rPr>
              <m:t>i</m:t>
            </m:r>
            <m:ctrlPr>
              <w:rPr>
                <w:rFonts w:hint="default" w:ascii="Cambria Math" w:hAnsi="Cambria Math" w:cs="Times New Roman"/>
                <w:i/>
                <w:color w:val="auto"/>
                <w:sz w:val="24"/>
                <w:highlight w:val="none"/>
              </w:rPr>
            </m:ctrlPr>
          </m:sub>
        </m:sSub>
      </m:oMath>
      <w:r>
        <w:rPr>
          <w:rFonts w:hint="default" w:ascii="Times New Roman" w:hAnsi="Times New Roman" w:cs="Times New Roman"/>
          <w:color w:val="auto"/>
          <w:sz w:val="24"/>
          <w:highlight w:val="none"/>
        </w:rPr>
        <w:t>——采用估算模型计算出的第i个污染物的最大1h地面空气质量浓度，μg/m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p>
    <w:p>
      <w:pPr>
        <w:spacing w:line="480" w:lineRule="exact"/>
        <w:ind w:firstLine="422" w:firstLineChars="176"/>
        <w:jc w:val="both"/>
        <w:rPr>
          <w:rFonts w:hint="default" w:ascii="Times New Roman" w:hAnsi="Times New Roman" w:cs="Times New Roman"/>
          <w:color w:val="auto"/>
          <w:sz w:val="24"/>
          <w:highlight w:val="none"/>
        </w:rPr>
      </w:pPr>
      <m:oMath>
        <m:sSub>
          <m:sSubPr>
            <m:ctrlPr>
              <w:rPr>
                <w:rFonts w:hint="default" w:ascii="Cambria Math" w:hAnsi="Cambria Math" w:cs="Times New Roman"/>
                <w:i/>
                <w:color w:val="auto"/>
                <w:sz w:val="24"/>
                <w:highlight w:val="none"/>
              </w:rPr>
            </m:ctrlPr>
          </m:sSubPr>
          <m:e>
            <m:r>
              <m:rPr/>
              <w:rPr>
                <w:rFonts w:hint="default" w:ascii="Cambria Math" w:hAnsi="Cambria Math" w:cs="Times New Roman"/>
                <w:color w:val="auto"/>
                <w:sz w:val="24"/>
                <w:highlight w:val="none"/>
              </w:rPr>
              <m:t>C</m:t>
            </m:r>
            <m:ctrlPr>
              <w:rPr>
                <w:rFonts w:hint="default" w:ascii="Cambria Math" w:hAnsi="Cambria Math" w:cs="Times New Roman"/>
                <w:i/>
                <w:color w:val="auto"/>
                <w:sz w:val="24"/>
                <w:highlight w:val="none"/>
              </w:rPr>
            </m:ctrlPr>
          </m:e>
          <m:sub>
            <m:r>
              <m:rPr/>
              <w:rPr>
                <w:rFonts w:hint="default" w:ascii="Cambria Math" w:hAnsi="Cambria Math" w:cs="Times New Roman"/>
                <w:color w:val="auto"/>
                <w:sz w:val="24"/>
                <w:highlight w:val="none"/>
              </w:rPr>
              <m:t>0i</m:t>
            </m:r>
            <m:ctrlPr>
              <w:rPr>
                <w:rFonts w:hint="default" w:ascii="Cambria Math" w:hAnsi="Cambria Math" w:cs="Times New Roman"/>
                <w:i/>
                <w:color w:val="auto"/>
                <w:sz w:val="24"/>
                <w:highlight w:val="none"/>
              </w:rPr>
            </m:ctrlPr>
          </m:sub>
        </m:sSub>
      </m:oMath>
      <w:r>
        <w:rPr>
          <w:rFonts w:hint="default" w:ascii="Times New Roman" w:hAnsi="Times New Roman" w:cs="Times New Roman"/>
          <w:color w:val="auto"/>
          <w:sz w:val="24"/>
          <w:highlight w:val="none"/>
        </w:rPr>
        <w:t>——第i个污染物的环境空气质量浓度标准，μg/m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p>
    <w:p>
      <w:pPr>
        <w:tabs>
          <w:tab w:val="right" w:leader="dot" w:pos="8505"/>
        </w:tabs>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污染源参数见表2-4-2和表2-4-3。</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spacing w:val="4"/>
          <w:sz w:val="20"/>
          <w:szCs w:val="20"/>
          <w:highlight w:val="none"/>
        </w:rPr>
      </w:pPr>
      <w:r>
        <w:rPr>
          <w:rFonts w:hint="default" w:ascii="Times New Roman" w:hAnsi="Times New Roman" w:eastAsia="宋体" w:cs="Times New Roman"/>
          <w:b/>
          <w:bCs/>
          <w:spacing w:val="4"/>
          <w:sz w:val="20"/>
          <w:szCs w:val="20"/>
          <w:highlight w:val="none"/>
        </w:rPr>
        <w:t>表2-4-2主要废气污染源参数一览表(点源)</w:t>
      </w:r>
    </w:p>
    <w:tbl>
      <w:tblPr>
        <w:tblStyle w:val="24"/>
        <w:tblpPr w:leftFromText="180" w:rightFromText="180" w:vertAnchor="text" w:tblpXSpec="center" w:tblpY="1"/>
        <w:tblOverlap w:val="never"/>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67"/>
        <w:gridCol w:w="267"/>
        <w:gridCol w:w="541"/>
        <w:gridCol w:w="736"/>
        <w:gridCol w:w="645"/>
        <w:gridCol w:w="645"/>
        <w:gridCol w:w="645"/>
        <w:gridCol w:w="787"/>
        <w:gridCol w:w="600"/>
        <w:gridCol w:w="740"/>
        <w:gridCol w:w="588"/>
        <w:gridCol w:w="770"/>
        <w:gridCol w:w="696"/>
        <w:gridCol w:w="532"/>
        <w:gridCol w:w="585"/>
        <w:gridCol w:w="6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802" w:hRule="atLeast"/>
        </w:trPr>
        <w:tc>
          <w:tcPr>
            <w:tcW w:w="138"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编号</w:t>
            </w:r>
          </w:p>
        </w:tc>
        <w:tc>
          <w:tcPr>
            <w:tcW w:w="138"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659" w:type="pct"/>
            <w:gridSpan w:val="2"/>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排气筒底部中心坐标（</w:t>
            </w:r>
            <w:r>
              <w:rPr>
                <w:rFonts w:hint="default" w:ascii="Times New Roman" w:hAnsi="Times New Roman" w:eastAsia="Times New Roman" w:cs="Times New Roman"/>
                <w:spacing w:val="9"/>
                <w:sz w:val="20"/>
                <w:szCs w:val="20"/>
              </w:rPr>
              <w:t>m</w:t>
            </w:r>
            <w:r>
              <w:rPr>
                <w:rFonts w:hint="default" w:ascii="Times New Roman" w:hAnsi="Times New Roman" w:eastAsia="宋体" w:cs="Times New Roman"/>
                <w:color w:val="auto"/>
                <w:sz w:val="21"/>
                <w:szCs w:val="21"/>
              </w:rPr>
              <w:t>）</w:t>
            </w:r>
          </w:p>
        </w:tc>
        <w:tc>
          <w:tcPr>
            <w:tcW w:w="333"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排气筒底部海拔高度（m）</w:t>
            </w:r>
          </w:p>
        </w:tc>
        <w:tc>
          <w:tcPr>
            <w:tcW w:w="333"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排气筒高度（m）</w:t>
            </w:r>
          </w:p>
        </w:tc>
        <w:tc>
          <w:tcPr>
            <w:tcW w:w="333"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排气筒出口内径（m）</w:t>
            </w:r>
          </w:p>
        </w:tc>
        <w:tc>
          <w:tcPr>
            <w:tcW w:w="406"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烟气流速（m/s）</w:t>
            </w:r>
          </w:p>
        </w:tc>
        <w:tc>
          <w:tcPr>
            <w:tcW w:w="309"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烟气温度</w:t>
            </w:r>
          </w:p>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382"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年排放小时数（h）</w:t>
            </w:r>
          </w:p>
        </w:tc>
        <w:tc>
          <w:tcPr>
            <w:tcW w:w="303" w:type="pct"/>
            <w:vMerge w:val="restar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排放工况</w:t>
            </w:r>
          </w:p>
        </w:tc>
        <w:tc>
          <w:tcPr>
            <w:tcW w:w="1660" w:type="pct"/>
            <w:gridSpan w:val="5"/>
            <w:vMerge w:val="restar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trPr>
        <w:tc>
          <w:tcPr>
            <w:tcW w:w="13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13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279" w:type="pct"/>
            <w:vMerge w:val="restar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X</w:t>
            </w:r>
          </w:p>
        </w:tc>
        <w:tc>
          <w:tcPr>
            <w:tcW w:w="380" w:type="pct"/>
            <w:vMerge w:val="restart"/>
            <w:vAlign w:val="center"/>
          </w:tcPr>
          <w:p>
            <w:pPr>
              <w:spacing w:line="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Y</w:t>
            </w:r>
          </w:p>
        </w:tc>
        <w:tc>
          <w:tcPr>
            <w:tcW w:w="333"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33"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33"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06"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09" w:type="pct"/>
            <w:vMerge w:val="continue"/>
            <w:vAlign w:val="center"/>
          </w:tcPr>
          <w:p>
            <w:pPr>
              <w:widowControl/>
              <w:spacing w:line="0" w:lineRule="atLeast"/>
              <w:jc w:val="center"/>
              <w:rPr>
                <w:rFonts w:hint="default" w:ascii="Times New Roman" w:hAnsi="Times New Roman" w:eastAsia="宋体" w:cs="Times New Roman"/>
                <w:color w:val="auto"/>
                <w:sz w:val="21"/>
                <w:szCs w:val="21"/>
              </w:rPr>
            </w:pPr>
          </w:p>
        </w:tc>
        <w:tc>
          <w:tcPr>
            <w:tcW w:w="382"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03"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1660" w:type="pct"/>
            <w:gridSpan w:val="5"/>
            <w:vMerge w:val="continue"/>
            <w:vAlign w:val="center"/>
          </w:tcPr>
          <w:p>
            <w:pPr>
              <w:spacing w:line="0" w:lineRule="atLeast"/>
              <w:jc w:val="center"/>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172" w:hRule="atLeast"/>
        </w:trPr>
        <w:tc>
          <w:tcPr>
            <w:tcW w:w="13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13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279"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80"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33"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33"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33"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06"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09" w:type="pct"/>
            <w:vMerge w:val="continue"/>
            <w:vAlign w:val="center"/>
          </w:tcPr>
          <w:p>
            <w:pPr>
              <w:widowControl/>
              <w:spacing w:line="0" w:lineRule="atLeast"/>
              <w:jc w:val="center"/>
              <w:rPr>
                <w:rFonts w:hint="default" w:ascii="Times New Roman" w:hAnsi="Times New Roman" w:eastAsia="宋体" w:cs="Times New Roman"/>
                <w:color w:val="auto"/>
                <w:sz w:val="21"/>
                <w:szCs w:val="21"/>
              </w:rPr>
            </w:pPr>
          </w:p>
        </w:tc>
        <w:tc>
          <w:tcPr>
            <w:tcW w:w="382"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03"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98"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p>
        </w:tc>
        <w:tc>
          <w:tcPr>
            <w:tcW w:w="359"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S</w:t>
            </w:r>
          </w:p>
        </w:tc>
        <w:tc>
          <w:tcPr>
            <w:tcW w:w="275"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302" w:type="pct"/>
            <w:vAlign w:val="center"/>
          </w:tcPr>
          <w:p>
            <w:pPr>
              <w:spacing w:line="0" w:lineRule="atLeast"/>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snapToGrid w:val="0"/>
                <w:color w:val="auto"/>
                <w:kern w:val="0"/>
                <w:sz w:val="21"/>
                <w:szCs w:val="21"/>
                <w:highlight w:val="none"/>
              </w:rPr>
              <w:t>NO</w:t>
            </w:r>
            <w:r>
              <w:rPr>
                <w:rFonts w:hint="default" w:ascii="Times New Roman" w:hAnsi="Times New Roman" w:eastAsia="宋体" w:cs="Times New Roman"/>
                <w:snapToGrid w:val="0"/>
                <w:color w:val="auto"/>
                <w:kern w:val="0"/>
                <w:sz w:val="21"/>
                <w:szCs w:val="21"/>
                <w:highlight w:val="none"/>
                <w:vertAlign w:val="subscript"/>
              </w:rPr>
              <w:t>x</w:t>
            </w:r>
          </w:p>
        </w:tc>
        <w:tc>
          <w:tcPr>
            <w:tcW w:w="325" w:type="pct"/>
            <w:vAlign w:val="center"/>
          </w:tcPr>
          <w:p>
            <w:pPr>
              <w:spacing w:line="0" w:lineRule="atLeast"/>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snapToGrid w:val="0"/>
                <w:color w:val="auto"/>
                <w:kern w:val="0"/>
                <w:sz w:val="21"/>
                <w:szCs w:val="21"/>
                <w:highlight w:val="none"/>
              </w:rPr>
              <w:t>SO</w:t>
            </w:r>
            <w:r>
              <w:rPr>
                <w:rFonts w:hint="default" w:ascii="Times New Roman" w:hAnsi="Times New Roman" w:eastAsia="宋体" w:cs="Times New Roman"/>
                <w:snapToGrid w:val="0"/>
                <w:color w:val="auto"/>
                <w:kern w:val="0"/>
                <w:sz w:val="21"/>
                <w:szCs w:val="21"/>
                <w:highlight w:val="none"/>
                <w:vertAlign w:val="sub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814" w:hRule="atLeast"/>
        </w:trPr>
        <w:tc>
          <w:tcPr>
            <w:tcW w:w="13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val="en-US" w:eastAsia="zh-CN"/>
              </w:rPr>
              <w:t>G</w:t>
            </w:r>
            <w:r>
              <w:rPr>
                <w:rFonts w:hint="default" w:ascii="Times New Roman" w:hAnsi="Times New Roman" w:eastAsia="宋体" w:cs="Times New Roman"/>
                <w:bCs/>
                <w:color w:val="auto"/>
                <w:sz w:val="21"/>
                <w:szCs w:val="21"/>
              </w:rPr>
              <w:t>1</w:t>
            </w:r>
          </w:p>
        </w:tc>
        <w:tc>
          <w:tcPr>
            <w:tcW w:w="13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屠宰车间排气筒</w:t>
            </w:r>
          </w:p>
        </w:tc>
        <w:tc>
          <w:tcPr>
            <w:tcW w:w="279"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38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333"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175.1</w:t>
            </w:r>
          </w:p>
        </w:tc>
        <w:tc>
          <w:tcPr>
            <w:tcW w:w="333"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333" w:type="pct"/>
            <w:vAlign w:val="center"/>
          </w:tcPr>
          <w:p>
            <w:pPr>
              <w:spacing w:line="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0.3</w:t>
            </w:r>
            <w:r>
              <w:rPr>
                <w:rFonts w:hint="default" w:ascii="Times New Roman" w:hAnsi="Times New Roman" w:eastAsia="宋体" w:cs="Times New Roman"/>
                <w:color w:val="auto"/>
                <w:sz w:val="21"/>
                <w:szCs w:val="21"/>
                <w:lang w:val="en-US" w:eastAsia="zh-CN"/>
              </w:rPr>
              <w:t>0</w:t>
            </w:r>
          </w:p>
        </w:tc>
        <w:tc>
          <w:tcPr>
            <w:tcW w:w="406"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11.9</w:t>
            </w:r>
          </w:p>
        </w:tc>
        <w:tc>
          <w:tcPr>
            <w:tcW w:w="309"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382"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4080</w:t>
            </w:r>
          </w:p>
        </w:tc>
        <w:tc>
          <w:tcPr>
            <w:tcW w:w="303" w:type="pct"/>
            <w:vMerge w:val="restart"/>
            <w:vAlign w:val="center"/>
          </w:tcPr>
          <w:p>
            <w:pPr>
              <w:spacing w:line="0" w:lineRule="atLeast"/>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rPr>
              <w:t>正常排放工况</w:t>
            </w:r>
          </w:p>
        </w:tc>
        <w:tc>
          <w:tcPr>
            <w:tcW w:w="398" w:type="pct"/>
            <w:vAlign w:val="center"/>
          </w:tcPr>
          <w:p>
            <w:pPr>
              <w:spacing w:line="0" w:lineRule="atLeast"/>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snapToGrid w:val="0"/>
                <w:color w:val="auto"/>
                <w:sz w:val="21"/>
                <w:szCs w:val="21"/>
                <w:lang w:val="en-US" w:eastAsia="zh-CN"/>
              </w:rPr>
              <w:t>0.002</w:t>
            </w:r>
          </w:p>
        </w:tc>
        <w:tc>
          <w:tcPr>
            <w:tcW w:w="359" w:type="pct"/>
            <w:vAlign w:val="center"/>
          </w:tcPr>
          <w:p>
            <w:pPr>
              <w:spacing w:line="0" w:lineRule="atLeast"/>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snapToGrid w:val="0"/>
                <w:color w:val="auto"/>
                <w:sz w:val="21"/>
                <w:szCs w:val="21"/>
                <w:lang w:val="en-US" w:eastAsia="zh-CN"/>
              </w:rPr>
              <w:t>0.0001</w:t>
            </w:r>
          </w:p>
        </w:tc>
        <w:tc>
          <w:tcPr>
            <w:tcW w:w="275" w:type="pct"/>
            <w:vAlign w:val="center"/>
          </w:tcPr>
          <w:p>
            <w:pPr>
              <w:pStyle w:val="36"/>
              <w:snapToGrid w:val="0"/>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highlight w:val="none"/>
                <w:lang w:val="en-US"/>
              </w:rPr>
              <w:t>/</w:t>
            </w:r>
          </w:p>
        </w:tc>
        <w:tc>
          <w:tcPr>
            <w:tcW w:w="302" w:type="pct"/>
            <w:vAlign w:val="center"/>
          </w:tcPr>
          <w:p>
            <w:pPr>
              <w:pStyle w:val="36"/>
              <w:snapToGrid w:val="0"/>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highlight w:val="none"/>
                <w:lang w:val="en-US"/>
              </w:rPr>
              <w:t>/</w:t>
            </w:r>
          </w:p>
        </w:tc>
        <w:tc>
          <w:tcPr>
            <w:tcW w:w="325" w:type="pct"/>
            <w:vAlign w:val="center"/>
          </w:tcPr>
          <w:p>
            <w:pPr>
              <w:pStyle w:val="36"/>
              <w:snapToGrid w:val="0"/>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highlight w:val="none"/>
                <w:lang w:val="en-U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72" w:hRule="atLeast"/>
        </w:trPr>
        <w:tc>
          <w:tcPr>
            <w:tcW w:w="13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val="en-US" w:eastAsia="zh-CN"/>
              </w:rPr>
              <w:t>G</w:t>
            </w:r>
            <w:r>
              <w:rPr>
                <w:rFonts w:hint="default" w:ascii="Times New Roman" w:hAnsi="Times New Roman" w:eastAsia="宋体" w:cs="Times New Roman"/>
                <w:bCs/>
                <w:color w:val="auto"/>
                <w:sz w:val="21"/>
                <w:szCs w:val="21"/>
              </w:rPr>
              <w:t>2</w:t>
            </w:r>
          </w:p>
        </w:tc>
        <w:tc>
          <w:tcPr>
            <w:tcW w:w="13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污水处理站排气筒</w:t>
            </w:r>
          </w:p>
        </w:tc>
        <w:tc>
          <w:tcPr>
            <w:tcW w:w="279"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23</w:t>
            </w:r>
          </w:p>
        </w:tc>
        <w:tc>
          <w:tcPr>
            <w:tcW w:w="380"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5</w:t>
            </w:r>
          </w:p>
        </w:tc>
        <w:tc>
          <w:tcPr>
            <w:tcW w:w="333"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175.1</w:t>
            </w:r>
          </w:p>
        </w:tc>
        <w:tc>
          <w:tcPr>
            <w:tcW w:w="333"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333"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0.30</w:t>
            </w:r>
          </w:p>
        </w:tc>
        <w:tc>
          <w:tcPr>
            <w:tcW w:w="406" w:type="pct"/>
            <w:vAlign w:val="center"/>
          </w:tcPr>
          <w:p>
            <w:pPr>
              <w:spacing w:line="0" w:lineRule="atLeast"/>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11.9</w:t>
            </w:r>
          </w:p>
        </w:tc>
        <w:tc>
          <w:tcPr>
            <w:tcW w:w="309"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382"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8160</w:t>
            </w:r>
          </w:p>
        </w:tc>
        <w:tc>
          <w:tcPr>
            <w:tcW w:w="303" w:type="pct"/>
            <w:vMerge w:val="continue"/>
            <w:vAlign w:val="center"/>
          </w:tcPr>
          <w:p>
            <w:pPr>
              <w:spacing w:line="0" w:lineRule="atLeast"/>
              <w:jc w:val="center"/>
              <w:rPr>
                <w:rFonts w:hint="default" w:ascii="Times New Roman" w:hAnsi="Times New Roman" w:eastAsia="宋体" w:cs="Times New Roman"/>
                <w:color w:val="FF0000"/>
                <w:sz w:val="21"/>
                <w:szCs w:val="21"/>
              </w:rPr>
            </w:pPr>
          </w:p>
        </w:tc>
        <w:tc>
          <w:tcPr>
            <w:tcW w:w="398" w:type="pct"/>
            <w:vAlign w:val="center"/>
          </w:tcPr>
          <w:p>
            <w:pPr>
              <w:spacing w:line="0" w:lineRule="atLeast"/>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bCs/>
                <w:color w:val="auto"/>
                <w:sz w:val="21"/>
                <w:szCs w:val="21"/>
                <w:lang w:val="en-US" w:eastAsia="zh-CN"/>
              </w:rPr>
              <w:t>0.000005</w:t>
            </w:r>
          </w:p>
        </w:tc>
        <w:tc>
          <w:tcPr>
            <w:tcW w:w="359" w:type="pct"/>
            <w:vAlign w:val="center"/>
          </w:tcPr>
          <w:p>
            <w:pPr>
              <w:spacing w:line="0" w:lineRule="atLeast"/>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bCs/>
                <w:color w:val="auto"/>
                <w:sz w:val="21"/>
                <w:szCs w:val="21"/>
                <w:lang w:val="en-US" w:eastAsia="zh-CN"/>
              </w:rPr>
              <w:t>0.000002</w:t>
            </w:r>
          </w:p>
        </w:tc>
        <w:tc>
          <w:tcPr>
            <w:tcW w:w="275" w:type="pct"/>
            <w:vAlign w:val="center"/>
          </w:tcPr>
          <w:p>
            <w:pPr>
              <w:pStyle w:val="36"/>
              <w:snapToGrid w:val="0"/>
              <w:rPr>
                <w:rFonts w:hint="default" w:ascii="Times New Roman" w:hAnsi="Times New Roman" w:eastAsia="宋体" w:cs="Times New Roman"/>
                <w:bCs/>
                <w:color w:val="FF0000"/>
                <w:kern w:val="0"/>
                <w:sz w:val="21"/>
                <w:szCs w:val="21"/>
              </w:rPr>
            </w:pPr>
            <w:r>
              <w:rPr>
                <w:rFonts w:hint="default" w:ascii="Times New Roman" w:hAnsi="Times New Roman" w:eastAsia="宋体" w:cs="Times New Roman"/>
                <w:color w:val="auto"/>
                <w:sz w:val="21"/>
                <w:szCs w:val="21"/>
                <w:highlight w:val="none"/>
                <w:lang w:val="en-US"/>
              </w:rPr>
              <w:t>/</w:t>
            </w:r>
          </w:p>
        </w:tc>
        <w:tc>
          <w:tcPr>
            <w:tcW w:w="302" w:type="pct"/>
            <w:vAlign w:val="center"/>
          </w:tcPr>
          <w:p>
            <w:pPr>
              <w:pStyle w:val="36"/>
              <w:snapToGrid w:val="0"/>
              <w:rPr>
                <w:rFonts w:hint="default" w:ascii="Times New Roman" w:hAnsi="Times New Roman" w:eastAsia="宋体" w:cs="Times New Roman"/>
                <w:bCs/>
                <w:color w:val="FF0000"/>
                <w:kern w:val="0"/>
                <w:sz w:val="21"/>
                <w:szCs w:val="21"/>
              </w:rPr>
            </w:pPr>
            <w:r>
              <w:rPr>
                <w:rFonts w:hint="default" w:ascii="Times New Roman" w:hAnsi="Times New Roman" w:eastAsia="宋体" w:cs="Times New Roman"/>
                <w:color w:val="auto"/>
                <w:sz w:val="21"/>
                <w:szCs w:val="21"/>
                <w:highlight w:val="none"/>
                <w:lang w:val="en-US"/>
              </w:rPr>
              <w:t>/</w:t>
            </w:r>
          </w:p>
        </w:tc>
        <w:tc>
          <w:tcPr>
            <w:tcW w:w="325" w:type="pct"/>
            <w:vAlign w:val="center"/>
          </w:tcPr>
          <w:p>
            <w:pPr>
              <w:pStyle w:val="36"/>
              <w:snapToGrid w:val="0"/>
              <w:rPr>
                <w:rFonts w:hint="default" w:ascii="Times New Roman" w:hAnsi="Times New Roman" w:eastAsia="宋体" w:cs="Times New Roman"/>
                <w:bCs/>
                <w:color w:val="FF0000"/>
                <w:kern w:val="0"/>
                <w:sz w:val="21"/>
                <w:szCs w:val="21"/>
              </w:rPr>
            </w:pPr>
            <w:r>
              <w:rPr>
                <w:rFonts w:hint="default" w:ascii="Times New Roman" w:hAnsi="Times New Roman" w:eastAsia="宋体" w:cs="Times New Roman"/>
                <w:color w:val="auto"/>
                <w:sz w:val="21"/>
                <w:szCs w:val="21"/>
                <w:highlight w:val="none"/>
                <w:lang w:val="en-U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57" w:hRule="atLeast"/>
        </w:trPr>
        <w:tc>
          <w:tcPr>
            <w:tcW w:w="13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val="en-US" w:eastAsia="zh-CN"/>
              </w:rPr>
              <w:t>G</w:t>
            </w:r>
            <w:r>
              <w:rPr>
                <w:rFonts w:hint="default" w:ascii="Times New Roman" w:hAnsi="Times New Roman" w:eastAsia="宋体" w:cs="Times New Roman"/>
                <w:bCs/>
                <w:color w:val="auto"/>
                <w:sz w:val="21"/>
                <w:szCs w:val="21"/>
              </w:rPr>
              <w:t>3</w:t>
            </w:r>
          </w:p>
        </w:tc>
        <w:tc>
          <w:tcPr>
            <w:tcW w:w="13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待宰</w:t>
            </w:r>
            <w:r>
              <w:rPr>
                <w:rFonts w:hint="default" w:ascii="Times New Roman" w:hAnsi="Times New Roman" w:eastAsia="宋体" w:cs="Times New Roman"/>
                <w:bCs/>
                <w:color w:val="auto"/>
                <w:sz w:val="21"/>
                <w:szCs w:val="21"/>
                <w:lang w:val="en-US" w:eastAsia="zh-CN"/>
              </w:rPr>
              <w:t>圈</w:t>
            </w:r>
            <w:r>
              <w:rPr>
                <w:rFonts w:hint="default" w:ascii="Times New Roman" w:hAnsi="Times New Roman" w:eastAsia="宋体" w:cs="Times New Roman"/>
                <w:bCs/>
                <w:color w:val="auto"/>
                <w:sz w:val="21"/>
                <w:szCs w:val="21"/>
              </w:rPr>
              <w:t>排气筒</w:t>
            </w:r>
          </w:p>
        </w:tc>
        <w:tc>
          <w:tcPr>
            <w:tcW w:w="279"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-35</w:t>
            </w:r>
          </w:p>
        </w:tc>
        <w:tc>
          <w:tcPr>
            <w:tcW w:w="380"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2</w:t>
            </w:r>
          </w:p>
        </w:tc>
        <w:tc>
          <w:tcPr>
            <w:tcW w:w="333"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175.1</w:t>
            </w:r>
          </w:p>
        </w:tc>
        <w:tc>
          <w:tcPr>
            <w:tcW w:w="333"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333" w:type="pct"/>
            <w:vAlign w:val="center"/>
          </w:tcPr>
          <w:p>
            <w:pPr>
              <w:spacing w:line="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0.3</w:t>
            </w:r>
            <w:r>
              <w:rPr>
                <w:rFonts w:hint="default" w:ascii="Times New Roman" w:hAnsi="Times New Roman" w:eastAsia="宋体" w:cs="Times New Roman"/>
                <w:color w:val="auto"/>
                <w:sz w:val="21"/>
                <w:szCs w:val="21"/>
                <w:lang w:val="en-US" w:eastAsia="zh-CN"/>
              </w:rPr>
              <w:t>0</w:t>
            </w:r>
          </w:p>
        </w:tc>
        <w:tc>
          <w:tcPr>
            <w:tcW w:w="406" w:type="pct"/>
            <w:vAlign w:val="center"/>
          </w:tcPr>
          <w:p>
            <w:pPr>
              <w:spacing w:line="0" w:lineRule="atLeast"/>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11.9</w:t>
            </w:r>
          </w:p>
        </w:tc>
        <w:tc>
          <w:tcPr>
            <w:tcW w:w="309"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382"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4080</w:t>
            </w:r>
          </w:p>
        </w:tc>
        <w:tc>
          <w:tcPr>
            <w:tcW w:w="303" w:type="pct"/>
            <w:vMerge w:val="continue"/>
            <w:vAlign w:val="center"/>
          </w:tcPr>
          <w:p>
            <w:pPr>
              <w:spacing w:line="0" w:lineRule="atLeast"/>
              <w:jc w:val="center"/>
              <w:rPr>
                <w:rFonts w:hint="default" w:ascii="Times New Roman" w:hAnsi="Times New Roman" w:eastAsia="宋体" w:cs="Times New Roman"/>
                <w:color w:val="FF0000"/>
                <w:sz w:val="21"/>
                <w:szCs w:val="21"/>
              </w:rPr>
            </w:pPr>
          </w:p>
        </w:tc>
        <w:tc>
          <w:tcPr>
            <w:tcW w:w="398" w:type="pct"/>
            <w:vAlign w:val="center"/>
          </w:tcPr>
          <w:p>
            <w:pPr>
              <w:spacing w:line="0" w:lineRule="atLeast"/>
              <w:jc w:val="center"/>
              <w:rPr>
                <w:rFonts w:hint="default" w:ascii="Times New Roman" w:hAnsi="Times New Roman" w:eastAsia="宋体" w:cs="Times New Roman"/>
                <w:bCs/>
                <w:color w:val="FF0000"/>
                <w:sz w:val="21"/>
                <w:szCs w:val="21"/>
                <w:lang w:val="en-US" w:eastAsia="zh-CN"/>
              </w:rPr>
            </w:pPr>
            <w:r>
              <w:rPr>
                <w:rFonts w:hint="default" w:ascii="Times New Roman" w:hAnsi="Times New Roman" w:eastAsia="宋体" w:cs="Times New Roman"/>
                <w:snapToGrid w:val="0"/>
                <w:color w:val="auto"/>
                <w:sz w:val="21"/>
                <w:szCs w:val="21"/>
              </w:rPr>
              <w:t>0.00</w:t>
            </w:r>
            <w:r>
              <w:rPr>
                <w:rFonts w:hint="default" w:ascii="Times New Roman" w:hAnsi="Times New Roman" w:eastAsia="宋体" w:cs="Times New Roman"/>
                <w:snapToGrid w:val="0"/>
                <w:color w:val="auto"/>
                <w:sz w:val="21"/>
                <w:szCs w:val="21"/>
                <w:lang w:val="en-US" w:eastAsia="zh-CN"/>
              </w:rPr>
              <w:t>45</w:t>
            </w:r>
          </w:p>
        </w:tc>
        <w:tc>
          <w:tcPr>
            <w:tcW w:w="359" w:type="pct"/>
            <w:vAlign w:val="center"/>
          </w:tcPr>
          <w:p>
            <w:pPr>
              <w:spacing w:line="0" w:lineRule="atLeast"/>
              <w:jc w:val="center"/>
              <w:rPr>
                <w:rFonts w:hint="default" w:ascii="Times New Roman" w:hAnsi="Times New Roman" w:eastAsia="宋体" w:cs="Times New Roman"/>
                <w:bCs/>
                <w:color w:val="FF0000"/>
                <w:sz w:val="21"/>
                <w:szCs w:val="21"/>
                <w:lang w:val="en-US" w:eastAsia="zh-CN"/>
              </w:rPr>
            </w:pPr>
            <w:r>
              <w:rPr>
                <w:rFonts w:hint="default" w:ascii="Times New Roman" w:hAnsi="Times New Roman" w:eastAsia="宋体" w:cs="Times New Roman"/>
                <w:snapToGrid w:val="0"/>
                <w:color w:val="auto"/>
                <w:sz w:val="21"/>
                <w:szCs w:val="21"/>
              </w:rPr>
              <w:t>0.000</w:t>
            </w:r>
            <w:r>
              <w:rPr>
                <w:rFonts w:hint="default" w:ascii="Times New Roman" w:hAnsi="Times New Roman" w:eastAsia="宋体" w:cs="Times New Roman"/>
                <w:snapToGrid w:val="0"/>
                <w:color w:val="auto"/>
                <w:sz w:val="21"/>
                <w:szCs w:val="21"/>
                <w:lang w:val="en-US" w:eastAsia="zh-CN"/>
              </w:rPr>
              <w:t>7</w:t>
            </w:r>
          </w:p>
        </w:tc>
        <w:tc>
          <w:tcPr>
            <w:tcW w:w="275" w:type="pct"/>
            <w:vAlign w:val="center"/>
          </w:tcPr>
          <w:p>
            <w:pPr>
              <w:pStyle w:val="36"/>
              <w:snapToGrid w:val="0"/>
              <w:rPr>
                <w:rFonts w:hint="default" w:ascii="Times New Roman" w:hAnsi="Times New Roman" w:eastAsia="宋体" w:cs="Times New Roman"/>
                <w:bCs/>
                <w:color w:val="FF0000"/>
                <w:sz w:val="21"/>
                <w:szCs w:val="21"/>
              </w:rPr>
            </w:pPr>
            <w:r>
              <w:rPr>
                <w:rFonts w:hint="default" w:ascii="Times New Roman" w:hAnsi="Times New Roman" w:eastAsia="宋体" w:cs="Times New Roman"/>
                <w:color w:val="auto"/>
                <w:sz w:val="21"/>
                <w:szCs w:val="21"/>
                <w:highlight w:val="none"/>
                <w:lang w:val="en-US"/>
              </w:rPr>
              <w:t>/</w:t>
            </w:r>
          </w:p>
        </w:tc>
        <w:tc>
          <w:tcPr>
            <w:tcW w:w="302" w:type="pct"/>
            <w:vAlign w:val="center"/>
          </w:tcPr>
          <w:p>
            <w:pPr>
              <w:pStyle w:val="36"/>
              <w:snapToGrid w:val="0"/>
              <w:rPr>
                <w:rFonts w:hint="default" w:ascii="Times New Roman" w:hAnsi="Times New Roman" w:eastAsia="宋体" w:cs="Times New Roman"/>
                <w:bCs/>
                <w:color w:val="FF0000"/>
                <w:sz w:val="21"/>
                <w:szCs w:val="21"/>
              </w:rPr>
            </w:pPr>
            <w:r>
              <w:rPr>
                <w:rFonts w:hint="default" w:ascii="Times New Roman" w:hAnsi="Times New Roman" w:eastAsia="宋体" w:cs="Times New Roman"/>
                <w:color w:val="auto"/>
                <w:sz w:val="21"/>
                <w:szCs w:val="21"/>
                <w:highlight w:val="none"/>
                <w:lang w:val="en-US"/>
              </w:rPr>
              <w:t>/</w:t>
            </w:r>
          </w:p>
        </w:tc>
        <w:tc>
          <w:tcPr>
            <w:tcW w:w="325" w:type="pct"/>
            <w:vAlign w:val="center"/>
          </w:tcPr>
          <w:p>
            <w:pPr>
              <w:pStyle w:val="36"/>
              <w:snapToGrid w:val="0"/>
              <w:rPr>
                <w:rFonts w:hint="default" w:ascii="Times New Roman" w:hAnsi="Times New Roman" w:eastAsia="宋体" w:cs="Times New Roman"/>
                <w:bCs/>
                <w:color w:val="FF0000"/>
                <w:sz w:val="21"/>
                <w:szCs w:val="21"/>
              </w:rPr>
            </w:pPr>
            <w:r>
              <w:rPr>
                <w:rFonts w:hint="default" w:ascii="Times New Roman" w:hAnsi="Times New Roman" w:eastAsia="宋体" w:cs="Times New Roman"/>
                <w:color w:val="auto"/>
                <w:sz w:val="21"/>
                <w:szCs w:val="21"/>
                <w:highlight w:val="none"/>
                <w:lang w:val="en-U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327" w:hRule="atLeast"/>
        </w:trPr>
        <w:tc>
          <w:tcPr>
            <w:tcW w:w="138" w:type="pct"/>
            <w:vAlign w:val="center"/>
          </w:tcPr>
          <w:p>
            <w:pPr>
              <w:spacing w:line="0" w:lineRule="atLeas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G4</w:t>
            </w:r>
          </w:p>
        </w:tc>
        <w:tc>
          <w:tcPr>
            <w:tcW w:w="138" w:type="pct"/>
            <w:vAlign w:val="center"/>
          </w:tcPr>
          <w:p>
            <w:pPr>
              <w:spacing w:line="0" w:lineRule="atLeas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锅炉房烟囱</w:t>
            </w:r>
          </w:p>
        </w:tc>
        <w:tc>
          <w:tcPr>
            <w:tcW w:w="279"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380"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8</w:t>
            </w:r>
          </w:p>
        </w:tc>
        <w:tc>
          <w:tcPr>
            <w:tcW w:w="333"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175.1</w:t>
            </w:r>
          </w:p>
        </w:tc>
        <w:tc>
          <w:tcPr>
            <w:tcW w:w="333"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333"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0.30</w:t>
            </w:r>
          </w:p>
        </w:tc>
        <w:tc>
          <w:tcPr>
            <w:tcW w:w="406"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8.5</w:t>
            </w:r>
          </w:p>
        </w:tc>
        <w:tc>
          <w:tcPr>
            <w:tcW w:w="30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382"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4080</w:t>
            </w:r>
          </w:p>
        </w:tc>
        <w:tc>
          <w:tcPr>
            <w:tcW w:w="303" w:type="pct"/>
            <w:vMerge w:val="continue"/>
            <w:vAlign w:val="center"/>
          </w:tcPr>
          <w:p>
            <w:pPr>
              <w:spacing w:line="0" w:lineRule="atLeast"/>
              <w:jc w:val="center"/>
              <w:rPr>
                <w:rFonts w:hint="default" w:ascii="Times New Roman" w:hAnsi="Times New Roman" w:eastAsia="宋体" w:cs="Times New Roman"/>
                <w:color w:val="FF0000"/>
                <w:sz w:val="21"/>
                <w:szCs w:val="21"/>
              </w:rPr>
            </w:pPr>
          </w:p>
        </w:tc>
        <w:tc>
          <w:tcPr>
            <w:tcW w:w="398" w:type="pct"/>
            <w:vAlign w:val="center"/>
          </w:tcPr>
          <w:p>
            <w:pPr>
              <w:pStyle w:val="36"/>
              <w:snapToGrid w:val="0"/>
              <w:rPr>
                <w:rFonts w:hint="default" w:ascii="Times New Roman" w:hAnsi="Times New Roman" w:eastAsia="宋体" w:cs="Times New Roman"/>
                <w:bCs/>
                <w:color w:val="FF0000"/>
                <w:sz w:val="21"/>
                <w:szCs w:val="21"/>
              </w:rPr>
            </w:pPr>
            <w:r>
              <w:rPr>
                <w:rFonts w:hint="default" w:ascii="Times New Roman" w:hAnsi="Times New Roman" w:eastAsia="宋体" w:cs="Times New Roman"/>
                <w:color w:val="auto"/>
                <w:sz w:val="21"/>
                <w:szCs w:val="21"/>
                <w:highlight w:val="none"/>
                <w:lang w:val="en-US"/>
              </w:rPr>
              <w:t>/</w:t>
            </w:r>
          </w:p>
        </w:tc>
        <w:tc>
          <w:tcPr>
            <w:tcW w:w="359" w:type="pct"/>
            <w:vAlign w:val="center"/>
          </w:tcPr>
          <w:p>
            <w:pPr>
              <w:pStyle w:val="36"/>
              <w:snapToGrid w:val="0"/>
              <w:rPr>
                <w:rFonts w:hint="default" w:ascii="Times New Roman" w:hAnsi="Times New Roman" w:eastAsia="宋体" w:cs="Times New Roman"/>
                <w:bCs/>
                <w:color w:val="FF0000"/>
                <w:sz w:val="21"/>
                <w:szCs w:val="21"/>
              </w:rPr>
            </w:pPr>
            <w:r>
              <w:rPr>
                <w:rFonts w:hint="default" w:ascii="Times New Roman" w:hAnsi="Times New Roman" w:eastAsia="宋体" w:cs="Times New Roman"/>
                <w:color w:val="auto"/>
                <w:sz w:val="21"/>
                <w:szCs w:val="21"/>
                <w:highlight w:val="none"/>
                <w:lang w:val="en-US"/>
              </w:rPr>
              <w:t>/</w:t>
            </w:r>
          </w:p>
        </w:tc>
        <w:tc>
          <w:tcPr>
            <w:tcW w:w="275" w:type="pct"/>
            <w:vAlign w:val="center"/>
          </w:tcPr>
          <w:p>
            <w:pPr>
              <w:spacing w:line="0" w:lineRule="atLeast"/>
              <w:jc w:val="center"/>
              <w:rPr>
                <w:rFonts w:hint="default" w:ascii="Times New Roman" w:hAnsi="Times New Roman" w:eastAsia="宋体" w:cs="Times New Roman"/>
                <w:bCs/>
                <w:color w:val="FF0000"/>
                <w:sz w:val="21"/>
                <w:szCs w:val="21"/>
                <w:lang w:val="en-US"/>
              </w:rPr>
            </w:pPr>
            <w:r>
              <w:rPr>
                <w:rFonts w:hint="eastAsia" w:ascii="Times New Roman" w:hAnsi="Times New Roman" w:eastAsia="宋体" w:cs="Times New Roman"/>
                <w:snapToGrid w:val="0"/>
                <w:color w:val="auto"/>
                <w:sz w:val="21"/>
                <w:szCs w:val="21"/>
                <w:lang w:val="en-US" w:eastAsia="zh-CN"/>
              </w:rPr>
              <w:t>0.002</w:t>
            </w:r>
          </w:p>
        </w:tc>
        <w:tc>
          <w:tcPr>
            <w:tcW w:w="302" w:type="pct"/>
            <w:vAlign w:val="center"/>
          </w:tcPr>
          <w:p>
            <w:pPr>
              <w:spacing w:line="0" w:lineRule="atLeast"/>
              <w:jc w:val="center"/>
              <w:rPr>
                <w:rFonts w:hint="default" w:ascii="Times New Roman" w:hAnsi="Times New Roman" w:eastAsia="宋体" w:cs="Times New Roman"/>
                <w:bCs/>
                <w:color w:val="FF0000"/>
                <w:sz w:val="21"/>
                <w:szCs w:val="21"/>
                <w:lang w:val="en-US"/>
              </w:rPr>
            </w:pPr>
            <w:r>
              <w:rPr>
                <w:rFonts w:hint="eastAsia" w:ascii="Times New Roman" w:hAnsi="Times New Roman" w:eastAsia="宋体" w:cs="Times New Roman"/>
                <w:snapToGrid w:val="0"/>
                <w:color w:val="auto"/>
                <w:sz w:val="21"/>
                <w:szCs w:val="21"/>
                <w:lang w:val="en-US" w:eastAsia="zh-CN"/>
              </w:rPr>
              <w:t>0.024</w:t>
            </w:r>
          </w:p>
        </w:tc>
        <w:tc>
          <w:tcPr>
            <w:tcW w:w="325" w:type="pct"/>
            <w:vAlign w:val="center"/>
          </w:tcPr>
          <w:p>
            <w:pPr>
              <w:spacing w:line="0" w:lineRule="atLeast"/>
              <w:jc w:val="center"/>
              <w:rPr>
                <w:rFonts w:hint="default" w:ascii="Times New Roman" w:hAnsi="Times New Roman" w:eastAsia="宋体" w:cs="Times New Roman"/>
                <w:bCs/>
                <w:color w:val="FF0000"/>
                <w:sz w:val="21"/>
                <w:szCs w:val="21"/>
                <w:lang w:val="en-US"/>
              </w:rPr>
            </w:pPr>
            <w:r>
              <w:rPr>
                <w:rFonts w:hint="eastAsia" w:ascii="Times New Roman" w:hAnsi="Times New Roman" w:eastAsia="宋体" w:cs="Times New Roman"/>
                <w:snapToGrid w:val="0"/>
                <w:color w:val="auto"/>
                <w:sz w:val="21"/>
                <w:szCs w:val="21"/>
                <w:lang w:val="en-US" w:eastAsia="zh-CN"/>
              </w:rPr>
              <w:t>0.008</w:t>
            </w:r>
          </w:p>
        </w:tc>
      </w:tr>
    </w:tbl>
    <w:p>
      <w:pPr>
        <w:spacing w:line="360" w:lineRule="auto"/>
        <w:ind w:firstLine="482"/>
        <w:jc w:val="center"/>
        <w:rPr>
          <w:rFonts w:hint="default" w:ascii="Times New Roman" w:hAnsi="Times New Roman" w:cs="Times New Roman"/>
          <w:b/>
          <w:color w:val="auto"/>
          <w:sz w:val="24"/>
          <w:highlight w:val="yellow"/>
        </w:rPr>
      </w:pPr>
    </w:p>
    <w:p>
      <w:pPr>
        <w:spacing w:line="360" w:lineRule="auto"/>
        <w:ind w:firstLine="482"/>
        <w:jc w:val="center"/>
        <w:rPr>
          <w:rFonts w:hint="default" w:ascii="Times New Roman" w:hAnsi="Times New Roman" w:cs="Times New Roman"/>
          <w:b/>
          <w:color w:val="auto"/>
          <w:sz w:val="24"/>
          <w:highlight w:val="yellow"/>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482"/>
        <w:jc w:val="center"/>
        <w:textAlignment w:val="baseline"/>
        <w:rPr>
          <w:rFonts w:hint="default" w:ascii="Times New Roman" w:hAnsi="Times New Roman" w:eastAsia="宋体" w:cs="Times New Roman"/>
          <w:b/>
          <w:color w:val="auto"/>
          <w:sz w:val="20"/>
          <w:szCs w:val="20"/>
          <w:highlight w:val="none"/>
        </w:rPr>
      </w:pPr>
      <w:r>
        <w:rPr>
          <w:rFonts w:hint="default" w:ascii="Times New Roman" w:hAnsi="Times New Roman" w:eastAsia="宋体" w:cs="Times New Roman"/>
          <w:b/>
          <w:color w:val="auto"/>
          <w:sz w:val="20"/>
          <w:szCs w:val="20"/>
          <w:highlight w:val="none"/>
        </w:rPr>
        <w:t xml:space="preserve">表2-4-3主要废气污染源参数一览表(矩形面源) </w:t>
      </w:r>
    </w:p>
    <w:tbl>
      <w:tblPr>
        <w:tblStyle w:val="24"/>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9"/>
        <w:gridCol w:w="430"/>
        <w:gridCol w:w="384"/>
        <w:gridCol w:w="424"/>
        <w:gridCol w:w="807"/>
        <w:gridCol w:w="807"/>
        <w:gridCol w:w="807"/>
        <w:gridCol w:w="726"/>
        <w:gridCol w:w="807"/>
        <w:gridCol w:w="747"/>
        <w:gridCol w:w="430"/>
        <w:gridCol w:w="846"/>
        <w:gridCol w:w="1060"/>
        <w:gridCol w:w="11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 w:hRule="atLeast"/>
          <w:jc w:val="center"/>
        </w:trPr>
        <w:tc>
          <w:tcPr>
            <w:tcW w:w="217"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编号</w:t>
            </w:r>
          </w:p>
        </w:tc>
        <w:tc>
          <w:tcPr>
            <w:tcW w:w="218"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410" w:type="pct"/>
            <w:gridSpan w:val="2"/>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面源各顶点坐标（</w:t>
            </w:r>
            <w:r>
              <w:rPr>
                <w:rFonts w:hint="default" w:ascii="Times New Roman" w:hAnsi="Times New Roman" w:eastAsia="Times New Roman" w:cs="Times New Roman"/>
                <w:spacing w:val="9"/>
                <w:sz w:val="20"/>
                <w:szCs w:val="20"/>
              </w:rPr>
              <w:t>m</w:t>
            </w:r>
            <w:r>
              <w:rPr>
                <w:rFonts w:hint="default" w:ascii="Times New Roman" w:hAnsi="Times New Roman" w:eastAsia="宋体" w:cs="Times New Roman"/>
                <w:color w:val="auto"/>
                <w:sz w:val="21"/>
                <w:szCs w:val="21"/>
              </w:rPr>
              <w:t>）</w:t>
            </w:r>
          </w:p>
        </w:tc>
        <w:tc>
          <w:tcPr>
            <w:tcW w:w="410"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面源海拔高度（m）</w:t>
            </w:r>
          </w:p>
        </w:tc>
        <w:tc>
          <w:tcPr>
            <w:tcW w:w="410"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面源长度（m）</w:t>
            </w:r>
          </w:p>
        </w:tc>
        <w:tc>
          <w:tcPr>
            <w:tcW w:w="410"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面源</w:t>
            </w:r>
          </w:p>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宽度</w:t>
            </w:r>
          </w:p>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p>
        </w:tc>
        <w:tc>
          <w:tcPr>
            <w:tcW w:w="369"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与正北向夹角（°）</w:t>
            </w:r>
          </w:p>
        </w:tc>
        <w:tc>
          <w:tcPr>
            <w:tcW w:w="410"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面源有效排放高度（m）</w:t>
            </w:r>
          </w:p>
        </w:tc>
        <w:tc>
          <w:tcPr>
            <w:tcW w:w="379"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年排放小时数（h）</w:t>
            </w:r>
          </w:p>
        </w:tc>
        <w:tc>
          <w:tcPr>
            <w:tcW w:w="218"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排放工况</w:t>
            </w:r>
          </w:p>
        </w:tc>
        <w:tc>
          <w:tcPr>
            <w:tcW w:w="1546" w:type="pct"/>
            <w:gridSpan w:val="3"/>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217"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21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195" w:type="pct"/>
            <w:vAlign w:val="center"/>
          </w:tcPr>
          <w:p>
            <w:pPr>
              <w:spacing w:line="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X</w:t>
            </w:r>
          </w:p>
        </w:tc>
        <w:tc>
          <w:tcPr>
            <w:tcW w:w="215" w:type="pct"/>
            <w:vAlign w:val="center"/>
          </w:tcPr>
          <w:p>
            <w:pPr>
              <w:spacing w:line="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Y</w:t>
            </w:r>
          </w:p>
        </w:tc>
        <w:tc>
          <w:tcPr>
            <w:tcW w:w="410"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10"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10"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69"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10"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79"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21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30"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p>
        </w:tc>
        <w:tc>
          <w:tcPr>
            <w:tcW w:w="538"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S</w:t>
            </w:r>
          </w:p>
        </w:tc>
        <w:tc>
          <w:tcPr>
            <w:tcW w:w="577"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非甲烷总烃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217"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1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屠宰车间</w:t>
            </w:r>
          </w:p>
        </w:tc>
        <w:tc>
          <w:tcPr>
            <w:tcW w:w="3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w:t>
            </w:r>
          </w:p>
        </w:tc>
        <w:tc>
          <w:tcPr>
            <w:tcW w:w="409"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w:t>
            </w:r>
          </w:p>
        </w:tc>
        <w:tc>
          <w:tcPr>
            <w:tcW w:w="410" w:type="pct"/>
            <w:vAlign w:val="center"/>
          </w:tcPr>
          <w:p>
            <w:pPr>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lang w:val="en-US" w:eastAsia="zh-CN"/>
              </w:rPr>
              <w:t>175.1</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36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410" w:type="pct"/>
            <w:vAlign w:val="center"/>
          </w:tcPr>
          <w:p>
            <w:pPr>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37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4080</w:t>
            </w:r>
          </w:p>
        </w:tc>
        <w:tc>
          <w:tcPr>
            <w:tcW w:w="218"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正常排放</w:t>
            </w:r>
          </w:p>
        </w:tc>
        <w:tc>
          <w:tcPr>
            <w:tcW w:w="430" w:type="pct"/>
            <w:vAlign w:val="center"/>
          </w:tcPr>
          <w:p>
            <w:pPr>
              <w:spacing w:line="0" w:lineRule="atLeast"/>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0.0017</w:t>
            </w:r>
          </w:p>
        </w:tc>
        <w:tc>
          <w:tcPr>
            <w:tcW w:w="538" w:type="pct"/>
            <w:vAlign w:val="center"/>
          </w:tcPr>
          <w:p>
            <w:pPr>
              <w:spacing w:line="0" w:lineRule="atLeast"/>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0.00008</w:t>
            </w:r>
          </w:p>
        </w:tc>
        <w:tc>
          <w:tcPr>
            <w:tcW w:w="577"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217"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1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污水处理站</w:t>
            </w:r>
          </w:p>
        </w:tc>
        <w:tc>
          <w:tcPr>
            <w:tcW w:w="3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23</w:t>
            </w:r>
          </w:p>
        </w:tc>
        <w:tc>
          <w:tcPr>
            <w:tcW w:w="409"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5</w:t>
            </w:r>
          </w:p>
        </w:tc>
        <w:tc>
          <w:tcPr>
            <w:tcW w:w="410" w:type="pct"/>
            <w:vAlign w:val="center"/>
          </w:tcPr>
          <w:p>
            <w:pPr>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lang w:val="en-US" w:eastAsia="zh-CN"/>
              </w:rPr>
              <w:t>175.1</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36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410" w:type="pct"/>
            <w:vAlign w:val="center"/>
          </w:tcPr>
          <w:p>
            <w:pPr>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37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8160</w:t>
            </w:r>
          </w:p>
        </w:tc>
        <w:tc>
          <w:tcPr>
            <w:tcW w:w="21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30"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0.00000135</w:t>
            </w:r>
          </w:p>
        </w:tc>
        <w:tc>
          <w:tcPr>
            <w:tcW w:w="538"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0.00000054</w:t>
            </w:r>
          </w:p>
        </w:tc>
        <w:tc>
          <w:tcPr>
            <w:tcW w:w="577" w:type="pct"/>
            <w:vAlign w:val="center"/>
          </w:tcPr>
          <w:p>
            <w:pPr>
              <w:spacing w:line="0" w:lineRule="atLeas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217"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1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待宰间</w:t>
            </w:r>
          </w:p>
        </w:tc>
        <w:tc>
          <w:tcPr>
            <w:tcW w:w="3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-35</w:t>
            </w:r>
          </w:p>
        </w:tc>
        <w:tc>
          <w:tcPr>
            <w:tcW w:w="409"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w:t>
            </w:r>
          </w:p>
        </w:tc>
        <w:tc>
          <w:tcPr>
            <w:tcW w:w="410" w:type="pct"/>
            <w:vAlign w:val="center"/>
          </w:tcPr>
          <w:p>
            <w:pPr>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lang w:val="en-US" w:eastAsia="zh-CN"/>
              </w:rPr>
              <w:t>175.1</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w:t>
            </w:r>
          </w:p>
        </w:tc>
        <w:tc>
          <w:tcPr>
            <w:tcW w:w="36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410" w:type="pct"/>
            <w:vAlign w:val="center"/>
          </w:tcPr>
          <w:p>
            <w:pPr>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37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4080</w:t>
            </w:r>
          </w:p>
        </w:tc>
        <w:tc>
          <w:tcPr>
            <w:tcW w:w="21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30"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0.0037</w:t>
            </w:r>
          </w:p>
        </w:tc>
        <w:tc>
          <w:tcPr>
            <w:tcW w:w="538" w:type="pct"/>
            <w:vAlign w:val="center"/>
          </w:tcPr>
          <w:p>
            <w:pPr>
              <w:spacing w:line="0" w:lineRule="atLeast"/>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0.0005</w:t>
            </w:r>
          </w:p>
        </w:tc>
        <w:tc>
          <w:tcPr>
            <w:tcW w:w="577"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217"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218" w:type="pct"/>
            <w:vAlign w:val="center"/>
          </w:tcPr>
          <w:p>
            <w:pPr>
              <w:spacing w:line="0" w:lineRule="atLeas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固废暂存间</w:t>
            </w:r>
          </w:p>
        </w:tc>
        <w:tc>
          <w:tcPr>
            <w:tcW w:w="195"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w:t>
            </w:r>
          </w:p>
        </w:tc>
        <w:tc>
          <w:tcPr>
            <w:tcW w:w="215"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175.1</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36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410" w:type="pct"/>
            <w:vAlign w:val="center"/>
          </w:tcPr>
          <w:p>
            <w:pPr>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37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4080</w:t>
            </w:r>
          </w:p>
        </w:tc>
        <w:tc>
          <w:tcPr>
            <w:tcW w:w="21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30" w:type="pct"/>
            <w:vAlign w:val="center"/>
          </w:tcPr>
          <w:p>
            <w:pPr>
              <w:spacing w:line="0" w:lineRule="atLeast"/>
              <w:jc w:val="center"/>
              <w:rPr>
                <w:rFonts w:hint="default" w:ascii="Times New Roman" w:hAnsi="Times New Roman" w:eastAsia="宋体" w:cs="Times New Roman"/>
                <w:bCs/>
                <w:snapToGrid w:val="0"/>
                <w:color w:val="auto"/>
                <w:sz w:val="21"/>
                <w:szCs w:val="21"/>
                <w:lang w:val="en-US" w:eastAsia="zh-CN"/>
              </w:rPr>
            </w:pPr>
            <w:r>
              <w:rPr>
                <w:rFonts w:hint="default" w:ascii="Times New Roman" w:hAnsi="Times New Roman" w:eastAsia="宋体" w:cs="Times New Roman"/>
                <w:bCs/>
                <w:snapToGrid w:val="0"/>
                <w:color w:val="auto"/>
                <w:sz w:val="21"/>
                <w:szCs w:val="21"/>
                <w:lang w:val="en-US" w:eastAsia="zh-CN"/>
              </w:rPr>
              <w:t>0.001</w:t>
            </w:r>
          </w:p>
        </w:tc>
        <w:tc>
          <w:tcPr>
            <w:tcW w:w="538"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0.00005</w:t>
            </w:r>
          </w:p>
        </w:tc>
        <w:tc>
          <w:tcPr>
            <w:tcW w:w="577"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217"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218" w:type="pct"/>
            <w:vAlign w:val="center"/>
          </w:tcPr>
          <w:p>
            <w:pPr>
              <w:spacing w:line="0" w:lineRule="atLeas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柴油储罐</w:t>
            </w:r>
          </w:p>
        </w:tc>
        <w:tc>
          <w:tcPr>
            <w:tcW w:w="195"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215"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175.1</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36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410" w:type="pct"/>
            <w:vAlign w:val="center"/>
          </w:tcPr>
          <w:p>
            <w:pPr>
              <w:spacing w:line="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37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4080</w:t>
            </w:r>
          </w:p>
        </w:tc>
        <w:tc>
          <w:tcPr>
            <w:tcW w:w="21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30" w:type="pct"/>
            <w:vAlign w:val="center"/>
          </w:tcPr>
          <w:p>
            <w:pPr>
              <w:spacing w:line="0" w:lineRule="atLeast"/>
              <w:jc w:val="center"/>
              <w:rPr>
                <w:rFonts w:hint="default" w:ascii="Times New Roman" w:hAnsi="Times New Roman" w:eastAsia="宋体" w:cs="Times New Roman"/>
                <w:bCs/>
                <w:snapToGrid w:val="0"/>
                <w:color w:val="auto"/>
                <w:sz w:val="21"/>
                <w:szCs w:val="21"/>
                <w:lang w:val="en-US" w:eastAsia="zh-CN"/>
              </w:rPr>
            </w:pPr>
            <w:r>
              <w:rPr>
                <w:rFonts w:hint="default" w:ascii="Times New Roman" w:hAnsi="Times New Roman" w:eastAsia="宋体" w:cs="Times New Roman"/>
                <w:bCs/>
                <w:snapToGrid w:val="0"/>
                <w:color w:val="auto"/>
                <w:sz w:val="21"/>
                <w:szCs w:val="21"/>
                <w:lang w:val="en-US" w:eastAsia="zh-CN"/>
              </w:rPr>
              <w:t>/</w:t>
            </w:r>
          </w:p>
        </w:tc>
        <w:tc>
          <w:tcPr>
            <w:tcW w:w="538"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77"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0.00016</w:t>
            </w:r>
          </w:p>
        </w:tc>
      </w:tr>
    </w:tbl>
    <w:p>
      <w:pPr>
        <w:keepNext w:val="0"/>
        <w:keepLines w:val="0"/>
        <w:pageBreakBefore w:val="0"/>
        <w:widowControl/>
        <w:kinsoku w:val="0"/>
        <w:wordWrap/>
        <w:overflowPunct/>
        <w:topLinePunct w:val="0"/>
        <w:autoSpaceDE w:val="0"/>
        <w:autoSpaceDN w:val="0"/>
        <w:bidi w:val="0"/>
        <w:adjustRightInd w:val="0"/>
        <w:snapToGrid w:val="0"/>
        <w:spacing w:line="240" w:lineRule="auto"/>
        <w:ind w:firstLine="482"/>
        <w:jc w:val="center"/>
        <w:textAlignment w:val="baseline"/>
        <w:rPr>
          <w:rFonts w:hint="default" w:ascii="Times New Roman" w:hAnsi="Times New Roman" w:eastAsia="宋体" w:cs="Times New Roman"/>
          <w:b/>
          <w:color w:val="auto"/>
          <w:sz w:val="20"/>
          <w:szCs w:val="20"/>
          <w:highlight w:val="none"/>
        </w:rPr>
      </w:pPr>
      <w:r>
        <w:rPr>
          <w:rFonts w:hint="default" w:ascii="Times New Roman" w:hAnsi="Times New Roman" w:eastAsia="宋体" w:cs="Times New Roman"/>
          <w:b/>
          <w:color w:val="auto"/>
          <w:sz w:val="20"/>
          <w:szCs w:val="20"/>
          <w:highlight w:val="none"/>
        </w:rPr>
        <w:t>表2-4-4估算模式参数表</w:t>
      </w:r>
    </w:p>
    <w:tbl>
      <w:tblPr>
        <w:tblStyle w:val="24"/>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557"/>
        <w:gridCol w:w="1747"/>
        <w:gridCol w:w="1566"/>
        <w:gridCol w:w="497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参数</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取值</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1"/>
                <w:sz w:val="21"/>
                <w:szCs w:val="21"/>
              </w:rPr>
              <w:t>参数选取依据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1"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城市农村/选项</w:t>
            </w:r>
          </w:p>
        </w:tc>
        <w:tc>
          <w:tcPr>
            <w:tcW w:w="88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城市/农村</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农村</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根据《环境影响评价技术导则 大气环境》（HJ 2.2-2018）附录B中B.6.1 城市/农村选项：“当项目周边3km半径范围内一半以上面积属于城市建成区或者规划区时，选择城市，否则选择农村”。根据对本项目厂址周边3km半径范围内的为农村，故本次评价选取农村选项。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1"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88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人口数(城市人口数)</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最高环境温度</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36.7</w:t>
            </w:r>
            <w:r>
              <w:rPr>
                <w:rFonts w:hint="default" w:ascii="Times New Roman" w:hAnsi="Times New Roman" w:eastAsia="宋体" w:cs="Times New Roman"/>
                <w:color w:val="auto"/>
                <w:sz w:val="21"/>
                <w:szCs w:val="21"/>
              </w:rPr>
              <w:t>℃</w:t>
            </w:r>
          </w:p>
        </w:tc>
        <w:tc>
          <w:tcPr>
            <w:tcW w:w="2526"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最高及最低环境温度取值来源于</w:t>
            </w:r>
            <w:r>
              <w:rPr>
                <w:rFonts w:hint="default" w:ascii="Times New Roman" w:hAnsi="Times New Roman" w:eastAsia="宋体" w:cs="Times New Roman"/>
                <w:color w:val="auto"/>
                <w:sz w:val="21"/>
                <w:szCs w:val="21"/>
                <w:lang w:val="en-US" w:eastAsia="zh-CN"/>
              </w:rPr>
              <w:t>巴彦县</w:t>
            </w:r>
            <w:r>
              <w:rPr>
                <w:rFonts w:hint="default" w:ascii="Times New Roman" w:hAnsi="Times New Roman" w:eastAsia="宋体" w:cs="Times New Roman"/>
                <w:color w:val="auto"/>
                <w:sz w:val="21"/>
                <w:szCs w:val="21"/>
              </w:rPr>
              <w:t>二十年气象数据统计结果。</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最低环境温度</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-38.1℃</w:t>
            </w:r>
          </w:p>
        </w:tc>
        <w:tc>
          <w:tcPr>
            <w:tcW w:w="2526" w:type="pct"/>
            <w:vMerge w:val="continue"/>
            <w:vAlign w:val="center"/>
          </w:tcPr>
          <w:p>
            <w:pPr>
              <w:spacing w:line="0" w:lineRule="atLeast"/>
              <w:jc w:val="center"/>
              <w:rPr>
                <w:rFonts w:hint="default" w:ascii="Times New Roman" w:hAnsi="Times New Roman" w:eastAsia="宋体" w:cs="Times New Roman"/>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土地利用类型</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农作地</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厂址周边3km半径范围内占地面积最大的土地利用类型为农作地，故本次评价选取农作地。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区域湿度条件</w:t>
            </w:r>
          </w:p>
        </w:tc>
        <w:tc>
          <w:tcPr>
            <w:tcW w:w="795"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中等湿度</w:t>
            </w:r>
            <w:r>
              <w:rPr>
                <w:rFonts w:hint="default" w:ascii="Times New Roman" w:hAnsi="Times New Roman" w:eastAsia="宋体" w:cs="Times New Roman"/>
                <w:color w:val="auto"/>
                <w:sz w:val="21"/>
                <w:szCs w:val="21"/>
                <w:lang w:val="en-US" w:eastAsia="zh-CN"/>
              </w:rPr>
              <w:t>气候</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根据中国干湿地区划分图判断，本项目属于中等湿度气候。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1"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是否考虑地形</w:t>
            </w:r>
          </w:p>
        </w:tc>
        <w:tc>
          <w:tcPr>
            <w:tcW w:w="88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考虑地形</w:t>
            </w:r>
          </w:p>
        </w:tc>
        <w:tc>
          <w:tcPr>
            <w:tcW w:w="795" w:type="pct"/>
            <w:vAlign w:val="center"/>
          </w:tcPr>
          <w:p>
            <w:pPr>
              <w:spacing w:line="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否</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根据《环境影响评价技术导则 大气环境》（HJ 2.2-2018）中5.3.2.2：“编制环境影响报告书的项目在采用估算模型计算评价等级时，应输入地形参数”。故本次评价考虑地形。</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1"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88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地形数据分辨率(m)</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根据EIA2018大气预测软件的DEM地形文件，地形数据分辨率90m。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1"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是否考虑海岸线熏烟</w:t>
            </w:r>
          </w:p>
        </w:tc>
        <w:tc>
          <w:tcPr>
            <w:tcW w:w="88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考虑海岸线熏烟</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根据《环境影响评价技术导则 大气环境》（HJ 2.2-2018）附录B中B6.2岸边熏烟选项：“对估算模型AERSCREEN,当污染源附近3km范围内有大型水体时，需选择岸边熏烟选项”。本项目附近3km范围内无大型水体时，故不考虑岸边熏烟。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1"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88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海岸线距离/km</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1"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88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海岸线方向/</w:t>
            </w:r>
            <w:r>
              <w:rPr>
                <w:rFonts w:hint="default" w:ascii="Times New Roman" w:hAnsi="Times New Roman" w:eastAsia="宋体" w:cs="Times New Roman"/>
                <w:color w:val="auto"/>
                <w:sz w:val="21"/>
                <w:szCs w:val="21"/>
                <w:vertAlign w:val="superscript"/>
              </w:rPr>
              <w:t>o</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eastAsia" w:ascii="Times New Roman" w:hAnsi="Times New Roman" w:eastAsia="宋体" w:cs="Times New Roman"/>
          <w:b/>
          <w:color w:val="auto"/>
          <w:sz w:val="20"/>
          <w:szCs w:val="20"/>
          <w:highlight w:val="none"/>
          <w:lang w:eastAsia="zh-CN"/>
        </w:rPr>
      </w:pPr>
      <w:r>
        <w:rPr>
          <w:rFonts w:hint="default" w:ascii="Times New Roman" w:hAnsi="Times New Roman" w:cs="Times New Roman"/>
          <w:b/>
          <w:color w:val="auto"/>
          <w:sz w:val="20"/>
          <w:szCs w:val="20"/>
          <w:highlight w:val="none"/>
        </w:rPr>
        <w:t>表2-4-5 P</w:t>
      </w:r>
      <w:r>
        <w:rPr>
          <w:rFonts w:hint="default" w:ascii="Times New Roman" w:hAnsi="Times New Roman" w:cs="Times New Roman"/>
          <w:b/>
          <w:color w:val="auto"/>
          <w:sz w:val="20"/>
          <w:szCs w:val="20"/>
          <w:highlight w:val="none"/>
          <w:vertAlign w:val="subscript"/>
        </w:rPr>
        <w:t>max</w:t>
      </w:r>
      <w:r>
        <w:rPr>
          <w:rFonts w:hint="default" w:ascii="Times New Roman" w:hAnsi="Times New Roman" w:cs="Times New Roman"/>
          <w:b/>
          <w:color w:val="auto"/>
          <w:sz w:val="20"/>
          <w:szCs w:val="20"/>
          <w:highlight w:val="none"/>
        </w:rPr>
        <w:t>和D</w:t>
      </w:r>
      <w:r>
        <w:rPr>
          <w:rFonts w:hint="default" w:ascii="Times New Roman" w:hAnsi="Times New Roman" w:cs="Times New Roman"/>
          <w:b/>
          <w:color w:val="auto"/>
          <w:sz w:val="20"/>
          <w:szCs w:val="20"/>
          <w:highlight w:val="none"/>
          <w:vertAlign w:val="subscript"/>
        </w:rPr>
        <w:t>10%</w:t>
      </w:r>
      <w:r>
        <w:rPr>
          <w:rFonts w:hint="default" w:ascii="Times New Roman" w:hAnsi="Times New Roman" w:cs="Times New Roman"/>
          <w:b/>
          <w:color w:val="auto"/>
          <w:sz w:val="20"/>
          <w:szCs w:val="20"/>
          <w:highlight w:val="none"/>
        </w:rPr>
        <w:t>预测和计算结果一览表</w:t>
      </w:r>
    </w:p>
    <w:tbl>
      <w:tblPr>
        <w:tblStyle w:val="24"/>
        <w:tblW w:w="4992"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027"/>
        <w:gridCol w:w="2058"/>
        <w:gridCol w:w="1377"/>
        <w:gridCol w:w="1490"/>
        <w:gridCol w:w="1450"/>
        <w:gridCol w:w="1279"/>
        <w:gridCol w:w="115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0" w:hRule="atLeast"/>
          <w:jc w:val="center"/>
        </w:trPr>
        <w:tc>
          <w:tcPr>
            <w:tcW w:w="522"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排放</w:t>
            </w:r>
          </w:p>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方式</w:t>
            </w:r>
          </w:p>
        </w:tc>
        <w:tc>
          <w:tcPr>
            <w:tcW w:w="1046"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污染源名称</w:t>
            </w:r>
          </w:p>
        </w:tc>
        <w:tc>
          <w:tcPr>
            <w:tcW w:w="700"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评价因子</w:t>
            </w:r>
          </w:p>
        </w:tc>
        <w:tc>
          <w:tcPr>
            <w:tcW w:w="757"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评价标准(μg/m</w:t>
            </w:r>
            <w:r>
              <w:rPr>
                <w:rFonts w:hint="default" w:ascii="Times New Roman" w:hAnsi="Times New Roman" w:cs="Times New Roman" w:eastAsiaTheme="minorEastAsia"/>
                <w:color w:val="auto"/>
                <w:sz w:val="21"/>
                <w:szCs w:val="21"/>
                <w:highlight w:val="none"/>
                <w:vertAlign w:val="superscript"/>
              </w:rPr>
              <w:t>3</w:t>
            </w:r>
            <w:r>
              <w:rPr>
                <w:rFonts w:hint="default" w:ascii="Times New Roman" w:hAnsi="Times New Roman" w:cs="Times New Roman" w:eastAsiaTheme="minorEastAsia"/>
                <w:color w:val="auto"/>
                <w:sz w:val="21"/>
                <w:szCs w:val="21"/>
                <w:highlight w:val="none"/>
              </w:rPr>
              <w:t>)</w:t>
            </w:r>
          </w:p>
        </w:tc>
        <w:tc>
          <w:tcPr>
            <w:tcW w:w="737"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C</w:t>
            </w:r>
            <w:r>
              <w:rPr>
                <w:rFonts w:hint="default" w:ascii="Times New Roman" w:hAnsi="Times New Roman" w:cs="Times New Roman" w:eastAsiaTheme="minorEastAsia"/>
                <w:color w:val="auto"/>
                <w:sz w:val="21"/>
                <w:szCs w:val="21"/>
                <w:highlight w:val="none"/>
                <w:vertAlign w:val="subscript"/>
              </w:rPr>
              <w:t>max</w:t>
            </w:r>
            <w:r>
              <w:rPr>
                <w:rFonts w:hint="default" w:ascii="Times New Roman" w:hAnsi="Times New Roman" w:cs="Times New Roman" w:eastAsiaTheme="minorEastAsia"/>
                <w:color w:val="auto"/>
                <w:sz w:val="21"/>
                <w:szCs w:val="21"/>
                <w:highlight w:val="none"/>
              </w:rPr>
              <w:t>(μg/m</w:t>
            </w:r>
            <w:r>
              <w:rPr>
                <w:rFonts w:hint="default" w:ascii="Times New Roman" w:hAnsi="Times New Roman" w:cs="Times New Roman" w:eastAsiaTheme="minorEastAsia"/>
                <w:color w:val="auto"/>
                <w:sz w:val="21"/>
                <w:szCs w:val="21"/>
                <w:highlight w:val="none"/>
                <w:vertAlign w:val="superscript"/>
              </w:rPr>
              <w:t>3</w:t>
            </w:r>
            <w:r>
              <w:rPr>
                <w:rFonts w:hint="default" w:ascii="Times New Roman" w:hAnsi="Times New Roman" w:cs="Times New Roman" w:eastAsiaTheme="minorEastAsia"/>
                <w:color w:val="auto"/>
                <w:sz w:val="21"/>
                <w:szCs w:val="21"/>
                <w:highlight w:val="none"/>
              </w:rPr>
              <w:t>)</w:t>
            </w:r>
          </w:p>
        </w:tc>
        <w:tc>
          <w:tcPr>
            <w:tcW w:w="650"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P</w:t>
            </w:r>
            <w:r>
              <w:rPr>
                <w:rFonts w:hint="default" w:ascii="Times New Roman" w:hAnsi="Times New Roman" w:cs="Times New Roman" w:eastAsiaTheme="minorEastAsia"/>
                <w:color w:val="auto"/>
                <w:sz w:val="21"/>
                <w:szCs w:val="21"/>
                <w:highlight w:val="none"/>
                <w:vertAlign w:val="subscript"/>
              </w:rPr>
              <w:t>max</w:t>
            </w:r>
            <w:r>
              <w:rPr>
                <w:rFonts w:hint="default" w:ascii="Times New Roman" w:hAnsi="Times New Roman" w:cs="Times New Roman" w:eastAsiaTheme="minorEastAsia"/>
                <w:color w:val="auto"/>
                <w:sz w:val="21"/>
                <w:szCs w:val="21"/>
                <w:highlight w:val="none"/>
              </w:rPr>
              <w:t>(%)</w:t>
            </w:r>
          </w:p>
        </w:tc>
        <w:tc>
          <w:tcPr>
            <w:tcW w:w="584"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D</w:t>
            </w:r>
            <w:r>
              <w:rPr>
                <w:rFonts w:hint="default" w:ascii="Times New Roman" w:hAnsi="Times New Roman" w:cs="Times New Roman" w:eastAsiaTheme="minorEastAsia"/>
                <w:color w:val="auto"/>
                <w:sz w:val="21"/>
                <w:szCs w:val="21"/>
                <w:highlight w:val="none"/>
                <w:vertAlign w:val="subscript"/>
              </w:rPr>
              <w:t>10%</w:t>
            </w:r>
            <w:r>
              <w:rPr>
                <w:rFonts w:hint="default" w:ascii="Times New Roman" w:hAnsi="Times New Roman" w:cs="Times New Roman" w:eastAsiaTheme="minorEastAsia"/>
                <w:color w:val="auto"/>
                <w:sz w:val="21"/>
                <w:szCs w:val="21"/>
                <w:highlight w:val="none"/>
              </w:rPr>
              <w:t>(m)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22" w:type="pct"/>
            <w:vMerge w:val="restar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有组织</w:t>
            </w:r>
          </w:p>
        </w:tc>
        <w:tc>
          <w:tcPr>
            <w:tcW w:w="1046" w:type="pct"/>
            <w:vMerge w:val="restar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bCs/>
                <w:color w:val="auto"/>
                <w:sz w:val="21"/>
                <w:szCs w:val="21"/>
                <w:highlight w:val="none"/>
              </w:rPr>
              <w:t>屠宰</w:t>
            </w:r>
            <w:r>
              <w:rPr>
                <w:rFonts w:hint="eastAsia" w:ascii="Times New Roman" w:hAnsi="Times New Roman" w:cs="Times New Roman" w:eastAsiaTheme="minorEastAsia"/>
                <w:bCs/>
                <w:color w:val="auto"/>
                <w:sz w:val="21"/>
                <w:szCs w:val="21"/>
                <w:highlight w:val="none"/>
                <w:lang w:val="en-US" w:eastAsia="zh-CN"/>
              </w:rPr>
              <w:t>加工</w:t>
            </w:r>
            <w:r>
              <w:rPr>
                <w:rFonts w:hint="default" w:ascii="Times New Roman" w:hAnsi="Times New Roman" w:cs="Times New Roman" w:eastAsiaTheme="minorEastAsia"/>
                <w:bCs/>
                <w:color w:val="auto"/>
                <w:sz w:val="21"/>
                <w:szCs w:val="21"/>
                <w:highlight w:val="none"/>
              </w:rPr>
              <w:t>车间排气筒</w:t>
            </w:r>
          </w:p>
        </w:tc>
        <w:tc>
          <w:tcPr>
            <w:tcW w:w="700"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NH</w:t>
            </w:r>
            <w:r>
              <w:rPr>
                <w:rFonts w:hint="default" w:ascii="Times New Roman" w:hAnsi="Times New Roman" w:cs="Times New Roman" w:eastAsiaTheme="minorEastAsia"/>
                <w:color w:val="auto"/>
                <w:sz w:val="21"/>
                <w:szCs w:val="21"/>
                <w:highlight w:val="none"/>
                <w:vertAlign w:val="subscript"/>
              </w:rPr>
              <w:t>3</w:t>
            </w:r>
          </w:p>
        </w:tc>
        <w:tc>
          <w:tcPr>
            <w:tcW w:w="757"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200.0</w:t>
            </w:r>
          </w:p>
        </w:tc>
        <w:tc>
          <w:tcPr>
            <w:tcW w:w="737"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rPr>
              <w:t>1.62E-04</w:t>
            </w:r>
          </w:p>
        </w:tc>
        <w:tc>
          <w:tcPr>
            <w:tcW w:w="650"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lang w:val="en-US" w:eastAsia="zh-CN"/>
              </w:rPr>
              <w:t>0.08</w:t>
            </w:r>
          </w:p>
        </w:tc>
        <w:tc>
          <w:tcPr>
            <w:tcW w:w="584"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22"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1046"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700"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H</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S</w:t>
            </w:r>
          </w:p>
        </w:tc>
        <w:tc>
          <w:tcPr>
            <w:tcW w:w="757"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10.0</w:t>
            </w:r>
          </w:p>
        </w:tc>
        <w:tc>
          <w:tcPr>
            <w:tcW w:w="737"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rPr>
              <w:t>8.11E-06</w:t>
            </w:r>
          </w:p>
        </w:tc>
        <w:tc>
          <w:tcPr>
            <w:tcW w:w="650"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0.08</w:t>
            </w:r>
          </w:p>
        </w:tc>
        <w:tc>
          <w:tcPr>
            <w:tcW w:w="584"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22"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1046" w:type="pct"/>
            <w:vMerge w:val="restart"/>
            <w:vAlign w:val="center"/>
          </w:tcPr>
          <w:p>
            <w:pPr>
              <w:spacing w:line="0" w:lineRule="atLeast"/>
              <w:jc w:val="center"/>
              <w:rPr>
                <w:rFonts w:hint="default" w:ascii="Times New Roman" w:hAnsi="Times New Roman" w:cs="Times New Roman" w:eastAsiaTheme="minorEastAsia"/>
                <w:bCs/>
                <w:color w:val="auto"/>
                <w:sz w:val="21"/>
                <w:szCs w:val="21"/>
                <w:highlight w:val="none"/>
              </w:rPr>
            </w:pPr>
            <w:r>
              <w:rPr>
                <w:rFonts w:hint="default" w:ascii="Times New Roman" w:hAnsi="Times New Roman" w:cs="Times New Roman" w:eastAsiaTheme="minorEastAsia"/>
                <w:bCs/>
                <w:color w:val="auto"/>
                <w:sz w:val="21"/>
                <w:szCs w:val="21"/>
                <w:highlight w:val="none"/>
              </w:rPr>
              <w:t>污水处理站排气筒</w:t>
            </w:r>
          </w:p>
        </w:tc>
        <w:tc>
          <w:tcPr>
            <w:tcW w:w="700"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NH</w:t>
            </w:r>
            <w:r>
              <w:rPr>
                <w:rFonts w:hint="default" w:ascii="Times New Roman" w:hAnsi="Times New Roman" w:cs="Times New Roman" w:eastAsiaTheme="minorEastAsia"/>
                <w:color w:val="auto"/>
                <w:sz w:val="21"/>
                <w:szCs w:val="21"/>
                <w:highlight w:val="none"/>
                <w:vertAlign w:val="subscript"/>
              </w:rPr>
              <w:t>3</w:t>
            </w:r>
          </w:p>
        </w:tc>
        <w:tc>
          <w:tcPr>
            <w:tcW w:w="757"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200.0</w:t>
            </w:r>
          </w:p>
        </w:tc>
        <w:tc>
          <w:tcPr>
            <w:tcW w:w="737"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rPr>
              <w:t>1.46E-06</w:t>
            </w:r>
          </w:p>
        </w:tc>
        <w:tc>
          <w:tcPr>
            <w:tcW w:w="650"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0.</w:t>
            </w:r>
            <w:r>
              <w:rPr>
                <w:rFonts w:hint="eastAsia" w:ascii="Times New Roman" w:hAnsi="Times New Roman" w:cs="Times New Roman" w:eastAsiaTheme="minorEastAsia"/>
                <w:color w:val="auto"/>
                <w:sz w:val="21"/>
                <w:szCs w:val="21"/>
                <w:highlight w:val="none"/>
                <w:lang w:val="en-US" w:eastAsia="zh-CN"/>
              </w:rPr>
              <w:t>00</w:t>
            </w:r>
          </w:p>
        </w:tc>
        <w:tc>
          <w:tcPr>
            <w:tcW w:w="584"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22"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1046"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700"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H</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S</w:t>
            </w:r>
          </w:p>
        </w:tc>
        <w:tc>
          <w:tcPr>
            <w:tcW w:w="757"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10.0</w:t>
            </w:r>
          </w:p>
        </w:tc>
        <w:tc>
          <w:tcPr>
            <w:tcW w:w="737"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rPr>
              <w:t>5.84E-07</w:t>
            </w:r>
          </w:p>
        </w:tc>
        <w:tc>
          <w:tcPr>
            <w:tcW w:w="650"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0.01</w:t>
            </w:r>
          </w:p>
        </w:tc>
        <w:tc>
          <w:tcPr>
            <w:tcW w:w="584"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22"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1046" w:type="pct"/>
            <w:vMerge w:val="restar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待宰间排气筒</w:t>
            </w:r>
          </w:p>
        </w:tc>
        <w:tc>
          <w:tcPr>
            <w:tcW w:w="700"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NH</w:t>
            </w:r>
            <w:r>
              <w:rPr>
                <w:rFonts w:hint="default" w:ascii="Times New Roman" w:hAnsi="Times New Roman" w:cs="Times New Roman" w:eastAsiaTheme="minorEastAsia"/>
                <w:color w:val="auto"/>
                <w:sz w:val="21"/>
                <w:szCs w:val="21"/>
                <w:highlight w:val="none"/>
                <w:vertAlign w:val="subscript"/>
              </w:rPr>
              <w:t>3</w:t>
            </w:r>
          </w:p>
        </w:tc>
        <w:tc>
          <w:tcPr>
            <w:tcW w:w="757"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200.0</w:t>
            </w:r>
          </w:p>
        </w:tc>
        <w:tc>
          <w:tcPr>
            <w:tcW w:w="737"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rPr>
              <w:t>1.31E-03</w:t>
            </w:r>
          </w:p>
        </w:tc>
        <w:tc>
          <w:tcPr>
            <w:tcW w:w="650"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lang w:val="en-US"/>
              </w:rPr>
            </w:pPr>
            <w:r>
              <w:rPr>
                <w:rFonts w:hint="eastAsia" w:ascii="Times New Roman" w:hAnsi="Times New Roman" w:cs="Times New Roman" w:eastAsiaTheme="minorEastAsia"/>
                <w:color w:val="auto"/>
                <w:sz w:val="21"/>
                <w:szCs w:val="21"/>
                <w:highlight w:val="none"/>
                <w:lang w:val="en-US" w:eastAsia="zh-CN"/>
              </w:rPr>
              <w:t>0.66</w:t>
            </w:r>
          </w:p>
        </w:tc>
        <w:tc>
          <w:tcPr>
            <w:tcW w:w="584"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22"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1046"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700"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H</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S</w:t>
            </w:r>
          </w:p>
        </w:tc>
        <w:tc>
          <w:tcPr>
            <w:tcW w:w="757"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10.0</w:t>
            </w:r>
          </w:p>
        </w:tc>
        <w:tc>
          <w:tcPr>
            <w:tcW w:w="737"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rPr>
              <w:t>2.04E-04</w:t>
            </w:r>
          </w:p>
        </w:tc>
        <w:tc>
          <w:tcPr>
            <w:tcW w:w="650"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lang w:val="en-US" w:eastAsia="zh-CN"/>
              </w:rPr>
              <w:t>2.04</w:t>
            </w:r>
          </w:p>
        </w:tc>
        <w:tc>
          <w:tcPr>
            <w:tcW w:w="584"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1046" w:type="pct"/>
            <w:vMerge w:val="restart"/>
            <w:vAlign w:val="center"/>
          </w:tcPr>
          <w:p>
            <w:pPr>
              <w:spacing w:line="0" w:lineRule="atLeas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锅炉烟囱</w:t>
            </w:r>
          </w:p>
        </w:tc>
        <w:tc>
          <w:tcPr>
            <w:tcW w:w="700"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smallCaps w:val="0"/>
                <w:snapToGrid w:val="0"/>
                <w:color w:val="auto"/>
                <w:kern w:val="2"/>
                <w:sz w:val="21"/>
                <w:szCs w:val="21"/>
                <w:highlight w:val="none"/>
                <w:lang w:val="en-US" w:eastAsia="zh-CN" w:bidi="ar-SA"/>
              </w:rPr>
              <w:t>氮氧化物</w:t>
            </w:r>
          </w:p>
        </w:tc>
        <w:tc>
          <w:tcPr>
            <w:tcW w:w="757"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smallCaps w:val="0"/>
                <w:snapToGrid w:val="0"/>
                <w:color w:val="auto"/>
                <w:kern w:val="2"/>
                <w:sz w:val="21"/>
                <w:szCs w:val="21"/>
                <w:highlight w:val="none"/>
                <w:lang w:val="en-US" w:eastAsia="zh-CN" w:bidi="ar-SA"/>
              </w:rPr>
              <w:t>250</w:t>
            </w:r>
          </w:p>
        </w:tc>
        <w:tc>
          <w:tcPr>
            <w:tcW w:w="737"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color w:val="auto"/>
                <w:highlight w:val="none"/>
              </w:rPr>
              <w:t>1.30E-02</w:t>
            </w:r>
          </w:p>
        </w:tc>
        <w:tc>
          <w:tcPr>
            <w:tcW w:w="650"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lang w:val="en-US"/>
              </w:rPr>
            </w:pPr>
            <w:r>
              <w:rPr>
                <w:rFonts w:hint="eastAsia" w:ascii="Times New Roman" w:hAnsi="Times New Roman" w:cs="Times New Roman" w:eastAsiaTheme="minorEastAsia"/>
                <w:color w:val="auto"/>
                <w:sz w:val="21"/>
                <w:szCs w:val="21"/>
                <w:highlight w:val="none"/>
                <w:lang w:val="en-US" w:eastAsia="zh-CN"/>
              </w:rPr>
              <w:t>6.51</w:t>
            </w:r>
          </w:p>
        </w:tc>
        <w:tc>
          <w:tcPr>
            <w:tcW w:w="584"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1046"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lang w:val="en-US" w:eastAsia="zh-CN"/>
              </w:rPr>
            </w:pPr>
          </w:p>
        </w:tc>
        <w:tc>
          <w:tcPr>
            <w:tcW w:w="700"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smallCaps w:val="0"/>
                <w:snapToGrid w:val="0"/>
                <w:color w:val="auto"/>
                <w:kern w:val="2"/>
                <w:sz w:val="21"/>
                <w:szCs w:val="21"/>
                <w:highlight w:val="none"/>
                <w:lang w:val="en-US" w:eastAsia="zh-CN" w:bidi="ar-SA"/>
              </w:rPr>
              <w:t>二氧化硫</w:t>
            </w:r>
          </w:p>
        </w:tc>
        <w:tc>
          <w:tcPr>
            <w:tcW w:w="757"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smallCaps w:val="0"/>
                <w:snapToGrid w:val="0"/>
                <w:color w:val="auto"/>
                <w:kern w:val="2"/>
                <w:sz w:val="21"/>
                <w:szCs w:val="21"/>
                <w:highlight w:val="none"/>
                <w:lang w:val="en-US" w:eastAsia="zh-CN" w:bidi="ar-SA"/>
              </w:rPr>
              <w:t>500</w:t>
            </w:r>
          </w:p>
        </w:tc>
        <w:tc>
          <w:tcPr>
            <w:tcW w:w="737"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color w:val="auto"/>
                <w:highlight w:val="none"/>
              </w:rPr>
              <w:t>4.14E-03</w:t>
            </w:r>
          </w:p>
        </w:tc>
        <w:tc>
          <w:tcPr>
            <w:tcW w:w="650"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0.83</w:t>
            </w:r>
          </w:p>
        </w:tc>
        <w:tc>
          <w:tcPr>
            <w:tcW w:w="584"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1046"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lang w:val="en-US" w:eastAsia="zh-CN"/>
              </w:rPr>
            </w:pPr>
          </w:p>
        </w:tc>
        <w:tc>
          <w:tcPr>
            <w:tcW w:w="700"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smallCaps w:val="0"/>
                <w:snapToGrid w:val="0"/>
                <w:color w:val="auto"/>
                <w:kern w:val="2"/>
                <w:sz w:val="21"/>
                <w:szCs w:val="21"/>
                <w:highlight w:val="none"/>
                <w:lang w:val="en-US" w:eastAsia="zh-CN" w:bidi="ar-SA"/>
              </w:rPr>
              <w:t>颗粒物</w:t>
            </w:r>
          </w:p>
        </w:tc>
        <w:tc>
          <w:tcPr>
            <w:tcW w:w="757"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smallCaps w:val="0"/>
                <w:snapToGrid w:val="0"/>
                <w:color w:val="auto"/>
                <w:kern w:val="2"/>
                <w:sz w:val="21"/>
                <w:szCs w:val="21"/>
                <w:highlight w:val="none"/>
                <w:lang w:val="en-US" w:eastAsia="zh-CN" w:bidi="ar-SA"/>
              </w:rPr>
              <w:t>150</w:t>
            </w:r>
          </w:p>
        </w:tc>
        <w:tc>
          <w:tcPr>
            <w:tcW w:w="737"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rPr>
              <w:t>5.17E-03</w:t>
            </w:r>
          </w:p>
        </w:tc>
        <w:tc>
          <w:tcPr>
            <w:tcW w:w="650"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lang w:val="en-US"/>
              </w:rPr>
            </w:pPr>
            <w:r>
              <w:rPr>
                <w:rFonts w:hint="eastAsia" w:ascii="Times New Roman" w:hAnsi="Times New Roman" w:cs="Times New Roman" w:eastAsiaTheme="minorEastAsia"/>
                <w:color w:val="auto"/>
                <w:sz w:val="21"/>
                <w:szCs w:val="21"/>
                <w:highlight w:val="none"/>
                <w:lang w:val="en-US" w:eastAsia="zh-CN"/>
              </w:rPr>
              <w:t>0.57</w:t>
            </w:r>
          </w:p>
        </w:tc>
        <w:tc>
          <w:tcPr>
            <w:tcW w:w="584"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22" w:type="pct"/>
            <w:vMerge w:val="restar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无组织</w:t>
            </w:r>
          </w:p>
        </w:tc>
        <w:tc>
          <w:tcPr>
            <w:tcW w:w="1046" w:type="pct"/>
            <w:vMerge w:val="restart"/>
            <w:vAlign w:val="center"/>
          </w:tcPr>
          <w:p>
            <w:pPr>
              <w:spacing w:line="0" w:lineRule="atLeast"/>
              <w:jc w:val="center"/>
              <w:rPr>
                <w:rFonts w:hint="eastAsia"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待宰</w:t>
            </w:r>
            <w:r>
              <w:rPr>
                <w:rFonts w:hint="eastAsia" w:ascii="Times New Roman" w:hAnsi="Times New Roman" w:cs="Times New Roman" w:eastAsiaTheme="minorEastAsia"/>
                <w:color w:val="auto"/>
                <w:sz w:val="21"/>
                <w:szCs w:val="21"/>
                <w:highlight w:val="none"/>
                <w:lang w:val="en-US" w:eastAsia="zh-CN"/>
              </w:rPr>
              <w:t>圈</w:t>
            </w:r>
          </w:p>
        </w:tc>
        <w:tc>
          <w:tcPr>
            <w:tcW w:w="700"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NH</w:t>
            </w:r>
            <w:r>
              <w:rPr>
                <w:rFonts w:hint="default" w:ascii="Times New Roman" w:hAnsi="Times New Roman" w:cs="Times New Roman" w:eastAsiaTheme="minorEastAsia"/>
                <w:color w:val="auto"/>
                <w:sz w:val="21"/>
                <w:szCs w:val="21"/>
                <w:highlight w:val="none"/>
                <w:vertAlign w:val="subscript"/>
              </w:rPr>
              <w:t>3</w:t>
            </w:r>
          </w:p>
        </w:tc>
        <w:tc>
          <w:tcPr>
            <w:tcW w:w="757"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200.0</w:t>
            </w:r>
          </w:p>
        </w:tc>
        <w:tc>
          <w:tcPr>
            <w:tcW w:w="737"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rPr>
              <w:t>2.32E-03</w:t>
            </w:r>
          </w:p>
        </w:tc>
        <w:tc>
          <w:tcPr>
            <w:tcW w:w="650"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1.</w:t>
            </w:r>
            <w:r>
              <w:rPr>
                <w:rFonts w:hint="eastAsia" w:ascii="Times New Roman" w:hAnsi="Times New Roman" w:cs="Times New Roman" w:eastAsiaTheme="minorEastAsia"/>
                <w:color w:val="auto"/>
                <w:sz w:val="21"/>
                <w:szCs w:val="21"/>
                <w:highlight w:val="none"/>
                <w:lang w:val="en-US" w:eastAsia="zh-CN"/>
              </w:rPr>
              <w:t>16</w:t>
            </w:r>
          </w:p>
        </w:tc>
        <w:tc>
          <w:tcPr>
            <w:tcW w:w="584"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1046"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700"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H</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S</w:t>
            </w:r>
          </w:p>
        </w:tc>
        <w:tc>
          <w:tcPr>
            <w:tcW w:w="757"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10.0</w:t>
            </w:r>
          </w:p>
        </w:tc>
        <w:tc>
          <w:tcPr>
            <w:tcW w:w="737"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rPr>
              <w:t>3.13E-04</w:t>
            </w:r>
          </w:p>
        </w:tc>
        <w:tc>
          <w:tcPr>
            <w:tcW w:w="650"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lang w:val="en-US"/>
              </w:rPr>
            </w:pPr>
            <w:r>
              <w:rPr>
                <w:rFonts w:hint="eastAsia" w:ascii="Times New Roman" w:hAnsi="Times New Roman" w:cs="Times New Roman" w:eastAsiaTheme="minorEastAsia"/>
                <w:color w:val="auto"/>
                <w:sz w:val="21"/>
                <w:szCs w:val="21"/>
                <w:highlight w:val="none"/>
                <w:lang w:val="en-US" w:eastAsia="zh-CN"/>
              </w:rPr>
              <w:t>3.13</w:t>
            </w:r>
          </w:p>
        </w:tc>
        <w:tc>
          <w:tcPr>
            <w:tcW w:w="584"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1046" w:type="pct"/>
            <w:vMerge w:val="restar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屠宰车间</w:t>
            </w:r>
          </w:p>
        </w:tc>
        <w:tc>
          <w:tcPr>
            <w:tcW w:w="700"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NH</w:t>
            </w:r>
            <w:r>
              <w:rPr>
                <w:rFonts w:hint="default" w:ascii="Times New Roman" w:hAnsi="Times New Roman" w:cs="Times New Roman" w:eastAsiaTheme="minorEastAsia"/>
                <w:color w:val="auto"/>
                <w:sz w:val="21"/>
                <w:szCs w:val="21"/>
                <w:highlight w:val="none"/>
                <w:vertAlign w:val="subscript"/>
              </w:rPr>
              <w:t>3</w:t>
            </w:r>
          </w:p>
        </w:tc>
        <w:tc>
          <w:tcPr>
            <w:tcW w:w="757"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200.0</w:t>
            </w:r>
          </w:p>
        </w:tc>
        <w:tc>
          <w:tcPr>
            <w:tcW w:w="737"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rPr>
              <w:t>4.05E-03</w:t>
            </w:r>
          </w:p>
        </w:tc>
        <w:tc>
          <w:tcPr>
            <w:tcW w:w="650"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0.66</w:t>
            </w:r>
          </w:p>
        </w:tc>
        <w:tc>
          <w:tcPr>
            <w:tcW w:w="584"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1046"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700"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H</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S</w:t>
            </w:r>
          </w:p>
        </w:tc>
        <w:tc>
          <w:tcPr>
            <w:tcW w:w="757"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10.0</w:t>
            </w:r>
          </w:p>
        </w:tc>
        <w:tc>
          <w:tcPr>
            <w:tcW w:w="737"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rPr>
              <w:t>1.91E-04</w:t>
            </w:r>
          </w:p>
        </w:tc>
        <w:tc>
          <w:tcPr>
            <w:tcW w:w="650"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1.91</w:t>
            </w:r>
          </w:p>
        </w:tc>
        <w:tc>
          <w:tcPr>
            <w:tcW w:w="584"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22"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1046" w:type="pct"/>
            <w:vMerge w:val="restar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污水处理站</w:t>
            </w:r>
          </w:p>
        </w:tc>
        <w:tc>
          <w:tcPr>
            <w:tcW w:w="700"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NH</w:t>
            </w:r>
            <w:r>
              <w:rPr>
                <w:rFonts w:hint="default" w:ascii="Times New Roman" w:hAnsi="Times New Roman" w:cs="Times New Roman" w:eastAsiaTheme="minorEastAsia"/>
                <w:color w:val="auto"/>
                <w:sz w:val="21"/>
                <w:szCs w:val="21"/>
                <w:highlight w:val="none"/>
                <w:vertAlign w:val="subscript"/>
              </w:rPr>
              <w:t>3</w:t>
            </w:r>
          </w:p>
        </w:tc>
        <w:tc>
          <w:tcPr>
            <w:tcW w:w="757"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200.0</w:t>
            </w:r>
          </w:p>
        </w:tc>
        <w:tc>
          <w:tcPr>
            <w:tcW w:w="737"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rPr>
              <w:t>1.10E-06</w:t>
            </w:r>
          </w:p>
        </w:tc>
        <w:tc>
          <w:tcPr>
            <w:tcW w:w="650"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0.00</w:t>
            </w:r>
          </w:p>
        </w:tc>
        <w:tc>
          <w:tcPr>
            <w:tcW w:w="584"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1046"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700"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H</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S</w:t>
            </w:r>
          </w:p>
        </w:tc>
        <w:tc>
          <w:tcPr>
            <w:tcW w:w="757"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10.0</w:t>
            </w:r>
          </w:p>
        </w:tc>
        <w:tc>
          <w:tcPr>
            <w:tcW w:w="737"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color w:val="auto"/>
                <w:sz w:val="21"/>
                <w:szCs w:val="21"/>
                <w:highlight w:val="none"/>
              </w:rPr>
              <w:t>4.40E-07</w:t>
            </w:r>
          </w:p>
        </w:tc>
        <w:tc>
          <w:tcPr>
            <w:tcW w:w="650"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0.00</w:t>
            </w:r>
          </w:p>
        </w:tc>
        <w:tc>
          <w:tcPr>
            <w:tcW w:w="584" w:type="pct"/>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1046" w:type="pct"/>
            <w:vMerge w:val="restart"/>
            <w:vAlign w:val="center"/>
          </w:tcPr>
          <w:p>
            <w:pPr>
              <w:spacing w:line="0" w:lineRule="atLeast"/>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固废暂存间</w:t>
            </w:r>
          </w:p>
        </w:tc>
        <w:tc>
          <w:tcPr>
            <w:tcW w:w="1377" w:type="dxa"/>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NH</w:t>
            </w:r>
            <w:r>
              <w:rPr>
                <w:rFonts w:hint="default" w:ascii="Times New Roman" w:hAnsi="Times New Roman" w:cs="Times New Roman" w:eastAsiaTheme="minorEastAsia"/>
                <w:color w:val="auto"/>
                <w:sz w:val="21"/>
                <w:szCs w:val="21"/>
                <w:highlight w:val="none"/>
                <w:vertAlign w:val="subscript"/>
              </w:rPr>
              <w:t>3</w:t>
            </w:r>
          </w:p>
        </w:tc>
        <w:tc>
          <w:tcPr>
            <w:tcW w:w="1490" w:type="dxa"/>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200.0</w:t>
            </w:r>
          </w:p>
        </w:tc>
        <w:tc>
          <w:tcPr>
            <w:tcW w:w="737" w:type="pct"/>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1.33E-02</w:t>
            </w:r>
          </w:p>
        </w:tc>
        <w:tc>
          <w:tcPr>
            <w:tcW w:w="650"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6.67</w:t>
            </w:r>
          </w:p>
        </w:tc>
        <w:tc>
          <w:tcPr>
            <w:tcW w:w="584" w:type="pct"/>
            <w:vAlign w:val="center"/>
          </w:tcPr>
          <w:p>
            <w:pPr>
              <w:spacing w:line="0" w:lineRule="atLeast"/>
              <w:jc w:val="center"/>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 w:hRule="atLeast"/>
          <w:jc w:val="center"/>
        </w:trPr>
        <w:tc>
          <w:tcPr>
            <w:tcW w:w="522"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1046" w:type="pct"/>
            <w:vMerge w:val="continue"/>
            <w:vAlign w:val="center"/>
          </w:tcPr>
          <w:p>
            <w:pPr>
              <w:spacing w:line="0" w:lineRule="atLeast"/>
              <w:jc w:val="center"/>
              <w:rPr>
                <w:rFonts w:hint="default" w:ascii="Times New Roman" w:hAnsi="Times New Roman" w:cs="Times New Roman" w:eastAsiaTheme="minorEastAsia"/>
                <w:color w:val="auto"/>
                <w:sz w:val="21"/>
                <w:szCs w:val="21"/>
                <w:highlight w:val="none"/>
              </w:rPr>
            </w:pPr>
          </w:p>
        </w:tc>
        <w:tc>
          <w:tcPr>
            <w:tcW w:w="1377" w:type="dxa"/>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H</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S</w:t>
            </w:r>
          </w:p>
        </w:tc>
        <w:tc>
          <w:tcPr>
            <w:tcW w:w="1490" w:type="dxa"/>
            <w:vAlign w:val="center"/>
          </w:tcPr>
          <w:p>
            <w:pPr>
              <w:spacing w:line="0" w:lineRule="atLeast"/>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10.0</w:t>
            </w:r>
          </w:p>
        </w:tc>
        <w:tc>
          <w:tcPr>
            <w:tcW w:w="737" w:type="pct"/>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1.00E-03</w:t>
            </w:r>
          </w:p>
        </w:tc>
        <w:tc>
          <w:tcPr>
            <w:tcW w:w="650" w:type="pct"/>
            <w:vAlign w:val="center"/>
          </w:tcPr>
          <w:p>
            <w:pPr>
              <w:spacing w:line="0" w:lineRule="atLeast"/>
              <w:contextualSpacing/>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9.97</w:t>
            </w:r>
          </w:p>
        </w:tc>
        <w:tc>
          <w:tcPr>
            <w:tcW w:w="584" w:type="pct"/>
            <w:vAlign w:val="center"/>
          </w:tcPr>
          <w:p>
            <w:pPr>
              <w:spacing w:line="0" w:lineRule="atLeast"/>
              <w:jc w:val="center"/>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firstLine="422" w:firstLineChars="176"/>
        <w:jc w:val="both"/>
        <w:textAlignment w:val="baseline"/>
        <w:rPr>
          <w:rFonts w:hint="default" w:ascii="Times New Roman" w:hAnsi="Times New Roman" w:cs="Times New Roman" w:eastAsiaTheme="minorEastAsia"/>
          <w:snapToGrid w:val="0"/>
          <w:color w:val="auto"/>
          <w:kern w:val="0"/>
          <w:sz w:val="24"/>
          <w:highlight w:val="none"/>
        </w:rPr>
      </w:pPr>
      <w:r>
        <w:rPr>
          <w:rFonts w:hint="default" w:ascii="Times New Roman" w:hAnsi="Times New Roman" w:cs="Times New Roman" w:eastAsiaTheme="minorEastAsia"/>
          <w:snapToGrid w:val="0"/>
          <w:color w:val="auto"/>
          <w:sz w:val="24"/>
          <w:highlight w:val="none"/>
        </w:rPr>
        <w:t>根据《环境影响评价技术导则大气环境》（HJ2.2-2018）</w:t>
      </w:r>
      <w:r>
        <w:rPr>
          <w:rFonts w:hint="default" w:ascii="Times New Roman" w:hAnsi="Times New Roman" w:cs="Times New Roman" w:eastAsiaTheme="minorEastAsia"/>
          <w:snapToGrid w:val="0"/>
          <w:color w:val="auto"/>
          <w:kern w:val="0"/>
          <w:sz w:val="24"/>
          <w:highlight w:val="none"/>
        </w:rPr>
        <w:t>中附录A推荐的估算模式进行计算，由估算模式计算结果可知，本项目排放污染物</w:t>
      </w:r>
      <w:r>
        <w:rPr>
          <w:rFonts w:hint="default" w:ascii="Times New Roman" w:hAnsi="Times New Roman" w:cs="Times New Roman" w:eastAsiaTheme="minorEastAsia"/>
          <w:color w:val="auto"/>
          <w:sz w:val="24"/>
          <w:highlight w:val="none"/>
          <w:lang w:val="zh-CN"/>
        </w:rPr>
        <w:t>的</w:t>
      </w:r>
      <w:r>
        <w:rPr>
          <w:rFonts w:hint="default" w:ascii="Times New Roman" w:hAnsi="Times New Roman" w:cs="Times New Roman" w:eastAsiaTheme="minorEastAsia"/>
          <w:snapToGrid w:val="0"/>
          <w:color w:val="auto"/>
          <w:kern w:val="0"/>
          <w:sz w:val="24"/>
          <w:highlight w:val="none"/>
        </w:rPr>
        <w:t>最大地面空气质量浓度占标率P</w:t>
      </w:r>
      <w:r>
        <w:rPr>
          <w:rFonts w:hint="default" w:ascii="Times New Roman" w:hAnsi="Times New Roman" w:cs="Times New Roman" w:eastAsiaTheme="minorEastAsia"/>
          <w:snapToGrid w:val="0"/>
          <w:color w:val="auto"/>
          <w:kern w:val="0"/>
          <w:sz w:val="24"/>
          <w:highlight w:val="none"/>
          <w:vertAlign w:val="subscript"/>
        </w:rPr>
        <w:t>max</w:t>
      </w:r>
      <w:r>
        <w:rPr>
          <w:rFonts w:hint="default" w:ascii="Times New Roman" w:hAnsi="Times New Roman" w:cs="Times New Roman" w:eastAsiaTheme="minorEastAsia"/>
          <w:snapToGrid w:val="0"/>
          <w:color w:val="auto"/>
          <w:kern w:val="0"/>
          <w:sz w:val="24"/>
          <w:highlight w:val="none"/>
        </w:rPr>
        <w:t>为</w:t>
      </w:r>
      <w:r>
        <w:rPr>
          <w:rFonts w:hint="eastAsia" w:ascii="Times New Roman" w:hAnsi="Times New Roman" w:cs="Times New Roman" w:eastAsiaTheme="minorEastAsia"/>
          <w:snapToGrid w:val="0"/>
          <w:color w:val="auto"/>
          <w:kern w:val="0"/>
          <w:sz w:val="24"/>
          <w:highlight w:val="none"/>
          <w:lang w:val="en-US" w:eastAsia="zh-CN"/>
        </w:rPr>
        <w:t>9.97</w:t>
      </w:r>
      <w:r>
        <w:rPr>
          <w:rFonts w:hint="default" w:ascii="Times New Roman" w:hAnsi="Times New Roman" w:cs="Times New Roman" w:eastAsiaTheme="minorEastAsia"/>
          <w:snapToGrid w:val="0"/>
          <w:color w:val="auto"/>
          <w:kern w:val="0"/>
          <w:sz w:val="24"/>
          <w:highlight w:val="none"/>
        </w:rPr>
        <w:t>%≤10%</w:t>
      </w:r>
      <w:r>
        <w:rPr>
          <w:rFonts w:hint="default" w:ascii="Times New Roman" w:hAnsi="Times New Roman" w:cs="Times New Roman" w:eastAsiaTheme="minorEastAsia"/>
          <w:snapToGrid w:val="0"/>
          <w:color w:val="auto"/>
          <w:kern w:val="0"/>
          <w:sz w:val="24"/>
          <w:highlight w:val="none"/>
          <w:lang w:val="zh-CN"/>
        </w:rPr>
        <w:t>且</w:t>
      </w:r>
      <w:r>
        <w:rPr>
          <w:rFonts w:hint="default" w:ascii="Times New Roman" w:hAnsi="Times New Roman" w:cs="Times New Roman" w:eastAsiaTheme="minorEastAsia"/>
          <w:snapToGrid w:val="0"/>
          <w:color w:val="auto"/>
          <w:kern w:val="0"/>
          <w:sz w:val="24"/>
          <w:highlight w:val="none"/>
        </w:rPr>
        <w:t>＞1%。因此，本项目大气环境影响评价等级为</w:t>
      </w:r>
      <w:r>
        <w:rPr>
          <w:rFonts w:hint="default" w:ascii="Times New Roman" w:hAnsi="Times New Roman" w:cs="Times New Roman" w:eastAsiaTheme="minorEastAsia"/>
          <w:snapToGrid w:val="0"/>
          <w:color w:val="auto"/>
          <w:sz w:val="24"/>
          <w:highlight w:val="none"/>
        </w:rPr>
        <w:t>二级。</w:t>
      </w:r>
    </w:p>
    <w:p>
      <w:pPr>
        <w:keepNext w:val="0"/>
        <w:keepLines w:val="0"/>
        <w:pageBreakBefore w:val="0"/>
        <w:wordWrap/>
        <w:overflowPunct/>
        <w:topLinePunct w:val="0"/>
        <w:bidi w:val="0"/>
        <w:spacing w:line="360" w:lineRule="auto"/>
        <w:ind w:firstLine="480" w:firstLineChars="200"/>
        <w:jc w:val="both"/>
        <w:outlineLvl w:val="0"/>
        <w:rPr>
          <w:rFonts w:hint="default" w:ascii="Times New Roman" w:hAnsi="Times New Roman" w:eastAsia="宋体" w:cs="Times New Roman"/>
          <w:snapToGrid w:val="0"/>
          <w:color w:val="auto"/>
          <w:kern w:val="0"/>
          <w:sz w:val="24"/>
          <w:szCs w:val="24"/>
        </w:rPr>
      </w:pPr>
      <w:bookmarkStart w:id="30" w:name="_Toc5627"/>
      <w:bookmarkStart w:id="31" w:name="_Toc29573"/>
      <w:bookmarkStart w:id="32" w:name="_Toc31542"/>
      <w:r>
        <w:rPr>
          <w:rFonts w:hint="default" w:ascii="Times New Roman" w:hAnsi="Times New Roman" w:eastAsia="宋体" w:cs="Times New Roman"/>
          <w:snapToGrid w:val="0"/>
          <w:color w:val="auto"/>
          <w:kern w:val="0"/>
          <w:sz w:val="24"/>
          <w:szCs w:val="24"/>
        </w:rPr>
        <w:t>2 、地表水环境影响评价等级</w:t>
      </w:r>
      <w:bookmarkEnd w:id="30"/>
      <w:bookmarkEnd w:id="31"/>
      <w:bookmarkEnd w:id="32"/>
    </w:p>
    <w:p>
      <w:pPr>
        <w:keepNext w:val="0"/>
        <w:keepLines w:val="0"/>
        <w:pageBreakBefore w:val="0"/>
        <w:wordWrap/>
        <w:overflowPunct/>
        <w:topLinePunct w:val="0"/>
        <w:bidi w:val="0"/>
        <w:spacing w:line="360" w:lineRule="auto"/>
        <w:ind w:firstLine="480" w:firstLineChars="200"/>
        <w:jc w:val="both"/>
        <w:rPr>
          <w:rFonts w:hint="default" w:ascii="Times New Roman" w:hAnsi="Times New Roman" w:eastAsia="宋体" w:cs="Times New Roman"/>
          <w:snapToGrid w:val="0"/>
          <w:color w:val="auto"/>
          <w:kern w:val="0"/>
          <w:sz w:val="24"/>
          <w:szCs w:val="24"/>
        </w:rPr>
      </w:pPr>
      <w:r>
        <w:rPr>
          <w:rFonts w:hint="default" w:ascii="Times New Roman" w:hAnsi="Times New Roman" w:eastAsia="宋体" w:cs="Times New Roman"/>
          <w:snapToGrid w:val="0"/>
          <w:color w:val="auto"/>
          <w:kern w:val="0"/>
          <w:sz w:val="24"/>
          <w:szCs w:val="24"/>
        </w:rPr>
        <w:t>根据《环境影响评价技术导则地表水环境》（HJ2.3-2018）中的有关规定，将地表水环境影响评价工作等级分为一级、二级、三级A、三级B，划分依据见表2-4-6。</w:t>
      </w:r>
    </w:p>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eastAsia="宋体" w:cs="Times New Roman"/>
          <w:b/>
          <w:color w:val="auto"/>
          <w:sz w:val="20"/>
          <w:szCs w:val="20"/>
          <w:highlight w:val="none"/>
        </w:rPr>
      </w:pPr>
      <w:bookmarkStart w:id="33" w:name="_Hlk10134411"/>
      <w:r>
        <w:rPr>
          <w:rFonts w:hint="default" w:ascii="Times New Roman" w:hAnsi="Times New Roman" w:eastAsia="宋体" w:cs="Times New Roman"/>
          <w:b/>
          <w:color w:val="auto"/>
          <w:sz w:val="20"/>
          <w:szCs w:val="20"/>
          <w:highlight w:val="none"/>
        </w:rPr>
        <w:t>表2-4-6地表水评价等级确定表</w:t>
      </w:r>
    </w:p>
    <w:bookmarkEnd w:id="33"/>
    <w:tbl>
      <w:tblPr>
        <w:tblStyle w:val="24"/>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181"/>
        <w:gridCol w:w="2688"/>
        <w:gridCol w:w="497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108" w:type="pct"/>
            <w:vMerge w:val="restart"/>
            <w:vAlign w:val="center"/>
          </w:tcPr>
          <w:p>
            <w:pPr>
              <w:jc w:val="center"/>
              <w:rPr>
                <w:rFonts w:hint="default" w:ascii="Times New Roman" w:hAnsi="Times New Roman" w:eastAsia="宋体" w:cs="Times New Roman"/>
                <w:snapToGrid w:val="0"/>
                <w:color w:val="auto"/>
                <w:kern w:val="0"/>
                <w:sz w:val="24"/>
                <w:szCs w:val="24"/>
                <w:lang w:val="zh-CN"/>
              </w:rPr>
            </w:pPr>
            <w:r>
              <w:rPr>
                <w:rFonts w:hint="default" w:ascii="Times New Roman" w:hAnsi="Times New Roman" w:eastAsia="宋体" w:cs="Times New Roman"/>
                <w:snapToGrid w:val="0"/>
                <w:color w:val="auto"/>
                <w:kern w:val="0"/>
                <w:sz w:val="24"/>
                <w:szCs w:val="24"/>
                <w:lang w:val="zh-CN"/>
              </w:rPr>
              <w:t>评价等级</w:t>
            </w:r>
          </w:p>
        </w:tc>
        <w:tc>
          <w:tcPr>
            <w:tcW w:w="3891" w:type="pct"/>
            <w:gridSpan w:val="2"/>
          </w:tcPr>
          <w:p>
            <w:pPr>
              <w:jc w:val="center"/>
              <w:rPr>
                <w:rFonts w:hint="default" w:ascii="Times New Roman" w:hAnsi="Times New Roman" w:eastAsia="宋体" w:cs="Times New Roman"/>
                <w:snapToGrid w:val="0"/>
                <w:color w:val="auto"/>
                <w:kern w:val="0"/>
                <w:sz w:val="24"/>
                <w:szCs w:val="24"/>
                <w:lang w:val="zh-CN"/>
              </w:rPr>
            </w:pPr>
            <w:r>
              <w:rPr>
                <w:rFonts w:hint="default" w:ascii="Times New Roman" w:hAnsi="Times New Roman" w:eastAsia="宋体" w:cs="Times New Roman"/>
                <w:snapToGrid w:val="0"/>
                <w:color w:val="auto"/>
                <w:kern w:val="0"/>
                <w:sz w:val="24"/>
                <w:szCs w:val="24"/>
                <w:lang w:val="zh-CN"/>
              </w:rPr>
              <w:t>判定依据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108" w:type="pct"/>
            <w:vMerge w:val="continue"/>
            <w:vAlign w:val="center"/>
          </w:tcPr>
          <w:p>
            <w:pPr>
              <w:jc w:val="center"/>
              <w:rPr>
                <w:rFonts w:hint="default" w:ascii="Times New Roman" w:hAnsi="Times New Roman" w:eastAsia="宋体" w:cs="Times New Roman"/>
                <w:snapToGrid w:val="0"/>
                <w:color w:val="auto"/>
                <w:kern w:val="0"/>
                <w:sz w:val="24"/>
                <w:szCs w:val="24"/>
                <w:lang w:val="zh-CN"/>
              </w:rPr>
            </w:pPr>
          </w:p>
        </w:tc>
        <w:tc>
          <w:tcPr>
            <w:tcW w:w="1365" w:type="pct"/>
            <w:vAlign w:val="center"/>
          </w:tcPr>
          <w:p>
            <w:pPr>
              <w:jc w:val="center"/>
              <w:rPr>
                <w:rFonts w:hint="default" w:ascii="Times New Roman" w:hAnsi="Times New Roman" w:eastAsia="宋体" w:cs="Times New Roman"/>
                <w:snapToGrid w:val="0"/>
                <w:color w:val="auto"/>
                <w:kern w:val="0"/>
                <w:sz w:val="24"/>
                <w:szCs w:val="24"/>
                <w:lang w:val="zh-CN"/>
              </w:rPr>
            </w:pPr>
            <w:r>
              <w:rPr>
                <w:rFonts w:hint="default" w:ascii="Times New Roman" w:hAnsi="Times New Roman" w:eastAsia="宋体" w:cs="Times New Roman"/>
                <w:snapToGrid w:val="0"/>
                <w:color w:val="auto"/>
                <w:kern w:val="0"/>
                <w:sz w:val="24"/>
                <w:szCs w:val="24"/>
                <w:lang w:val="zh-CN"/>
              </w:rPr>
              <w:t>排放方式</w:t>
            </w:r>
          </w:p>
        </w:tc>
        <w:tc>
          <w:tcPr>
            <w:tcW w:w="2526" w:type="pct"/>
            <w:vAlign w:val="center"/>
          </w:tcPr>
          <w:p>
            <w:pPr>
              <w:jc w:val="center"/>
              <w:rPr>
                <w:rFonts w:hint="default" w:ascii="Times New Roman" w:hAnsi="Times New Roman" w:eastAsia="宋体" w:cs="Times New Roman"/>
                <w:snapToGrid w:val="0"/>
                <w:color w:val="auto"/>
                <w:kern w:val="0"/>
                <w:sz w:val="24"/>
                <w:szCs w:val="24"/>
                <w:lang w:val="zh-CN"/>
              </w:rPr>
            </w:pPr>
            <w:r>
              <w:rPr>
                <w:rFonts w:hint="default" w:ascii="Times New Roman" w:hAnsi="Times New Roman" w:eastAsia="宋体" w:cs="Times New Roman"/>
                <w:snapToGrid w:val="0"/>
                <w:color w:val="auto"/>
                <w:kern w:val="0"/>
                <w:sz w:val="24"/>
                <w:szCs w:val="24"/>
                <w:lang w:val="zh-CN"/>
              </w:rPr>
              <w:t>废水排放量Q/（m</w:t>
            </w:r>
            <w:r>
              <w:rPr>
                <w:rFonts w:hint="default" w:ascii="Times New Roman" w:hAnsi="Times New Roman" w:eastAsia="宋体" w:cs="Times New Roman"/>
                <w:snapToGrid w:val="0"/>
                <w:color w:val="auto"/>
                <w:kern w:val="0"/>
                <w:sz w:val="24"/>
                <w:szCs w:val="24"/>
                <w:vertAlign w:val="superscript"/>
                <w:lang w:val="zh-CN"/>
              </w:rPr>
              <w:t>3</w:t>
            </w:r>
            <w:r>
              <w:rPr>
                <w:rFonts w:hint="default" w:ascii="Times New Roman" w:hAnsi="Times New Roman" w:eastAsia="宋体" w:cs="Times New Roman"/>
                <w:snapToGrid w:val="0"/>
                <w:color w:val="auto"/>
                <w:kern w:val="0"/>
                <w:sz w:val="24"/>
                <w:szCs w:val="24"/>
                <w:lang w:val="zh-CN"/>
              </w:rPr>
              <w:t>/d）；</w:t>
            </w:r>
          </w:p>
          <w:p>
            <w:pPr>
              <w:jc w:val="center"/>
              <w:rPr>
                <w:rFonts w:hint="default" w:ascii="Times New Roman" w:hAnsi="Times New Roman" w:eastAsia="宋体" w:cs="Times New Roman"/>
                <w:snapToGrid w:val="0"/>
                <w:color w:val="auto"/>
                <w:kern w:val="0"/>
                <w:sz w:val="24"/>
                <w:szCs w:val="24"/>
                <w:lang w:val="zh-CN"/>
              </w:rPr>
            </w:pPr>
            <w:r>
              <w:rPr>
                <w:rFonts w:hint="default" w:ascii="Times New Roman" w:hAnsi="Times New Roman" w:eastAsia="宋体" w:cs="Times New Roman"/>
                <w:snapToGrid w:val="0"/>
                <w:color w:val="auto"/>
                <w:kern w:val="0"/>
                <w:sz w:val="24"/>
                <w:szCs w:val="24"/>
                <w:lang w:val="zh-CN"/>
              </w:rPr>
              <w:t>水污染物当量数W/（无量纲）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1" w:hRule="atLeast"/>
          <w:jc w:val="center"/>
        </w:trPr>
        <w:tc>
          <w:tcPr>
            <w:tcW w:w="1108" w:type="pct"/>
            <w:vAlign w:val="center"/>
          </w:tcPr>
          <w:p>
            <w:pPr>
              <w:jc w:val="center"/>
              <w:rPr>
                <w:rFonts w:hint="default" w:ascii="Times New Roman" w:hAnsi="Times New Roman" w:eastAsia="宋体" w:cs="Times New Roman"/>
                <w:snapToGrid w:val="0"/>
                <w:color w:val="auto"/>
                <w:kern w:val="0"/>
                <w:sz w:val="24"/>
                <w:szCs w:val="24"/>
                <w:lang w:val="zh-CN"/>
              </w:rPr>
            </w:pPr>
            <w:r>
              <w:rPr>
                <w:rFonts w:hint="default" w:ascii="Times New Roman" w:hAnsi="Times New Roman" w:eastAsia="宋体" w:cs="Times New Roman"/>
                <w:snapToGrid w:val="0"/>
                <w:color w:val="auto"/>
                <w:kern w:val="0"/>
                <w:sz w:val="24"/>
                <w:szCs w:val="24"/>
                <w:lang w:val="zh-CN"/>
              </w:rPr>
              <w:t>一级</w:t>
            </w:r>
          </w:p>
        </w:tc>
        <w:tc>
          <w:tcPr>
            <w:tcW w:w="1365" w:type="pct"/>
            <w:vAlign w:val="center"/>
          </w:tcPr>
          <w:p>
            <w:pPr>
              <w:jc w:val="center"/>
              <w:rPr>
                <w:rFonts w:hint="default" w:ascii="Times New Roman" w:hAnsi="Times New Roman" w:eastAsia="宋体" w:cs="Times New Roman"/>
                <w:snapToGrid w:val="0"/>
                <w:color w:val="auto"/>
                <w:kern w:val="0"/>
                <w:sz w:val="24"/>
                <w:szCs w:val="24"/>
                <w:lang w:val="zh-CN"/>
              </w:rPr>
            </w:pPr>
            <w:r>
              <w:rPr>
                <w:rFonts w:hint="default" w:ascii="Times New Roman" w:hAnsi="Times New Roman" w:eastAsia="宋体" w:cs="Times New Roman"/>
                <w:snapToGrid w:val="0"/>
                <w:color w:val="auto"/>
                <w:kern w:val="0"/>
                <w:sz w:val="24"/>
                <w:szCs w:val="24"/>
                <w:lang w:val="zh-CN"/>
              </w:rPr>
              <w:t>直接排放</w:t>
            </w:r>
          </w:p>
        </w:tc>
        <w:tc>
          <w:tcPr>
            <w:tcW w:w="2526" w:type="pct"/>
            <w:vAlign w:val="center"/>
          </w:tcPr>
          <w:p>
            <w:pPr>
              <w:jc w:val="center"/>
              <w:rPr>
                <w:rFonts w:hint="default" w:ascii="Times New Roman" w:hAnsi="Times New Roman" w:eastAsia="宋体" w:cs="Times New Roman"/>
                <w:snapToGrid w:val="0"/>
                <w:color w:val="auto"/>
                <w:kern w:val="0"/>
                <w:sz w:val="24"/>
                <w:szCs w:val="24"/>
                <w:lang w:val="zh-CN"/>
              </w:rPr>
            </w:pPr>
            <w:r>
              <w:rPr>
                <w:rFonts w:hint="default" w:ascii="Times New Roman" w:hAnsi="Times New Roman" w:eastAsia="宋体" w:cs="Times New Roman"/>
                <w:snapToGrid w:val="0"/>
                <w:color w:val="auto"/>
                <w:kern w:val="0"/>
                <w:sz w:val="24"/>
                <w:szCs w:val="24"/>
                <w:lang w:val="zh-CN"/>
              </w:rPr>
              <w:t>Q≥20000或W≥600000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108" w:type="pct"/>
            <w:vAlign w:val="center"/>
          </w:tcPr>
          <w:p>
            <w:pPr>
              <w:jc w:val="center"/>
              <w:rPr>
                <w:rFonts w:hint="default" w:ascii="Times New Roman" w:hAnsi="Times New Roman" w:eastAsia="宋体" w:cs="Times New Roman"/>
                <w:snapToGrid w:val="0"/>
                <w:color w:val="auto"/>
                <w:kern w:val="0"/>
                <w:sz w:val="24"/>
                <w:szCs w:val="24"/>
                <w:lang w:val="zh-CN"/>
              </w:rPr>
            </w:pPr>
            <w:r>
              <w:rPr>
                <w:rFonts w:hint="default" w:ascii="Times New Roman" w:hAnsi="Times New Roman" w:eastAsia="宋体" w:cs="Times New Roman"/>
                <w:snapToGrid w:val="0"/>
                <w:color w:val="auto"/>
                <w:kern w:val="0"/>
                <w:sz w:val="24"/>
                <w:szCs w:val="24"/>
                <w:lang w:val="zh-CN"/>
              </w:rPr>
              <w:t>二级</w:t>
            </w:r>
          </w:p>
        </w:tc>
        <w:tc>
          <w:tcPr>
            <w:tcW w:w="1365" w:type="pct"/>
            <w:vAlign w:val="center"/>
          </w:tcPr>
          <w:p>
            <w:pPr>
              <w:jc w:val="center"/>
              <w:rPr>
                <w:rFonts w:hint="default" w:ascii="Times New Roman" w:hAnsi="Times New Roman" w:eastAsia="宋体" w:cs="Times New Roman"/>
                <w:snapToGrid w:val="0"/>
                <w:color w:val="auto"/>
                <w:kern w:val="0"/>
                <w:sz w:val="24"/>
                <w:szCs w:val="24"/>
                <w:lang w:val="zh-CN"/>
              </w:rPr>
            </w:pPr>
            <w:r>
              <w:rPr>
                <w:rFonts w:hint="default" w:ascii="Times New Roman" w:hAnsi="Times New Roman" w:eastAsia="宋体" w:cs="Times New Roman"/>
                <w:snapToGrid w:val="0"/>
                <w:color w:val="auto"/>
                <w:kern w:val="0"/>
                <w:sz w:val="24"/>
                <w:szCs w:val="24"/>
                <w:lang w:val="zh-CN"/>
              </w:rPr>
              <w:t>直接排放</w:t>
            </w:r>
          </w:p>
        </w:tc>
        <w:tc>
          <w:tcPr>
            <w:tcW w:w="2526" w:type="pct"/>
            <w:vAlign w:val="center"/>
          </w:tcPr>
          <w:p>
            <w:pPr>
              <w:jc w:val="center"/>
              <w:rPr>
                <w:rFonts w:hint="default" w:ascii="Times New Roman" w:hAnsi="Times New Roman" w:eastAsia="宋体" w:cs="Times New Roman"/>
                <w:snapToGrid w:val="0"/>
                <w:color w:val="auto"/>
                <w:kern w:val="0"/>
                <w:sz w:val="24"/>
                <w:szCs w:val="24"/>
                <w:lang w:val="zh-CN"/>
              </w:rPr>
            </w:pPr>
            <w:r>
              <w:rPr>
                <w:rFonts w:hint="default" w:ascii="Times New Roman" w:hAnsi="Times New Roman" w:eastAsia="宋体" w:cs="Times New Roman"/>
                <w:snapToGrid w:val="0"/>
                <w:color w:val="auto"/>
                <w:kern w:val="0"/>
                <w:sz w:val="24"/>
                <w:szCs w:val="24"/>
                <w:lang w:val="zh-CN"/>
              </w:rPr>
              <w:t>其他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108" w:type="pct"/>
            <w:vAlign w:val="center"/>
          </w:tcPr>
          <w:p>
            <w:pPr>
              <w:jc w:val="center"/>
              <w:rPr>
                <w:rFonts w:hint="default" w:ascii="Times New Roman" w:hAnsi="Times New Roman" w:eastAsia="宋体" w:cs="Times New Roman"/>
                <w:snapToGrid w:val="0"/>
                <w:color w:val="auto"/>
                <w:kern w:val="0"/>
                <w:sz w:val="24"/>
                <w:szCs w:val="24"/>
                <w:lang w:val="zh-CN"/>
              </w:rPr>
            </w:pPr>
            <w:r>
              <w:rPr>
                <w:rFonts w:hint="default" w:ascii="Times New Roman" w:hAnsi="Times New Roman" w:eastAsia="宋体" w:cs="Times New Roman"/>
                <w:snapToGrid w:val="0"/>
                <w:color w:val="auto"/>
                <w:kern w:val="0"/>
                <w:sz w:val="24"/>
                <w:szCs w:val="24"/>
              </w:rPr>
              <w:t>三级A</w:t>
            </w:r>
          </w:p>
        </w:tc>
        <w:tc>
          <w:tcPr>
            <w:tcW w:w="1365" w:type="pct"/>
            <w:vAlign w:val="center"/>
          </w:tcPr>
          <w:p>
            <w:pPr>
              <w:jc w:val="center"/>
              <w:rPr>
                <w:rFonts w:hint="default" w:ascii="Times New Roman" w:hAnsi="Times New Roman" w:eastAsia="宋体" w:cs="Times New Roman"/>
                <w:snapToGrid w:val="0"/>
                <w:color w:val="auto"/>
                <w:kern w:val="0"/>
                <w:sz w:val="24"/>
                <w:szCs w:val="24"/>
                <w:lang w:val="zh-CN"/>
              </w:rPr>
            </w:pPr>
            <w:r>
              <w:rPr>
                <w:rFonts w:hint="default" w:ascii="Times New Roman" w:hAnsi="Times New Roman" w:eastAsia="宋体" w:cs="Times New Roman"/>
                <w:snapToGrid w:val="0"/>
                <w:color w:val="auto"/>
                <w:kern w:val="0"/>
                <w:sz w:val="24"/>
                <w:szCs w:val="24"/>
                <w:lang w:val="zh-CN"/>
              </w:rPr>
              <w:t>直接排放</w:t>
            </w:r>
          </w:p>
        </w:tc>
        <w:tc>
          <w:tcPr>
            <w:tcW w:w="2526" w:type="pct"/>
            <w:vAlign w:val="center"/>
          </w:tcPr>
          <w:p>
            <w:pPr>
              <w:jc w:val="center"/>
              <w:rPr>
                <w:rFonts w:hint="default" w:ascii="Times New Roman" w:hAnsi="Times New Roman" w:eastAsia="宋体" w:cs="Times New Roman"/>
                <w:snapToGrid w:val="0"/>
                <w:color w:val="auto"/>
                <w:kern w:val="0"/>
                <w:sz w:val="24"/>
                <w:szCs w:val="24"/>
                <w:lang w:val="zh-CN"/>
              </w:rPr>
            </w:pPr>
            <w:r>
              <w:rPr>
                <w:rFonts w:hint="default" w:ascii="Times New Roman" w:hAnsi="Times New Roman" w:eastAsia="宋体" w:cs="Times New Roman"/>
                <w:snapToGrid w:val="0"/>
                <w:color w:val="auto"/>
                <w:kern w:val="0"/>
                <w:sz w:val="24"/>
                <w:szCs w:val="24"/>
                <w:lang w:val="zh-CN"/>
              </w:rPr>
              <w:t>Q＜200或W＜6000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108" w:type="pct"/>
            <w:vAlign w:val="center"/>
          </w:tcPr>
          <w:p>
            <w:pPr>
              <w:jc w:val="center"/>
              <w:rPr>
                <w:rFonts w:hint="default" w:ascii="Times New Roman" w:hAnsi="Times New Roman" w:eastAsia="宋体" w:cs="Times New Roman"/>
                <w:b/>
                <w:snapToGrid w:val="0"/>
                <w:color w:val="auto"/>
                <w:kern w:val="0"/>
                <w:sz w:val="24"/>
                <w:szCs w:val="24"/>
              </w:rPr>
            </w:pPr>
            <w:r>
              <w:rPr>
                <w:rFonts w:hint="default" w:ascii="Times New Roman" w:hAnsi="Times New Roman" w:eastAsia="宋体" w:cs="Times New Roman"/>
                <w:b/>
                <w:snapToGrid w:val="0"/>
                <w:color w:val="auto"/>
                <w:kern w:val="0"/>
                <w:sz w:val="24"/>
                <w:szCs w:val="24"/>
              </w:rPr>
              <w:t>三级B</w:t>
            </w:r>
          </w:p>
        </w:tc>
        <w:tc>
          <w:tcPr>
            <w:tcW w:w="1365" w:type="pct"/>
            <w:vAlign w:val="center"/>
          </w:tcPr>
          <w:p>
            <w:pPr>
              <w:jc w:val="center"/>
              <w:rPr>
                <w:rFonts w:hint="default" w:ascii="Times New Roman" w:hAnsi="Times New Roman" w:eastAsia="宋体" w:cs="Times New Roman"/>
                <w:b/>
                <w:snapToGrid w:val="0"/>
                <w:color w:val="auto"/>
                <w:kern w:val="0"/>
                <w:sz w:val="24"/>
                <w:szCs w:val="24"/>
                <w:lang w:val="zh-CN"/>
              </w:rPr>
            </w:pPr>
            <w:r>
              <w:rPr>
                <w:rFonts w:hint="default" w:ascii="Times New Roman" w:hAnsi="Times New Roman" w:eastAsia="宋体" w:cs="Times New Roman"/>
                <w:b/>
                <w:snapToGrid w:val="0"/>
                <w:color w:val="auto"/>
                <w:kern w:val="0"/>
                <w:sz w:val="24"/>
                <w:szCs w:val="24"/>
                <w:lang w:val="zh-CN"/>
              </w:rPr>
              <w:t>间接排放</w:t>
            </w:r>
          </w:p>
        </w:tc>
        <w:tc>
          <w:tcPr>
            <w:tcW w:w="2526" w:type="pct"/>
            <w:vAlign w:val="center"/>
          </w:tcPr>
          <w:p>
            <w:pPr>
              <w:jc w:val="center"/>
              <w:rPr>
                <w:rFonts w:hint="default" w:ascii="Times New Roman" w:hAnsi="Times New Roman" w:eastAsia="宋体" w:cs="Times New Roman"/>
                <w:b/>
                <w:snapToGrid w:val="0"/>
                <w:color w:val="auto"/>
                <w:kern w:val="0"/>
                <w:sz w:val="24"/>
                <w:szCs w:val="24"/>
                <w:lang w:val="zh-CN"/>
              </w:rPr>
            </w:pPr>
            <w:r>
              <w:rPr>
                <w:rFonts w:hint="default" w:ascii="Times New Roman" w:hAnsi="Times New Roman" w:eastAsia="宋体" w:cs="Times New Roman"/>
                <w:b/>
                <w:snapToGrid w:val="0"/>
                <w:color w:val="auto"/>
                <w:kern w:val="0"/>
                <w:sz w:val="24"/>
                <w:szCs w:val="24"/>
                <w:lang w:val="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5000" w:type="pct"/>
            <w:gridSpan w:val="3"/>
            <w:vAlign w:val="center"/>
          </w:tcPr>
          <w:p>
            <w:pPr>
              <w:pStyle w:val="36"/>
              <w:ind w:firstLine="319"/>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pPr>
              <w:pStyle w:val="36"/>
              <w:ind w:firstLine="319"/>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pPr>
              <w:pStyle w:val="36"/>
              <w:ind w:firstLine="319"/>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注3：厂区存在堆积物（露天堆放的原料、燃料、废渣等以及垃圾堆放场）、降尘污染的，应将初期雨污水纳入废水排放量，相应的主要污染物纳入水污染当量计算。</w:t>
            </w:r>
          </w:p>
          <w:p>
            <w:pPr>
              <w:pStyle w:val="36"/>
              <w:ind w:firstLine="319"/>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注4：建设项目直接排放第一类污染物的，其评价等级为一级；建设项目直接排放的污染物为受纳水体超标因子的，评价等级不低于二级。</w:t>
            </w:r>
          </w:p>
          <w:p>
            <w:pPr>
              <w:pStyle w:val="36"/>
              <w:ind w:firstLine="319"/>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注5：直接排放受纳水体影响范围涉及饮用水水源保护区、饮用水取水口、重点保护与珍稀水生生物的栖息地、重要水生生物的自然产卵场等保护目标时，评价等级不低于二级。</w:t>
            </w:r>
          </w:p>
          <w:p>
            <w:pPr>
              <w:pStyle w:val="36"/>
              <w:ind w:firstLine="319"/>
              <w:jc w:val="both"/>
              <w:rPr>
                <w:rFonts w:hint="default" w:ascii="Times New Roman" w:hAnsi="Times New Roman" w:eastAsia="宋体" w:cs="Times New Roman"/>
                <w:b/>
                <w:snapToGrid w:val="0"/>
                <w:color w:val="auto"/>
                <w:kern w:val="0"/>
                <w:sz w:val="21"/>
                <w:szCs w:val="21"/>
                <w:lang w:val="zh-CN"/>
              </w:rPr>
            </w:pPr>
            <w:r>
              <w:rPr>
                <w:rFonts w:hint="default" w:ascii="Times New Roman" w:hAnsi="Times New Roman" w:eastAsia="宋体" w:cs="Times New Roman"/>
                <w:color w:val="auto"/>
                <w:sz w:val="21"/>
                <w:szCs w:val="21"/>
              </w:rPr>
              <w:t>注6：建设项目向河流、湖库排放温排水引起受纳水体水温变化超过水环境质量标准要求，且评价范围有水温敏感目标时，评价等级为一级。</w:t>
            </w:r>
          </w:p>
          <w:p>
            <w:pPr>
              <w:pStyle w:val="36"/>
              <w:ind w:firstLine="319"/>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注7：建设项目利用海水作为调节温度介质，排水量≥500万m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/d，评价等级为一级；排水量＜500万m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/d，评价等级为二级。</w:t>
            </w:r>
          </w:p>
          <w:p>
            <w:pPr>
              <w:pStyle w:val="36"/>
              <w:ind w:firstLine="319"/>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注8：仅涉及清净下水排放的，如其排放水质满足受纳水体水环境质量标准要求的，评价等级为三级 A。</w:t>
            </w:r>
          </w:p>
          <w:p>
            <w:pPr>
              <w:pStyle w:val="36"/>
              <w:ind w:firstLine="319"/>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注9：依托现有排放口，且对外环境未新增排放污染物的直接排放建设项目，评价等级参照间接排放，定为三级B。</w:t>
            </w:r>
          </w:p>
          <w:p>
            <w:pPr>
              <w:jc w:val="center"/>
              <w:rPr>
                <w:rFonts w:hint="default" w:ascii="Times New Roman" w:hAnsi="Times New Roman" w:eastAsia="宋体" w:cs="Times New Roman"/>
                <w:b/>
                <w:snapToGrid w:val="0"/>
                <w:color w:val="auto"/>
                <w:kern w:val="0"/>
                <w:sz w:val="24"/>
                <w:szCs w:val="24"/>
                <w:lang w:val="zh-CN"/>
              </w:rPr>
            </w:pPr>
            <w:r>
              <w:rPr>
                <w:rFonts w:hint="default" w:ascii="Times New Roman" w:hAnsi="Times New Roman" w:eastAsia="宋体" w:cs="Times New Roman"/>
                <w:b/>
                <w:color w:val="auto"/>
                <w:sz w:val="21"/>
                <w:szCs w:val="21"/>
              </w:rPr>
              <w:t>注10：建设项目生产工艺中有废水产生，但作为回水利用，不排放到外环境的，按三级B评价。</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rPr>
      </w:pPr>
      <w:r>
        <w:rPr>
          <w:rFonts w:hint="default" w:ascii="Times New Roman" w:hAnsi="Times New Roman" w:eastAsia="宋体" w:cs="Times New Roman"/>
          <w:snapToGrid w:val="0"/>
          <w:color w:val="auto"/>
          <w:kern w:val="0"/>
          <w:sz w:val="24"/>
          <w:szCs w:val="24"/>
        </w:rPr>
        <w:t>本项目建成后，全厂</w:t>
      </w:r>
      <w:r>
        <w:rPr>
          <w:rFonts w:hint="default" w:ascii="Times New Roman" w:hAnsi="Times New Roman" w:eastAsia="宋体" w:cs="Times New Roman"/>
          <w:snapToGrid w:val="0"/>
          <w:color w:val="auto"/>
          <w:kern w:val="0"/>
          <w:sz w:val="24"/>
          <w:szCs w:val="24"/>
          <w:lang w:val="en-US" w:eastAsia="zh-CN"/>
        </w:rPr>
        <w:t>废水排入</w:t>
      </w:r>
      <w:r>
        <w:rPr>
          <w:rFonts w:hint="default" w:ascii="Times New Roman" w:hAnsi="Times New Roman" w:eastAsia="宋体" w:cs="Times New Roman"/>
          <w:snapToGrid w:val="0"/>
          <w:color w:val="auto"/>
          <w:kern w:val="0"/>
          <w:sz w:val="24"/>
          <w:szCs w:val="24"/>
          <w:lang w:eastAsia="zh-CN"/>
        </w:rPr>
        <w:t>兴隆镇</w:t>
      </w:r>
      <w:r>
        <w:rPr>
          <w:rFonts w:hint="default" w:ascii="Times New Roman" w:hAnsi="Times New Roman" w:eastAsia="宋体" w:cs="Times New Roman"/>
          <w:snapToGrid w:val="0"/>
          <w:color w:val="auto"/>
          <w:kern w:val="0"/>
          <w:sz w:val="24"/>
          <w:szCs w:val="24"/>
        </w:rPr>
        <w:t>污水处理厂，不直接排放，</w:t>
      </w:r>
      <w:r>
        <w:rPr>
          <w:rFonts w:hint="default" w:ascii="Times New Roman" w:hAnsi="Times New Roman" w:eastAsia="宋体" w:cs="Times New Roman"/>
          <w:snapToGrid w:val="0"/>
          <w:color w:val="auto"/>
          <w:kern w:val="0"/>
          <w:sz w:val="24"/>
          <w:szCs w:val="24"/>
          <w:lang w:val="en-US" w:eastAsia="zh-CN"/>
        </w:rPr>
        <w:t>为间接排放，</w:t>
      </w:r>
      <w:r>
        <w:rPr>
          <w:rFonts w:hint="default" w:ascii="Times New Roman" w:hAnsi="Times New Roman" w:eastAsia="宋体" w:cs="Times New Roman"/>
          <w:snapToGrid w:val="0"/>
          <w:color w:val="auto"/>
          <w:kern w:val="0"/>
          <w:sz w:val="24"/>
          <w:szCs w:val="24"/>
        </w:rPr>
        <w:t>对照水污染型建设项目评价等级判定标准可知，本项目评价等级为三级 B。</w:t>
      </w:r>
    </w:p>
    <w:p>
      <w:pPr>
        <w:bidi w:val="0"/>
        <w:outlineLvl w:val="0"/>
        <w:rPr>
          <w:rFonts w:hint="default" w:ascii="Times New Roman" w:hAnsi="Times New Roman" w:eastAsia="Times New Roman" w:cs="Times New Roman"/>
          <w:spacing w:val="-3"/>
          <w:sz w:val="24"/>
          <w:szCs w:val="24"/>
          <w:highlight w:val="none"/>
        </w:rPr>
      </w:pPr>
      <w:bookmarkStart w:id="34" w:name="_Toc1592"/>
      <w:bookmarkStart w:id="35" w:name="_Toc25210"/>
      <w:bookmarkStart w:id="36" w:name="_Toc30055"/>
      <w:r>
        <w:rPr>
          <w:rFonts w:hint="default" w:ascii="Times New Roman" w:hAnsi="Times New Roman" w:eastAsia="Times New Roman" w:cs="Times New Roman"/>
          <w:spacing w:val="-3"/>
          <w:sz w:val="24"/>
          <w:szCs w:val="24"/>
          <w:highlight w:val="none"/>
        </w:rPr>
        <w:t>3 、噪声环境影响评价工作等级</w:t>
      </w:r>
      <w:bookmarkEnd w:id="34"/>
      <w:bookmarkEnd w:id="35"/>
      <w:bookmarkEnd w:id="36"/>
    </w:p>
    <w:p>
      <w:pPr>
        <w:bidi w:val="0"/>
        <w:ind w:firstLine="468" w:firstLineChars="200"/>
        <w:rPr>
          <w:rFonts w:hint="default" w:ascii="Times New Roman" w:hAnsi="Times New Roman" w:eastAsia="宋体" w:cs="Times New Roman"/>
          <w:sz w:val="24"/>
          <w:szCs w:val="24"/>
          <w:highlight w:val="none"/>
        </w:rPr>
      </w:pPr>
      <w:r>
        <w:rPr>
          <w:rFonts w:hint="default" w:ascii="Times New Roman" w:hAnsi="Times New Roman" w:eastAsia="Times New Roman" w:cs="Times New Roman"/>
          <w:spacing w:val="-3"/>
          <w:sz w:val="24"/>
          <w:szCs w:val="24"/>
          <w:highlight w:val="none"/>
        </w:rPr>
        <w:t>按《</w:t>
      </w:r>
      <w:r>
        <w:rPr>
          <w:rFonts w:hint="default" w:ascii="Times New Roman" w:hAnsi="Times New Roman" w:eastAsia="宋体" w:cs="Times New Roman"/>
          <w:sz w:val="24"/>
          <w:szCs w:val="24"/>
          <w:highlight w:val="none"/>
        </w:rPr>
        <w:t>环境影响评价技术导则  声环境》（</w:t>
      </w:r>
      <w:r>
        <w:rPr>
          <w:rFonts w:hint="default" w:ascii="Times New Roman" w:hAnsi="Times New Roman" w:eastAsia="Times New Roman" w:cs="Times New Roman"/>
          <w:sz w:val="24"/>
          <w:szCs w:val="24"/>
          <w:highlight w:val="none"/>
        </w:rPr>
        <w:t>HJ2.4-2009</w:t>
      </w:r>
      <w:r>
        <w:rPr>
          <w:rFonts w:hint="default" w:ascii="Times New Roman" w:hAnsi="Times New Roman" w:eastAsia="宋体" w:cs="Times New Roman"/>
          <w:sz w:val="24"/>
          <w:szCs w:val="24"/>
          <w:highlight w:val="none"/>
        </w:rPr>
        <w:t>）中评价工作分级的规定，需</w:t>
      </w:r>
      <w:r>
        <w:rPr>
          <w:rFonts w:hint="default" w:ascii="Times New Roman" w:hAnsi="Times New Roman" w:eastAsia="宋体" w:cs="Times New Roman"/>
          <w:spacing w:val="-2"/>
          <w:sz w:val="24"/>
          <w:szCs w:val="24"/>
          <w:highlight w:val="none"/>
        </w:rPr>
        <w:t>根据建设项目类型、所在地声环境功能区类别、建设前后所在区域声环境质量变化程度</w:t>
      </w:r>
      <w:r>
        <w:rPr>
          <w:rFonts w:hint="default" w:ascii="Times New Roman" w:hAnsi="Times New Roman" w:eastAsia="宋体" w:cs="Times New Roman"/>
          <w:spacing w:val="-3"/>
          <w:sz w:val="24"/>
          <w:szCs w:val="24"/>
          <w:highlight w:val="none"/>
        </w:rPr>
        <w:t>以及受影响人口变化情况确定评价等级，详见表</w:t>
      </w:r>
      <w:r>
        <w:rPr>
          <w:rFonts w:hint="default" w:ascii="Times New Roman" w:hAnsi="Times New Roman" w:eastAsia="宋体" w:cs="Times New Roman"/>
          <w:spacing w:val="-18"/>
          <w:sz w:val="24"/>
          <w:szCs w:val="24"/>
          <w:highlight w:val="none"/>
          <w:lang w:val="en-US" w:eastAsia="zh-CN"/>
        </w:rPr>
        <w:t>2-4-7</w:t>
      </w:r>
      <w:r>
        <w:rPr>
          <w:rFonts w:hint="default" w:ascii="Times New Roman" w:hAnsi="Times New Roman" w:eastAsia="宋体" w:cs="Times New Roman"/>
          <w:spacing w:val="-3"/>
          <w:sz w:val="24"/>
          <w:szCs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eastAsia="宋体" w:cs="Times New Roman"/>
          <w:b/>
          <w:color w:val="auto"/>
          <w:sz w:val="20"/>
          <w:szCs w:val="20"/>
          <w:highlight w:val="none"/>
        </w:rPr>
      </w:pPr>
      <w:r>
        <w:rPr>
          <w:rFonts w:hint="default" w:ascii="Times New Roman" w:hAnsi="Times New Roman" w:eastAsia="宋体" w:cs="Times New Roman"/>
          <w:b/>
          <w:color w:val="auto"/>
          <w:sz w:val="20"/>
          <w:szCs w:val="20"/>
          <w:highlight w:val="none"/>
        </w:rPr>
        <w:t>表</w:t>
      </w:r>
      <w:r>
        <w:rPr>
          <w:rFonts w:hint="default" w:ascii="Times New Roman" w:hAnsi="Times New Roman" w:eastAsia="宋体" w:cs="Times New Roman"/>
          <w:b/>
          <w:color w:val="auto"/>
          <w:sz w:val="20"/>
          <w:szCs w:val="20"/>
          <w:highlight w:val="none"/>
          <w:lang w:val="en-US" w:eastAsia="zh-CN"/>
        </w:rPr>
        <w:t>2-4-7</w:t>
      </w:r>
      <w:r>
        <w:rPr>
          <w:rFonts w:hint="default" w:ascii="Times New Roman" w:hAnsi="Times New Roman" w:eastAsia="宋体" w:cs="Times New Roman"/>
          <w:b/>
          <w:color w:val="auto"/>
          <w:sz w:val="20"/>
          <w:szCs w:val="20"/>
          <w:highlight w:val="none"/>
        </w:rPr>
        <w:t xml:space="preserve">    声环境评价工作等级判定表</w:t>
      </w:r>
    </w:p>
    <w:p>
      <w:pPr>
        <w:spacing w:line="16" w:lineRule="exact"/>
        <w:rPr>
          <w:rFonts w:hint="default" w:ascii="Times New Roman" w:hAnsi="Times New Roman" w:cs="Times New Roman"/>
          <w:highlight w:val="none"/>
        </w:rPr>
      </w:pPr>
    </w:p>
    <w:tbl>
      <w:tblPr>
        <w:tblStyle w:val="34"/>
        <w:tblW w:w="9285" w:type="dxa"/>
        <w:tblInd w:w="3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86"/>
        <w:gridCol w:w="1342"/>
        <w:gridCol w:w="3315"/>
        <w:gridCol w:w="304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586" w:type="dxa"/>
            <w:vMerge w:val="restart"/>
            <w:tcBorders>
              <w:bottom w:val="nil"/>
            </w:tcBorders>
            <w:vAlign w:val="top"/>
          </w:tcPr>
          <w:p>
            <w:pPr>
              <w:spacing w:before="216" w:line="226" w:lineRule="auto"/>
              <w:ind w:left="168"/>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评价工作等级</w:t>
            </w:r>
          </w:p>
        </w:tc>
        <w:tc>
          <w:tcPr>
            <w:tcW w:w="7699" w:type="dxa"/>
            <w:gridSpan w:val="3"/>
            <w:vAlign w:val="top"/>
          </w:tcPr>
          <w:p>
            <w:pPr>
              <w:spacing w:before="55" w:line="226" w:lineRule="auto"/>
              <w:ind w:left="3013"/>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评价工作分级依据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586" w:type="dxa"/>
            <w:vMerge w:val="continue"/>
            <w:tcBorders>
              <w:top w:val="nil"/>
            </w:tcBorders>
            <w:vAlign w:val="top"/>
          </w:tcPr>
          <w:p>
            <w:pPr>
              <w:pStyle w:val="35"/>
              <w:rPr>
                <w:rFonts w:hint="default" w:ascii="Times New Roman" w:hAnsi="Times New Roman" w:cs="Times New Roman"/>
                <w:highlight w:val="none"/>
              </w:rPr>
            </w:pPr>
          </w:p>
        </w:tc>
        <w:tc>
          <w:tcPr>
            <w:tcW w:w="1342" w:type="dxa"/>
            <w:vAlign w:val="top"/>
          </w:tcPr>
          <w:p>
            <w:pPr>
              <w:spacing w:before="52" w:line="229" w:lineRule="auto"/>
              <w:ind w:left="362"/>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功能区</w:t>
            </w:r>
          </w:p>
        </w:tc>
        <w:tc>
          <w:tcPr>
            <w:tcW w:w="3315" w:type="dxa"/>
            <w:vAlign w:val="top"/>
          </w:tcPr>
          <w:p>
            <w:pPr>
              <w:spacing w:before="52" w:line="228" w:lineRule="auto"/>
              <w:ind w:left="404"/>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建设前后噪声升级的增加量</w:t>
            </w:r>
          </w:p>
        </w:tc>
        <w:tc>
          <w:tcPr>
            <w:tcW w:w="3042" w:type="dxa"/>
            <w:vAlign w:val="top"/>
          </w:tcPr>
          <w:p>
            <w:pPr>
              <w:spacing w:before="52" w:line="228" w:lineRule="auto"/>
              <w:ind w:left="794"/>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受影响人口情况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586" w:type="dxa"/>
            <w:vAlign w:val="top"/>
          </w:tcPr>
          <w:p>
            <w:pPr>
              <w:spacing w:before="55" w:line="230" w:lineRule="auto"/>
              <w:ind w:left="592"/>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一级</w:t>
            </w:r>
          </w:p>
        </w:tc>
        <w:tc>
          <w:tcPr>
            <w:tcW w:w="1342" w:type="dxa"/>
            <w:vAlign w:val="top"/>
          </w:tcPr>
          <w:p>
            <w:pPr>
              <w:spacing w:before="54" w:line="228" w:lineRule="auto"/>
              <w:ind w:left="490"/>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2"/>
                <w:sz w:val="20"/>
                <w:szCs w:val="20"/>
                <w:highlight w:val="none"/>
              </w:rPr>
              <w:t>0</w:t>
            </w:r>
            <w:r>
              <w:rPr>
                <w:rFonts w:hint="default" w:ascii="Times New Roman" w:hAnsi="Times New Roman" w:eastAsia="Times New Roman" w:cs="Times New Roman"/>
                <w:spacing w:val="10"/>
                <w:sz w:val="20"/>
                <w:szCs w:val="20"/>
                <w:highlight w:val="none"/>
              </w:rPr>
              <w:t xml:space="preserve"> </w:t>
            </w:r>
            <w:r>
              <w:rPr>
                <w:rFonts w:hint="default" w:ascii="Times New Roman" w:hAnsi="Times New Roman" w:eastAsia="宋体" w:cs="Times New Roman"/>
                <w:spacing w:val="-2"/>
                <w:sz w:val="20"/>
                <w:szCs w:val="20"/>
                <w:highlight w:val="none"/>
              </w:rPr>
              <w:t>类</w:t>
            </w:r>
          </w:p>
        </w:tc>
        <w:tc>
          <w:tcPr>
            <w:tcW w:w="3315" w:type="dxa"/>
            <w:vAlign w:val="top"/>
          </w:tcPr>
          <w:p>
            <w:pPr>
              <w:spacing w:before="55" w:line="228" w:lineRule="auto"/>
              <w:ind w:left="968"/>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大于</w:t>
            </w:r>
            <w:r>
              <w:rPr>
                <w:rFonts w:hint="default" w:ascii="Times New Roman" w:hAnsi="Times New Roman" w:eastAsia="宋体" w:cs="Times New Roman"/>
                <w:spacing w:val="-37"/>
                <w:sz w:val="20"/>
                <w:szCs w:val="20"/>
                <w:highlight w:val="none"/>
              </w:rPr>
              <w:t xml:space="preserve"> </w:t>
            </w:r>
            <w:r>
              <w:rPr>
                <w:rFonts w:hint="default" w:ascii="Times New Roman" w:hAnsi="Times New Roman" w:eastAsia="Times New Roman" w:cs="Times New Roman"/>
                <w:spacing w:val="5"/>
                <w:sz w:val="20"/>
                <w:szCs w:val="20"/>
                <w:highlight w:val="none"/>
              </w:rPr>
              <w:t>5</w:t>
            </w:r>
            <w:r>
              <w:rPr>
                <w:rFonts w:hint="default" w:ascii="Times New Roman" w:hAnsi="Times New Roman" w:eastAsia="Times New Roman" w:cs="Times New Roman"/>
                <w:sz w:val="20"/>
                <w:szCs w:val="20"/>
                <w:highlight w:val="none"/>
              </w:rPr>
              <w:t>dB</w:t>
            </w:r>
            <w:r>
              <w:rPr>
                <w:rFonts w:hint="default" w:ascii="Times New Roman" w:hAnsi="Times New Roman" w:eastAsia="宋体" w:cs="Times New Roman"/>
                <w:spacing w:val="5"/>
                <w:sz w:val="20"/>
                <w:szCs w:val="20"/>
                <w:highlight w:val="none"/>
              </w:rPr>
              <w:t>（</w:t>
            </w:r>
            <w:r>
              <w:rPr>
                <w:rFonts w:hint="default" w:ascii="Times New Roman" w:hAnsi="Times New Roman" w:eastAsia="Times New Roman" w:cs="Times New Roman"/>
                <w:spacing w:val="5"/>
                <w:sz w:val="20"/>
                <w:szCs w:val="20"/>
                <w:highlight w:val="none"/>
              </w:rPr>
              <w:t>A</w:t>
            </w:r>
            <w:r>
              <w:rPr>
                <w:rFonts w:hint="default" w:ascii="Times New Roman" w:hAnsi="Times New Roman" w:eastAsia="宋体" w:cs="Times New Roman"/>
                <w:spacing w:val="5"/>
                <w:sz w:val="20"/>
                <w:szCs w:val="20"/>
                <w:highlight w:val="none"/>
              </w:rPr>
              <w:t>）</w:t>
            </w:r>
          </w:p>
        </w:tc>
        <w:tc>
          <w:tcPr>
            <w:tcW w:w="3042" w:type="dxa"/>
            <w:vAlign w:val="top"/>
          </w:tcPr>
          <w:p>
            <w:pPr>
              <w:spacing w:before="54" w:line="228" w:lineRule="auto"/>
              <w:ind w:left="165"/>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受影响人口数量变化显著增加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586" w:type="dxa"/>
            <w:vAlign w:val="top"/>
          </w:tcPr>
          <w:p>
            <w:pPr>
              <w:spacing w:before="55" w:line="230" w:lineRule="auto"/>
              <w:ind w:left="592"/>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二级</w:t>
            </w:r>
          </w:p>
        </w:tc>
        <w:tc>
          <w:tcPr>
            <w:tcW w:w="1342" w:type="dxa"/>
            <w:vAlign w:val="top"/>
          </w:tcPr>
          <w:p>
            <w:pPr>
              <w:spacing w:before="55" w:line="228" w:lineRule="auto"/>
              <w:ind w:left="219"/>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6"/>
                <w:sz w:val="20"/>
                <w:szCs w:val="20"/>
                <w:highlight w:val="none"/>
              </w:rPr>
              <w:t>1</w:t>
            </w:r>
            <w:r>
              <w:rPr>
                <w:rFonts w:hint="default" w:ascii="Times New Roman" w:hAnsi="Times New Roman" w:eastAsia="Times New Roman" w:cs="Times New Roman"/>
                <w:spacing w:val="13"/>
                <w:sz w:val="20"/>
                <w:szCs w:val="20"/>
                <w:highlight w:val="none"/>
              </w:rPr>
              <w:t xml:space="preserve"> </w:t>
            </w:r>
            <w:r>
              <w:rPr>
                <w:rFonts w:hint="default" w:ascii="Times New Roman" w:hAnsi="Times New Roman" w:eastAsia="宋体" w:cs="Times New Roman"/>
                <w:spacing w:val="-6"/>
                <w:sz w:val="20"/>
                <w:szCs w:val="20"/>
                <w:highlight w:val="none"/>
              </w:rPr>
              <w:t>类</w:t>
            </w:r>
            <w:r>
              <w:rPr>
                <w:rFonts w:hint="default" w:ascii="Times New Roman" w:hAnsi="Times New Roman" w:eastAsia="宋体" w:cs="Times New Roman"/>
                <w:spacing w:val="-78"/>
                <w:sz w:val="20"/>
                <w:szCs w:val="20"/>
                <w:highlight w:val="none"/>
              </w:rPr>
              <w:t xml:space="preserve"> </w:t>
            </w:r>
            <w:r>
              <w:rPr>
                <w:rFonts w:hint="default" w:ascii="Times New Roman" w:hAnsi="Times New Roman" w:eastAsia="宋体" w:cs="Times New Roman"/>
                <w:spacing w:val="-6"/>
                <w:sz w:val="20"/>
                <w:szCs w:val="20"/>
                <w:highlight w:val="none"/>
              </w:rPr>
              <w:t>、</w:t>
            </w:r>
            <w:r>
              <w:rPr>
                <w:rFonts w:hint="default" w:ascii="Times New Roman" w:hAnsi="Times New Roman" w:eastAsia="Times New Roman" w:cs="Times New Roman"/>
                <w:spacing w:val="-6"/>
                <w:sz w:val="20"/>
                <w:szCs w:val="20"/>
                <w:highlight w:val="none"/>
              </w:rPr>
              <w:t>2</w:t>
            </w:r>
            <w:r>
              <w:rPr>
                <w:rFonts w:hint="default" w:ascii="Times New Roman" w:hAnsi="Times New Roman" w:eastAsia="Times New Roman" w:cs="Times New Roman"/>
                <w:spacing w:val="12"/>
                <w:w w:val="101"/>
                <w:sz w:val="20"/>
                <w:szCs w:val="20"/>
                <w:highlight w:val="none"/>
              </w:rPr>
              <w:t xml:space="preserve"> </w:t>
            </w:r>
            <w:r>
              <w:rPr>
                <w:rFonts w:hint="default" w:ascii="Times New Roman" w:hAnsi="Times New Roman" w:eastAsia="宋体" w:cs="Times New Roman"/>
                <w:spacing w:val="-6"/>
                <w:sz w:val="20"/>
                <w:szCs w:val="20"/>
                <w:highlight w:val="none"/>
              </w:rPr>
              <w:t>类</w:t>
            </w:r>
          </w:p>
        </w:tc>
        <w:tc>
          <w:tcPr>
            <w:tcW w:w="3315" w:type="dxa"/>
            <w:vAlign w:val="top"/>
          </w:tcPr>
          <w:p>
            <w:pPr>
              <w:spacing w:before="55" w:line="228" w:lineRule="auto"/>
              <w:ind w:right="11"/>
              <w:jc w:val="right"/>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大于</w:t>
            </w:r>
            <w:r>
              <w:rPr>
                <w:rFonts w:hint="default" w:ascii="Times New Roman" w:hAnsi="Times New Roman" w:eastAsia="宋体" w:cs="Times New Roman"/>
                <w:spacing w:val="-24"/>
                <w:sz w:val="20"/>
                <w:szCs w:val="20"/>
                <w:highlight w:val="none"/>
              </w:rPr>
              <w:t xml:space="preserve"> </w:t>
            </w:r>
            <w:r>
              <w:rPr>
                <w:rFonts w:hint="default" w:ascii="Times New Roman" w:hAnsi="Times New Roman" w:eastAsia="Times New Roman" w:cs="Times New Roman"/>
                <w:spacing w:val="-6"/>
                <w:sz w:val="20"/>
                <w:szCs w:val="20"/>
                <w:highlight w:val="none"/>
              </w:rPr>
              <w:t>3dB</w:t>
            </w:r>
            <w:r>
              <w:rPr>
                <w:rFonts w:hint="default" w:ascii="Times New Roman" w:hAnsi="Times New Roman" w:eastAsia="宋体" w:cs="Times New Roman"/>
                <w:spacing w:val="-6"/>
                <w:sz w:val="20"/>
                <w:szCs w:val="20"/>
                <w:highlight w:val="none"/>
              </w:rPr>
              <w:t>（</w:t>
            </w:r>
            <w:r>
              <w:rPr>
                <w:rFonts w:hint="default" w:ascii="Times New Roman" w:hAnsi="Times New Roman" w:eastAsia="Times New Roman" w:cs="Times New Roman"/>
                <w:spacing w:val="-6"/>
                <w:sz w:val="20"/>
                <w:szCs w:val="20"/>
                <w:highlight w:val="none"/>
              </w:rPr>
              <w:t>A</w:t>
            </w:r>
            <w:r>
              <w:rPr>
                <w:rFonts w:hint="default" w:ascii="Times New Roman" w:hAnsi="Times New Roman" w:eastAsia="宋体" w:cs="Times New Roman"/>
                <w:spacing w:val="-6"/>
                <w:sz w:val="20"/>
                <w:szCs w:val="20"/>
                <w:highlight w:val="none"/>
              </w:rPr>
              <w:t>）且小于等于</w:t>
            </w:r>
            <w:r>
              <w:rPr>
                <w:rFonts w:hint="default" w:ascii="Times New Roman" w:hAnsi="Times New Roman" w:eastAsia="宋体" w:cs="Times New Roman"/>
                <w:spacing w:val="-35"/>
                <w:sz w:val="20"/>
                <w:szCs w:val="20"/>
                <w:highlight w:val="none"/>
              </w:rPr>
              <w:t xml:space="preserve"> </w:t>
            </w:r>
            <w:r>
              <w:rPr>
                <w:rFonts w:hint="default" w:ascii="Times New Roman" w:hAnsi="Times New Roman" w:eastAsia="Times New Roman" w:cs="Times New Roman"/>
                <w:spacing w:val="-6"/>
                <w:sz w:val="20"/>
                <w:szCs w:val="20"/>
                <w:highlight w:val="none"/>
              </w:rPr>
              <w:t>5dB</w:t>
            </w:r>
            <w:r>
              <w:rPr>
                <w:rFonts w:hint="default" w:ascii="Times New Roman" w:hAnsi="Times New Roman" w:eastAsia="宋体" w:cs="Times New Roman"/>
                <w:spacing w:val="-6"/>
                <w:sz w:val="20"/>
                <w:szCs w:val="20"/>
                <w:highlight w:val="none"/>
              </w:rPr>
              <w:t>（</w:t>
            </w:r>
            <w:r>
              <w:rPr>
                <w:rFonts w:hint="default" w:ascii="Times New Roman" w:hAnsi="Times New Roman" w:eastAsia="Times New Roman" w:cs="Times New Roman"/>
                <w:spacing w:val="-6"/>
                <w:sz w:val="20"/>
                <w:szCs w:val="20"/>
                <w:highlight w:val="none"/>
              </w:rPr>
              <w:t>A</w:t>
            </w:r>
            <w:r>
              <w:rPr>
                <w:rFonts w:hint="default" w:ascii="Times New Roman" w:hAnsi="Times New Roman" w:eastAsia="宋体" w:cs="Times New Roman"/>
                <w:spacing w:val="-6"/>
                <w:sz w:val="20"/>
                <w:szCs w:val="20"/>
                <w:highlight w:val="none"/>
              </w:rPr>
              <w:t>）</w:t>
            </w:r>
          </w:p>
        </w:tc>
        <w:tc>
          <w:tcPr>
            <w:tcW w:w="3042" w:type="dxa"/>
            <w:vAlign w:val="top"/>
          </w:tcPr>
          <w:p>
            <w:pPr>
              <w:spacing w:before="55" w:line="228" w:lineRule="auto"/>
              <w:ind w:left="374"/>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受影响人口数量增加较多</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1586" w:type="dxa"/>
            <w:vAlign w:val="top"/>
          </w:tcPr>
          <w:p>
            <w:pPr>
              <w:spacing w:before="56" w:line="230" w:lineRule="auto"/>
              <w:ind w:left="589"/>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三级</w:t>
            </w:r>
          </w:p>
        </w:tc>
        <w:tc>
          <w:tcPr>
            <w:tcW w:w="1342" w:type="dxa"/>
            <w:vAlign w:val="top"/>
          </w:tcPr>
          <w:p>
            <w:pPr>
              <w:spacing w:before="56" w:line="228" w:lineRule="auto"/>
              <w:ind w:left="203"/>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2"/>
                <w:sz w:val="20"/>
                <w:szCs w:val="20"/>
                <w:highlight w:val="none"/>
              </w:rPr>
              <w:t>3</w:t>
            </w:r>
            <w:r>
              <w:rPr>
                <w:rFonts w:hint="default" w:ascii="Times New Roman" w:hAnsi="Times New Roman" w:eastAsia="Times New Roman" w:cs="Times New Roman"/>
                <w:spacing w:val="9"/>
                <w:sz w:val="20"/>
                <w:szCs w:val="20"/>
                <w:highlight w:val="none"/>
              </w:rPr>
              <w:t xml:space="preserve"> </w:t>
            </w:r>
            <w:r>
              <w:rPr>
                <w:rFonts w:hint="default" w:ascii="Times New Roman" w:hAnsi="Times New Roman" w:eastAsia="宋体" w:cs="Times New Roman"/>
                <w:spacing w:val="-2"/>
                <w:sz w:val="20"/>
                <w:szCs w:val="20"/>
                <w:highlight w:val="none"/>
              </w:rPr>
              <w:t>类</w:t>
            </w:r>
            <w:r>
              <w:rPr>
                <w:rFonts w:hint="default" w:ascii="Times New Roman" w:hAnsi="Times New Roman" w:eastAsia="宋体" w:cs="Times New Roman"/>
                <w:spacing w:val="-78"/>
                <w:sz w:val="20"/>
                <w:szCs w:val="20"/>
                <w:highlight w:val="none"/>
              </w:rPr>
              <w:t xml:space="preserve"> </w:t>
            </w:r>
            <w:r>
              <w:rPr>
                <w:rFonts w:hint="default" w:ascii="Times New Roman" w:hAnsi="Times New Roman" w:eastAsia="宋体" w:cs="Times New Roman"/>
                <w:spacing w:val="-2"/>
                <w:sz w:val="20"/>
                <w:szCs w:val="20"/>
                <w:highlight w:val="none"/>
              </w:rPr>
              <w:t>、</w:t>
            </w:r>
            <w:r>
              <w:rPr>
                <w:rFonts w:hint="default" w:ascii="Times New Roman" w:hAnsi="Times New Roman" w:eastAsia="Times New Roman" w:cs="Times New Roman"/>
                <w:spacing w:val="-2"/>
                <w:sz w:val="20"/>
                <w:szCs w:val="20"/>
                <w:highlight w:val="none"/>
              </w:rPr>
              <w:t>4</w:t>
            </w:r>
            <w:r>
              <w:rPr>
                <w:rFonts w:hint="default" w:ascii="Times New Roman" w:hAnsi="Times New Roman" w:eastAsia="Times New Roman" w:cs="Times New Roman"/>
                <w:spacing w:val="12"/>
                <w:w w:val="101"/>
                <w:sz w:val="20"/>
                <w:szCs w:val="20"/>
                <w:highlight w:val="none"/>
              </w:rPr>
              <w:t xml:space="preserve"> </w:t>
            </w:r>
            <w:r>
              <w:rPr>
                <w:rFonts w:hint="default" w:ascii="Times New Roman" w:hAnsi="Times New Roman" w:eastAsia="宋体" w:cs="Times New Roman"/>
                <w:spacing w:val="-2"/>
                <w:sz w:val="20"/>
                <w:szCs w:val="20"/>
                <w:highlight w:val="none"/>
              </w:rPr>
              <w:t>类</w:t>
            </w:r>
          </w:p>
        </w:tc>
        <w:tc>
          <w:tcPr>
            <w:tcW w:w="3315" w:type="dxa"/>
            <w:vAlign w:val="top"/>
          </w:tcPr>
          <w:p>
            <w:pPr>
              <w:spacing w:before="56" w:line="228" w:lineRule="auto"/>
              <w:ind w:left="760"/>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小于等于</w:t>
            </w:r>
            <w:r>
              <w:rPr>
                <w:rFonts w:hint="default" w:ascii="Times New Roman" w:hAnsi="Times New Roman" w:eastAsia="宋体" w:cs="Times New Roman"/>
                <w:spacing w:val="-30"/>
                <w:sz w:val="20"/>
                <w:szCs w:val="20"/>
                <w:highlight w:val="none"/>
              </w:rPr>
              <w:t xml:space="preserve"> </w:t>
            </w:r>
            <w:r>
              <w:rPr>
                <w:rFonts w:hint="default" w:ascii="Times New Roman" w:hAnsi="Times New Roman" w:eastAsia="Times New Roman" w:cs="Times New Roman"/>
                <w:spacing w:val="5"/>
                <w:sz w:val="20"/>
                <w:szCs w:val="20"/>
                <w:highlight w:val="none"/>
              </w:rPr>
              <w:t>3</w:t>
            </w:r>
            <w:r>
              <w:rPr>
                <w:rFonts w:hint="default" w:ascii="Times New Roman" w:hAnsi="Times New Roman" w:eastAsia="Times New Roman" w:cs="Times New Roman"/>
                <w:sz w:val="20"/>
                <w:szCs w:val="20"/>
                <w:highlight w:val="none"/>
              </w:rPr>
              <w:t>dB</w:t>
            </w:r>
            <w:r>
              <w:rPr>
                <w:rFonts w:hint="default" w:ascii="Times New Roman" w:hAnsi="Times New Roman" w:eastAsia="宋体" w:cs="Times New Roman"/>
                <w:spacing w:val="5"/>
                <w:sz w:val="20"/>
                <w:szCs w:val="20"/>
                <w:highlight w:val="none"/>
              </w:rPr>
              <w:t>（</w:t>
            </w:r>
            <w:r>
              <w:rPr>
                <w:rFonts w:hint="default" w:ascii="Times New Roman" w:hAnsi="Times New Roman" w:eastAsia="Times New Roman" w:cs="Times New Roman"/>
                <w:spacing w:val="5"/>
                <w:sz w:val="20"/>
                <w:szCs w:val="20"/>
                <w:highlight w:val="none"/>
              </w:rPr>
              <w:t>A</w:t>
            </w:r>
            <w:r>
              <w:rPr>
                <w:rFonts w:hint="default" w:ascii="Times New Roman" w:hAnsi="Times New Roman" w:eastAsia="宋体" w:cs="Times New Roman"/>
                <w:spacing w:val="5"/>
                <w:sz w:val="20"/>
                <w:szCs w:val="20"/>
                <w:highlight w:val="none"/>
              </w:rPr>
              <w:t>）</w:t>
            </w:r>
          </w:p>
        </w:tc>
        <w:tc>
          <w:tcPr>
            <w:tcW w:w="3042" w:type="dxa"/>
            <w:vAlign w:val="top"/>
          </w:tcPr>
          <w:p>
            <w:pPr>
              <w:spacing w:before="56" w:line="228" w:lineRule="auto"/>
              <w:ind w:left="374"/>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受影响人口数量变化不大</w:t>
            </w:r>
          </w:p>
        </w:tc>
      </w:tr>
    </w:tbl>
    <w:p>
      <w:pPr>
        <w:spacing w:before="116" w:line="360" w:lineRule="auto"/>
        <w:ind w:left="166" w:right="145" w:firstLine="469"/>
        <w:jc w:val="both"/>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2"/>
          <w:sz w:val="24"/>
          <w:szCs w:val="24"/>
          <w:highlight w:val="none"/>
        </w:rPr>
        <w:t>本项目所在地区位于</w:t>
      </w:r>
      <w:r>
        <w:rPr>
          <w:rFonts w:hint="default" w:ascii="Times New Roman" w:hAnsi="Times New Roman" w:eastAsia="宋体" w:cs="Times New Roman"/>
          <w:spacing w:val="-2"/>
          <w:sz w:val="24"/>
          <w:szCs w:val="24"/>
          <w:highlight w:val="none"/>
          <w:lang w:eastAsia="zh-CN"/>
        </w:rPr>
        <w:t>哈尔滨市巴彦县兴隆镇中兴村南门外</w:t>
      </w:r>
      <w:r>
        <w:rPr>
          <w:rFonts w:hint="default" w:ascii="Times New Roman" w:hAnsi="Times New Roman" w:eastAsia="宋体" w:cs="Times New Roman"/>
          <w:spacing w:val="-2"/>
          <w:sz w:val="24"/>
          <w:szCs w:val="24"/>
          <w:highlight w:val="none"/>
        </w:rPr>
        <w:t>，属于</w:t>
      </w:r>
      <w:r>
        <w:rPr>
          <w:rFonts w:hint="default" w:ascii="Times New Roman" w:hAnsi="Times New Roman" w:eastAsia="宋体" w:cs="Times New Roman"/>
          <w:spacing w:val="-46"/>
          <w:sz w:val="24"/>
          <w:szCs w:val="24"/>
          <w:highlight w:val="none"/>
        </w:rPr>
        <w:t xml:space="preserve"> </w:t>
      </w:r>
      <w:r>
        <w:rPr>
          <w:rFonts w:hint="default" w:ascii="Times New Roman" w:hAnsi="Times New Roman" w:eastAsia="Times New Roman" w:cs="Times New Roman"/>
          <w:spacing w:val="-2"/>
          <w:sz w:val="24"/>
          <w:szCs w:val="24"/>
          <w:highlight w:val="none"/>
        </w:rPr>
        <w:t xml:space="preserve">2 </w:t>
      </w:r>
      <w:r>
        <w:rPr>
          <w:rFonts w:hint="default" w:ascii="Times New Roman" w:hAnsi="Times New Roman" w:eastAsia="宋体" w:cs="Times New Roman"/>
          <w:spacing w:val="-2"/>
          <w:sz w:val="24"/>
          <w:szCs w:val="24"/>
          <w:highlight w:val="none"/>
        </w:rPr>
        <w:t>类声环境功能区；项目主要</w:t>
      </w:r>
      <w:r>
        <w:rPr>
          <w:rFonts w:hint="default" w:ascii="Times New Roman" w:hAnsi="Times New Roman" w:eastAsia="宋体" w:cs="Times New Roman"/>
          <w:sz w:val="24"/>
          <w:szCs w:val="24"/>
          <w:highlight w:val="none"/>
        </w:rPr>
        <w:t xml:space="preserve"> 噪声源是生产设备、风机、牲畜叫声等，建设前后噪声级增高量在</w:t>
      </w:r>
      <w:r>
        <w:rPr>
          <w:rFonts w:hint="default" w:ascii="Times New Roman" w:hAnsi="Times New Roman" w:eastAsia="宋体" w:cs="Times New Roman"/>
          <w:spacing w:val="-41"/>
          <w:sz w:val="24"/>
          <w:szCs w:val="24"/>
          <w:highlight w:val="none"/>
        </w:rPr>
        <w:t xml:space="preserve"> </w:t>
      </w:r>
      <w:r>
        <w:rPr>
          <w:rFonts w:hint="default" w:ascii="Times New Roman" w:hAnsi="Times New Roman" w:eastAsia="Times New Roman" w:cs="Times New Roman"/>
          <w:sz w:val="24"/>
          <w:szCs w:val="24"/>
          <w:highlight w:val="none"/>
        </w:rPr>
        <w:t>5dB</w:t>
      </w:r>
      <w:r>
        <w:rPr>
          <w:rFonts w:hint="default" w:ascii="Times New Roman" w:hAnsi="Times New Roman" w:eastAsia="宋体" w:cs="Times New Roman"/>
          <w:sz w:val="24"/>
          <w:szCs w:val="24"/>
          <w:highlight w:val="none"/>
        </w:rPr>
        <w:t>（</w:t>
      </w:r>
      <w:r>
        <w:rPr>
          <w:rFonts w:hint="default" w:ascii="Times New Roman" w:hAnsi="Times New Roman" w:eastAsia="Times New Roman" w:cs="Times New Roman"/>
          <w:sz w:val="24"/>
          <w:szCs w:val="24"/>
          <w:highlight w:val="none"/>
        </w:rPr>
        <w:t>A</w:t>
      </w:r>
      <w:r>
        <w:rPr>
          <w:rFonts w:hint="default" w:ascii="Times New Roman" w:hAnsi="Times New Roman" w:eastAsia="宋体" w:cs="Times New Roman"/>
          <w:sz w:val="24"/>
          <w:szCs w:val="24"/>
          <w:highlight w:val="none"/>
        </w:rPr>
        <w:t>）以下，且</w:t>
      </w:r>
      <w:r>
        <w:rPr>
          <w:rFonts w:hint="default" w:ascii="Times New Roman" w:hAnsi="Times New Roman" w:eastAsia="宋体" w:cs="Times New Roman"/>
          <w:spacing w:val="-1"/>
          <w:sz w:val="24"/>
          <w:szCs w:val="24"/>
          <w:highlight w:val="none"/>
        </w:rPr>
        <w:t>受影响人口变化不大，所以确定本次声环境影响评价工作等级为二级。</w:t>
      </w:r>
    </w:p>
    <w:p>
      <w:pPr>
        <w:spacing w:before="106" w:line="358" w:lineRule="auto"/>
        <w:ind w:left="156" w:right="147" w:firstLine="480"/>
        <w:jc w:val="both"/>
        <w:outlineLvl w:val="0"/>
        <w:rPr>
          <w:rFonts w:hint="default" w:ascii="Times New Roman" w:hAnsi="Times New Roman" w:eastAsia="宋体" w:cs="Times New Roman"/>
          <w:spacing w:val="-1"/>
          <w:sz w:val="24"/>
          <w:szCs w:val="24"/>
          <w:highlight w:val="none"/>
        </w:rPr>
      </w:pPr>
      <w:bookmarkStart w:id="37" w:name="_Toc6121"/>
      <w:bookmarkStart w:id="38" w:name="_Toc13148"/>
      <w:bookmarkStart w:id="39" w:name="_Toc1926"/>
      <w:r>
        <w:rPr>
          <w:rFonts w:hint="default" w:ascii="Times New Roman" w:hAnsi="Times New Roman" w:eastAsia="宋体" w:cs="Times New Roman"/>
          <w:spacing w:val="-1"/>
          <w:sz w:val="24"/>
          <w:szCs w:val="24"/>
          <w:highlight w:val="none"/>
        </w:rPr>
        <w:t>4 、地下水评价等级</w:t>
      </w:r>
      <w:bookmarkEnd w:id="37"/>
      <w:bookmarkEnd w:id="38"/>
      <w:bookmarkEnd w:id="39"/>
    </w:p>
    <w:p>
      <w:pPr>
        <w:spacing w:before="106" w:line="358" w:lineRule="auto"/>
        <w:ind w:left="156" w:right="147" w:firstLine="480"/>
        <w:jc w:val="both"/>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1"/>
          <w:sz w:val="24"/>
          <w:szCs w:val="24"/>
          <w:highlight w:val="none"/>
          <w:lang w:eastAsia="zh-CN"/>
        </w:rPr>
        <w:t>（</w:t>
      </w:r>
      <w:r>
        <w:rPr>
          <w:rFonts w:hint="default" w:ascii="Times New Roman" w:hAnsi="Times New Roman" w:eastAsia="宋体" w:cs="Times New Roman"/>
          <w:spacing w:val="-1"/>
          <w:sz w:val="24"/>
          <w:szCs w:val="24"/>
          <w:highlight w:val="none"/>
          <w:lang w:val="en-US" w:eastAsia="zh-CN"/>
        </w:rPr>
        <w:t>1</w:t>
      </w:r>
      <w:r>
        <w:rPr>
          <w:rFonts w:hint="default" w:ascii="Times New Roman" w:hAnsi="Times New Roman" w:eastAsia="宋体" w:cs="Times New Roman"/>
          <w:spacing w:val="-1"/>
          <w:sz w:val="24"/>
          <w:szCs w:val="24"/>
          <w:highlight w:val="none"/>
          <w:lang w:eastAsia="zh-CN"/>
        </w:rPr>
        <w:t>）</w:t>
      </w:r>
      <w:r>
        <w:rPr>
          <w:rFonts w:hint="default" w:ascii="Times New Roman" w:hAnsi="Times New Roman" w:eastAsia="宋体" w:cs="Times New Roman"/>
          <w:spacing w:val="-1"/>
          <w:sz w:val="24"/>
          <w:szCs w:val="24"/>
          <w:highlight w:val="none"/>
        </w:rPr>
        <w:t>依据《</w:t>
      </w:r>
      <w:r>
        <w:rPr>
          <w:rFonts w:hint="default" w:ascii="Times New Roman" w:hAnsi="Times New Roman" w:eastAsia="宋体" w:cs="Times New Roman"/>
          <w:spacing w:val="-1"/>
          <w:sz w:val="24"/>
          <w:szCs w:val="24"/>
          <w:highlight w:val="none"/>
          <w:lang w:eastAsia="zh-CN"/>
        </w:rPr>
        <w:t>环境影响评价技术导则——地下水环境》（HJ610-2016），需根据项目类别和环境敏感程度确定地下水环境影响。建设项目行业分为Ⅰ类、Ⅱ类、Ⅲ类和Ⅳ类。建设项目的地下水环境敏感程度可分为敏感、较敏感、不敏感三级，分级原则见</w:t>
      </w:r>
      <w:r>
        <w:rPr>
          <w:rFonts w:hint="default" w:ascii="Times New Roman" w:hAnsi="Times New Roman" w:eastAsia="宋体" w:cs="Times New Roman"/>
          <w:spacing w:val="-1"/>
          <w:sz w:val="24"/>
          <w:szCs w:val="24"/>
          <w:highlight w:val="none"/>
        </w:rPr>
        <w:t>表</w:t>
      </w:r>
      <w:r>
        <w:rPr>
          <w:rFonts w:hint="default" w:ascii="Times New Roman" w:hAnsi="Times New Roman" w:eastAsia="宋体" w:cs="Times New Roman"/>
          <w:spacing w:val="-31"/>
          <w:sz w:val="24"/>
          <w:szCs w:val="24"/>
          <w:highlight w:val="none"/>
        </w:rPr>
        <w:t xml:space="preserve"> </w:t>
      </w:r>
      <w:r>
        <w:rPr>
          <w:rFonts w:hint="default" w:ascii="Times New Roman" w:hAnsi="Times New Roman" w:eastAsia="宋体" w:cs="Times New Roman"/>
          <w:spacing w:val="-1"/>
          <w:sz w:val="24"/>
          <w:szCs w:val="24"/>
          <w:highlight w:val="none"/>
          <w:lang w:val="en-US" w:eastAsia="zh-CN"/>
        </w:rPr>
        <w:t>2-</w:t>
      </w:r>
      <w:r>
        <w:rPr>
          <w:rFonts w:hint="default" w:ascii="Times New Roman" w:hAnsi="Times New Roman" w:eastAsia="Times New Roman" w:cs="Times New Roman"/>
          <w:spacing w:val="-2"/>
          <w:sz w:val="24"/>
          <w:szCs w:val="24"/>
          <w:highlight w:val="none"/>
        </w:rPr>
        <w:t>4-</w:t>
      </w:r>
      <w:r>
        <w:rPr>
          <w:rFonts w:hint="default" w:ascii="Times New Roman" w:hAnsi="Times New Roman" w:eastAsia="宋体" w:cs="Times New Roman"/>
          <w:spacing w:val="-2"/>
          <w:sz w:val="24"/>
          <w:szCs w:val="24"/>
          <w:highlight w:val="none"/>
          <w:lang w:val="en-US" w:eastAsia="zh-CN"/>
        </w:rPr>
        <w:t>8</w:t>
      </w:r>
      <w:r>
        <w:rPr>
          <w:rFonts w:hint="default" w:ascii="Times New Roman" w:hAnsi="Times New Roman" w:eastAsia="宋体" w:cs="Times New Roman"/>
          <w:spacing w:val="-2"/>
          <w:sz w:val="24"/>
          <w:szCs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eastAsia="宋体" w:cs="Times New Roman"/>
          <w:b/>
          <w:color w:val="auto"/>
          <w:sz w:val="20"/>
          <w:szCs w:val="20"/>
          <w:highlight w:val="none"/>
        </w:rPr>
      </w:pPr>
      <w:r>
        <w:rPr>
          <w:rFonts w:hint="default" w:ascii="Times New Roman" w:hAnsi="Times New Roman" w:eastAsia="宋体" w:cs="Times New Roman"/>
          <w:b/>
          <w:color w:val="auto"/>
          <w:sz w:val="20"/>
          <w:szCs w:val="20"/>
          <w:highlight w:val="none"/>
        </w:rPr>
        <w:t xml:space="preserve">表 </w:t>
      </w:r>
      <w:r>
        <w:rPr>
          <w:rFonts w:hint="default" w:ascii="Times New Roman" w:hAnsi="Times New Roman" w:eastAsia="宋体" w:cs="Times New Roman"/>
          <w:b/>
          <w:color w:val="auto"/>
          <w:sz w:val="20"/>
          <w:szCs w:val="20"/>
          <w:highlight w:val="none"/>
          <w:lang w:val="en-US" w:eastAsia="zh-CN"/>
        </w:rPr>
        <w:t>2-4-8</w:t>
      </w:r>
      <w:r>
        <w:rPr>
          <w:rFonts w:hint="default" w:ascii="Times New Roman" w:hAnsi="Times New Roman" w:eastAsia="宋体" w:cs="Times New Roman"/>
          <w:b/>
          <w:color w:val="auto"/>
          <w:sz w:val="20"/>
          <w:szCs w:val="20"/>
          <w:highlight w:val="none"/>
        </w:rPr>
        <w:t xml:space="preserve">    地下水环境敏感程度分级表</w:t>
      </w:r>
    </w:p>
    <w:p>
      <w:pPr>
        <w:spacing w:line="14" w:lineRule="exact"/>
        <w:rPr>
          <w:rFonts w:hint="default" w:ascii="Times New Roman" w:hAnsi="Times New Roman" w:cs="Times New Roman"/>
          <w:highlight w:val="none"/>
        </w:rPr>
      </w:pPr>
    </w:p>
    <w:tbl>
      <w:tblPr>
        <w:tblStyle w:val="34"/>
        <w:tblW w:w="928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33"/>
        <w:gridCol w:w="815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133" w:type="dxa"/>
            <w:vAlign w:val="top"/>
          </w:tcPr>
          <w:p>
            <w:pPr>
              <w:spacing w:before="35" w:line="217" w:lineRule="auto"/>
              <w:ind w:left="364"/>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分级</w:t>
            </w:r>
          </w:p>
        </w:tc>
        <w:tc>
          <w:tcPr>
            <w:tcW w:w="8153" w:type="dxa"/>
            <w:vAlign w:val="top"/>
          </w:tcPr>
          <w:p>
            <w:pPr>
              <w:spacing w:before="35" w:line="217" w:lineRule="auto"/>
              <w:ind w:left="3135"/>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地下水环境敏感特征</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0" w:hRule="atLeast"/>
        </w:trPr>
        <w:tc>
          <w:tcPr>
            <w:tcW w:w="1133" w:type="dxa"/>
            <w:vAlign w:val="top"/>
          </w:tcPr>
          <w:p>
            <w:pPr>
              <w:spacing w:before="304" w:line="228" w:lineRule="auto"/>
              <w:ind w:left="362"/>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敏感</w:t>
            </w:r>
          </w:p>
        </w:tc>
        <w:tc>
          <w:tcPr>
            <w:tcW w:w="8153" w:type="dxa"/>
            <w:vAlign w:val="top"/>
          </w:tcPr>
          <w:p>
            <w:pPr>
              <w:spacing w:before="33" w:line="228" w:lineRule="auto"/>
              <w:ind w:left="111"/>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9"/>
                <w:sz w:val="20"/>
                <w:szCs w:val="20"/>
                <w:highlight w:val="none"/>
              </w:rPr>
              <w:t>集中式饮用水水源（包括已建成的在用、备用、应急水</w:t>
            </w:r>
            <w:r>
              <w:rPr>
                <w:rFonts w:hint="default" w:ascii="Times New Roman" w:hAnsi="Times New Roman" w:eastAsia="宋体" w:cs="Times New Roman"/>
                <w:spacing w:val="8"/>
                <w:sz w:val="20"/>
                <w:szCs w:val="20"/>
                <w:highlight w:val="none"/>
              </w:rPr>
              <w:t>源地，在建和规划的水源地）准</w:t>
            </w:r>
          </w:p>
          <w:p>
            <w:pPr>
              <w:spacing w:before="25" w:line="233" w:lineRule="auto"/>
              <w:ind w:left="1456" w:right="110" w:hanging="1344"/>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9"/>
                <w:sz w:val="20"/>
                <w:szCs w:val="20"/>
                <w:highlight w:val="none"/>
              </w:rPr>
              <w:t>保护区；除集中式饮用水水源以外的国家或地</w:t>
            </w:r>
            <w:r>
              <w:rPr>
                <w:rFonts w:hint="default" w:ascii="Times New Roman" w:hAnsi="Times New Roman" w:eastAsia="宋体" w:cs="Times New Roman"/>
                <w:spacing w:val="8"/>
                <w:sz w:val="20"/>
                <w:szCs w:val="20"/>
                <w:highlight w:val="none"/>
              </w:rPr>
              <w:t>方政府设定的与地下水环境相关的其它保</w:t>
            </w:r>
            <w:r>
              <w:rPr>
                <w:rFonts w:hint="default" w:ascii="Times New Roman" w:hAnsi="Times New Roman" w:eastAsia="宋体" w:cs="Times New Roman"/>
                <w:sz w:val="20"/>
                <w:szCs w:val="20"/>
                <w:highlight w:val="none"/>
              </w:rPr>
              <w:t xml:space="preserve"> </w:t>
            </w:r>
            <w:r>
              <w:rPr>
                <w:rFonts w:hint="default" w:ascii="Times New Roman" w:hAnsi="Times New Roman" w:eastAsia="宋体" w:cs="Times New Roman"/>
                <w:spacing w:val="9"/>
                <w:sz w:val="20"/>
                <w:szCs w:val="20"/>
                <w:highlight w:val="none"/>
              </w:rPr>
              <w:t>护区，如热水、矿泉水、温泉等特殊地下水资源保护区。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3" w:hRule="atLeast"/>
        </w:trPr>
        <w:tc>
          <w:tcPr>
            <w:tcW w:w="1133" w:type="dxa"/>
            <w:vAlign w:val="top"/>
          </w:tcPr>
          <w:p>
            <w:pPr>
              <w:pStyle w:val="35"/>
              <w:spacing w:line="374" w:lineRule="auto"/>
              <w:rPr>
                <w:rFonts w:hint="default" w:ascii="Times New Roman" w:hAnsi="Times New Roman" w:cs="Times New Roman"/>
                <w:highlight w:val="none"/>
              </w:rPr>
            </w:pPr>
          </w:p>
          <w:p>
            <w:pPr>
              <w:spacing w:before="65" w:line="228" w:lineRule="auto"/>
              <w:ind w:left="255"/>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较敏感</w:t>
            </w:r>
          </w:p>
        </w:tc>
        <w:tc>
          <w:tcPr>
            <w:tcW w:w="8153" w:type="dxa"/>
            <w:vAlign w:val="top"/>
          </w:tcPr>
          <w:p>
            <w:pPr>
              <w:spacing w:before="32" w:line="244" w:lineRule="auto"/>
              <w:ind w:left="111" w:right="107"/>
              <w:jc w:val="both"/>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9"/>
                <w:sz w:val="20"/>
                <w:szCs w:val="20"/>
                <w:highlight w:val="none"/>
              </w:rPr>
              <w:t>集中式饮用水水源（包括已建成的在用、备用、应急</w:t>
            </w:r>
            <w:r>
              <w:rPr>
                <w:rFonts w:hint="default" w:ascii="Times New Roman" w:hAnsi="Times New Roman" w:eastAsia="宋体" w:cs="Times New Roman"/>
                <w:spacing w:val="8"/>
                <w:sz w:val="20"/>
                <w:szCs w:val="20"/>
                <w:highlight w:val="none"/>
              </w:rPr>
              <w:t>水源地，在建和规划的水源地）准</w:t>
            </w:r>
            <w:r>
              <w:rPr>
                <w:rFonts w:hint="default" w:ascii="Times New Roman" w:hAnsi="Times New Roman" w:eastAsia="宋体" w:cs="Times New Roman"/>
                <w:sz w:val="20"/>
                <w:szCs w:val="20"/>
                <w:highlight w:val="none"/>
              </w:rPr>
              <w:t xml:space="preserve"> </w:t>
            </w:r>
            <w:r>
              <w:rPr>
                <w:rFonts w:hint="default" w:ascii="Times New Roman" w:hAnsi="Times New Roman" w:eastAsia="宋体" w:cs="Times New Roman"/>
                <w:spacing w:val="9"/>
                <w:sz w:val="20"/>
                <w:szCs w:val="20"/>
                <w:highlight w:val="none"/>
              </w:rPr>
              <w:t>保护区以外的补给径流区；未划定准保护区的集中式</w:t>
            </w:r>
            <w:r>
              <w:rPr>
                <w:rFonts w:hint="default" w:ascii="Times New Roman" w:hAnsi="Times New Roman" w:eastAsia="宋体" w:cs="Times New Roman"/>
                <w:spacing w:val="8"/>
                <w:sz w:val="20"/>
                <w:szCs w:val="20"/>
                <w:highlight w:val="none"/>
              </w:rPr>
              <w:t>饮用水水源，其保护区以外的补给</w:t>
            </w:r>
            <w:r>
              <w:rPr>
                <w:rFonts w:hint="default" w:ascii="Times New Roman" w:hAnsi="Times New Roman" w:eastAsia="宋体" w:cs="Times New Roman"/>
                <w:sz w:val="20"/>
                <w:szCs w:val="20"/>
                <w:highlight w:val="none"/>
              </w:rPr>
              <w:t xml:space="preserve"> </w:t>
            </w:r>
            <w:r>
              <w:rPr>
                <w:rFonts w:hint="default" w:ascii="Times New Roman" w:hAnsi="Times New Roman" w:eastAsia="宋体" w:cs="Times New Roman"/>
                <w:spacing w:val="9"/>
                <w:sz w:val="20"/>
                <w:szCs w:val="20"/>
                <w:highlight w:val="none"/>
              </w:rPr>
              <w:t>径流区；分散式饮用水水源地；特殊地下水资源（如</w:t>
            </w:r>
            <w:r>
              <w:rPr>
                <w:rFonts w:hint="default" w:ascii="Times New Roman" w:hAnsi="Times New Roman" w:eastAsia="宋体" w:cs="Times New Roman"/>
                <w:spacing w:val="8"/>
                <w:sz w:val="20"/>
                <w:szCs w:val="20"/>
                <w:highlight w:val="none"/>
              </w:rPr>
              <w:t>矿泉水、温泉等）保护区以外的分</w:t>
            </w:r>
          </w:p>
          <w:p>
            <w:pPr>
              <w:spacing w:before="26" w:line="213" w:lineRule="auto"/>
              <w:ind w:left="1875"/>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9"/>
                <w:sz w:val="20"/>
                <w:szCs w:val="20"/>
                <w:highlight w:val="none"/>
              </w:rPr>
              <w:t>布区等其它未列入上述敏感分级的环境敏感区。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133" w:type="dxa"/>
            <w:vAlign w:val="top"/>
          </w:tcPr>
          <w:p>
            <w:pPr>
              <w:spacing w:before="34" w:line="218" w:lineRule="auto"/>
              <w:ind w:left="259"/>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不敏感</w:t>
            </w:r>
          </w:p>
        </w:tc>
        <w:tc>
          <w:tcPr>
            <w:tcW w:w="8153" w:type="dxa"/>
            <w:vAlign w:val="top"/>
          </w:tcPr>
          <w:p>
            <w:pPr>
              <w:spacing w:before="34" w:line="218" w:lineRule="auto"/>
              <w:ind w:left="2820"/>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上述地区之外的其它地区。</w:t>
            </w:r>
          </w:p>
        </w:tc>
      </w:tr>
    </w:tbl>
    <w:p>
      <w:pPr>
        <w:spacing w:before="31" w:line="239" w:lineRule="auto"/>
        <w:ind w:left="116" w:right="113"/>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11"/>
          <w:sz w:val="20"/>
          <w:szCs w:val="20"/>
          <w:highlight w:val="none"/>
          <w14:textOutline w14:w="3795" w14:cap="sq" w14:cmpd="sng">
            <w14:solidFill>
              <w14:srgbClr w14:val="000000"/>
            </w14:solidFill>
            <w14:prstDash w14:val="solid"/>
            <w14:bevel/>
          </w14:textOutline>
        </w:rPr>
        <w:t>注：表中</w:t>
      </w:r>
      <w:r>
        <w:rPr>
          <w:rFonts w:hint="default" w:ascii="Times New Roman" w:hAnsi="Times New Roman" w:eastAsia="Times New Roman" w:cs="Times New Roman"/>
          <w:b/>
          <w:bCs/>
          <w:spacing w:val="11"/>
          <w:sz w:val="20"/>
          <w:szCs w:val="20"/>
          <w:highlight w:val="none"/>
        </w:rPr>
        <w:t>“</w:t>
      </w:r>
      <w:r>
        <w:rPr>
          <w:rFonts w:hint="default" w:ascii="Times New Roman" w:hAnsi="Times New Roman" w:eastAsia="宋体" w:cs="Times New Roman"/>
          <w:spacing w:val="11"/>
          <w:sz w:val="20"/>
          <w:szCs w:val="20"/>
          <w:highlight w:val="none"/>
          <w14:textOutline w14:w="3795" w14:cap="sq" w14:cmpd="sng">
            <w14:solidFill>
              <w14:srgbClr w14:val="000000"/>
            </w14:solidFill>
            <w14:prstDash w14:val="solid"/>
            <w14:bevel/>
          </w14:textOutline>
        </w:rPr>
        <w:t>环境敏感区</w:t>
      </w:r>
      <w:r>
        <w:rPr>
          <w:rFonts w:hint="default" w:ascii="Times New Roman" w:hAnsi="Times New Roman" w:eastAsia="Times New Roman" w:cs="Times New Roman"/>
          <w:b/>
          <w:bCs/>
          <w:spacing w:val="11"/>
          <w:sz w:val="20"/>
          <w:szCs w:val="20"/>
          <w:highlight w:val="none"/>
        </w:rPr>
        <w:t>”</w:t>
      </w:r>
      <w:r>
        <w:rPr>
          <w:rFonts w:hint="default" w:ascii="Times New Roman" w:hAnsi="Times New Roman" w:eastAsia="宋体" w:cs="Times New Roman"/>
          <w:b/>
          <w:bCs/>
          <w:spacing w:val="11"/>
          <w:sz w:val="20"/>
          <w:szCs w:val="20"/>
          <w:highlight w:val="none"/>
          <w:lang w:val="en-US" w:eastAsia="zh-CN"/>
        </w:rPr>
        <w:t>是</w:t>
      </w:r>
      <w:r>
        <w:rPr>
          <w:rFonts w:hint="default" w:ascii="Times New Roman" w:hAnsi="Times New Roman" w:eastAsia="宋体" w:cs="Times New Roman"/>
          <w:spacing w:val="11"/>
          <w:sz w:val="20"/>
          <w:szCs w:val="20"/>
          <w:highlight w:val="none"/>
          <w14:textOutline w14:w="3795" w14:cap="sq" w14:cmpd="sng">
            <w14:solidFill>
              <w14:srgbClr w14:val="000000"/>
            </w14:solidFill>
            <w14:prstDash w14:val="solid"/>
            <w14:bevel/>
          </w14:textOutline>
        </w:rPr>
        <w:t>指《建设项目环境</w:t>
      </w:r>
      <w:r>
        <w:rPr>
          <w:rFonts w:hint="default" w:ascii="Times New Roman" w:hAnsi="Times New Roman" w:eastAsia="宋体" w:cs="Times New Roman"/>
          <w:spacing w:val="10"/>
          <w:sz w:val="20"/>
          <w:szCs w:val="20"/>
          <w:highlight w:val="none"/>
          <w14:textOutline w14:w="3795" w14:cap="sq" w14:cmpd="sng">
            <w14:solidFill>
              <w14:srgbClr w14:val="000000"/>
            </w14:solidFill>
            <w14:prstDash w14:val="solid"/>
            <w14:bevel/>
          </w14:textOutline>
        </w:rPr>
        <w:t>影响评价分类管理名录》中所界定的涉及地下水的环境</w:t>
      </w:r>
      <w: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t>敏感区。</w:t>
      </w:r>
    </w:p>
    <w:p>
      <w:pPr>
        <w:spacing w:before="108" w:line="218" w:lineRule="auto"/>
        <w:ind w:left="601"/>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2"/>
          <w:sz w:val="24"/>
          <w:szCs w:val="24"/>
          <w:highlight w:val="none"/>
        </w:rPr>
        <w:t>建设项目地下水环境影响评价工作等级划分具体见表</w:t>
      </w:r>
      <w:r>
        <w:rPr>
          <w:rFonts w:hint="default" w:ascii="Times New Roman" w:hAnsi="Times New Roman" w:eastAsia="宋体" w:cs="Times New Roman"/>
          <w:spacing w:val="-16"/>
          <w:sz w:val="24"/>
          <w:szCs w:val="24"/>
          <w:highlight w:val="none"/>
        </w:rPr>
        <w:t xml:space="preserve"> </w:t>
      </w:r>
      <w:r>
        <w:rPr>
          <w:rFonts w:hint="default" w:ascii="Times New Roman" w:hAnsi="Times New Roman" w:eastAsia="宋体" w:cs="Times New Roman"/>
          <w:spacing w:val="-2"/>
          <w:sz w:val="24"/>
          <w:szCs w:val="24"/>
          <w:highlight w:val="none"/>
          <w:lang w:val="en-US" w:eastAsia="zh-CN"/>
        </w:rPr>
        <w:t>2-4-9</w:t>
      </w:r>
      <w:r>
        <w:rPr>
          <w:rFonts w:hint="default" w:ascii="Times New Roman" w:hAnsi="Times New Roman" w:eastAsia="宋体" w:cs="Times New Roman"/>
          <w:spacing w:val="-2"/>
          <w:sz w:val="24"/>
          <w:szCs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eastAsia="宋体" w:cs="Times New Roman"/>
          <w:b/>
          <w:color w:val="auto"/>
          <w:sz w:val="20"/>
          <w:szCs w:val="20"/>
          <w:highlight w:val="none"/>
        </w:rPr>
      </w:pPr>
      <w:r>
        <w:rPr>
          <w:rFonts w:hint="default" w:ascii="Times New Roman" w:hAnsi="Times New Roman" w:eastAsia="宋体" w:cs="Times New Roman"/>
          <w:b/>
          <w:color w:val="auto"/>
          <w:sz w:val="20"/>
          <w:szCs w:val="20"/>
          <w:highlight w:val="none"/>
        </w:rPr>
        <w:t>表</w:t>
      </w:r>
      <w:r>
        <w:rPr>
          <w:rFonts w:hint="default" w:ascii="Times New Roman" w:hAnsi="Times New Roman" w:eastAsia="宋体" w:cs="Times New Roman"/>
          <w:b/>
          <w:color w:val="auto"/>
          <w:sz w:val="20"/>
          <w:szCs w:val="20"/>
          <w:highlight w:val="none"/>
          <w:lang w:val="en-US" w:eastAsia="zh-CN"/>
        </w:rPr>
        <w:t>2-4-9</w:t>
      </w:r>
      <w:r>
        <w:rPr>
          <w:rFonts w:hint="default" w:ascii="Times New Roman" w:hAnsi="Times New Roman" w:eastAsia="宋体" w:cs="Times New Roman"/>
          <w:b/>
          <w:color w:val="auto"/>
          <w:sz w:val="20"/>
          <w:szCs w:val="20"/>
          <w:highlight w:val="none"/>
        </w:rPr>
        <w:t xml:space="preserve">   评价工作级别表</w:t>
      </w:r>
    </w:p>
    <w:p>
      <w:pPr>
        <w:spacing w:line="17" w:lineRule="exact"/>
        <w:rPr>
          <w:rFonts w:hint="default" w:ascii="Times New Roman" w:hAnsi="Times New Roman" w:cs="Times New Roman"/>
          <w:highlight w:val="none"/>
        </w:rPr>
      </w:pPr>
    </w:p>
    <w:tbl>
      <w:tblPr>
        <w:tblStyle w:val="34"/>
        <w:tblW w:w="9128" w:type="dxa"/>
        <w:tblInd w:w="8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27"/>
        <w:gridCol w:w="2523"/>
        <w:gridCol w:w="2189"/>
        <w:gridCol w:w="218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2" w:hRule="atLeast"/>
        </w:trPr>
        <w:tc>
          <w:tcPr>
            <w:tcW w:w="2227" w:type="dxa"/>
            <w:tcBorders>
              <w:tl2br w:val="single" w:color="000000" w:sz="4" w:space="0"/>
            </w:tcBorders>
            <w:vAlign w:val="top"/>
          </w:tcPr>
          <w:p>
            <w:pPr>
              <w:spacing w:before="54" w:line="228" w:lineRule="auto"/>
              <w:ind w:right="27"/>
              <w:jc w:val="right"/>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项目类别</w:t>
            </w:r>
          </w:p>
          <w:p>
            <w:pPr>
              <w:spacing w:before="64" w:line="228" w:lineRule="auto"/>
              <w:ind w:left="36"/>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敏感程度</w:t>
            </w:r>
          </w:p>
        </w:tc>
        <w:tc>
          <w:tcPr>
            <w:tcW w:w="2523" w:type="dxa"/>
            <w:vAlign w:val="top"/>
          </w:tcPr>
          <w:p>
            <w:pPr>
              <w:spacing w:before="210" w:line="228" w:lineRule="auto"/>
              <w:ind w:left="913"/>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6"/>
                <w:sz w:val="20"/>
                <w:szCs w:val="20"/>
                <w:highlight w:val="none"/>
              </w:rPr>
              <w:t>Ⅰ</w:t>
            </w:r>
            <w:r>
              <w:rPr>
                <w:rFonts w:hint="default" w:ascii="Times New Roman" w:hAnsi="Times New Roman" w:eastAsia="宋体" w:cs="Times New Roman"/>
                <w:spacing w:val="6"/>
                <w:sz w:val="20"/>
                <w:szCs w:val="20"/>
                <w:highlight w:val="none"/>
              </w:rPr>
              <w:t>类项目</w:t>
            </w:r>
          </w:p>
        </w:tc>
        <w:tc>
          <w:tcPr>
            <w:tcW w:w="2189" w:type="dxa"/>
            <w:vAlign w:val="top"/>
          </w:tcPr>
          <w:p>
            <w:pPr>
              <w:spacing w:before="210" w:line="228" w:lineRule="auto"/>
              <w:ind w:left="716"/>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7"/>
                <w:sz w:val="20"/>
                <w:szCs w:val="20"/>
                <w:highlight w:val="none"/>
              </w:rPr>
              <w:t>Ⅱ</w:t>
            </w:r>
            <w:r>
              <w:rPr>
                <w:rFonts w:hint="default" w:ascii="Times New Roman" w:hAnsi="Times New Roman" w:eastAsia="宋体" w:cs="Times New Roman"/>
                <w:spacing w:val="7"/>
                <w:sz w:val="20"/>
                <w:szCs w:val="20"/>
                <w:highlight w:val="none"/>
              </w:rPr>
              <w:t>类项目</w:t>
            </w:r>
          </w:p>
        </w:tc>
        <w:tc>
          <w:tcPr>
            <w:tcW w:w="2189" w:type="dxa"/>
            <w:vAlign w:val="top"/>
          </w:tcPr>
          <w:p>
            <w:pPr>
              <w:spacing w:before="210" w:line="228" w:lineRule="auto"/>
              <w:ind w:left="679"/>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8"/>
                <w:sz w:val="20"/>
                <w:szCs w:val="20"/>
                <w:highlight w:val="none"/>
              </w:rPr>
              <w:t>Ⅲ</w:t>
            </w:r>
            <w:r>
              <w:rPr>
                <w:rFonts w:hint="default" w:ascii="Times New Roman" w:hAnsi="Times New Roman" w:eastAsia="宋体" w:cs="Times New Roman"/>
                <w:spacing w:val="8"/>
                <w:sz w:val="20"/>
                <w:szCs w:val="20"/>
                <w:highlight w:val="none"/>
              </w:rPr>
              <w:t>类项目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2227" w:type="dxa"/>
            <w:vAlign w:val="top"/>
          </w:tcPr>
          <w:p>
            <w:pPr>
              <w:spacing w:before="65" w:line="228" w:lineRule="auto"/>
              <w:ind w:left="909"/>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敏感</w:t>
            </w:r>
          </w:p>
        </w:tc>
        <w:tc>
          <w:tcPr>
            <w:tcW w:w="2523" w:type="dxa"/>
            <w:vAlign w:val="top"/>
          </w:tcPr>
          <w:p>
            <w:pPr>
              <w:spacing w:before="144" w:line="156" w:lineRule="exact"/>
              <w:ind w:left="1164"/>
              <w:rPr>
                <w:rFonts w:hint="default" w:ascii="Times New Roman" w:hAnsi="Times New Roman" w:eastAsia="宋体" w:cs="Times New Roman"/>
                <w:sz w:val="20"/>
                <w:szCs w:val="20"/>
                <w:highlight w:val="none"/>
              </w:rPr>
            </w:pPr>
            <w:r>
              <w:rPr>
                <w:rFonts w:hint="default" w:ascii="Times New Roman" w:hAnsi="Times New Roman" w:eastAsia="宋体" w:cs="Times New Roman"/>
                <w:position w:val="-4"/>
                <w:sz w:val="20"/>
                <w:szCs w:val="20"/>
                <w:highlight w:val="none"/>
              </w:rPr>
              <w:t>一</w:t>
            </w:r>
          </w:p>
        </w:tc>
        <w:tc>
          <w:tcPr>
            <w:tcW w:w="2189" w:type="dxa"/>
            <w:vAlign w:val="top"/>
          </w:tcPr>
          <w:p>
            <w:pPr>
              <w:spacing w:before="144" w:line="156" w:lineRule="exact"/>
              <w:ind w:left="998"/>
              <w:rPr>
                <w:rFonts w:hint="default" w:ascii="Times New Roman" w:hAnsi="Times New Roman" w:eastAsia="宋体" w:cs="Times New Roman"/>
                <w:sz w:val="20"/>
                <w:szCs w:val="20"/>
                <w:highlight w:val="none"/>
              </w:rPr>
            </w:pPr>
            <w:r>
              <w:rPr>
                <w:rFonts w:hint="default" w:ascii="Times New Roman" w:hAnsi="Times New Roman" w:eastAsia="宋体" w:cs="Times New Roman"/>
                <w:position w:val="-4"/>
                <w:sz w:val="20"/>
                <w:szCs w:val="20"/>
                <w:highlight w:val="none"/>
              </w:rPr>
              <w:t>一</w:t>
            </w:r>
          </w:p>
        </w:tc>
        <w:tc>
          <w:tcPr>
            <w:tcW w:w="2189" w:type="dxa"/>
            <w:vAlign w:val="top"/>
          </w:tcPr>
          <w:p>
            <w:pPr>
              <w:spacing w:before="105" w:line="183" w:lineRule="auto"/>
              <w:ind w:left="998"/>
              <w:rPr>
                <w:rFonts w:hint="default" w:ascii="Times New Roman" w:hAnsi="Times New Roman" w:eastAsia="宋体" w:cs="Times New Roman"/>
                <w:sz w:val="20"/>
                <w:szCs w:val="20"/>
                <w:highlight w:val="none"/>
              </w:rPr>
            </w:pPr>
            <w:r>
              <w:rPr>
                <w:rFonts w:hint="default" w:ascii="Times New Roman" w:hAnsi="Times New Roman" w:eastAsia="宋体" w:cs="Times New Roman"/>
                <w:sz w:val="20"/>
                <w:szCs w:val="20"/>
                <w:highlight w:val="none"/>
              </w:rPr>
              <w:t>二</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2227" w:type="dxa"/>
            <w:vAlign w:val="top"/>
          </w:tcPr>
          <w:p>
            <w:pPr>
              <w:spacing w:before="67" w:line="228" w:lineRule="auto"/>
              <w:ind w:left="805"/>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较敏感</w:t>
            </w:r>
          </w:p>
        </w:tc>
        <w:tc>
          <w:tcPr>
            <w:tcW w:w="2523" w:type="dxa"/>
            <w:vAlign w:val="top"/>
          </w:tcPr>
          <w:p>
            <w:pPr>
              <w:spacing w:before="145" w:line="156" w:lineRule="exact"/>
              <w:ind w:left="1164"/>
              <w:rPr>
                <w:rFonts w:hint="default" w:ascii="Times New Roman" w:hAnsi="Times New Roman" w:eastAsia="宋体" w:cs="Times New Roman"/>
                <w:sz w:val="20"/>
                <w:szCs w:val="20"/>
                <w:highlight w:val="none"/>
              </w:rPr>
            </w:pPr>
            <w:r>
              <w:rPr>
                <w:rFonts w:hint="default" w:ascii="Times New Roman" w:hAnsi="Times New Roman" w:eastAsia="宋体" w:cs="Times New Roman"/>
                <w:position w:val="-4"/>
                <w:sz w:val="20"/>
                <w:szCs w:val="20"/>
                <w:highlight w:val="none"/>
              </w:rPr>
              <w:t>一</w:t>
            </w:r>
          </w:p>
        </w:tc>
        <w:tc>
          <w:tcPr>
            <w:tcW w:w="2189" w:type="dxa"/>
            <w:vAlign w:val="top"/>
          </w:tcPr>
          <w:p>
            <w:pPr>
              <w:spacing w:before="106" w:line="183" w:lineRule="auto"/>
              <w:ind w:left="998"/>
              <w:rPr>
                <w:rFonts w:hint="default" w:ascii="Times New Roman" w:hAnsi="Times New Roman" w:eastAsia="宋体" w:cs="Times New Roman"/>
                <w:sz w:val="20"/>
                <w:szCs w:val="20"/>
                <w:highlight w:val="none"/>
              </w:rPr>
            </w:pPr>
            <w:r>
              <w:rPr>
                <w:rFonts w:hint="default" w:ascii="Times New Roman" w:hAnsi="Times New Roman" w:eastAsia="宋体" w:cs="Times New Roman"/>
                <w:sz w:val="20"/>
                <w:szCs w:val="20"/>
                <w:highlight w:val="none"/>
              </w:rPr>
              <w:t>二</w:t>
            </w:r>
          </w:p>
        </w:tc>
        <w:tc>
          <w:tcPr>
            <w:tcW w:w="2189" w:type="dxa"/>
            <w:shd w:val="clear" w:color="auto" w:fill="CFCECE"/>
            <w:vAlign w:val="top"/>
          </w:tcPr>
          <w:p>
            <w:pPr>
              <w:spacing w:before="67" w:line="265" w:lineRule="exact"/>
              <w:ind w:left="994"/>
              <w:rPr>
                <w:rFonts w:hint="default" w:ascii="Times New Roman" w:hAnsi="Times New Roman" w:eastAsia="宋体" w:cs="Times New Roman"/>
                <w:sz w:val="20"/>
                <w:szCs w:val="20"/>
                <w:highlight w:val="none"/>
              </w:rPr>
            </w:pPr>
            <w:r>
              <w:rPr>
                <w:rFonts w:hint="default" w:ascii="Times New Roman" w:hAnsi="Times New Roman" w:eastAsia="宋体" w:cs="Times New Roman"/>
                <w:position w:val="1"/>
                <w:sz w:val="20"/>
                <w:szCs w:val="20"/>
                <w:highlight w:val="none"/>
              </w:rPr>
              <w:t>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2227" w:type="dxa"/>
            <w:vAlign w:val="top"/>
          </w:tcPr>
          <w:p>
            <w:pPr>
              <w:spacing w:before="68" w:line="228" w:lineRule="auto"/>
              <w:ind w:left="809"/>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不敏感</w:t>
            </w:r>
          </w:p>
        </w:tc>
        <w:tc>
          <w:tcPr>
            <w:tcW w:w="2523" w:type="dxa"/>
            <w:vAlign w:val="top"/>
          </w:tcPr>
          <w:p>
            <w:pPr>
              <w:spacing w:before="108" w:line="183" w:lineRule="auto"/>
              <w:ind w:left="1164"/>
              <w:rPr>
                <w:rFonts w:hint="default" w:ascii="Times New Roman" w:hAnsi="Times New Roman" w:eastAsia="宋体" w:cs="Times New Roman"/>
                <w:sz w:val="20"/>
                <w:szCs w:val="20"/>
                <w:highlight w:val="none"/>
              </w:rPr>
            </w:pPr>
            <w:r>
              <w:rPr>
                <w:rFonts w:hint="default" w:ascii="Times New Roman" w:hAnsi="Times New Roman" w:eastAsia="宋体" w:cs="Times New Roman"/>
                <w:sz w:val="20"/>
                <w:szCs w:val="20"/>
                <w:highlight w:val="none"/>
              </w:rPr>
              <w:t>二</w:t>
            </w:r>
          </w:p>
        </w:tc>
        <w:tc>
          <w:tcPr>
            <w:tcW w:w="2189" w:type="dxa"/>
            <w:vAlign w:val="top"/>
          </w:tcPr>
          <w:p>
            <w:pPr>
              <w:spacing w:before="68" w:line="266" w:lineRule="exact"/>
              <w:ind w:left="994"/>
              <w:rPr>
                <w:rFonts w:hint="default" w:ascii="Times New Roman" w:hAnsi="Times New Roman" w:eastAsia="宋体" w:cs="Times New Roman"/>
                <w:sz w:val="20"/>
                <w:szCs w:val="20"/>
                <w:highlight w:val="none"/>
              </w:rPr>
            </w:pPr>
            <w:r>
              <w:rPr>
                <w:rFonts w:hint="default" w:ascii="Times New Roman" w:hAnsi="Times New Roman" w:eastAsia="宋体" w:cs="Times New Roman"/>
                <w:position w:val="1"/>
                <w:sz w:val="20"/>
                <w:szCs w:val="20"/>
                <w:highlight w:val="none"/>
              </w:rPr>
              <w:t>三</w:t>
            </w:r>
          </w:p>
        </w:tc>
        <w:tc>
          <w:tcPr>
            <w:tcW w:w="2189" w:type="dxa"/>
            <w:vAlign w:val="top"/>
          </w:tcPr>
          <w:p>
            <w:pPr>
              <w:spacing w:before="68" w:line="266" w:lineRule="exact"/>
              <w:ind w:left="994"/>
              <w:rPr>
                <w:rFonts w:hint="default" w:ascii="Times New Roman" w:hAnsi="Times New Roman" w:eastAsia="宋体" w:cs="Times New Roman"/>
                <w:sz w:val="20"/>
                <w:szCs w:val="20"/>
                <w:highlight w:val="none"/>
              </w:rPr>
            </w:pPr>
            <w:r>
              <w:rPr>
                <w:rFonts w:hint="default" w:ascii="Times New Roman" w:hAnsi="Times New Roman" w:eastAsia="宋体" w:cs="Times New Roman"/>
                <w:position w:val="1"/>
                <w:sz w:val="20"/>
                <w:szCs w:val="20"/>
                <w:highlight w:val="none"/>
              </w:rPr>
              <w:t>三</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jc w:val="both"/>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1"/>
          <w:sz w:val="24"/>
          <w:szCs w:val="24"/>
          <w:highlight w:val="none"/>
        </w:rPr>
        <w:t>本项目属于</w:t>
      </w:r>
      <w:r>
        <w:rPr>
          <w:rFonts w:hint="default" w:ascii="Times New Roman" w:hAnsi="Times New Roman" w:eastAsia="Times New Roman" w:cs="Times New Roman"/>
          <w:spacing w:val="-1"/>
          <w:sz w:val="24"/>
          <w:szCs w:val="24"/>
          <w:highlight w:val="none"/>
        </w:rPr>
        <w:t>Ⅲ</w:t>
      </w:r>
      <w:r>
        <w:rPr>
          <w:rFonts w:hint="default" w:ascii="Times New Roman" w:hAnsi="Times New Roman" w:eastAsia="宋体" w:cs="Times New Roman"/>
          <w:spacing w:val="-1"/>
          <w:sz w:val="24"/>
          <w:szCs w:val="24"/>
          <w:highlight w:val="none"/>
        </w:rPr>
        <w:t>类项目。经调查，建设项目不属于集</w:t>
      </w:r>
      <w:r>
        <w:rPr>
          <w:rFonts w:hint="default" w:ascii="Times New Roman" w:hAnsi="Times New Roman" w:eastAsia="宋体" w:cs="Times New Roman"/>
          <w:spacing w:val="-2"/>
          <w:sz w:val="24"/>
          <w:szCs w:val="24"/>
          <w:highlight w:val="none"/>
        </w:rPr>
        <w:t>中式饮用水水源地准保护区及准保护区以外的补给径流区，除集中式饮用水水源以外的国家或地方政府设定的与地下水环境相关的其他保护区（如热水、矿泉水、温泉等特殊地下水资源保护区等其他未列入</w:t>
      </w:r>
      <w:r>
        <w:rPr>
          <w:rFonts w:hint="default" w:ascii="Times New Roman" w:hAnsi="Times New Roman" w:eastAsia="宋体" w:cs="Times New Roman"/>
          <w:spacing w:val="-1"/>
          <w:sz w:val="24"/>
          <w:szCs w:val="24"/>
          <w:highlight w:val="none"/>
        </w:rPr>
        <w:t>上述敏感分级的环境敏感区</w:t>
      </w:r>
      <w:r>
        <w:rPr>
          <w:rFonts w:hint="default" w:ascii="Times New Roman" w:hAnsi="Times New Roman" w:eastAsia="宋体" w:cs="Times New Roman"/>
          <w:spacing w:val="-9"/>
          <w:sz w:val="24"/>
          <w:szCs w:val="24"/>
          <w:highlight w:val="none"/>
        </w:rPr>
        <w:t>），</w:t>
      </w:r>
      <w:r>
        <w:rPr>
          <w:rFonts w:hint="default" w:ascii="Times New Roman" w:hAnsi="Times New Roman" w:eastAsia="宋体" w:cs="Times New Roman"/>
          <w:spacing w:val="-1"/>
          <w:sz w:val="24"/>
          <w:szCs w:val="24"/>
          <w:highlight w:val="none"/>
        </w:rPr>
        <w:t>未划定准保护区的集中式饮用水水源，其保</w:t>
      </w:r>
      <w:r>
        <w:rPr>
          <w:rFonts w:hint="default" w:ascii="Times New Roman" w:hAnsi="Times New Roman" w:eastAsia="宋体" w:cs="Times New Roman"/>
          <w:spacing w:val="-2"/>
          <w:sz w:val="24"/>
          <w:szCs w:val="24"/>
          <w:highlight w:val="none"/>
        </w:rPr>
        <w:t>护区以外的</w:t>
      </w:r>
      <w:r>
        <w:rPr>
          <w:rFonts w:hint="default" w:ascii="Times New Roman" w:hAnsi="Times New Roman" w:eastAsia="宋体" w:cs="Times New Roman"/>
          <w:sz w:val="24"/>
          <w:szCs w:val="24"/>
          <w:highlight w:val="none"/>
        </w:rPr>
        <w:t xml:space="preserve"> </w:t>
      </w:r>
      <w:r>
        <w:rPr>
          <w:rFonts w:hint="default" w:ascii="Times New Roman" w:hAnsi="Times New Roman" w:eastAsia="宋体" w:cs="Times New Roman"/>
          <w:spacing w:val="1"/>
          <w:sz w:val="24"/>
          <w:szCs w:val="24"/>
          <w:highlight w:val="none"/>
        </w:rPr>
        <w:t>补给径流区，但</w:t>
      </w:r>
      <w:r>
        <w:rPr>
          <w:rFonts w:hint="default" w:ascii="Times New Roman" w:hAnsi="Times New Roman" w:eastAsia="宋体" w:cs="Times New Roman"/>
          <w:spacing w:val="-47"/>
          <w:sz w:val="24"/>
          <w:szCs w:val="24"/>
          <w:highlight w:val="none"/>
        </w:rPr>
        <w:t xml:space="preserve"> </w:t>
      </w:r>
      <w:r>
        <w:rPr>
          <w:rFonts w:hint="default" w:ascii="Times New Roman" w:hAnsi="Times New Roman" w:eastAsia="Times New Roman" w:cs="Times New Roman"/>
          <w:spacing w:val="1"/>
          <w:sz w:val="24"/>
          <w:szCs w:val="24"/>
          <w:highlight w:val="none"/>
        </w:rPr>
        <w:t>6</w:t>
      </w:r>
      <w:r>
        <w:rPr>
          <w:rFonts w:hint="default" w:ascii="Times New Roman" w:hAnsi="Times New Roman" w:eastAsia="Times New Roman" w:cs="Times New Roman"/>
          <w:sz w:val="24"/>
          <w:szCs w:val="24"/>
          <w:highlight w:val="none"/>
        </w:rPr>
        <w:t>km</w:t>
      </w:r>
      <w:r>
        <w:rPr>
          <w:rFonts w:hint="default" w:ascii="Times New Roman" w:hAnsi="Times New Roman" w:eastAsia="Times New Roman" w:cs="Times New Roman"/>
          <w:spacing w:val="1"/>
          <w:position w:val="8"/>
          <w:sz w:val="15"/>
          <w:szCs w:val="15"/>
          <w:highlight w:val="none"/>
        </w:rPr>
        <w:t>2</w:t>
      </w:r>
      <w:r>
        <w:rPr>
          <w:rFonts w:hint="default" w:ascii="Times New Roman" w:hAnsi="Times New Roman" w:eastAsia="Times New Roman" w:cs="Times New Roman"/>
          <w:spacing w:val="17"/>
          <w:position w:val="8"/>
          <w:sz w:val="15"/>
          <w:szCs w:val="15"/>
          <w:highlight w:val="none"/>
        </w:rPr>
        <w:t xml:space="preserve"> </w:t>
      </w:r>
      <w:r>
        <w:rPr>
          <w:rFonts w:hint="default" w:ascii="Times New Roman" w:hAnsi="Times New Roman" w:eastAsia="宋体" w:cs="Times New Roman"/>
          <w:spacing w:val="1"/>
          <w:sz w:val="24"/>
          <w:szCs w:val="24"/>
          <w:highlight w:val="none"/>
        </w:rPr>
        <w:t>范围内存在农户分散式饮用水水源，因此判定建设项</w:t>
      </w:r>
      <w:r>
        <w:rPr>
          <w:rFonts w:hint="default" w:ascii="Times New Roman" w:hAnsi="Times New Roman" w:eastAsia="宋体" w:cs="Times New Roman"/>
          <w:sz w:val="24"/>
          <w:szCs w:val="24"/>
          <w:highlight w:val="none"/>
        </w:rPr>
        <w:t>目地下水环</w:t>
      </w:r>
      <w:r>
        <w:rPr>
          <w:rFonts w:hint="default" w:ascii="Times New Roman" w:hAnsi="Times New Roman" w:eastAsia="宋体" w:cs="Times New Roman"/>
          <w:spacing w:val="-1"/>
          <w:sz w:val="24"/>
          <w:szCs w:val="24"/>
          <w:highlight w:val="none"/>
        </w:rPr>
        <w:t>境敏感程度为</w:t>
      </w:r>
      <w:r>
        <w:rPr>
          <w:rFonts w:hint="default" w:ascii="Times New Roman" w:hAnsi="Times New Roman" w:eastAsia="Times New Roman" w:cs="Times New Roman"/>
          <w:spacing w:val="-1"/>
          <w:sz w:val="24"/>
          <w:szCs w:val="24"/>
          <w:highlight w:val="none"/>
        </w:rPr>
        <w:t>“</w:t>
      </w:r>
      <w:r>
        <w:rPr>
          <w:rFonts w:hint="default" w:ascii="Times New Roman" w:hAnsi="Times New Roman" w:eastAsia="宋体" w:cs="Times New Roman"/>
          <w:spacing w:val="-1"/>
          <w:sz w:val="24"/>
          <w:szCs w:val="24"/>
          <w:highlight w:val="none"/>
        </w:rPr>
        <w:t>较敏感</w:t>
      </w:r>
      <w:r>
        <w:rPr>
          <w:rFonts w:hint="default" w:ascii="Times New Roman" w:hAnsi="Times New Roman" w:eastAsia="Times New Roman" w:cs="Times New Roman"/>
          <w:spacing w:val="-1"/>
          <w:sz w:val="24"/>
          <w:szCs w:val="24"/>
          <w:highlight w:val="none"/>
        </w:rPr>
        <w:t>”</w:t>
      </w:r>
      <w:r>
        <w:rPr>
          <w:rFonts w:hint="default" w:ascii="Times New Roman" w:hAnsi="Times New Roman" w:eastAsia="宋体" w:cs="Times New Roman"/>
          <w:spacing w:val="-1"/>
          <w:sz w:val="24"/>
          <w:szCs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pacing w:val="-3"/>
          <w:position w:val="17"/>
          <w:sz w:val="24"/>
          <w:szCs w:val="24"/>
          <w:highlight w:val="none"/>
        </w:rPr>
      </w:pPr>
      <w:r>
        <w:rPr>
          <w:rFonts w:hint="default" w:ascii="Times New Roman" w:hAnsi="Times New Roman" w:eastAsia="宋体" w:cs="Times New Roman"/>
          <w:spacing w:val="-3"/>
          <w:position w:val="17"/>
          <w:sz w:val="24"/>
          <w:szCs w:val="24"/>
          <w:highlight w:val="none"/>
        </w:rPr>
        <w:t>由此，可根据表</w:t>
      </w:r>
      <w:r>
        <w:rPr>
          <w:rFonts w:hint="default" w:ascii="Times New Roman" w:hAnsi="Times New Roman" w:eastAsia="宋体" w:cs="Times New Roman"/>
          <w:spacing w:val="-25"/>
          <w:position w:val="17"/>
          <w:sz w:val="24"/>
          <w:szCs w:val="24"/>
          <w:highlight w:val="none"/>
        </w:rPr>
        <w:t xml:space="preserve"> </w:t>
      </w:r>
      <w:r>
        <w:rPr>
          <w:rFonts w:hint="default" w:ascii="Times New Roman" w:hAnsi="Times New Roman" w:eastAsia="宋体" w:cs="Times New Roman"/>
          <w:spacing w:val="-3"/>
          <w:position w:val="17"/>
          <w:sz w:val="24"/>
          <w:szCs w:val="24"/>
          <w:highlight w:val="none"/>
          <w:lang w:val="en-US" w:eastAsia="zh-CN"/>
        </w:rPr>
        <w:t>2-4-9</w:t>
      </w:r>
      <w:r>
        <w:rPr>
          <w:rFonts w:hint="default" w:ascii="Times New Roman" w:hAnsi="Times New Roman" w:eastAsia="宋体" w:cs="Times New Roman"/>
          <w:spacing w:val="-3"/>
          <w:position w:val="17"/>
          <w:sz w:val="24"/>
          <w:szCs w:val="24"/>
          <w:highlight w:val="none"/>
        </w:rPr>
        <w:t>，综合判定本项目地下水环境影响评价等级为三级。</w:t>
      </w:r>
    </w:p>
    <w:p>
      <w:pPr>
        <w:widowControl/>
        <w:autoSpaceDE w:val="0"/>
        <w:autoSpaceDN w:val="0"/>
        <w:spacing w:line="360" w:lineRule="auto"/>
        <w:ind w:firstLine="480" w:firstLineChars="200"/>
        <w:textAlignment w:val="baseline"/>
        <w:outlineLvl w:val="1"/>
        <w:rPr>
          <w:rFonts w:hint="default" w:ascii="Times New Roman" w:hAnsi="Times New Roman" w:cs="Times New Roman"/>
          <w:color w:val="auto"/>
          <w:kern w:val="24"/>
          <w:sz w:val="24"/>
          <w:highlight w:val="none"/>
        </w:rPr>
      </w:pPr>
      <w:bookmarkStart w:id="40" w:name="_Toc6855"/>
      <w:bookmarkStart w:id="41" w:name="_Toc298"/>
      <w:bookmarkStart w:id="42" w:name="_Toc519"/>
      <w:r>
        <w:rPr>
          <w:rFonts w:hint="default" w:ascii="Times New Roman" w:hAnsi="Times New Roman" w:cs="Times New Roman"/>
          <w:color w:val="auto"/>
          <w:kern w:val="24"/>
          <w:sz w:val="24"/>
          <w:highlight w:val="none"/>
          <w:lang w:eastAsia="zh-CN"/>
        </w:rPr>
        <w:t>（</w:t>
      </w:r>
      <w:r>
        <w:rPr>
          <w:rFonts w:hint="default" w:ascii="Times New Roman" w:hAnsi="Times New Roman" w:cs="Times New Roman"/>
          <w:color w:val="auto"/>
          <w:kern w:val="24"/>
          <w:sz w:val="24"/>
          <w:highlight w:val="none"/>
          <w:lang w:val="en-US" w:eastAsia="zh-CN"/>
        </w:rPr>
        <w:t>2</w:t>
      </w:r>
      <w:r>
        <w:rPr>
          <w:rFonts w:hint="default" w:ascii="Times New Roman" w:hAnsi="Times New Roman" w:cs="Times New Roman"/>
          <w:color w:val="auto"/>
          <w:kern w:val="24"/>
          <w:sz w:val="24"/>
          <w:highlight w:val="none"/>
          <w:lang w:eastAsia="zh-CN"/>
        </w:rPr>
        <w:t>）</w:t>
      </w:r>
      <w:r>
        <w:rPr>
          <w:rFonts w:hint="default" w:ascii="Times New Roman" w:hAnsi="Times New Roman" w:cs="Times New Roman"/>
          <w:color w:val="auto"/>
          <w:kern w:val="24"/>
          <w:sz w:val="24"/>
          <w:highlight w:val="none"/>
        </w:rPr>
        <w:t>评价范围</w:t>
      </w:r>
      <w:bookmarkEnd w:id="40"/>
      <w:bookmarkEnd w:id="41"/>
      <w:bookmarkEnd w:id="42"/>
    </w:p>
    <w:p>
      <w:pPr>
        <w:widowControl/>
        <w:autoSpaceDE w:val="0"/>
        <w:autoSpaceDN w:val="0"/>
        <w:spacing w:line="360" w:lineRule="auto"/>
        <w:ind w:firstLine="480" w:firstLineChars="200"/>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sz w:val="24"/>
          <w:highlight w:val="none"/>
        </w:rPr>
        <w:t>地下水质点运移距离计算公式：</w:t>
      </w:r>
    </w:p>
    <w:p>
      <w:pPr>
        <w:widowControl/>
        <w:autoSpaceDE w:val="0"/>
        <w:autoSpaceDN w:val="0"/>
        <w:spacing w:line="360" w:lineRule="auto"/>
        <w:ind w:firstLine="480" w:firstLineChars="200"/>
        <w:textAlignment w:val="baseline"/>
        <w:rPr>
          <w:rFonts w:hint="default" w:ascii="Times New Roman" w:hAnsi="Times New Roman" w:cs="Times New Roman"/>
          <w:color w:val="auto"/>
          <w:kern w:val="24"/>
          <w:sz w:val="24"/>
          <w:highlight w:val="none"/>
          <w:vertAlign w:val="subscript"/>
        </w:rPr>
      </w:pPr>
      <w:r>
        <w:rPr>
          <w:rFonts w:hint="default" w:ascii="Times New Roman" w:hAnsi="Times New Roman" w:cs="Times New Roman"/>
          <w:color w:val="auto"/>
          <w:kern w:val="24"/>
          <w:sz w:val="24"/>
          <w:highlight w:val="none"/>
        </w:rPr>
        <w:t>L＝α×K×I×T/n</w:t>
      </w:r>
      <w:r>
        <w:rPr>
          <w:rFonts w:hint="default" w:ascii="Times New Roman" w:hAnsi="Times New Roman" w:cs="Times New Roman"/>
          <w:color w:val="auto"/>
          <w:kern w:val="24"/>
          <w:sz w:val="24"/>
          <w:highlight w:val="none"/>
          <w:vertAlign w:val="subscript"/>
        </w:rPr>
        <w:t>e</w:t>
      </w:r>
    </w:p>
    <w:p>
      <w:pPr>
        <w:widowControl/>
        <w:autoSpaceDE w:val="0"/>
        <w:autoSpaceDN w:val="0"/>
        <w:spacing w:line="360" w:lineRule="auto"/>
        <w:ind w:firstLine="480" w:firstLineChars="200"/>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sz w:val="24"/>
          <w:highlight w:val="none"/>
        </w:rPr>
        <w:t>式中：L—下游迁移距离，m；</w:t>
      </w:r>
    </w:p>
    <w:p>
      <w:pPr>
        <w:widowControl/>
        <w:autoSpaceDE w:val="0"/>
        <w:autoSpaceDN w:val="0"/>
        <w:spacing w:line="360" w:lineRule="auto"/>
        <w:ind w:firstLine="480" w:firstLineChars="200"/>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sz w:val="24"/>
          <w:highlight w:val="none"/>
        </w:rPr>
        <w:t>α—变化系数，α≥1，一般取2；</w:t>
      </w:r>
    </w:p>
    <w:p>
      <w:pPr>
        <w:widowControl/>
        <w:autoSpaceDE w:val="0"/>
        <w:autoSpaceDN w:val="0"/>
        <w:spacing w:line="360" w:lineRule="auto"/>
        <w:ind w:left="479" w:leftChars="228"/>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sz w:val="24"/>
          <w:highlight w:val="none"/>
        </w:rPr>
        <w:t>K—渗透系数，m/d，取</w:t>
      </w:r>
      <w:r>
        <w:rPr>
          <w:rFonts w:hint="eastAsia" w:ascii="Times New Roman" w:hAnsi="Times New Roman" w:cs="Times New Roman"/>
          <w:color w:val="auto"/>
          <w:kern w:val="24"/>
          <w:sz w:val="24"/>
          <w:highlight w:val="none"/>
          <w:lang w:val="en-US" w:eastAsia="zh-CN"/>
        </w:rPr>
        <w:t>5</w:t>
      </w:r>
      <w:r>
        <w:rPr>
          <w:rFonts w:hint="default" w:ascii="Times New Roman" w:hAnsi="Times New Roman" w:cs="Times New Roman"/>
          <w:color w:val="auto"/>
          <w:kern w:val="24"/>
          <w:sz w:val="24"/>
          <w:highlight w:val="none"/>
        </w:rPr>
        <w:t>；</w:t>
      </w:r>
    </w:p>
    <w:p>
      <w:pPr>
        <w:widowControl/>
        <w:autoSpaceDE w:val="0"/>
        <w:autoSpaceDN w:val="0"/>
        <w:spacing w:line="360" w:lineRule="auto"/>
        <w:ind w:left="479" w:leftChars="228"/>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sz w:val="24"/>
          <w:highlight w:val="none"/>
        </w:rPr>
        <w:t>I—水力坡度，无量纲，取</w:t>
      </w:r>
      <w:r>
        <w:rPr>
          <w:rFonts w:hint="eastAsia" w:ascii="Times New Roman" w:hAnsi="Times New Roman" w:eastAsia="宋体" w:cs="Times New Roman"/>
          <w:color w:val="auto"/>
          <w:kern w:val="24"/>
          <w:sz w:val="24"/>
          <w:highlight w:val="none"/>
          <w:lang w:val="en-US" w:eastAsia="zh-CN"/>
        </w:rPr>
        <w:t>0.1</w:t>
      </w:r>
      <w:r>
        <w:rPr>
          <w:rFonts w:hint="default" w:ascii="Times New Roman" w:hAnsi="Times New Roman" w:cs="Times New Roman"/>
          <w:color w:val="auto"/>
          <w:kern w:val="24"/>
          <w:sz w:val="24"/>
          <w:highlight w:val="none"/>
        </w:rPr>
        <w:t>%；</w:t>
      </w:r>
    </w:p>
    <w:p>
      <w:pPr>
        <w:widowControl/>
        <w:autoSpaceDE w:val="0"/>
        <w:autoSpaceDN w:val="0"/>
        <w:spacing w:line="360" w:lineRule="auto"/>
        <w:ind w:firstLine="480" w:firstLineChars="200"/>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sz w:val="24"/>
          <w:highlight w:val="none"/>
        </w:rPr>
        <w:t>T—质点迁移天数，5000d；</w:t>
      </w:r>
    </w:p>
    <w:p>
      <w:pPr>
        <w:widowControl/>
        <w:autoSpaceDE w:val="0"/>
        <w:autoSpaceDN w:val="0"/>
        <w:spacing w:line="360" w:lineRule="auto"/>
        <w:ind w:firstLine="480" w:firstLineChars="200"/>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sz w:val="24"/>
          <w:highlight w:val="none"/>
        </w:rPr>
        <w:t>ne—有效孔隙度，无量纲，取0.</w:t>
      </w:r>
      <w:r>
        <w:rPr>
          <w:rFonts w:hint="eastAsia" w:ascii="Times New Roman" w:hAnsi="Times New Roman" w:cs="Times New Roman"/>
          <w:color w:val="auto"/>
          <w:kern w:val="24"/>
          <w:sz w:val="24"/>
          <w:highlight w:val="none"/>
          <w:lang w:val="en-US" w:eastAsia="zh-CN"/>
        </w:rPr>
        <w:t>2</w:t>
      </w:r>
      <w:r>
        <w:rPr>
          <w:rFonts w:hint="default" w:ascii="Times New Roman" w:hAnsi="Times New Roman" w:cs="Times New Roman"/>
          <w:color w:val="auto"/>
          <w:kern w:val="24"/>
          <w:sz w:val="24"/>
          <w:highlight w:val="none"/>
        </w:rPr>
        <w:t>。</w:t>
      </w:r>
    </w:p>
    <w:p>
      <w:pPr>
        <w:widowControl/>
        <w:autoSpaceDE w:val="0"/>
        <w:autoSpaceDN w:val="0"/>
        <w:spacing w:line="360" w:lineRule="auto"/>
        <w:ind w:firstLine="480" w:firstLineChars="200"/>
        <w:jc w:val="both"/>
        <w:textAlignment w:val="baseline"/>
        <w:rPr>
          <w:rFonts w:hint="default" w:ascii="Times New Roman" w:hAnsi="Times New Roman" w:cs="Times New Roman"/>
          <w:color w:val="auto"/>
          <w:kern w:val="24"/>
          <w:sz w:val="24"/>
        </w:rPr>
      </w:pPr>
      <w:r>
        <w:rPr>
          <w:rFonts w:hint="default" w:ascii="Times New Roman" w:hAnsi="Times New Roman" w:cs="Times New Roman"/>
          <w:color w:val="auto"/>
          <w:kern w:val="24"/>
          <w:sz w:val="24"/>
        </w:rPr>
        <w:t>经计算，L＝</w:t>
      </w:r>
      <w:r>
        <w:rPr>
          <w:rFonts w:hint="eastAsia" w:ascii="Times New Roman" w:hAnsi="Times New Roman" w:eastAsia="宋体" w:cs="Times New Roman"/>
          <w:color w:val="auto"/>
          <w:kern w:val="24"/>
          <w:sz w:val="24"/>
          <w:lang w:val="en-US" w:eastAsia="zh-CN"/>
        </w:rPr>
        <w:t>250</w:t>
      </w:r>
      <w:r>
        <w:rPr>
          <w:rFonts w:hint="default" w:ascii="Times New Roman" w:hAnsi="Times New Roman" w:cs="Times New Roman"/>
          <w:color w:val="auto"/>
          <w:kern w:val="24"/>
          <w:sz w:val="24"/>
        </w:rPr>
        <w:t>m。根据《环境影响评价技术导则</w:t>
      </w:r>
      <w:r>
        <w:rPr>
          <w:rFonts w:hint="eastAsia" w:ascii="Times New Roman" w:hAnsi="Times New Roman" w:eastAsia="宋体" w:cs="Times New Roman"/>
          <w:color w:val="auto"/>
          <w:kern w:val="24"/>
          <w:sz w:val="24"/>
          <w:lang w:val="en-US" w:eastAsia="zh-CN"/>
        </w:rPr>
        <w:t xml:space="preserve">  </w:t>
      </w:r>
      <w:r>
        <w:rPr>
          <w:rFonts w:hint="default" w:ascii="Times New Roman" w:hAnsi="Times New Roman" w:cs="Times New Roman"/>
          <w:color w:val="auto"/>
          <w:kern w:val="24"/>
          <w:sz w:val="24"/>
        </w:rPr>
        <w:t>地下水环境》（HJ610-2016）要求，地下水的评价范围应为场地下游Lm及两侧各L/2m构成的区域范围。根据项目所在地区域水文地质资料表明，该区域地下水流向由</w:t>
      </w:r>
      <w:r>
        <w:rPr>
          <w:rFonts w:hint="eastAsia" w:ascii="Times New Roman" w:hAnsi="Times New Roman" w:cs="Times New Roman"/>
          <w:color w:val="auto"/>
          <w:kern w:val="24"/>
          <w:sz w:val="24"/>
          <w:lang w:val="en-US" w:eastAsia="zh-CN"/>
        </w:rPr>
        <w:t>北</w:t>
      </w:r>
      <w:r>
        <w:rPr>
          <w:rFonts w:hint="default" w:ascii="Times New Roman" w:hAnsi="Times New Roman" w:cs="Times New Roman"/>
          <w:color w:val="auto"/>
          <w:kern w:val="24"/>
          <w:sz w:val="24"/>
        </w:rPr>
        <w:t>向</w:t>
      </w:r>
      <w:r>
        <w:rPr>
          <w:rFonts w:hint="eastAsia" w:ascii="Times New Roman" w:hAnsi="Times New Roman" w:cs="Times New Roman"/>
          <w:color w:val="auto"/>
          <w:kern w:val="24"/>
          <w:sz w:val="24"/>
          <w:lang w:val="en-US" w:eastAsia="zh-CN"/>
        </w:rPr>
        <w:t>南</w:t>
      </w:r>
      <w:r>
        <w:rPr>
          <w:rFonts w:hint="default" w:ascii="Times New Roman" w:hAnsi="Times New Roman" w:cs="Times New Roman"/>
          <w:color w:val="auto"/>
          <w:kern w:val="24"/>
          <w:sz w:val="24"/>
        </w:rPr>
        <w:t>。因评价等级为三级评价，适当扩大范围，由此确定本项目地下水调查评价范围。</w:t>
      </w:r>
    </w:p>
    <w:p>
      <w:pPr>
        <w:widowControl/>
        <w:autoSpaceDE w:val="0"/>
        <w:autoSpaceDN w:val="0"/>
        <w:spacing w:line="360" w:lineRule="auto"/>
        <w:ind w:firstLine="480" w:firstLineChars="200"/>
        <w:jc w:val="both"/>
        <w:textAlignment w:val="baseline"/>
        <w:rPr>
          <w:rFonts w:hint="default" w:ascii="Times New Roman" w:hAnsi="Times New Roman" w:cs="Times New Roman"/>
          <w:color w:val="FF0000"/>
          <w:sz w:val="24"/>
        </w:rPr>
      </w:pPr>
      <w:r>
        <w:rPr>
          <w:rFonts w:hint="default" w:ascii="Times New Roman" w:hAnsi="Times New Roman" w:cs="Times New Roman"/>
          <w:color w:val="auto"/>
          <w:sz w:val="24"/>
        </w:rPr>
        <w:t>根据地下水环境影响评价技术导则的规定，地下水环境现状调查范围应包括与建设项目相关的地下水环境保护目标。根据项目周边的区域地质条件、水文地质条件、地形地貌特征和地下水保护方案，为了说明地下水环境的基本状况，本次地下水环境影响评价工作的调查范围是以项目厂区为核心，调查评价范围：包括厂区、可影响的下游区域及厂区周边地下水保护目标，结合水文地质边界</w:t>
      </w:r>
      <w:r>
        <w:rPr>
          <w:rFonts w:hint="default" w:ascii="Times New Roman" w:hAnsi="Times New Roman" w:cs="Times New Roman"/>
          <w:color w:val="auto"/>
          <w:sz w:val="24"/>
          <w:lang w:val="en-US" w:eastAsia="zh-CN"/>
        </w:rPr>
        <w:t>泥</w:t>
      </w:r>
      <w:r>
        <w:rPr>
          <w:rFonts w:hint="default" w:ascii="Times New Roman" w:hAnsi="Times New Roman" w:cs="Times New Roman"/>
          <w:color w:val="auto"/>
          <w:sz w:val="24"/>
          <w:lang w:eastAsia="zh-CN"/>
        </w:rPr>
        <w:t>河</w:t>
      </w:r>
      <w:r>
        <w:rPr>
          <w:rFonts w:hint="default" w:ascii="Times New Roman" w:hAnsi="Times New Roman" w:cs="Times New Roman"/>
          <w:color w:val="auto"/>
          <w:sz w:val="24"/>
        </w:rPr>
        <w:t>，评价区面积</w:t>
      </w:r>
      <w:r>
        <w:rPr>
          <w:rFonts w:hint="default" w:ascii="Times New Roman" w:hAnsi="Times New Roman" w:cs="Times New Roman"/>
          <w:color w:val="auto"/>
          <w:sz w:val="24"/>
          <w:lang w:eastAsia="zh-CN"/>
        </w:rPr>
        <w:t>6</w:t>
      </w:r>
      <w:r>
        <w:rPr>
          <w:rFonts w:hint="default" w:ascii="Times New Roman" w:hAnsi="Times New Roman" w:cs="Times New Roman"/>
          <w:color w:val="auto"/>
          <w:sz w:val="24"/>
        </w:rPr>
        <w:t>km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，上游1</w:t>
      </w:r>
      <w:r>
        <w:rPr>
          <w:rFonts w:hint="default" w:ascii="Times New Roman" w:hAnsi="Times New Roman" w:cs="Times New Roman"/>
          <w:color w:val="auto"/>
          <w:sz w:val="24"/>
          <w:lang w:val="en-US" w:eastAsia="zh-CN"/>
        </w:rPr>
        <w:t>.5</w:t>
      </w:r>
      <w:r>
        <w:rPr>
          <w:rFonts w:hint="default" w:ascii="Times New Roman" w:hAnsi="Times New Roman" w:cs="Times New Roman"/>
          <w:color w:val="auto"/>
          <w:sz w:val="24"/>
        </w:rPr>
        <w:t>km，两侧1km，下游</w:t>
      </w:r>
      <w:r>
        <w:rPr>
          <w:rFonts w:hint="default" w:ascii="Times New Roman" w:hAnsi="Times New Roman" w:cs="Times New Roman"/>
          <w:color w:val="auto"/>
          <w:sz w:val="24"/>
          <w:lang w:val="en-US" w:eastAsia="zh-CN"/>
        </w:rPr>
        <w:t>1.5</w:t>
      </w:r>
      <w:r>
        <w:rPr>
          <w:rFonts w:hint="default" w:ascii="Times New Roman" w:hAnsi="Times New Roman" w:cs="Times New Roman"/>
          <w:color w:val="auto"/>
          <w:sz w:val="24"/>
        </w:rPr>
        <w:t>km。评价范围见附图</w:t>
      </w:r>
      <w:r>
        <w:rPr>
          <w:rFonts w:hint="default" w:ascii="Times New Roman" w:hAnsi="Times New Roman" w:cs="Times New Roman"/>
          <w:color w:val="auto"/>
          <w:sz w:val="24"/>
          <w:highlight w:val="none"/>
        </w:rPr>
        <w:t>3</w:t>
      </w:r>
      <w:r>
        <w:rPr>
          <w:rFonts w:hint="default" w:ascii="Times New Roman" w:hAnsi="Times New Roman" w:cs="Times New Roman"/>
          <w:color w:val="auto"/>
          <w:sz w:val="24"/>
        </w:rPr>
        <w:t>。</w:t>
      </w:r>
    </w:p>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eastAsia="宋体" w:cs="Times New Roman"/>
          <w:b/>
          <w:color w:val="auto"/>
          <w:sz w:val="20"/>
          <w:szCs w:val="20"/>
          <w:highlight w:val="none"/>
        </w:rPr>
      </w:pPr>
      <w:r>
        <w:rPr>
          <w:rFonts w:hint="default" w:ascii="Times New Roman" w:hAnsi="Times New Roman" w:eastAsia="宋体" w:cs="Times New Roman"/>
          <w:b/>
          <w:color w:val="auto"/>
          <w:sz w:val="20"/>
          <w:szCs w:val="20"/>
          <w:highlight w:val="none"/>
        </w:rPr>
        <w:t>表2-4-</w:t>
      </w:r>
      <w:r>
        <w:rPr>
          <w:rFonts w:hint="default" w:ascii="Times New Roman" w:hAnsi="Times New Roman" w:eastAsia="宋体" w:cs="Times New Roman"/>
          <w:b/>
          <w:color w:val="auto"/>
          <w:sz w:val="20"/>
          <w:szCs w:val="20"/>
          <w:highlight w:val="none"/>
          <w:lang w:val="en-US" w:eastAsia="zh-CN"/>
        </w:rPr>
        <w:t xml:space="preserve">10 </w:t>
      </w:r>
      <w:r>
        <w:rPr>
          <w:rFonts w:hint="default" w:ascii="Times New Roman" w:hAnsi="Times New Roman" w:eastAsia="宋体" w:cs="Times New Roman"/>
          <w:b/>
          <w:color w:val="auto"/>
          <w:sz w:val="20"/>
          <w:szCs w:val="20"/>
          <w:highlight w:val="none"/>
        </w:rPr>
        <w:t>地下水环境现状调查评价范围参照表</w:t>
      </w:r>
    </w:p>
    <w:tbl>
      <w:tblPr>
        <w:tblStyle w:val="24"/>
        <w:tblW w:w="4998"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3241"/>
        <w:gridCol w:w="3051"/>
        <w:gridCol w:w="3551"/>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646"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评价等级</w:t>
            </w:r>
          </w:p>
        </w:tc>
        <w:tc>
          <w:tcPr>
            <w:tcW w:w="1549"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调查评价面积（km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1803" w:type="pct"/>
            <w:tcBorders>
              <w:tl2br w:val="nil"/>
              <w:tr2bl w:val="nil"/>
            </w:tcBorders>
            <w:vAlign w:val="center"/>
          </w:tcPr>
          <w:p>
            <w:pPr>
              <w:widowControl/>
              <w:autoSpaceDE w:val="0"/>
              <w:autoSpaceDN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646"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w:t>
            </w:r>
          </w:p>
        </w:tc>
        <w:tc>
          <w:tcPr>
            <w:tcW w:w="1549"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803" w:type="pct"/>
            <w:vMerge w:val="restart"/>
            <w:tcBorders>
              <w:tl2br w:val="nil"/>
              <w:tr2bl w:val="nil"/>
            </w:tcBorders>
            <w:vAlign w:val="center"/>
          </w:tcPr>
          <w:p>
            <w:pPr>
              <w:widowControl/>
              <w:autoSpaceDE w:val="0"/>
              <w:autoSpaceDN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应包括重要的地下水环境保护目标，必要时适当的扩大范围</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646"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w:t>
            </w:r>
          </w:p>
        </w:tc>
        <w:tc>
          <w:tcPr>
            <w:tcW w:w="1549"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6-20</w:t>
            </w:r>
          </w:p>
        </w:tc>
        <w:tc>
          <w:tcPr>
            <w:tcW w:w="1803" w:type="pct"/>
            <w:vMerge w:val="continue"/>
            <w:tcBorders>
              <w:tl2br w:val="nil"/>
              <w:tr2bl w:val="nil"/>
            </w:tcBorders>
            <w:vAlign w:val="center"/>
          </w:tcPr>
          <w:p>
            <w:pPr>
              <w:widowControl/>
              <w:autoSpaceDE w:val="0"/>
              <w:autoSpaceDN w:val="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646"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w:t>
            </w:r>
          </w:p>
        </w:tc>
        <w:tc>
          <w:tcPr>
            <w:tcW w:w="1549"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803" w:type="pct"/>
            <w:vMerge w:val="continue"/>
            <w:tcBorders>
              <w:tl2br w:val="nil"/>
              <w:tr2bl w:val="nil"/>
            </w:tcBorders>
            <w:vAlign w:val="center"/>
          </w:tcPr>
          <w:p>
            <w:pPr>
              <w:widowControl/>
              <w:autoSpaceDE w:val="0"/>
              <w:autoSpaceDN w:val="0"/>
              <w:jc w:val="center"/>
              <w:textAlignment w:val="baseline"/>
              <w:rPr>
                <w:rFonts w:hint="default" w:ascii="Times New Roman" w:hAnsi="Times New Roman" w:eastAsia="宋体" w:cs="Times New Roman"/>
                <w:color w:val="auto"/>
                <w:sz w:val="21"/>
                <w:szCs w:val="21"/>
              </w:rPr>
            </w:pPr>
          </w:p>
        </w:tc>
      </w:tr>
    </w:tbl>
    <w:p>
      <w:pPr>
        <w:spacing w:line="360" w:lineRule="auto"/>
        <w:ind w:firstLine="480" w:firstLineChars="200"/>
        <w:rPr>
          <w:rFonts w:hint="default" w:ascii="Times New Roman" w:hAnsi="Times New Roman" w:cs="Times New Roman"/>
        </w:rPr>
      </w:pPr>
      <w:r>
        <w:rPr>
          <w:rFonts w:hint="default" w:ascii="Times New Roman" w:hAnsi="Times New Roman" w:eastAsia="宋体" w:cs="Times New Roman"/>
          <w:color w:val="auto"/>
          <w:sz w:val="24"/>
        </w:rPr>
        <w:t>综上分析，拟建项目地下水评价范围为</w:t>
      </w:r>
      <w:r>
        <w:rPr>
          <w:rFonts w:hint="default" w:ascii="Times New Roman" w:hAnsi="Times New Roman" w:eastAsia="宋体" w:cs="Times New Roman"/>
          <w:color w:val="auto"/>
          <w:sz w:val="24"/>
          <w:lang w:eastAsia="zh-CN"/>
        </w:rPr>
        <w:t>6</w:t>
      </w:r>
      <w:r>
        <w:rPr>
          <w:rFonts w:hint="default" w:ascii="Times New Roman" w:hAnsi="Times New Roman" w:eastAsia="宋体" w:cs="Times New Roman"/>
          <w:color w:val="auto"/>
          <w:sz w:val="24"/>
        </w:rPr>
        <w:t>km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，上游1</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rPr>
        <w:t>km，两侧1km，下游1.</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rPr>
        <w:t>km。</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outlineLvl w:val="0"/>
        <w:rPr>
          <w:rFonts w:hint="eastAsia" w:ascii="Times New Roman" w:hAnsi="Times New Roman" w:eastAsia="宋体" w:cs="Times New Roman"/>
          <w:spacing w:val="-2"/>
          <w:sz w:val="24"/>
          <w:szCs w:val="24"/>
          <w:highlight w:val="none"/>
          <w:lang w:eastAsia="zh-CN"/>
        </w:rPr>
      </w:pPr>
      <w:bookmarkStart w:id="43" w:name="_Toc18752"/>
      <w:bookmarkStart w:id="44" w:name="_Toc3293"/>
      <w:bookmarkStart w:id="45" w:name="_Toc10005"/>
      <w:r>
        <w:rPr>
          <w:rFonts w:hint="default" w:ascii="Times New Roman" w:hAnsi="Times New Roman" w:eastAsia="宋体" w:cs="Times New Roman"/>
          <w:spacing w:val="-2"/>
          <w:sz w:val="24"/>
          <w:szCs w:val="24"/>
          <w:highlight w:val="none"/>
        </w:rPr>
        <w:t>5 、环境风险评价等级</w:t>
      </w:r>
      <w:bookmarkEnd w:id="43"/>
      <w:bookmarkEnd w:id="44"/>
      <w:bookmarkEnd w:id="45"/>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outlineLvl w:val="1"/>
        <w:rPr>
          <w:rFonts w:hint="default" w:ascii="Times New Roman" w:hAnsi="Times New Roman" w:eastAsia="宋体" w:cs="Times New Roman"/>
          <w:spacing w:val="-2"/>
          <w:sz w:val="24"/>
          <w:szCs w:val="24"/>
          <w:highlight w:val="none"/>
        </w:rPr>
      </w:pPr>
      <w:bookmarkStart w:id="46" w:name="_Toc17581"/>
      <w:bookmarkStart w:id="47" w:name="_Toc23039"/>
      <w:bookmarkStart w:id="48" w:name="_Toc2286"/>
      <w:r>
        <w:rPr>
          <w:rFonts w:hint="default" w:ascii="Times New Roman" w:hAnsi="Times New Roman" w:eastAsia="宋体" w:cs="Times New Roman"/>
          <w:spacing w:val="-2"/>
          <w:sz w:val="24"/>
          <w:szCs w:val="24"/>
          <w:highlight w:val="none"/>
        </w:rPr>
        <w:t>（1）危险物质及工艺系统危险性（P）分级</w:t>
      </w:r>
      <w:bookmarkEnd w:id="46"/>
      <w:bookmarkEnd w:id="47"/>
      <w:bookmarkEnd w:id="48"/>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2"/>
          <w:sz w:val="24"/>
          <w:szCs w:val="24"/>
          <w:highlight w:val="none"/>
        </w:rPr>
        <w:t>计算所涉及的每种危险物质在厂界内的最大存在总量与其在《建设项目环境风险评</w:t>
      </w:r>
      <w:r>
        <w:rPr>
          <w:rFonts w:hint="default" w:ascii="Times New Roman" w:hAnsi="Times New Roman" w:eastAsia="宋体" w:cs="Times New Roman"/>
          <w:sz w:val="24"/>
          <w:szCs w:val="24"/>
          <w:highlight w:val="none"/>
        </w:rPr>
        <w:t>价技术导则》（</w:t>
      </w:r>
      <w:r>
        <w:rPr>
          <w:rFonts w:hint="default" w:ascii="Times New Roman" w:hAnsi="Times New Roman" w:eastAsia="Times New Roman" w:cs="Times New Roman"/>
          <w:sz w:val="24"/>
          <w:szCs w:val="24"/>
          <w:highlight w:val="none"/>
        </w:rPr>
        <w:t>HJ</w:t>
      </w:r>
      <w:r>
        <w:rPr>
          <w:rFonts w:hint="default" w:ascii="Times New Roman" w:hAnsi="Times New Roman" w:eastAsia="Times New Roman" w:cs="Times New Roman"/>
          <w:spacing w:val="31"/>
          <w:sz w:val="24"/>
          <w:szCs w:val="24"/>
          <w:highlight w:val="none"/>
        </w:rPr>
        <w:t xml:space="preserve"> </w:t>
      </w:r>
      <w:r>
        <w:rPr>
          <w:rFonts w:hint="default" w:ascii="Times New Roman" w:hAnsi="Times New Roman" w:eastAsia="Times New Roman" w:cs="Times New Roman"/>
          <w:sz w:val="24"/>
          <w:szCs w:val="24"/>
          <w:highlight w:val="none"/>
        </w:rPr>
        <w:t>169-2018</w:t>
      </w:r>
      <w:r>
        <w:rPr>
          <w:rFonts w:hint="default" w:ascii="Times New Roman" w:hAnsi="Times New Roman" w:eastAsia="宋体" w:cs="Times New Roman"/>
          <w:sz w:val="24"/>
          <w:szCs w:val="24"/>
          <w:highlight w:val="none"/>
        </w:rPr>
        <w:t>）附</w:t>
      </w:r>
      <w:r>
        <w:rPr>
          <w:rFonts w:hint="default" w:ascii="Times New Roman" w:hAnsi="Times New Roman" w:eastAsia="宋体" w:cs="Times New Roman"/>
          <w:spacing w:val="-1"/>
          <w:sz w:val="24"/>
          <w:szCs w:val="24"/>
          <w:highlight w:val="none"/>
        </w:rPr>
        <w:t>录</w:t>
      </w:r>
      <w:r>
        <w:rPr>
          <w:rFonts w:hint="default" w:ascii="Times New Roman" w:hAnsi="Times New Roman" w:eastAsia="宋体" w:cs="Times New Roman"/>
          <w:spacing w:val="-51"/>
          <w:sz w:val="24"/>
          <w:szCs w:val="24"/>
          <w:highlight w:val="none"/>
        </w:rPr>
        <w:t xml:space="preserve"> </w:t>
      </w:r>
      <w:r>
        <w:rPr>
          <w:rFonts w:hint="default" w:ascii="Times New Roman" w:hAnsi="Times New Roman" w:eastAsia="Times New Roman" w:cs="Times New Roman"/>
          <w:spacing w:val="-1"/>
          <w:sz w:val="24"/>
          <w:szCs w:val="24"/>
          <w:highlight w:val="none"/>
        </w:rPr>
        <w:t>B</w:t>
      </w:r>
      <w:r>
        <w:rPr>
          <w:rFonts w:hint="default" w:ascii="Times New Roman" w:hAnsi="Times New Roman" w:eastAsia="Times New Roman" w:cs="Times New Roman"/>
          <w:spacing w:val="35"/>
          <w:sz w:val="24"/>
          <w:szCs w:val="24"/>
          <w:highlight w:val="none"/>
        </w:rPr>
        <w:t xml:space="preserve"> </w:t>
      </w:r>
      <w:r>
        <w:rPr>
          <w:rFonts w:hint="default" w:ascii="Times New Roman" w:hAnsi="Times New Roman" w:eastAsia="宋体" w:cs="Times New Roman"/>
          <w:spacing w:val="-1"/>
          <w:sz w:val="24"/>
          <w:szCs w:val="24"/>
          <w:highlight w:val="none"/>
        </w:rPr>
        <w:t>中对应临界量的比值</w:t>
      </w:r>
      <w:r>
        <w:rPr>
          <w:rFonts w:hint="default" w:ascii="Times New Roman" w:hAnsi="Times New Roman" w:eastAsia="宋体" w:cs="Times New Roman"/>
          <w:spacing w:val="-49"/>
          <w:sz w:val="24"/>
          <w:szCs w:val="24"/>
          <w:highlight w:val="none"/>
        </w:rPr>
        <w:t xml:space="preserve"> </w:t>
      </w:r>
      <w:r>
        <w:rPr>
          <w:rFonts w:hint="default" w:ascii="Times New Roman" w:hAnsi="Times New Roman" w:eastAsia="Times New Roman" w:cs="Times New Roman"/>
          <w:spacing w:val="-1"/>
          <w:sz w:val="24"/>
          <w:szCs w:val="24"/>
          <w:highlight w:val="none"/>
        </w:rPr>
        <w:t>Q</w:t>
      </w:r>
      <w:r>
        <w:rPr>
          <w:rFonts w:hint="default" w:ascii="Times New Roman" w:hAnsi="Times New Roman" w:eastAsia="Times New Roman" w:cs="Times New Roman"/>
          <w:spacing w:val="-23"/>
          <w:sz w:val="24"/>
          <w:szCs w:val="24"/>
          <w:highlight w:val="none"/>
        </w:rPr>
        <w:t xml:space="preserve"> </w:t>
      </w:r>
      <w:r>
        <w:rPr>
          <w:rFonts w:hint="default" w:ascii="Times New Roman" w:hAnsi="Times New Roman" w:eastAsia="宋体" w:cs="Times New Roman"/>
          <w:spacing w:val="-1"/>
          <w:sz w:val="24"/>
          <w:szCs w:val="24"/>
          <w:highlight w:val="none"/>
        </w:rPr>
        <w:t>。在不同厂区的同一种物质，按其在厂界内的最大存在总量计算。</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1"/>
          <w:position w:val="17"/>
          <w:sz w:val="24"/>
          <w:szCs w:val="24"/>
          <w:highlight w:val="none"/>
        </w:rPr>
        <w:t>当只涉及一种危险物质时，计算该物质的总量与其临界量比值，即为</w:t>
      </w:r>
      <w:r>
        <w:rPr>
          <w:rFonts w:hint="default" w:ascii="Times New Roman" w:hAnsi="Times New Roman" w:eastAsia="宋体" w:cs="Times New Roman"/>
          <w:spacing w:val="-52"/>
          <w:position w:val="17"/>
          <w:sz w:val="24"/>
          <w:szCs w:val="24"/>
          <w:highlight w:val="none"/>
        </w:rPr>
        <w:t xml:space="preserve"> </w:t>
      </w:r>
      <w:r>
        <w:rPr>
          <w:rFonts w:hint="default" w:ascii="Times New Roman" w:hAnsi="Times New Roman" w:eastAsia="Times New Roman" w:cs="Times New Roman"/>
          <w:spacing w:val="-2"/>
          <w:position w:val="17"/>
          <w:sz w:val="24"/>
          <w:szCs w:val="24"/>
          <w:highlight w:val="none"/>
        </w:rPr>
        <w:t>Q</w:t>
      </w:r>
      <w:r>
        <w:rPr>
          <w:rFonts w:hint="default" w:ascii="Times New Roman" w:hAnsi="Times New Roman" w:eastAsia="宋体" w:cs="Times New Roman"/>
          <w:spacing w:val="-2"/>
          <w:position w:val="17"/>
          <w:sz w:val="24"/>
          <w:szCs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1"/>
          <w:sz w:val="24"/>
          <w:szCs w:val="24"/>
          <w:highlight w:val="none"/>
        </w:rPr>
        <w:t>当存在多种危险物质时，则按下式计算物质总量与其临界量</w:t>
      </w:r>
      <w:r>
        <w:rPr>
          <w:rFonts w:hint="default" w:ascii="Times New Roman" w:hAnsi="Times New Roman" w:eastAsia="宋体" w:cs="Times New Roman"/>
          <w:spacing w:val="-2"/>
          <w:sz w:val="24"/>
          <w:szCs w:val="24"/>
          <w:highlight w:val="none"/>
        </w:rPr>
        <w:t>比值</w:t>
      </w:r>
      <w:r>
        <w:rPr>
          <w:rFonts w:hint="default" w:ascii="Times New Roman" w:hAnsi="Times New Roman" w:eastAsia="宋体" w:cs="Times New Roman"/>
          <w:spacing w:val="-52"/>
          <w:sz w:val="24"/>
          <w:szCs w:val="24"/>
          <w:highlight w:val="none"/>
        </w:rPr>
        <w:t xml:space="preserve"> </w:t>
      </w:r>
      <w:r>
        <w:rPr>
          <w:rFonts w:hint="default" w:ascii="Times New Roman" w:hAnsi="Times New Roman" w:eastAsia="Times New Roman" w:cs="Times New Roman"/>
          <w:spacing w:val="-2"/>
          <w:sz w:val="24"/>
          <w:szCs w:val="24"/>
          <w:highlight w:val="none"/>
        </w:rPr>
        <w:t>Q</w:t>
      </w:r>
      <w:r>
        <w:rPr>
          <w:rFonts w:hint="default" w:ascii="Times New Roman" w:hAnsi="Times New Roman" w:eastAsia="宋体" w:cs="Times New Roman"/>
          <w:spacing w:val="-2"/>
          <w:sz w:val="24"/>
          <w:szCs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20" w:firstLineChars="200"/>
        <w:jc w:val="center"/>
        <w:textAlignment w:val="baseline"/>
        <w:rPr>
          <w:rFonts w:hint="default" w:ascii="Times New Roman" w:hAnsi="Times New Roman" w:cs="Times New Roman"/>
          <w:highlight w:val="none"/>
        </w:rPr>
      </w:pPr>
      <w:r>
        <w:rPr>
          <w:rFonts w:hint="default" w:ascii="Times New Roman" w:hAnsi="Times New Roman" w:cs="Times New Roman"/>
          <w:position w:val="-14"/>
          <w:highlight w:val="none"/>
        </w:rPr>
        <w:drawing>
          <wp:inline distT="0" distB="0" distL="0" distR="0">
            <wp:extent cx="1676400" cy="457200"/>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29"/>
                    <a:stretch>
                      <a:fillRect/>
                    </a:stretch>
                  </pic:blipFill>
                  <pic:spPr>
                    <a:xfrm>
                      <a:off x="0" y="0"/>
                      <a:ext cx="1676400" cy="45720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式中：</w:t>
      </w:r>
      <w:r>
        <w:rPr>
          <w:rFonts w:hint="default" w:ascii="Times New Roman" w:hAnsi="Times New Roman" w:eastAsia="Times New Roman" w:cs="Times New Roman"/>
          <w:sz w:val="24"/>
          <w:szCs w:val="24"/>
          <w:highlight w:val="none"/>
        </w:rPr>
        <w:t>q</w:t>
      </w:r>
      <w:r>
        <w:rPr>
          <w:rFonts w:hint="default" w:ascii="Times New Roman" w:hAnsi="Times New Roman" w:eastAsia="Times New Roman" w:cs="Times New Roman"/>
          <w:position w:val="-1"/>
          <w:sz w:val="15"/>
          <w:szCs w:val="15"/>
          <w:highlight w:val="none"/>
        </w:rPr>
        <w:t>1</w:t>
      </w:r>
      <w:r>
        <w:rPr>
          <w:rFonts w:hint="default" w:ascii="Times New Roman" w:hAnsi="Times New Roman" w:eastAsia="Times New Roman" w:cs="Times New Roman"/>
          <w:sz w:val="24"/>
          <w:szCs w:val="24"/>
          <w:highlight w:val="none"/>
        </w:rPr>
        <w:t>,q</w:t>
      </w:r>
      <w:r>
        <w:rPr>
          <w:rFonts w:hint="default" w:ascii="Times New Roman" w:hAnsi="Times New Roman" w:eastAsia="Times New Roman" w:cs="Times New Roman"/>
          <w:position w:val="-1"/>
          <w:sz w:val="15"/>
          <w:szCs w:val="15"/>
          <w:highlight w:val="none"/>
        </w:rPr>
        <w:t>2</w:t>
      </w:r>
      <w:r>
        <w:rPr>
          <w:rFonts w:hint="default" w:ascii="Times New Roman" w:hAnsi="Times New Roman" w:eastAsia="Times New Roman" w:cs="Times New Roman"/>
          <w:sz w:val="24"/>
          <w:szCs w:val="24"/>
          <w:highlight w:val="none"/>
        </w:rPr>
        <w:t>...q</w:t>
      </w:r>
      <w:r>
        <w:rPr>
          <w:rFonts w:hint="default" w:ascii="Times New Roman" w:hAnsi="Times New Roman" w:eastAsia="Times New Roman" w:cs="Times New Roman"/>
          <w:position w:val="-1"/>
          <w:sz w:val="15"/>
          <w:szCs w:val="15"/>
          <w:highlight w:val="none"/>
        </w:rPr>
        <w:t>n</w:t>
      </w:r>
      <w:r>
        <w:rPr>
          <w:rFonts w:hint="default" w:ascii="Times New Roman" w:hAnsi="Times New Roman" w:eastAsia="Times New Roman" w:cs="Times New Roman"/>
          <w:sz w:val="24"/>
          <w:szCs w:val="24"/>
          <w:highlight w:val="none"/>
        </w:rPr>
        <w:t>——</w:t>
      </w:r>
      <w:r>
        <w:rPr>
          <w:rFonts w:hint="default" w:ascii="Times New Roman" w:hAnsi="Times New Roman" w:eastAsia="宋体" w:cs="Times New Roman"/>
          <w:sz w:val="24"/>
          <w:szCs w:val="24"/>
          <w:highlight w:val="none"/>
        </w:rPr>
        <w:t>每种危险物质</w:t>
      </w:r>
      <w:r>
        <w:rPr>
          <w:rFonts w:hint="default" w:ascii="Times New Roman" w:hAnsi="Times New Roman" w:eastAsia="宋体" w:cs="Times New Roman"/>
          <w:spacing w:val="-1"/>
          <w:sz w:val="24"/>
          <w:szCs w:val="24"/>
          <w:highlight w:val="none"/>
        </w:rPr>
        <w:t>实际存在量，</w:t>
      </w:r>
      <w:r>
        <w:rPr>
          <w:rFonts w:hint="default" w:ascii="Times New Roman" w:hAnsi="Times New Roman" w:eastAsia="Times New Roman" w:cs="Times New Roman"/>
          <w:spacing w:val="-1"/>
          <w:sz w:val="24"/>
          <w:szCs w:val="24"/>
          <w:highlight w:val="none"/>
        </w:rPr>
        <w:t>t</w:t>
      </w:r>
      <w:r>
        <w:rPr>
          <w:rFonts w:hint="default" w:ascii="Times New Roman" w:hAnsi="Times New Roman" w:eastAsia="宋体" w:cs="Times New Roman"/>
          <w:spacing w:val="-1"/>
          <w:sz w:val="24"/>
          <w:szCs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highlight w:val="none"/>
        </w:rPr>
      </w:pPr>
      <w:r>
        <w:rPr>
          <w:rFonts w:hint="default" w:ascii="Times New Roman" w:hAnsi="Times New Roman" w:eastAsia="Times New Roman" w:cs="Times New Roman"/>
          <w:position w:val="17"/>
          <w:sz w:val="24"/>
          <w:szCs w:val="24"/>
          <w:highlight w:val="none"/>
        </w:rPr>
        <w:t>Q</w:t>
      </w:r>
      <w:r>
        <w:rPr>
          <w:rFonts w:hint="default" w:ascii="Times New Roman" w:hAnsi="Times New Roman" w:eastAsia="Times New Roman" w:cs="Times New Roman"/>
          <w:position w:val="16"/>
          <w:sz w:val="15"/>
          <w:szCs w:val="15"/>
          <w:highlight w:val="none"/>
        </w:rPr>
        <w:t>1</w:t>
      </w:r>
      <w:r>
        <w:rPr>
          <w:rFonts w:hint="default" w:ascii="Times New Roman" w:hAnsi="Times New Roman" w:eastAsia="Times New Roman" w:cs="Times New Roman"/>
          <w:position w:val="17"/>
          <w:sz w:val="24"/>
          <w:szCs w:val="24"/>
          <w:highlight w:val="none"/>
        </w:rPr>
        <w:t>,Q</w:t>
      </w:r>
      <w:r>
        <w:rPr>
          <w:rFonts w:hint="default" w:ascii="Times New Roman" w:hAnsi="Times New Roman" w:eastAsia="Times New Roman" w:cs="Times New Roman"/>
          <w:position w:val="16"/>
          <w:sz w:val="15"/>
          <w:szCs w:val="15"/>
          <w:highlight w:val="none"/>
        </w:rPr>
        <w:t>2</w:t>
      </w:r>
      <w:r>
        <w:rPr>
          <w:rFonts w:hint="default" w:ascii="Times New Roman" w:hAnsi="Times New Roman" w:eastAsia="Times New Roman" w:cs="Times New Roman"/>
          <w:position w:val="17"/>
          <w:sz w:val="24"/>
          <w:szCs w:val="24"/>
          <w:highlight w:val="none"/>
        </w:rPr>
        <w:t>...Q</w:t>
      </w:r>
      <w:r>
        <w:rPr>
          <w:rFonts w:hint="default" w:ascii="Times New Roman" w:hAnsi="Times New Roman" w:eastAsia="Times New Roman" w:cs="Times New Roman"/>
          <w:position w:val="16"/>
          <w:sz w:val="15"/>
          <w:szCs w:val="15"/>
          <w:highlight w:val="none"/>
        </w:rPr>
        <w:t>n</w:t>
      </w:r>
      <w:r>
        <w:rPr>
          <w:rFonts w:hint="default" w:ascii="Times New Roman" w:hAnsi="Times New Roman" w:eastAsia="Times New Roman" w:cs="Times New Roman"/>
          <w:position w:val="17"/>
          <w:sz w:val="24"/>
          <w:szCs w:val="24"/>
          <w:highlight w:val="none"/>
        </w:rPr>
        <w:t>——</w:t>
      </w:r>
      <w:r>
        <w:rPr>
          <w:rFonts w:hint="default" w:ascii="Times New Roman" w:hAnsi="Times New Roman" w:eastAsia="宋体" w:cs="Times New Roman"/>
          <w:position w:val="17"/>
          <w:sz w:val="24"/>
          <w:szCs w:val="24"/>
          <w:highlight w:val="none"/>
        </w:rPr>
        <w:t>与各危险物质相对应的生产场所或贮存区的临界量，</w:t>
      </w:r>
      <w:r>
        <w:rPr>
          <w:rFonts w:hint="default" w:ascii="Times New Roman" w:hAnsi="Times New Roman" w:eastAsia="Times New Roman" w:cs="Times New Roman"/>
          <w:position w:val="17"/>
          <w:sz w:val="24"/>
          <w:szCs w:val="24"/>
          <w:highlight w:val="none"/>
        </w:rPr>
        <w:t>t</w:t>
      </w:r>
      <w:r>
        <w:rPr>
          <w:rFonts w:hint="default" w:ascii="Times New Roman" w:hAnsi="Times New Roman" w:eastAsia="宋体" w:cs="Times New Roman"/>
          <w:position w:val="17"/>
          <w:sz w:val="24"/>
          <w:szCs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1"/>
          <w:sz w:val="24"/>
          <w:szCs w:val="24"/>
          <w:highlight w:val="none"/>
        </w:rPr>
        <w:t>本项目重点关注的危险物质为次氯酸钠</w:t>
      </w:r>
      <w:r>
        <w:rPr>
          <w:rFonts w:hint="eastAsia" w:ascii="Times New Roman" w:hAnsi="Times New Roman" w:eastAsia="宋体" w:cs="Times New Roman"/>
          <w:spacing w:val="-1"/>
          <w:sz w:val="24"/>
          <w:szCs w:val="24"/>
          <w:highlight w:val="none"/>
          <w:lang w:val="en-US" w:eastAsia="zh-CN"/>
        </w:rPr>
        <w:t>和柴油</w:t>
      </w:r>
      <w:r>
        <w:rPr>
          <w:rFonts w:hint="default" w:ascii="Times New Roman" w:hAnsi="Times New Roman" w:eastAsia="宋体" w:cs="Times New Roman"/>
          <w:spacing w:val="-1"/>
          <w:sz w:val="24"/>
          <w:szCs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eastAsia="宋体" w:cs="Times New Roman"/>
          <w:b/>
          <w:color w:val="auto"/>
          <w:sz w:val="20"/>
          <w:szCs w:val="20"/>
          <w:highlight w:val="none"/>
        </w:rPr>
      </w:pPr>
      <w:r>
        <w:rPr>
          <w:rFonts w:hint="default" w:ascii="Times New Roman" w:hAnsi="Times New Roman" w:eastAsia="宋体" w:cs="Times New Roman"/>
          <w:b/>
          <w:color w:val="auto"/>
          <w:sz w:val="20"/>
          <w:szCs w:val="20"/>
          <w:highlight w:val="none"/>
        </w:rPr>
        <w:t>表</w:t>
      </w:r>
      <w:r>
        <w:rPr>
          <w:rFonts w:hint="default" w:ascii="Times New Roman" w:hAnsi="Times New Roman" w:eastAsia="宋体" w:cs="Times New Roman"/>
          <w:b/>
          <w:color w:val="auto"/>
          <w:sz w:val="20"/>
          <w:szCs w:val="20"/>
          <w:highlight w:val="none"/>
          <w:lang w:val="en-US" w:eastAsia="zh-CN"/>
        </w:rPr>
        <w:t>2-4-11</w:t>
      </w:r>
      <w:r>
        <w:rPr>
          <w:rFonts w:hint="default" w:ascii="Times New Roman" w:hAnsi="Times New Roman" w:eastAsia="宋体" w:cs="Times New Roman"/>
          <w:b/>
          <w:color w:val="auto"/>
          <w:sz w:val="20"/>
          <w:szCs w:val="20"/>
          <w:highlight w:val="none"/>
        </w:rPr>
        <w:t xml:space="preserve">  危险物质最大储存量及临界量</w:t>
      </w:r>
    </w:p>
    <w:p>
      <w:pPr>
        <w:spacing w:line="15" w:lineRule="exact"/>
        <w:rPr>
          <w:rFonts w:hint="default" w:ascii="Times New Roman" w:hAnsi="Times New Roman" w:cs="Times New Roman"/>
          <w:highlight w:val="none"/>
        </w:rPr>
      </w:pPr>
    </w:p>
    <w:tbl>
      <w:tblPr>
        <w:tblStyle w:val="34"/>
        <w:tblW w:w="929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86"/>
        <w:gridCol w:w="1699"/>
        <w:gridCol w:w="1436"/>
        <w:gridCol w:w="3658"/>
        <w:gridCol w:w="121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1286" w:type="dxa"/>
            <w:vAlign w:val="top"/>
          </w:tcPr>
          <w:p>
            <w:pPr>
              <w:spacing w:before="77" w:line="228" w:lineRule="auto"/>
              <w:ind w:left="232"/>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原料名称</w:t>
            </w:r>
          </w:p>
        </w:tc>
        <w:tc>
          <w:tcPr>
            <w:tcW w:w="1699" w:type="dxa"/>
            <w:vAlign w:val="top"/>
          </w:tcPr>
          <w:p>
            <w:pPr>
              <w:spacing w:before="76" w:line="228" w:lineRule="auto"/>
              <w:ind w:left="276"/>
              <w:rPr>
                <w:rFonts w:hint="default" w:ascii="Times New Roman" w:hAnsi="Times New Roman" w:eastAsia="Times New Roman" w:cs="Times New Roman"/>
                <w:sz w:val="20"/>
                <w:szCs w:val="20"/>
                <w:highlight w:val="none"/>
              </w:rPr>
            </w:pPr>
            <w:r>
              <w:rPr>
                <w:rFonts w:hint="default" w:ascii="Times New Roman" w:hAnsi="Times New Roman" w:eastAsia="宋体" w:cs="Times New Roman"/>
                <w:spacing w:val="6"/>
                <w:sz w:val="20"/>
                <w:szCs w:val="20"/>
                <w:highlight w:val="none"/>
              </w:rPr>
              <w:t>最大储存量</w:t>
            </w:r>
            <w:r>
              <w:rPr>
                <w:rFonts w:hint="default" w:ascii="Times New Roman" w:hAnsi="Times New Roman" w:eastAsia="宋体" w:cs="Times New Roman"/>
                <w:spacing w:val="-44"/>
                <w:sz w:val="20"/>
                <w:szCs w:val="20"/>
                <w:highlight w:val="none"/>
              </w:rPr>
              <w:t xml:space="preserve"> </w:t>
            </w:r>
            <w:r>
              <w:rPr>
                <w:rFonts w:hint="default" w:ascii="Times New Roman" w:hAnsi="Times New Roman" w:eastAsia="Times New Roman" w:cs="Times New Roman"/>
                <w:spacing w:val="6"/>
                <w:sz w:val="20"/>
                <w:szCs w:val="20"/>
                <w:highlight w:val="none"/>
              </w:rPr>
              <w:t>t</w:t>
            </w:r>
          </w:p>
        </w:tc>
        <w:tc>
          <w:tcPr>
            <w:tcW w:w="1436" w:type="dxa"/>
            <w:vAlign w:val="top"/>
          </w:tcPr>
          <w:p>
            <w:pPr>
              <w:spacing w:before="76" w:line="228" w:lineRule="auto"/>
              <w:ind w:left="364"/>
              <w:rPr>
                <w:rFonts w:hint="default" w:ascii="Times New Roman" w:hAnsi="Times New Roman" w:eastAsia="Times New Roman" w:cs="Times New Roman"/>
                <w:sz w:val="20"/>
                <w:szCs w:val="20"/>
                <w:highlight w:val="none"/>
              </w:rPr>
            </w:pPr>
            <w:r>
              <w:rPr>
                <w:rFonts w:hint="default" w:ascii="Times New Roman" w:hAnsi="Times New Roman" w:eastAsia="宋体" w:cs="Times New Roman"/>
                <w:spacing w:val="2"/>
                <w:sz w:val="20"/>
                <w:szCs w:val="20"/>
                <w:highlight w:val="none"/>
              </w:rPr>
              <w:t>临界量</w:t>
            </w:r>
            <w:r>
              <w:rPr>
                <w:rFonts w:hint="default" w:ascii="Times New Roman" w:hAnsi="Times New Roman" w:eastAsia="宋体" w:cs="Times New Roman"/>
                <w:spacing w:val="-45"/>
                <w:sz w:val="20"/>
                <w:szCs w:val="20"/>
                <w:highlight w:val="none"/>
              </w:rPr>
              <w:t xml:space="preserve"> </w:t>
            </w:r>
            <w:r>
              <w:rPr>
                <w:rFonts w:hint="default" w:ascii="Times New Roman" w:hAnsi="Times New Roman" w:eastAsia="Times New Roman" w:cs="Times New Roman"/>
                <w:spacing w:val="2"/>
                <w:sz w:val="20"/>
                <w:szCs w:val="20"/>
                <w:highlight w:val="none"/>
              </w:rPr>
              <w:t>t</w:t>
            </w:r>
          </w:p>
        </w:tc>
        <w:tc>
          <w:tcPr>
            <w:tcW w:w="3658" w:type="dxa"/>
            <w:vAlign w:val="top"/>
          </w:tcPr>
          <w:p>
            <w:pPr>
              <w:spacing w:before="76" w:line="227" w:lineRule="auto"/>
              <w:ind w:left="1321"/>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临界量依据</w:t>
            </w:r>
          </w:p>
        </w:tc>
        <w:tc>
          <w:tcPr>
            <w:tcW w:w="1213" w:type="dxa"/>
            <w:vAlign w:val="top"/>
          </w:tcPr>
          <w:p>
            <w:pPr>
              <w:spacing w:before="108" w:line="201" w:lineRule="auto"/>
              <w:ind w:left="453"/>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q/Q</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8" w:hRule="atLeast"/>
        </w:trPr>
        <w:tc>
          <w:tcPr>
            <w:tcW w:w="1286" w:type="dxa"/>
            <w:vAlign w:val="top"/>
          </w:tcPr>
          <w:p>
            <w:pPr>
              <w:pStyle w:val="35"/>
              <w:spacing w:line="296" w:lineRule="auto"/>
              <w:rPr>
                <w:rFonts w:hint="default" w:ascii="Times New Roman" w:hAnsi="Times New Roman" w:cs="Times New Roman"/>
                <w:highlight w:val="none"/>
              </w:rPr>
            </w:pPr>
          </w:p>
          <w:p>
            <w:pPr>
              <w:spacing w:before="65" w:line="228" w:lineRule="auto"/>
              <w:ind w:left="233"/>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次氯酸钠</w:t>
            </w:r>
          </w:p>
        </w:tc>
        <w:tc>
          <w:tcPr>
            <w:tcW w:w="1699" w:type="dxa"/>
            <w:vAlign w:val="top"/>
          </w:tcPr>
          <w:p>
            <w:pPr>
              <w:pStyle w:val="35"/>
              <w:spacing w:line="339" w:lineRule="auto"/>
              <w:rPr>
                <w:rFonts w:hint="default" w:ascii="Times New Roman" w:hAnsi="Times New Roman" w:cs="Times New Roman"/>
                <w:highlight w:val="none"/>
              </w:rPr>
            </w:pPr>
          </w:p>
          <w:p>
            <w:pPr>
              <w:spacing w:before="58" w:line="195" w:lineRule="auto"/>
              <w:ind w:left="669"/>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0.5</w:t>
            </w:r>
          </w:p>
        </w:tc>
        <w:tc>
          <w:tcPr>
            <w:tcW w:w="1436" w:type="dxa"/>
            <w:vAlign w:val="top"/>
          </w:tcPr>
          <w:p>
            <w:pPr>
              <w:pStyle w:val="35"/>
              <w:spacing w:line="342" w:lineRule="auto"/>
              <w:rPr>
                <w:rFonts w:hint="default" w:ascii="Times New Roman" w:hAnsi="Times New Roman" w:cs="Times New Roman"/>
                <w:highlight w:val="none"/>
              </w:rPr>
            </w:pPr>
          </w:p>
          <w:p>
            <w:pPr>
              <w:spacing w:before="57" w:line="192" w:lineRule="auto"/>
              <w:ind w:left="671"/>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5</w:t>
            </w:r>
          </w:p>
        </w:tc>
        <w:tc>
          <w:tcPr>
            <w:tcW w:w="3658" w:type="dxa"/>
            <w:vMerge w:val="restart"/>
            <w:vAlign w:val="top"/>
          </w:tcPr>
          <w:p>
            <w:pPr>
              <w:spacing w:before="50" w:line="268" w:lineRule="auto"/>
              <w:ind w:left="124" w:right="99" w:firstLine="59"/>
              <w:jc w:val="both"/>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 xml:space="preserve">《建设项目环境风险评价技术导则》 </w:t>
            </w:r>
            <w:r>
              <w:rPr>
                <w:rFonts w:hint="default" w:ascii="Times New Roman" w:hAnsi="Times New Roman" w:eastAsia="宋体" w:cs="Times New Roman"/>
                <w:spacing w:val="1"/>
                <w:sz w:val="20"/>
                <w:szCs w:val="20"/>
                <w:highlight w:val="none"/>
              </w:rPr>
              <w:t>（</w:t>
            </w:r>
            <w:r>
              <w:rPr>
                <w:rFonts w:hint="default" w:ascii="Times New Roman" w:hAnsi="Times New Roman" w:eastAsia="Times New Roman" w:cs="Times New Roman"/>
                <w:sz w:val="20"/>
                <w:szCs w:val="20"/>
                <w:highlight w:val="none"/>
              </w:rPr>
              <w:t>HJ</w:t>
            </w:r>
            <w:r>
              <w:rPr>
                <w:rFonts w:hint="default" w:ascii="Times New Roman" w:hAnsi="Times New Roman" w:eastAsia="Times New Roman" w:cs="Times New Roman"/>
                <w:spacing w:val="1"/>
                <w:sz w:val="20"/>
                <w:szCs w:val="20"/>
                <w:highlight w:val="none"/>
              </w:rPr>
              <w:t>169-2018</w:t>
            </w:r>
            <w:r>
              <w:rPr>
                <w:rFonts w:hint="default" w:ascii="Times New Roman" w:hAnsi="Times New Roman" w:eastAsia="宋体" w:cs="Times New Roman"/>
                <w:spacing w:val="1"/>
                <w:sz w:val="20"/>
                <w:szCs w:val="20"/>
                <w:highlight w:val="none"/>
              </w:rPr>
              <w:t>）附录</w:t>
            </w:r>
            <w:r>
              <w:rPr>
                <w:rFonts w:hint="default" w:ascii="Times New Roman" w:hAnsi="Times New Roman" w:eastAsia="宋体" w:cs="Times New Roman"/>
                <w:spacing w:val="-38"/>
                <w:sz w:val="20"/>
                <w:szCs w:val="20"/>
                <w:highlight w:val="none"/>
              </w:rPr>
              <w:t xml:space="preserve"> </w:t>
            </w:r>
            <w:r>
              <w:rPr>
                <w:rFonts w:hint="default" w:ascii="Times New Roman" w:hAnsi="Times New Roman" w:eastAsia="Times New Roman" w:cs="Times New Roman"/>
                <w:spacing w:val="1"/>
                <w:sz w:val="20"/>
                <w:szCs w:val="20"/>
                <w:highlight w:val="none"/>
              </w:rPr>
              <w:t>B</w:t>
            </w:r>
            <w:r>
              <w:rPr>
                <w:rFonts w:hint="default" w:ascii="Times New Roman" w:hAnsi="Times New Roman" w:eastAsia="Times New Roman" w:cs="Times New Roman"/>
                <w:spacing w:val="-27"/>
                <w:sz w:val="20"/>
                <w:szCs w:val="20"/>
                <w:highlight w:val="none"/>
              </w:rPr>
              <w:t xml:space="preserve"> </w:t>
            </w:r>
            <w:r>
              <w:rPr>
                <w:rFonts w:hint="default" w:ascii="Times New Roman" w:hAnsi="Times New Roman" w:eastAsia="宋体" w:cs="Times New Roman"/>
                <w:spacing w:val="1"/>
                <w:sz w:val="20"/>
                <w:szCs w:val="20"/>
                <w:highlight w:val="none"/>
              </w:rPr>
              <w:t>、危险化学品重</w:t>
            </w:r>
            <w:r>
              <w:rPr>
                <w:rFonts w:hint="default" w:ascii="Times New Roman" w:hAnsi="Times New Roman" w:eastAsia="宋体" w:cs="Times New Roman"/>
                <w:sz w:val="20"/>
                <w:szCs w:val="20"/>
                <w:highlight w:val="none"/>
              </w:rPr>
              <w:t xml:space="preserve"> </w:t>
            </w:r>
            <w:r>
              <w:rPr>
                <w:rFonts w:hint="default" w:ascii="Times New Roman" w:hAnsi="Times New Roman" w:eastAsia="宋体" w:cs="Times New Roman"/>
                <w:spacing w:val="11"/>
                <w:sz w:val="20"/>
                <w:szCs w:val="20"/>
                <w:highlight w:val="none"/>
              </w:rPr>
              <w:t>大危险源辨识》（</w:t>
            </w:r>
            <w:r>
              <w:rPr>
                <w:rFonts w:hint="default" w:ascii="Times New Roman" w:hAnsi="Times New Roman" w:eastAsia="Times New Roman" w:cs="Times New Roman"/>
                <w:sz w:val="20"/>
                <w:szCs w:val="20"/>
                <w:highlight w:val="none"/>
              </w:rPr>
              <w:t>GB</w:t>
            </w:r>
            <w:r>
              <w:rPr>
                <w:rFonts w:hint="default" w:ascii="Times New Roman" w:hAnsi="Times New Roman" w:eastAsia="Times New Roman" w:cs="Times New Roman"/>
                <w:spacing w:val="11"/>
                <w:sz w:val="20"/>
                <w:szCs w:val="20"/>
                <w:highlight w:val="none"/>
              </w:rPr>
              <w:t>18218-2018</w:t>
            </w:r>
            <w:r>
              <w:rPr>
                <w:rFonts w:hint="default" w:ascii="Times New Roman" w:hAnsi="Times New Roman" w:eastAsia="宋体" w:cs="Times New Roman"/>
                <w:spacing w:val="11"/>
                <w:sz w:val="20"/>
                <w:szCs w:val="20"/>
                <w:highlight w:val="none"/>
              </w:rPr>
              <w:t>）</w:t>
            </w:r>
          </w:p>
        </w:tc>
        <w:tc>
          <w:tcPr>
            <w:tcW w:w="1213" w:type="dxa"/>
            <w:vAlign w:val="top"/>
          </w:tcPr>
          <w:p>
            <w:pPr>
              <w:pStyle w:val="35"/>
              <w:spacing w:line="339" w:lineRule="auto"/>
              <w:jc w:val="center"/>
              <w:rPr>
                <w:rFonts w:hint="default" w:ascii="Times New Roman" w:hAnsi="Times New Roman" w:cs="Times New Roman"/>
                <w:highlight w:val="none"/>
              </w:rPr>
            </w:pPr>
          </w:p>
          <w:p>
            <w:pPr>
              <w:spacing w:before="5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0.</w:t>
            </w:r>
            <w:r>
              <w:rPr>
                <w:rFonts w:hint="default" w:ascii="Times New Roman" w:hAnsi="Times New Roman" w:eastAsia="Times New Roman" w:cs="Times New Roman"/>
                <w:spacing w:val="-25"/>
                <w:sz w:val="20"/>
                <w:szCs w:val="20"/>
                <w:highlight w:val="none"/>
              </w:rPr>
              <w:t xml:space="preserve"> </w:t>
            </w:r>
            <w:r>
              <w:rPr>
                <w:rFonts w:hint="default" w:ascii="Times New Roman" w:hAnsi="Times New Roman" w:eastAsia="Times New Roman" w:cs="Times New Roman"/>
                <w:spacing w:val="-4"/>
                <w:sz w:val="20"/>
                <w:szCs w:val="20"/>
                <w:highlight w:val="none"/>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8" w:hRule="atLeast"/>
        </w:trPr>
        <w:tc>
          <w:tcPr>
            <w:tcW w:w="1286" w:type="dxa"/>
            <w:vAlign w:val="top"/>
          </w:tcPr>
          <w:p>
            <w:pPr>
              <w:pStyle w:val="35"/>
              <w:spacing w:line="296" w:lineRule="auto"/>
              <w:rPr>
                <w:rFonts w:hint="default" w:ascii="Times New Roman" w:hAnsi="Times New Roman" w:cs="Times New Roman"/>
                <w:highlight w:val="none"/>
              </w:rPr>
            </w:pPr>
          </w:p>
          <w:p>
            <w:pPr>
              <w:spacing w:before="65" w:line="228" w:lineRule="auto"/>
              <w:ind w:left="233" w:leftChars="0"/>
              <w:rPr>
                <w:rFonts w:hint="eastAsia" w:ascii="Times New Roman" w:hAnsi="Times New Roman" w:eastAsia="宋体" w:cs="Times New Roman"/>
                <w:snapToGrid w:val="0"/>
                <w:color w:val="000000"/>
                <w:kern w:val="0"/>
                <w:sz w:val="20"/>
                <w:szCs w:val="20"/>
                <w:highlight w:val="none"/>
                <w:lang w:val="en-US" w:eastAsia="zh-CN" w:bidi="ar-SA"/>
              </w:rPr>
            </w:pPr>
            <w:r>
              <w:rPr>
                <w:rFonts w:hint="eastAsia" w:ascii="Times New Roman" w:hAnsi="Times New Roman" w:eastAsia="宋体" w:cs="Times New Roman"/>
                <w:spacing w:val="5"/>
                <w:sz w:val="20"/>
                <w:szCs w:val="20"/>
                <w:highlight w:val="none"/>
                <w:lang w:val="en-US" w:eastAsia="zh-CN"/>
              </w:rPr>
              <w:t>柴油</w:t>
            </w:r>
          </w:p>
        </w:tc>
        <w:tc>
          <w:tcPr>
            <w:tcW w:w="1699" w:type="dxa"/>
            <w:vAlign w:val="top"/>
          </w:tcPr>
          <w:p>
            <w:pPr>
              <w:pStyle w:val="35"/>
              <w:spacing w:line="339" w:lineRule="auto"/>
              <w:rPr>
                <w:rFonts w:hint="default" w:ascii="Times New Roman" w:hAnsi="Times New Roman" w:cs="Times New Roman"/>
                <w:highlight w:val="none"/>
              </w:rPr>
            </w:pPr>
          </w:p>
          <w:p>
            <w:pPr>
              <w:spacing w:before="58" w:line="195" w:lineRule="auto"/>
              <w:jc w:val="center"/>
              <w:rPr>
                <w:rFonts w:hint="default" w:ascii="Times New Roman" w:hAnsi="Times New Roman" w:eastAsia="宋体" w:cs="Times New Roman"/>
                <w:snapToGrid w:val="0"/>
                <w:color w:val="000000"/>
                <w:kern w:val="0"/>
                <w:sz w:val="20"/>
                <w:szCs w:val="20"/>
                <w:highlight w:val="none"/>
                <w:lang w:val="en-US" w:eastAsia="zh-CN" w:bidi="ar-SA"/>
              </w:rPr>
            </w:pPr>
            <w:r>
              <w:rPr>
                <w:rFonts w:hint="eastAsia" w:ascii="Times New Roman" w:hAnsi="Times New Roman" w:eastAsia="宋体" w:cs="Times New Roman"/>
                <w:snapToGrid w:val="0"/>
                <w:color w:val="000000"/>
                <w:kern w:val="0"/>
                <w:sz w:val="20"/>
                <w:szCs w:val="20"/>
                <w:highlight w:val="none"/>
                <w:lang w:val="en-US" w:eastAsia="zh-CN" w:bidi="ar-SA"/>
              </w:rPr>
              <w:t>1</w:t>
            </w:r>
          </w:p>
        </w:tc>
        <w:tc>
          <w:tcPr>
            <w:tcW w:w="1436" w:type="dxa"/>
            <w:vAlign w:val="top"/>
          </w:tcPr>
          <w:p>
            <w:pPr>
              <w:pStyle w:val="35"/>
              <w:spacing w:line="339" w:lineRule="auto"/>
              <w:rPr>
                <w:rFonts w:hint="default" w:ascii="Times New Roman" w:hAnsi="Times New Roman" w:cs="Times New Roman"/>
                <w:highlight w:val="none"/>
              </w:rPr>
            </w:pPr>
          </w:p>
          <w:p>
            <w:pPr>
              <w:spacing w:before="58" w:line="195" w:lineRule="auto"/>
              <w:jc w:val="center"/>
              <w:rPr>
                <w:rFonts w:hint="default" w:ascii="Times New Roman" w:hAnsi="Times New Roman" w:eastAsia="宋体" w:cs="Times New Roman"/>
                <w:snapToGrid w:val="0"/>
                <w:color w:val="000000"/>
                <w:kern w:val="0"/>
                <w:sz w:val="20"/>
                <w:szCs w:val="20"/>
                <w:highlight w:val="none"/>
                <w:lang w:val="en-US" w:eastAsia="zh-CN" w:bidi="ar-SA"/>
              </w:rPr>
            </w:pPr>
            <w:r>
              <w:rPr>
                <w:rFonts w:hint="eastAsia" w:ascii="Times New Roman" w:hAnsi="Times New Roman" w:eastAsia="宋体" w:cs="Times New Roman"/>
                <w:spacing w:val="2"/>
                <w:sz w:val="20"/>
                <w:szCs w:val="20"/>
                <w:highlight w:val="none"/>
                <w:lang w:val="en-US" w:eastAsia="zh-CN"/>
              </w:rPr>
              <w:t>2500</w:t>
            </w:r>
          </w:p>
        </w:tc>
        <w:tc>
          <w:tcPr>
            <w:tcW w:w="3658" w:type="dxa"/>
            <w:vMerge w:val="continue"/>
            <w:vAlign w:val="top"/>
          </w:tcPr>
          <w:p>
            <w:pPr>
              <w:spacing w:before="50" w:line="268" w:lineRule="auto"/>
              <w:ind w:left="124" w:right="99" w:firstLine="59"/>
              <w:jc w:val="both"/>
              <w:rPr>
                <w:rFonts w:hint="default" w:ascii="Times New Roman" w:hAnsi="Times New Roman" w:eastAsia="宋体" w:cs="Times New Roman"/>
                <w:spacing w:val="5"/>
                <w:sz w:val="20"/>
                <w:szCs w:val="20"/>
                <w:highlight w:val="none"/>
              </w:rPr>
            </w:pPr>
          </w:p>
        </w:tc>
        <w:tc>
          <w:tcPr>
            <w:tcW w:w="1213" w:type="dxa"/>
            <w:vAlign w:val="top"/>
          </w:tcPr>
          <w:p>
            <w:pPr>
              <w:pStyle w:val="35"/>
              <w:spacing w:line="339" w:lineRule="auto"/>
              <w:jc w:val="center"/>
              <w:rPr>
                <w:rFonts w:hint="default" w:ascii="Times New Roman" w:hAnsi="Times New Roman" w:cs="Times New Roman"/>
                <w:highlight w:val="none"/>
              </w:rPr>
            </w:pPr>
          </w:p>
          <w:p>
            <w:pPr>
              <w:spacing w:before="58" w:line="195" w:lineRule="auto"/>
              <w:jc w:val="center"/>
              <w:rPr>
                <w:rFonts w:hint="default" w:ascii="Times New Roman" w:hAnsi="Times New Roman" w:eastAsia="宋体" w:cs="Times New Roman"/>
                <w:snapToGrid w:val="0"/>
                <w:color w:val="000000"/>
                <w:kern w:val="0"/>
                <w:sz w:val="20"/>
                <w:szCs w:val="20"/>
                <w:highlight w:val="none"/>
                <w:lang w:val="en-US" w:eastAsia="zh-CN" w:bidi="ar-SA"/>
              </w:rPr>
            </w:pPr>
            <w:r>
              <w:rPr>
                <w:rFonts w:hint="eastAsia" w:ascii="Times New Roman" w:hAnsi="Times New Roman" w:eastAsia="宋体" w:cs="Times New Roman"/>
                <w:spacing w:val="-4"/>
                <w:sz w:val="20"/>
                <w:szCs w:val="20"/>
                <w:highlight w:val="none"/>
                <w:lang w:val="en-US" w:eastAsia="zh-CN"/>
              </w:rPr>
              <w:t>0.0004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trPr>
        <w:tc>
          <w:tcPr>
            <w:tcW w:w="8079" w:type="dxa"/>
            <w:gridSpan w:val="4"/>
            <w:vAlign w:val="top"/>
          </w:tcPr>
          <w:p>
            <w:pPr>
              <w:spacing w:before="149" w:line="229" w:lineRule="auto"/>
              <w:ind w:left="3840"/>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合计</w:t>
            </w:r>
          </w:p>
        </w:tc>
        <w:tc>
          <w:tcPr>
            <w:tcW w:w="1213" w:type="dxa"/>
            <w:vAlign w:val="top"/>
          </w:tcPr>
          <w:p>
            <w:pPr>
              <w:spacing w:before="185"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0.1004</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pacing w:val="-1"/>
          <w:sz w:val="24"/>
          <w:szCs w:val="24"/>
          <w:highlight w:val="none"/>
        </w:rPr>
      </w:pPr>
      <w:r>
        <w:rPr>
          <w:rFonts w:hint="default" w:ascii="Times New Roman" w:hAnsi="Times New Roman" w:eastAsia="宋体" w:cs="Times New Roman"/>
          <w:spacing w:val="-1"/>
          <w:sz w:val="24"/>
          <w:szCs w:val="24"/>
          <w:highlight w:val="none"/>
        </w:rPr>
        <w:t>经计算 Q=0. 1</w:t>
      </w:r>
      <w:r>
        <w:rPr>
          <w:rFonts w:hint="eastAsia" w:ascii="Times New Roman" w:hAnsi="Times New Roman" w:eastAsia="宋体" w:cs="Times New Roman"/>
          <w:spacing w:val="-1"/>
          <w:sz w:val="24"/>
          <w:szCs w:val="24"/>
          <w:highlight w:val="none"/>
          <w:lang w:val="en-US" w:eastAsia="zh-CN"/>
        </w:rPr>
        <w:t>004</w:t>
      </w:r>
      <w:r>
        <w:rPr>
          <w:rFonts w:hint="default" w:ascii="Times New Roman" w:hAnsi="Times New Roman" w:eastAsia="宋体" w:cs="Times New Roman"/>
          <w:spacing w:val="-1"/>
          <w:sz w:val="24"/>
          <w:szCs w:val="24"/>
          <w:highlight w:val="none"/>
        </w:rPr>
        <w:t xml:space="preserve"> ，根据《建设项目环境风险评价技术导则》（HJ 169-2018），当 Q＜1 时，该项目风险潜势为Ⅰ。</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outlineLvl w:val="1"/>
        <w:rPr>
          <w:rFonts w:hint="default" w:ascii="Times New Roman" w:hAnsi="Times New Roman" w:eastAsia="宋体" w:cs="Times New Roman"/>
          <w:spacing w:val="-1"/>
          <w:sz w:val="24"/>
          <w:szCs w:val="24"/>
          <w:highlight w:val="none"/>
        </w:rPr>
      </w:pPr>
      <w:bookmarkStart w:id="49" w:name="_Toc3607"/>
      <w:bookmarkStart w:id="50" w:name="_Toc15558"/>
      <w:bookmarkStart w:id="51" w:name="_Toc28675"/>
      <w:r>
        <w:rPr>
          <w:rFonts w:hint="default" w:ascii="Times New Roman" w:hAnsi="Times New Roman" w:eastAsia="宋体" w:cs="Times New Roman"/>
          <w:spacing w:val="-1"/>
          <w:sz w:val="24"/>
          <w:szCs w:val="24"/>
          <w:highlight w:val="none"/>
        </w:rPr>
        <w:t>（2）评价等级</w:t>
      </w:r>
      <w:bookmarkEnd w:id="49"/>
      <w:bookmarkEnd w:id="50"/>
      <w:bookmarkEnd w:id="51"/>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pacing w:val="-1"/>
          <w:sz w:val="24"/>
          <w:szCs w:val="24"/>
          <w:highlight w:val="none"/>
        </w:rPr>
      </w:pPr>
      <w:r>
        <w:rPr>
          <w:rFonts w:hint="default" w:ascii="Times New Roman" w:hAnsi="Times New Roman" w:eastAsia="宋体" w:cs="Times New Roman"/>
          <w:spacing w:val="-1"/>
          <w:sz w:val="24"/>
          <w:szCs w:val="24"/>
          <w:highlight w:val="none"/>
        </w:rPr>
        <w:t>根据《建设项目环境风险评价技术导则》（HJ 169-2018）规定，风险评价的等级划分是基于项目涉及的物质和工艺系统的危险性及其所在地的环境敏感性确定环境风险潜势，按下表确定评价工作等级。</w:t>
      </w:r>
    </w:p>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eastAsia="宋体" w:cs="Times New Roman"/>
          <w:b/>
          <w:color w:val="auto"/>
          <w:sz w:val="20"/>
          <w:szCs w:val="20"/>
          <w:highlight w:val="none"/>
        </w:rPr>
      </w:pPr>
      <w:r>
        <w:rPr>
          <w:rFonts w:hint="default" w:ascii="Times New Roman" w:hAnsi="Times New Roman" w:eastAsia="宋体" w:cs="Times New Roman"/>
          <w:b/>
          <w:color w:val="auto"/>
          <w:sz w:val="20"/>
          <w:szCs w:val="20"/>
          <w:highlight w:val="none"/>
        </w:rPr>
        <w:t xml:space="preserve">表 </w:t>
      </w:r>
      <w:r>
        <w:rPr>
          <w:rFonts w:hint="default" w:ascii="Times New Roman" w:hAnsi="Times New Roman" w:eastAsia="宋体" w:cs="Times New Roman"/>
          <w:b/>
          <w:color w:val="auto"/>
          <w:sz w:val="20"/>
          <w:szCs w:val="20"/>
          <w:highlight w:val="none"/>
          <w:lang w:val="en-US" w:eastAsia="zh-CN"/>
        </w:rPr>
        <w:t>2-</w:t>
      </w:r>
      <w:r>
        <w:rPr>
          <w:rFonts w:hint="default" w:ascii="Times New Roman" w:hAnsi="Times New Roman" w:eastAsia="宋体" w:cs="Times New Roman"/>
          <w:b/>
          <w:color w:val="auto"/>
          <w:sz w:val="20"/>
          <w:szCs w:val="20"/>
          <w:highlight w:val="none"/>
        </w:rPr>
        <w:t>4-</w:t>
      </w:r>
      <w:r>
        <w:rPr>
          <w:rFonts w:hint="default" w:ascii="Times New Roman" w:hAnsi="Times New Roman" w:eastAsia="宋体" w:cs="Times New Roman"/>
          <w:b/>
          <w:color w:val="auto"/>
          <w:sz w:val="20"/>
          <w:szCs w:val="20"/>
          <w:highlight w:val="none"/>
          <w:lang w:val="en-US" w:eastAsia="zh-CN"/>
        </w:rPr>
        <w:t>12</w:t>
      </w:r>
      <w:r>
        <w:rPr>
          <w:rFonts w:hint="default" w:ascii="Times New Roman" w:hAnsi="Times New Roman" w:eastAsia="宋体" w:cs="Times New Roman"/>
          <w:b/>
          <w:color w:val="auto"/>
          <w:sz w:val="20"/>
          <w:szCs w:val="20"/>
          <w:highlight w:val="none"/>
        </w:rPr>
        <w:t xml:space="preserve">  环境风险评价工作等级划分</w:t>
      </w:r>
    </w:p>
    <w:p>
      <w:pPr>
        <w:spacing w:line="15" w:lineRule="exact"/>
        <w:rPr>
          <w:rFonts w:hint="default" w:ascii="Times New Roman" w:hAnsi="Times New Roman" w:cs="Times New Roman"/>
          <w:highlight w:val="none"/>
        </w:rPr>
      </w:pPr>
    </w:p>
    <w:tbl>
      <w:tblPr>
        <w:tblStyle w:val="34"/>
        <w:tblW w:w="929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368"/>
        <w:gridCol w:w="1444"/>
        <w:gridCol w:w="1838"/>
        <w:gridCol w:w="1909"/>
        <w:gridCol w:w="173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2368" w:type="dxa"/>
            <w:vAlign w:val="top"/>
          </w:tcPr>
          <w:p>
            <w:pPr>
              <w:spacing w:before="70" w:line="228" w:lineRule="auto"/>
              <w:ind w:left="558"/>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环境风险潜势</w:t>
            </w:r>
          </w:p>
        </w:tc>
        <w:tc>
          <w:tcPr>
            <w:tcW w:w="1444" w:type="dxa"/>
            <w:vAlign w:val="top"/>
          </w:tcPr>
          <w:p>
            <w:pPr>
              <w:spacing w:before="81" w:line="206" w:lineRule="auto"/>
              <w:ind w:left="355"/>
              <w:rPr>
                <w:rFonts w:hint="default" w:ascii="Times New Roman" w:hAnsi="Times New Roman" w:eastAsia="Times New Roman" w:cs="Times New Roman"/>
                <w:sz w:val="15"/>
                <w:szCs w:val="15"/>
                <w:highlight w:val="none"/>
              </w:rPr>
            </w:pPr>
            <w:r>
              <w:rPr>
                <w:rFonts w:hint="default" w:ascii="Times New Roman" w:hAnsi="Times New Roman" w:eastAsia="Times New Roman" w:cs="Times New Roman"/>
                <w:position w:val="-1"/>
                <w:sz w:val="20"/>
                <w:szCs w:val="20"/>
                <w:highlight w:val="none"/>
              </w:rPr>
              <w:t>Ⅳ</w:t>
            </w:r>
            <w:r>
              <w:rPr>
                <w:rFonts w:hint="default" w:ascii="Times New Roman" w:hAnsi="Times New Roman" w:eastAsia="Times New Roman" w:cs="Times New Roman"/>
                <w:spacing w:val="-24"/>
                <w:position w:val="-1"/>
                <w:sz w:val="20"/>
                <w:szCs w:val="20"/>
                <w:highlight w:val="none"/>
              </w:rPr>
              <w:t xml:space="preserve"> </w:t>
            </w:r>
            <w:r>
              <w:rPr>
                <w:rFonts w:hint="default" w:ascii="Times New Roman" w:hAnsi="Times New Roman" w:eastAsia="宋体" w:cs="Times New Roman"/>
                <w:position w:val="-1"/>
                <w:sz w:val="20"/>
                <w:szCs w:val="20"/>
                <w:highlight w:val="none"/>
              </w:rPr>
              <w:t>、</w:t>
            </w:r>
            <w:r>
              <w:rPr>
                <w:rFonts w:hint="default" w:ascii="Times New Roman" w:hAnsi="Times New Roman" w:eastAsia="Times New Roman" w:cs="Times New Roman"/>
                <w:position w:val="-1"/>
                <w:sz w:val="20"/>
                <w:szCs w:val="20"/>
                <w:highlight w:val="none"/>
              </w:rPr>
              <w:t>Ⅳ</w:t>
            </w:r>
            <w:r>
              <w:rPr>
                <w:rFonts w:hint="default" w:ascii="Times New Roman" w:hAnsi="Times New Roman" w:eastAsia="Times New Roman" w:cs="Times New Roman"/>
                <w:position w:val="6"/>
                <w:sz w:val="15"/>
                <w:szCs w:val="15"/>
                <w:highlight w:val="none"/>
              </w:rPr>
              <w:t>+</w:t>
            </w:r>
          </w:p>
        </w:tc>
        <w:tc>
          <w:tcPr>
            <w:tcW w:w="1838" w:type="dxa"/>
            <w:vAlign w:val="top"/>
          </w:tcPr>
          <w:p>
            <w:pPr>
              <w:spacing w:before="109" w:line="192" w:lineRule="auto"/>
              <w:ind w:left="821"/>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Ⅲ</w:t>
            </w:r>
          </w:p>
        </w:tc>
        <w:tc>
          <w:tcPr>
            <w:tcW w:w="1909" w:type="dxa"/>
            <w:vAlign w:val="top"/>
          </w:tcPr>
          <w:p>
            <w:pPr>
              <w:spacing w:before="109" w:line="192" w:lineRule="auto"/>
              <w:ind w:left="891"/>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Ⅱ</w:t>
            </w:r>
          </w:p>
        </w:tc>
        <w:tc>
          <w:tcPr>
            <w:tcW w:w="1733" w:type="dxa"/>
            <w:vAlign w:val="top"/>
          </w:tcPr>
          <w:p>
            <w:pPr>
              <w:spacing w:before="109" w:line="192" w:lineRule="auto"/>
              <w:ind w:left="833"/>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2368" w:type="dxa"/>
            <w:vAlign w:val="top"/>
          </w:tcPr>
          <w:p>
            <w:pPr>
              <w:spacing w:before="65" w:line="226" w:lineRule="auto"/>
              <w:ind w:left="558"/>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评价工作等级</w:t>
            </w:r>
          </w:p>
        </w:tc>
        <w:tc>
          <w:tcPr>
            <w:tcW w:w="1444" w:type="dxa"/>
            <w:vAlign w:val="top"/>
          </w:tcPr>
          <w:p>
            <w:pPr>
              <w:spacing w:before="143" w:line="156" w:lineRule="exact"/>
              <w:ind w:left="625"/>
              <w:rPr>
                <w:rFonts w:hint="default" w:ascii="Times New Roman" w:hAnsi="Times New Roman" w:eastAsia="宋体" w:cs="Times New Roman"/>
                <w:sz w:val="20"/>
                <w:szCs w:val="20"/>
                <w:highlight w:val="none"/>
              </w:rPr>
            </w:pPr>
            <w:r>
              <w:rPr>
                <w:rFonts w:hint="default" w:ascii="Times New Roman" w:hAnsi="Times New Roman" w:eastAsia="宋体" w:cs="Times New Roman"/>
                <w:position w:val="-4"/>
                <w:sz w:val="20"/>
                <w:szCs w:val="20"/>
                <w:highlight w:val="none"/>
              </w:rPr>
              <w:t>一</w:t>
            </w:r>
          </w:p>
        </w:tc>
        <w:tc>
          <w:tcPr>
            <w:tcW w:w="1838" w:type="dxa"/>
            <w:vAlign w:val="top"/>
          </w:tcPr>
          <w:p>
            <w:pPr>
              <w:spacing w:before="104" w:line="183" w:lineRule="auto"/>
              <w:ind w:left="823"/>
              <w:rPr>
                <w:rFonts w:hint="default" w:ascii="Times New Roman" w:hAnsi="Times New Roman" w:eastAsia="宋体" w:cs="Times New Roman"/>
                <w:sz w:val="20"/>
                <w:szCs w:val="20"/>
                <w:highlight w:val="none"/>
              </w:rPr>
            </w:pPr>
            <w:r>
              <w:rPr>
                <w:rFonts w:hint="default" w:ascii="Times New Roman" w:hAnsi="Times New Roman" w:eastAsia="宋体" w:cs="Times New Roman"/>
                <w:sz w:val="20"/>
                <w:szCs w:val="20"/>
                <w:highlight w:val="none"/>
              </w:rPr>
              <w:t>二</w:t>
            </w:r>
          </w:p>
        </w:tc>
        <w:tc>
          <w:tcPr>
            <w:tcW w:w="1909" w:type="dxa"/>
            <w:vAlign w:val="top"/>
          </w:tcPr>
          <w:p>
            <w:pPr>
              <w:spacing w:before="65" w:line="265" w:lineRule="exact"/>
              <w:ind w:left="856"/>
              <w:rPr>
                <w:rFonts w:hint="default" w:ascii="Times New Roman" w:hAnsi="Times New Roman" w:eastAsia="宋体" w:cs="Times New Roman"/>
                <w:sz w:val="20"/>
                <w:szCs w:val="20"/>
                <w:highlight w:val="none"/>
              </w:rPr>
            </w:pPr>
            <w:r>
              <w:rPr>
                <w:rFonts w:hint="default" w:ascii="Times New Roman" w:hAnsi="Times New Roman" w:eastAsia="宋体" w:cs="Times New Roman"/>
                <w:position w:val="1"/>
                <w:sz w:val="20"/>
                <w:szCs w:val="20"/>
                <w:highlight w:val="none"/>
              </w:rPr>
              <w:t>三</w:t>
            </w:r>
          </w:p>
        </w:tc>
        <w:tc>
          <w:tcPr>
            <w:tcW w:w="1733" w:type="dxa"/>
            <w:vAlign w:val="top"/>
          </w:tcPr>
          <w:p>
            <w:pPr>
              <w:spacing w:before="65" w:line="227" w:lineRule="auto"/>
              <w:ind w:left="400"/>
              <w:rPr>
                <w:rFonts w:hint="default" w:ascii="Times New Roman" w:hAnsi="Times New Roman" w:eastAsia="Times New Roman" w:cs="Times New Roman"/>
                <w:sz w:val="13"/>
                <w:szCs w:val="13"/>
                <w:highlight w:val="none"/>
              </w:rPr>
            </w:pPr>
            <w:r>
              <w:rPr>
                <w:rFonts w:hint="default" w:ascii="Times New Roman" w:hAnsi="Times New Roman" w:eastAsia="宋体" w:cs="Times New Roman"/>
                <w:spacing w:val="5"/>
                <w:sz w:val="20"/>
                <w:szCs w:val="20"/>
                <w:highlight w:val="none"/>
              </w:rPr>
              <w:t>简单分析</w:t>
            </w:r>
            <w:r>
              <w:rPr>
                <w:rFonts w:hint="default" w:ascii="Times New Roman" w:hAnsi="Times New Roman" w:eastAsia="宋体" w:cs="Times New Roman"/>
                <w:spacing w:val="-43"/>
                <w:sz w:val="20"/>
                <w:szCs w:val="20"/>
                <w:highlight w:val="none"/>
              </w:rPr>
              <w:t xml:space="preserve"> </w:t>
            </w:r>
            <w:r>
              <w:rPr>
                <w:rFonts w:hint="default" w:ascii="Times New Roman" w:hAnsi="Times New Roman" w:eastAsia="Times New Roman" w:cs="Times New Roman"/>
                <w:spacing w:val="5"/>
                <w:position w:val="6"/>
                <w:sz w:val="13"/>
                <w:szCs w:val="13"/>
                <w:highlight w:val="none"/>
              </w:rPr>
              <w:t>a</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9292" w:type="dxa"/>
            <w:gridSpan w:val="5"/>
            <w:vAlign w:val="top"/>
          </w:tcPr>
          <w:p>
            <w:pPr>
              <w:spacing w:before="32" w:line="235" w:lineRule="auto"/>
              <w:ind w:left="3497" w:right="110" w:hanging="3383"/>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7"/>
                <w:sz w:val="20"/>
                <w:szCs w:val="20"/>
                <w:highlight w:val="none"/>
              </w:rPr>
              <w:t>a</w:t>
            </w:r>
            <w:r>
              <w:rPr>
                <w:rFonts w:hint="default" w:ascii="Times New Roman" w:hAnsi="Times New Roman" w:eastAsia="Times New Roman" w:cs="Times New Roman"/>
                <w:spacing w:val="15"/>
                <w:sz w:val="20"/>
                <w:szCs w:val="20"/>
                <w:highlight w:val="none"/>
              </w:rPr>
              <w:t xml:space="preserve"> </w:t>
            </w:r>
            <w:r>
              <w:rPr>
                <w:rFonts w:hint="default" w:ascii="Times New Roman" w:hAnsi="Times New Roman" w:eastAsia="宋体" w:cs="Times New Roman"/>
                <w:spacing w:val="7"/>
                <w:sz w:val="20"/>
                <w:szCs w:val="20"/>
                <w:highlight w:val="none"/>
              </w:rPr>
              <w:t>是相对于详细评价工作内容而言，在描述风险物质、环境影响途径、环境危害后果、风险防范措施</w:t>
            </w:r>
            <w:r>
              <w:rPr>
                <w:rFonts w:hint="default" w:ascii="Times New Roman" w:hAnsi="Times New Roman" w:eastAsia="宋体" w:cs="Times New Roman"/>
                <w:sz w:val="20"/>
                <w:szCs w:val="20"/>
                <w:highlight w:val="none"/>
              </w:rPr>
              <w:t xml:space="preserve"> </w:t>
            </w:r>
            <w:r>
              <w:rPr>
                <w:rFonts w:hint="default" w:ascii="Times New Roman" w:hAnsi="Times New Roman" w:eastAsia="宋体" w:cs="Times New Roman"/>
                <w:spacing w:val="7"/>
                <w:sz w:val="20"/>
                <w:szCs w:val="20"/>
                <w:highlight w:val="none"/>
              </w:rPr>
              <w:t>等方面给出定性的说明。</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jc w:val="both"/>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4"/>
          <w:position w:val="17"/>
          <w:sz w:val="24"/>
          <w:szCs w:val="24"/>
          <w:highlight w:val="none"/>
        </w:rPr>
        <w:t>本项目厂区内风险物质数量与临界量比值</w:t>
      </w:r>
      <w:r>
        <w:rPr>
          <w:rFonts w:hint="default" w:ascii="Times New Roman" w:hAnsi="Times New Roman" w:eastAsia="宋体" w:cs="Times New Roman"/>
          <w:spacing w:val="-47"/>
          <w:position w:val="17"/>
          <w:sz w:val="24"/>
          <w:szCs w:val="24"/>
          <w:highlight w:val="none"/>
        </w:rPr>
        <w:t xml:space="preserve"> </w:t>
      </w:r>
      <w:r>
        <w:rPr>
          <w:rFonts w:hint="default" w:ascii="Times New Roman" w:hAnsi="Times New Roman" w:eastAsia="Times New Roman" w:cs="Times New Roman"/>
          <w:spacing w:val="-4"/>
          <w:position w:val="17"/>
          <w:sz w:val="24"/>
          <w:szCs w:val="24"/>
          <w:highlight w:val="none"/>
        </w:rPr>
        <w:t>Q</w:t>
      </w:r>
      <w:r>
        <w:rPr>
          <w:rFonts w:hint="default" w:ascii="Times New Roman" w:hAnsi="Times New Roman" w:eastAsia="宋体" w:cs="Times New Roman"/>
          <w:spacing w:val="-4"/>
          <w:position w:val="17"/>
          <w:sz w:val="24"/>
          <w:szCs w:val="24"/>
          <w:highlight w:val="none"/>
        </w:rPr>
        <w:t>＜</w:t>
      </w:r>
      <w:r>
        <w:rPr>
          <w:rFonts w:hint="default" w:ascii="Times New Roman" w:hAnsi="Times New Roman" w:eastAsia="Times New Roman" w:cs="Times New Roman"/>
          <w:spacing w:val="-4"/>
          <w:position w:val="17"/>
          <w:sz w:val="24"/>
          <w:szCs w:val="24"/>
          <w:highlight w:val="none"/>
        </w:rPr>
        <w:t>1</w:t>
      </w:r>
      <w:r>
        <w:rPr>
          <w:rFonts w:hint="default" w:ascii="Times New Roman" w:hAnsi="Times New Roman" w:eastAsia="Times New Roman" w:cs="Times New Roman"/>
          <w:spacing w:val="-31"/>
          <w:position w:val="17"/>
          <w:sz w:val="24"/>
          <w:szCs w:val="24"/>
          <w:highlight w:val="none"/>
        </w:rPr>
        <w:t xml:space="preserve"> </w:t>
      </w:r>
      <w:r>
        <w:rPr>
          <w:rFonts w:hint="default" w:ascii="Times New Roman" w:hAnsi="Times New Roman" w:eastAsia="宋体" w:cs="Times New Roman"/>
          <w:spacing w:val="-4"/>
          <w:position w:val="17"/>
          <w:sz w:val="24"/>
          <w:szCs w:val="24"/>
          <w:highlight w:val="none"/>
        </w:rPr>
        <w:t>，风险潜势为</w:t>
      </w:r>
      <w:r>
        <w:rPr>
          <w:rFonts w:hint="default" w:ascii="Times New Roman" w:hAnsi="Times New Roman" w:eastAsia="Times New Roman" w:cs="Times New Roman"/>
          <w:spacing w:val="-4"/>
          <w:position w:val="17"/>
          <w:sz w:val="24"/>
          <w:szCs w:val="24"/>
          <w:highlight w:val="none"/>
        </w:rPr>
        <w:t>Ⅰ</w:t>
      </w:r>
      <w:r>
        <w:rPr>
          <w:rFonts w:hint="default" w:ascii="Times New Roman" w:hAnsi="Times New Roman" w:eastAsia="Times New Roman" w:cs="Times New Roman"/>
          <w:spacing w:val="-29"/>
          <w:position w:val="17"/>
          <w:sz w:val="24"/>
          <w:szCs w:val="24"/>
          <w:highlight w:val="none"/>
        </w:rPr>
        <w:t xml:space="preserve"> </w:t>
      </w:r>
      <w:r>
        <w:rPr>
          <w:rFonts w:hint="default" w:ascii="Times New Roman" w:hAnsi="Times New Roman" w:eastAsia="宋体" w:cs="Times New Roman"/>
          <w:spacing w:val="-4"/>
          <w:position w:val="17"/>
          <w:sz w:val="24"/>
          <w:szCs w:val="24"/>
          <w:highlight w:val="none"/>
        </w:rPr>
        <w:t>,</w:t>
      </w:r>
      <w:r>
        <w:rPr>
          <w:rFonts w:hint="default" w:ascii="Times New Roman" w:hAnsi="Times New Roman" w:eastAsia="宋体" w:cs="Times New Roman"/>
          <w:spacing w:val="64"/>
          <w:position w:val="17"/>
          <w:sz w:val="24"/>
          <w:szCs w:val="24"/>
          <w:highlight w:val="none"/>
        </w:rPr>
        <w:t xml:space="preserve"> </w:t>
      </w:r>
      <w:r>
        <w:rPr>
          <w:rFonts w:hint="default" w:ascii="Times New Roman" w:hAnsi="Times New Roman" w:eastAsia="宋体" w:cs="Times New Roman"/>
          <w:spacing w:val="-4"/>
          <w:position w:val="17"/>
          <w:sz w:val="24"/>
          <w:szCs w:val="24"/>
          <w:highlight w:val="none"/>
        </w:rPr>
        <w:t>可开展简单分析。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64" w:firstLineChars="200"/>
        <w:jc w:val="both"/>
        <w:textAlignment w:val="baseline"/>
        <w:outlineLvl w:val="0"/>
        <w:rPr>
          <w:rFonts w:hint="default" w:ascii="Times New Roman" w:hAnsi="Times New Roman" w:eastAsia="宋体" w:cs="Times New Roman"/>
          <w:sz w:val="24"/>
          <w:szCs w:val="24"/>
          <w:highlight w:val="none"/>
        </w:rPr>
      </w:pPr>
      <w:bookmarkStart w:id="52" w:name="_Toc20035"/>
      <w:bookmarkStart w:id="53" w:name="_Toc11578"/>
      <w:bookmarkStart w:id="54" w:name="_Toc22661"/>
      <w:r>
        <w:rPr>
          <w:rFonts w:hint="default" w:ascii="Times New Roman" w:hAnsi="Times New Roman" w:eastAsia="Times New Roman" w:cs="Times New Roman"/>
          <w:spacing w:val="-4"/>
          <w:sz w:val="24"/>
          <w:szCs w:val="24"/>
          <w:highlight w:val="none"/>
        </w:rPr>
        <w:t>6</w:t>
      </w:r>
      <w:r>
        <w:rPr>
          <w:rFonts w:hint="default" w:ascii="Times New Roman" w:hAnsi="Times New Roman" w:eastAsia="Times New Roman" w:cs="Times New Roman"/>
          <w:spacing w:val="-32"/>
          <w:sz w:val="24"/>
          <w:szCs w:val="24"/>
          <w:highlight w:val="none"/>
        </w:rPr>
        <w:t xml:space="preserve"> </w:t>
      </w:r>
      <w:r>
        <w:rPr>
          <w:rFonts w:hint="default" w:ascii="Times New Roman" w:hAnsi="Times New Roman" w:eastAsia="宋体" w:cs="Times New Roman"/>
          <w:spacing w:val="-4"/>
          <w:sz w:val="24"/>
          <w:szCs w:val="24"/>
          <w:highlight w:val="none"/>
        </w:rPr>
        <w:t>、土壤评价工作等级</w:t>
      </w:r>
      <w:bookmarkEnd w:id="52"/>
      <w:bookmarkEnd w:id="53"/>
      <w:bookmarkEnd w:id="54"/>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32" w:firstLineChars="200"/>
        <w:jc w:val="both"/>
        <w:textAlignment w:val="baseline"/>
        <w:rPr>
          <w:rFonts w:hint="default" w:ascii="Times New Roman" w:hAnsi="Times New Roman" w:eastAsia="宋体" w:cs="Times New Roman"/>
          <w:spacing w:val="-1"/>
          <w:sz w:val="24"/>
          <w:szCs w:val="24"/>
          <w:highlight w:val="none"/>
        </w:rPr>
      </w:pPr>
      <w:r>
        <w:rPr>
          <w:rFonts w:hint="default" w:ascii="Times New Roman" w:hAnsi="Times New Roman" w:eastAsia="宋体" w:cs="Times New Roman"/>
          <w:spacing w:val="-12"/>
          <w:sz w:val="24"/>
          <w:szCs w:val="24"/>
          <w:highlight w:val="none"/>
        </w:rPr>
        <w:t>根据《环境影响评价技术导则 土壤环境（试行）》（</w:t>
      </w:r>
      <w:r>
        <w:rPr>
          <w:rFonts w:hint="default" w:ascii="Times New Roman" w:hAnsi="Times New Roman" w:eastAsia="Times New Roman" w:cs="Times New Roman"/>
          <w:spacing w:val="-12"/>
          <w:sz w:val="24"/>
          <w:szCs w:val="24"/>
          <w:highlight w:val="none"/>
        </w:rPr>
        <w:t>HJ964-2018</w:t>
      </w:r>
      <w:r>
        <w:rPr>
          <w:rFonts w:hint="default" w:ascii="Times New Roman" w:hAnsi="Times New Roman" w:eastAsia="宋体" w:cs="Times New Roman"/>
          <w:spacing w:val="-12"/>
          <w:sz w:val="24"/>
          <w:szCs w:val="24"/>
          <w:highlight w:val="none"/>
        </w:rPr>
        <w:t>）附录</w:t>
      </w:r>
      <w:r>
        <w:rPr>
          <w:rFonts w:hint="default" w:ascii="Times New Roman" w:hAnsi="Times New Roman" w:eastAsia="宋体" w:cs="Times New Roman"/>
          <w:spacing w:val="-54"/>
          <w:sz w:val="24"/>
          <w:szCs w:val="24"/>
          <w:highlight w:val="none"/>
        </w:rPr>
        <w:t xml:space="preserve"> </w:t>
      </w:r>
      <w:r>
        <w:rPr>
          <w:rFonts w:hint="default" w:ascii="Times New Roman" w:hAnsi="Times New Roman" w:eastAsia="Times New Roman" w:cs="Times New Roman"/>
          <w:spacing w:val="-12"/>
          <w:sz w:val="24"/>
          <w:szCs w:val="24"/>
          <w:highlight w:val="none"/>
        </w:rPr>
        <w:t>A</w:t>
      </w:r>
      <w:r>
        <w:rPr>
          <w:rFonts w:hint="default" w:ascii="Times New Roman" w:hAnsi="Times New Roman" w:eastAsia="Times New Roman" w:cs="Times New Roman"/>
          <w:spacing w:val="33"/>
          <w:w w:val="101"/>
          <w:sz w:val="24"/>
          <w:szCs w:val="24"/>
          <w:highlight w:val="none"/>
        </w:rPr>
        <w:t xml:space="preserve"> </w:t>
      </w:r>
      <w:r>
        <w:rPr>
          <w:rFonts w:hint="default" w:ascii="Times New Roman" w:hAnsi="Times New Roman" w:eastAsia="宋体" w:cs="Times New Roman"/>
          <w:spacing w:val="-12"/>
          <w:sz w:val="24"/>
          <w:szCs w:val="24"/>
          <w:highlight w:val="none"/>
        </w:rPr>
        <w:t>中表</w:t>
      </w:r>
      <w:r>
        <w:rPr>
          <w:rFonts w:hint="default" w:ascii="Times New Roman" w:hAnsi="Times New Roman" w:eastAsia="宋体" w:cs="Times New Roman"/>
          <w:spacing w:val="-58"/>
          <w:sz w:val="24"/>
          <w:szCs w:val="24"/>
          <w:highlight w:val="none"/>
        </w:rPr>
        <w:t xml:space="preserve"> </w:t>
      </w:r>
      <w:r>
        <w:rPr>
          <w:rFonts w:hint="default" w:ascii="Times New Roman" w:hAnsi="Times New Roman" w:eastAsia="Times New Roman" w:cs="Times New Roman"/>
          <w:spacing w:val="-12"/>
          <w:sz w:val="24"/>
          <w:szCs w:val="24"/>
          <w:highlight w:val="none"/>
        </w:rPr>
        <w:t>A.1“</w:t>
      </w:r>
      <w:r>
        <w:rPr>
          <w:rFonts w:hint="default" w:ascii="Times New Roman" w:hAnsi="Times New Roman" w:eastAsia="宋体" w:cs="Times New Roman"/>
          <w:spacing w:val="-12"/>
          <w:sz w:val="24"/>
          <w:szCs w:val="24"/>
          <w:highlight w:val="none"/>
        </w:rPr>
        <w:t>土</w:t>
      </w:r>
      <w:r>
        <w:rPr>
          <w:rFonts w:hint="default" w:ascii="Times New Roman" w:hAnsi="Times New Roman" w:eastAsia="宋体" w:cs="Times New Roman"/>
          <w:sz w:val="24"/>
          <w:szCs w:val="24"/>
          <w:highlight w:val="none"/>
        </w:rPr>
        <w:t>壤环境影响评价项目类别</w:t>
      </w:r>
      <w:r>
        <w:rPr>
          <w:rFonts w:hint="default" w:ascii="Times New Roman" w:hAnsi="Times New Roman" w:eastAsia="Times New Roman" w:cs="Times New Roman"/>
          <w:sz w:val="24"/>
          <w:szCs w:val="24"/>
          <w:highlight w:val="none"/>
        </w:rPr>
        <w:t>”</w:t>
      </w:r>
      <w:r>
        <w:rPr>
          <w:rFonts w:hint="default" w:ascii="Times New Roman" w:hAnsi="Times New Roman" w:eastAsia="Times New Roman" w:cs="Times New Roman"/>
          <w:spacing w:val="-20"/>
          <w:sz w:val="24"/>
          <w:szCs w:val="24"/>
          <w:highlight w:val="none"/>
        </w:rPr>
        <w:t xml:space="preserve"> </w:t>
      </w:r>
      <w:r>
        <w:rPr>
          <w:rFonts w:hint="default" w:ascii="Times New Roman" w:hAnsi="Times New Roman" w:eastAsia="宋体" w:cs="Times New Roman"/>
          <w:sz w:val="24"/>
          <w:szCs w:val="24"/>
          <w:highlight w:val="none"/>
        </w:rPr>
        <w:t>中的规定，</w:t>
      </w:r>
      <w:r>
        <w:rPr>
          <w:rFonts w:hint="default" w:ascii="Times New Roman" w:hAnsi="Times New Roman" w:eastAsia="宋体" w:cs="Times New Roman"/>
          <w:spacing w:val="-1"/>
          <w:sz w:val="24"/>
          <w:szCs w:val="24"/>
          <w:highlight w:val="none"/>
        </w:rPr>
        <w:t>“行业类别 ”中无屠宰类项目，因此本项目属于“其他行业 ”，为Ⅳ类项目，可不开展土壤环境影响评价工作。</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64" w:firstLineChars="200"/>
        <w:jc w:val="both"/>
        <w:textAlignment w:val="baseline"/>
        <w:outlineLvl w:val="0"/>
        <w:rPr>
          <w:rFonts w:hint="default" w:ascii="Times New Roman" w:hAnsi="Times New Roman" w:eastAsia="宋体" w:cs="Times New Roman"/>
          <w:spacing w:val="-4"/>
          <w:sz w:val="24"/>
          <w:szCs w:val="24"/>
          <w:highlight w:val="none"/>
          <w:lang w:val="en-US" w:eastAsia="zh-CN"/>
        </w:rPr>
      </w:pPr>
      <w:bookmarkStart w:id="55" w:name="_Toc11157"/>
      <w:bookmarkStart w:id="56" w:name="_Toc13367"/>
      <w:bookmarkStart w:id="57" w:name="_Toc28580"/>
      <w:r>
        <w:rPr>
          <w:rFonts w:hint="eastAsia" w:ascii="Times New Roman" w:hAnsi="Times New Roman" w:eastAsia="宋体" w:cs="Times New Roman"/>
          <w:spacing w:val="-4"/>
          <w:sz w:val="24"/>
          <w:szCs w:val="24"/>
          <w:highlight w:val="none"/>
          <w:lang w:val="en-US" w:eastAsia="zh-CN"/>
        </w:rPr>
        <w:t>7、</w:t>
      </w:r>
      <w:r>
        <w:rPr>
          <w:rFonts w:hint="default" w:ascii="Times New Roman" w:hAnsi="Times New Roman" w:eastAsia="宋体" w:cs="Times New Roman"/>
          <w:spacing w:val="-4"/>
          <w:sz w:val="24"/>
          <w:szCs w:val="24"/>
          <w:highlight w:val="none"/>
          <w:lang w:val="en-US" w:eastAsia="zh-CN"/>
        </w:rPr>
        <w:t>生态环境评价等级</w:t>
      </w:r>
      <w:bookmarkEnd w:id="55"/>
      <w:bookmarkEnd w:id="56"/>
      <w:bookmarkEnd w:id="57"/>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jc w:val="both"/>
        <w:textAlignment w:val="baseline"/>
        <w:rPr>
          <w:rFonts w:hint="eastAsia" w:ascii="Times New Roman" w:hAnsi="Times New Roman" w:eastAsia="宋体" w:cs="Times New Roman"/>
          <w:snapToGrid w:val="0"/>
          <w:color w:val="auto"/>
          <w:kern w:val="0"/>
          <w:sz w:val="24"/>
          <w:lang w:val="en-US" w:eastAsia="zh-CN"/>
        </w:rPr>
      </w:pPr>
      <w:r>
        <w:rPr>
          <w:rFonts w:hint="default" w:ascii="Times New Roman" w:hAnsi="Times New Roman" w:cs="Times New Roman"/>
          <w:snapToGrid w:val="0"/>
          <w:color w:val="auto"/>
          <w:kern w:val="0"/>
          <w:sz w:val="24"/>
        </w:rPr>
        <w:t>本项目占地面积</w:t>
      </w:r>
      <w:r>
        <w:rPr>
          <w:rFonts w:hint="default" w:ascii="Times New Roman" w:hAnsi="Times New Roman" w:cs="Times New Roman"/>
          <w:color w:val="auto"/>
          <w:sz w:val="24"/>
          <w:shd w:val="clear" w:color="auto" w:fill="FFFFFF"/>
          <w:lang w:val="en-US" w:eastAsia="zh-CN"/>
        </w:rPr>
        <w:t>3864</w:t>
      </w:r>
      <w:r>
        <w:rPr>
          <w:rFonts w:hint="default" w:ascii="Times New Roman" w:hAnsi="Times New Roman" w:cs="Times New Roman"/>
          <w:snapToGrid w:val="0"/>
          <w:color w:val="auto"/>
          <w:kern w:val="0"/>
          <w:sz w:val="24"/>
        </w:rPr>
        <w:t>m</w:t>
      </w:r>
      <w:r>
        <w:rPr>
          <w:rFonts w:hint="default" w:ascii="Times New Roman" w:hAnsi="Times New Roman" w:cs="Times New Roman"/>
          <w:snapToGrid w:val="0"/>
          <w:color w:val="auto"/>
          <w:kern w:val="0"/>
          <w:sz w:val="24"/>
          <w:vertAlign w:val="superscript"/>
        </w:rPr>
        <w:t>2</w:t>
      </w:r>
      <w:r>
        <w:rPr>
          <w:rFonts w:hint="default" w:ascii="Times New Roman" w:hAnsi="Times New Roman" w:cs="Times New Roman"/>
          <w:snapToGrid w:val="0"/>
          <w:color w:val="auto"/>
          <w:kern w:val="0"/>
          <w:sz w:val="24"/>
        </w:rPr>
        <w:t>，仅为</w:t>
      </w:r>
      <w:r>
        <w:rPr>
          <w:rFonts w:hint="default" w:ascii="Times New Roman" w:hAnsi="Times New Roman" w:cs="Times New Roman"/>
          <w:snapToGrid w:val="0"/>
          <w:color w:val="auto"/>
          <w:kern w:val="0"/>
          <w:sz w:val="24"/>
          <w:lang w:val="en-US" w:eastAsia="zh-CN"/>
        </w:rPr>
        <w:t>0.003864</w:t>
      </w:r>
      <w:r>
        <w:rPr>
          <w:rFonts w:hint="default" w:ascii="Times New Roman" w:hAnsi="Times New Roman" w:cs="Times New Roman"/>
          <w:snapToGrid w:val="0"/>
          <w:color w:val="auto"/>
          <w:kern w:val="0"/>
          <w:sz w:val="24"/>
        </w:rPr>
        <w:t>km</w:t>
      </w:r>
      <w:r>
        <w:rPr>
          <w:rFonts w:hint="default" w:ascii="Times New Roman" w:hAnsi="Times New Roman" w:cs="Times New Roman"/>
          <w:snapToGrid w:val="0"/>
          <w:color w:val="auto"/>
          <w:kern w:val="0"/>
          <w:sz w:val="24"/>
          <w:vertAlign w:val="superscript"/>
        </w:rPr>
        <w:t>2</w:t>
      </w:r>
      <w:r>
        <w:rPr>
          <w:rFonts w:hint="default" w:ascii="Times New Roman" w:hAnsi="Times New Roman" w:cs="Times New Roman"/>
          <w:snapToGrid w:val="0"/>
          <w:color w:val="auto"/>
          <w:kern w:val="0"/>
          <w:sz w:val="24"/>
        </w:rPr>
        <w:t>，项目利用现有厂房及土地建设，</w:t>
      </w:r>
      <w:r>
        <w:rPr>
          <w:rFonts w:hint="eastAsia" w:ascii="Times New Roman" w:hAnsi="Times New Roman" w:eastAsia="宋体" w:cs="Times New Roman"/>
          <w:snapToGrid w:val="0"/>
          <w:color w:val="auto"/>
          <w:kern w:val="0"/>
          <w:sz w:val="24"/>
          <w:lang w:val="en-US" w:eastAsia="zh-CN"/>
        </w:rPr>
        <w:t>属于扩建项目，占地性质为工业用地，</w:t>
      </w:r>
      <w:r>
        <w:rPr>
          <w:rFonts w:hint="default" w:ascii="Times New Roman" w:hAnsi="Times New Roman" w:cs="Times New Roman"/>
          <w:snapToGrid w:val="0"/>
          <w:color w:val="auto"/>
          <w:kern w:val="0"/>
          <w:sz w:val="24"/>
          <w:lang w:bidi="en-US"/>
        </w:rPr>
        <w:t>不涉及国家公园、自然保护区、世界自然遗产、自然公园、生态红线等特殊生态敏感区，</w:t>
      </w:r>
      <w:r>
        <w:rPr>
          <w:rFonts w:hint="default" w:ascii="Times New Roman" w:hAnsi="Times New Roman" w:cs="Times New Roman"/>
          <w:snapToGrid w:val="0"/>
          <w:color w:val="auto"/>
          <w:kern w:val="0"/>
          <w:sz w:val="24"/>
        </w:rPr>
        <w:t>根据《环境影响评价技术导则 生态影响》（HJ19-2022）</w:t>
      </w:r>
      <w:r>
        <w:rPr>
          <w:rFonts w:hint="eastAsia" w:ascii="Times New Roman" w:hAnsi="Times New Roman" w:eastAsia="宋体" w:cs="Times New Roman"/>
          <w:snapToGrid w:val="0"/>
          <w:color w:val="auto"/>
          <w:kern w:val="0"/>
          <w:sz w:val="24"/>
          <w:lang w:val="en-US" w:eastAsia="zh-CN"/>
        </w:rPr>
        <w:t>中，第6.1.8条，“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 ”</w:t>
      </w:r>
    </w:p>
    <w:p>
      <w:pPr>
        <w:pStyle w:val="11"/>
        <w:widowControl w:val="0"/>
        <w:numPr>
          <w:ilvl w:val="2"/>
          <w:numId w:val="0"/>
        </w:numPr>
        <w:kinsoku/>
        <w:autoSpaceDE/>
        <w:autoSpaceDN/>
        <w:adjustRightInd/>
        <w:snapToGrid/>
        <w:spacing w:before="0" w:after="0" w:line="360" w:lineRule="auto"/>
        <w:jc w:val="both"/>
        <w:textAlignment w:val="auto"/>
        <w:outlineLvl w:val="1"/>
        <w:rPr>
          <w:rFonts w:hint="eastAsia" w:ascii="Times New Roman" w:hAnsi="Times New Roman" w:eastAsia="宋体" w:cs="Times New Roman"/>
          <w:b/>
          <w:bCs w:val="0"/>
          <w:snapToGrid/>
          <w:color w:val="auto"/>
          <w:kern w:val="2"/>
          <w:sz w:val="28"/>
          <w:szCs w:val="28"/>
          <w:highlight w:val="none"/>
          <w:lang w:val="en-US" w:eastAsia="zh-CN"/>
        </w:rPr>
      </w:pPr>
      <w:bookmarkStart w:id="58" w:name="_Toc24716"/>
      <w:bookmarkStart w:id="59" w:name="_Toc31315"/>
      <w:bookmarkStart w:id="60" w:name="_Toc31497"/>
      <w:r>
        <w:rPr>
          <w:rFonts w:hint="default" w:ascii="Times New Roman" w:hAnsi="Times New Roman" w:eastAsia="宋体" w:cs="Times New Roman"/>
          <w:b/>
          <w:bCs w:val="0"/>
          <w:snapToGrid/>
          <w:color w:val="auto"/>
          <w:kern w:val="2"/>
          <w:sz w:val="28"/>
          <w:szCs w:val="28"/>
          <w:highlight w:val="none"/>
          <w:lang w:val="en-US" w:eastAsia="zh-CN"/>
        </w:rPr>
        <w:t>2.4.2  评价范围</w:t>
      </w:r>
      <w:bookmarkEnd w:id="58"/>
      <w:bookmarkEnd w:id="59"/>
      <w:bookmarkEnd w:id="60"/>
    </w:p>
    <w:p>
      <w:pPr>
        <w:pageBreakBefore w:val="0"/>
        <w:wordWrap/>
        <w:overflowPunct/>
        <w:topLinePunct w:val="0"/>
        <w:bidi w:val="0"/>
        <w:spacing w:line="360" w:lineRule="auto"/>
        <w:jc w:val="both"/>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3"/>
          <w:sz w:val="24"/>
          <w:szCs w:val="24"/>
          <w:highlight w:val="none"/>
        </w:rPr>
        <w:t>（</w:t>
      </w:r>
      <w:r>
        <w:rPr>
          <w:rFonts w:hint="eastAsia" w:ascii="Times New Roman" w:hAnsi="Times New Roman" w:eastAsia="宋体" w:cs="Times New Roman"/>
          <w:spacing w:val="-3"/>
          <w:sz w:val="24"/>
          <w:szCs w:val="24"/>
          <w:highlight w:val="none"/>
          <w:lang w:val="en-US" w:eastAsia="zh-CN"/>
        </w:rPr>
        <w:t>1</w:t>
      </w:r>
      <w:r>
        <w:rPr>
          <w:rFonts w:hint="default" w:ascii="Times New Roman" w:hAnsi="Times New Roman" w:eastAsia="宋体" w:cs="Times New Roman"/>
          <w:spacing w:val="-3"/>
          <w:sz w:val="24"/>
          <w:szCs w:val="24"/>
          <w:highlight w:val="none"/>
        </w:rPr>
        <w:t>）</w:t>
      </w:r>
      <w:r>
        <w:rPr>
          <w:rFonts w:hint="default" w:ascii="Times New Roman" w:hAnsi="Times New Roman" w:eastAsia="宋体" w:cs="Times New Roman"/>
          <w:spacing w:val="-3"/>
          <w:sz w:val="24"/>
          <w:szCs w:val="24"/>
          <w:highlight w:val="none"/>
          <w:lang w:val="en-US" w:eastAsia="zh-CN"/>
        </w:rPr>
        <w:t>大气</w:t>
      </w:r>
      <w:r>
        <w:rPr>
          <w:rFonts w:hint="default" w:ascii="Times New Roman" w:hAnsi="Times New Roman" w:eastAsia="宋体" w:cs="Times New Roman"/>
          <w:spacing w:val="-3"/>
          <w:sz w:val="24"/>
          <w:szCs w:val="24"/>
          <w:highlight w:val="none"/>
        </w:rPr>
        <w:t>环境</w:t>
      </w:r>
    </w:p>
    <w:p>
      <w:pPr>
        <w:pageBreakBefore w:val="0"/>
        <w:wordWrap/>
        <w:overflowPunct/>
        <w:topLinePunct w:val="0"/>
        <w:bidi w:val="0"/>
        <w:spacing w:line="360" w:lineRule="auto"/>
        <w:ind w:left="0" w:firstLine="472" w:firstLineChars="200"/>
        <w:jc w:val="both"/>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2"/>
          <w:position w:val="17"/>
          <w:sz w:val="24"/>
          <w:szCs w:val="24"/>
          <w:highlight w:val="none"/>
        </w:rPr>
        <w:t>大气环境影响评价范围以厂址为中心，边长</w:t>
      </w:r>
      <w:r>
        <w:rPr>
          <w:rFonts w:hint="default" w:ascii="Times New Roman" w:hAnsi="Times New Roman" w:eastAsia="宋体" w:cs="Times New Roman"/>
          <w:spacing w:val="-47"/>
          <w:position w:val="17"/>
          <w:sz w:val="24"/>
          <w:szCs w:val="24"/>
          <w:highlight w:val="none"/>
        </w:rPr>
        <w:t xml:space="preserve"> </w:t>
      </w:r>
      <w:r>
        <w:rPr>
          <w:rFonts w:hint="default" w:ascii="Times New Roman" w:hAnsi="Times New Roman" w:eastAsia="Times New Roman" w:cs="Times New Roman"/>
          <w:spacing w:val="-2"/>
          <w:position w:val="17"/>
          <w:sz w:val="24"/>
          <w:szCs w:val="24"/>
          <w:highlight w:val="none"/>
        </w:rPr>
        <w:t>5km</w:t>
      </w:r>
      <w:r>
        <w:rPr>
          <w:rFonts w:hint="default" w:ascii="Times New Roman" w:hAnsi="Times New Roman" w:eastAsia="Times New Roman" w:cs="Times New Roman"/>
          <w:spacing w:val="30"/>
          <w:position w:val="17"/>
          <w:sz w:val="24"/>
          <w:szCs w:val="24"/>
          <w:highlight w:val="none"/>
        </w:rPr>
        <w:t xml:space="preserve"> </w:t>
      </w:r>
      <w:r>
        <w:rPr>
          <w:rFonts w:hint="default" w:ascii="Times New Roman" w:hAnsi="Times New Roman" w:eastAsia="宋体" w:cs="Times New Roman"/>
          <w:spacing w:val="-2"/>
          <w:position w:val="17"/>
          <w:sz w:val="24"/>
          <w:szCs w:val="24"/>
          <w:highlight w:val="none"/>
        </w:rPr>
        <w:t>的矩形区域。</w:t>
      </w:r>
    </w:p>
    <w:p>
      <w:pPr>
        <w:pageBreakBefore w:val="0"/>
        <w:wordWrap/>
        <w:overflowPunct/>
        <w:topLinePunct w:val="0"/>
        <w:bidi w:val="0"/>
        <w:spacing w:line="360" w:lineRule="auto"/>
        <w:jc w:val="both"/>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3"/>
          <w:sz w:val="24"/>
          <w:szCs w:val="24"/>
          <w:highlight w:val="none"/>
        </w:rPr>
        <w:t>（</w:t>
      </w:r>
      <w:r>
        <w:rPr>
          <w:rFonts w:hint="eastAsia" w:ascii="Times New Roman" w:hAnsi="Times New Roman" w:eastAsia="宋体" w:cs="Times New Roman"/>
          <w:spacing w:val="-3"/>
          <w:sz w:val="24"/>
          <w:szCs w:val="24"/>
          <w:highlight w:val="none"/>
          <w:lang w:val="en-US" w:eastAsia="zh-CN"/>
        </w:rPr>
        <w:t>2</w:t>
      </w:r>
      <w:r>
        <w:rPr>
          <w:rFonts w:hint="default" w:ascii="Times New Roman" w:hAnsi="Times New Roman" w:eastAsia="宋体" w:cs="Times New Roman"/>
          <w:spacing w:val="-3"/>
          <w:sz w:val="24"/>
          <w:szCs w:val="24"/>
          <w:highlight w:val="none"/>
        </w:rPr>
        <w:t>）噪声环境</w:t>
      </w:r>
    </w:p>
    <w:p>
      <w:pPr>
        <w:pageBreakBefore w:val="0"/>
        <w:wordWrap/>
        <w:overflowPunct/>
        <w:topLinePunct w:val="0"/>
        <w:bidi w:val="0"/>
        <w:spacing w:line="360" w:lineRule="auto"/>
        <w:ind w:left="0" w:firstLine="472" w:firstLineChars="200"/>
        <w:jc w:val="both"/>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2"/>
          <w:position w:val="17"/>
          <w:sz w:val="24"/>
          <w:szCs w:val="24"/>
          <w:highlight w:val="none"/>
        </w:rPr>
        <w:t>声环境影响评价范围为</w:t>
      </w:r>
      <w:r>
        <w:rPr>
          <w:rFonts w:hint="eastAsia" w:ascii="Times New Roman" w:hAnsi="Times New Roman" w:eastAsia="宋体" w:cs="Times New Roman"/>
          <w:spacing w:val="-2"/>
          <w:position w:val="17"/>
          <w:sz w:val="24"/>
          <w:szCs w:val="24"/>
          <w:highlight w:val="none"/>
          <w:lang w:val="en-US" w:eastAsia="zh-CN"/>
        </w:rPr>
        <w:t>厂</w:t>
      </w:r>
      <w:r>
        <w:rPr>
          <w:rFonts w:hint="default" w:ascii="Times New Roman" w:hAnsi="Times New Roman" w:eastAsia="宋体" w:cs="Times New Roman"/>
          <w:spacing w:val="-2"/>
          <w:position w:val="17"/>
          <w:sz w:val="24"/>
          <w:szCs w:val="24"/>
          <w:highlight w:val="none"/>
        </w:rPr>
        <w:t>界外</w:t>
      </w:r>
      <w:r>
        <w:rPr>
          <w:rFonts w:hint="default" w:ascii="Times New Roman" w:hAnsi="Times New Roman" w:eastAsia="宋体" w:cs="Times New Roman"/>
          <w:spacing w:val="-47"/>
          <w:position w:val="17"/>
          <w:sz w:val="24"/>
          <w:szCs w:val="24"/>
          <w:highlight w:val="none"/>
        </w:rPr>
        <w:t xml:space="preserve"> </w:t>
      </w:r>
      <w:r>
        <w:rPr>
          <w:rFonts w:hint="default" w:ascii="Times New Roman" w:hAnsi="Times New Roman" w:eastAsia="Times New Roman" w:cs="Times New Roman"/>
          <w:spacing w:val="-2"/>
          <w:position w:val="17"/>
          <w:sz w:val="24"/>
          <w:szCs w:val="24"/>
          <w:highlight w:val="none"/>
        </w:rPr>
        <w:t>200m</w:t>
      </w:r>
      <w:r>
        <w:rPr>
          <w:rFonts w:hint="default" w:ascii="Times New Roman" w:hAnsi="Times New Roman" w:eastAsia="Times New Roman" w:cs="Times New Roman"/>
          <w:spacing w:val="16"/>
          <w:position w:val="17"/>
          <w:sz w:val="24"/>
          <w:szCs w:val="24"/>
          <w:highlight w:val="none"/>
        </w:rPr>
        <w:t xml:space="preserve"> </w:t>
      </w:r>
      <w:r>
        <w:rPr>
          <w:rFonts w:hint="default" w:ascii="Times New Roman" w:hAnsi="Times New Roman" w:eastAsia="宋体" w:cs="Times New Roman"/>
          <w:spacing w:val="-2"/>
          <w:position w:val="17"/>
          <w:sz w:val="24"/>
          <w:szCs w:val="24"/>
          <w:highlight w:val="none"/>
        </w:rPr>
        <w:t>范围。</w:t>
      </w:r>
    </w:p>
    <w:p>
      <w:pPr>
        <w:pageBreakBefore w:val="0"/>
        <w:wordWrap/>
        <w:overflowPunct/>
        <w:topLinePunct w:val="0"/>
        <w:bidi w:val="0"/>
        <w:spacing w:line="360" w:lineRule="auto"/>
        <w:jc w:val="both"/>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4"/>
          <w:sz w:val="24"/>
          <w:szCs w:val="24"/>
          <w:highlight w:val="none"/>
        </w:rPr>
        <w:t>（</w:t>
      </w:r>
      <w:r>
        <w:rPr>
          <w:rFonts w:hint="eastAsia" w:ascii="Times New Roman" w:hAnsi="Times New Roman" w:eastAsia="宋体" w:cs="Times New Roman"/>
          <w:spacing w:val="-4"/>
          <w:sz w:val="24"/>
          <w:szCs w:val="24"/>
          <w:highlight w:val="none"/>
          <w:lang w:val="en-US" w:eastAsia="zh-CN"/>
        </w:rPr>
        <w:t>3</w:t>
      </w:r>
      <w:r>
        <w:rPr>
          <w:rFonts w:hint="default" w:ascii="Times New Roman" w:hAnsi="Times New Roman" w:eastAsia="宋体" w:cs="Times New Roman"/>
          <w:spacing w:val="-4"/>
          <w:sz w:val="24"/>
          <w:szCs w:val="24"/>
          <w:highlight w:val="none"/>
        </w:rPr>
        <w:t>）地下水</w:t>
      </w:r>
    </w:p>
    <w:p>
      <w:pPr>
        <w:pageBreakBefore w:val="0"/>
        <w:wordWrap/>
        <w:overflowPunct/>
        <w:topLinePunct w:val="0"/>
        <w:bidi w:val="0"/>
        <w:spacing w:line="360" w:lineRule="auto"/>
        <w:ind w:left="0" w:firstLine="488" w:firstLineChars="200"/>
        <w:jc w:val="both"/>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2"/>
          <w:position w:val="17"/>
          <w:sz w:val="24"/>
          <w:szCs w:val="24"/>
          <w:highlight w:val="none"/>
        </w:rPr>
        <w:t>根据《环境影响评价技术导则 地下水环境》（</w:t>
      </w:r>
      <w:r>
        <w:rPr>
          <w:rFonts w:hint="default" w:ascii="Times New Roman" w:hAnsi="Times New Roman" w:eastAsia="Times New Roman" w:cs="Times New Roman"/>
          <w:position w:val="17"/>
          <w:sz w:val="24"/>
          <w:szCs w:val="24"/>
          <w:highlight w:val="none"/>
        </w:rPr>
        <w:t>HJ</w:t>
      </w:r>
      <w:r>
        <w:rPr>
          <w:rFonts w:hint="default" w:ascii="Times New Roman" w:hAnsi="Times New Roman" w:eastAsia="Times New Roman" w:cs="Times New Roman"/>
          <w:spacing w:val="2"/>
          <w:position w:val="17"/>
          <w:sz w:val="24"/>
          <w:szCs w:val="24"/>
          <w:highlight w:val="none"/>
        </w:rPr>
        <w:t>610-2016</w:t>
      </w:r>
      <w:r>
        <w:rPr>
          <w:rFonts w:hint="default" w:ascii="Times New Roman" w:hAnsi="Times New Roman" w:eastAsia="宋体" w:cs="Times New Roman"/>
          <w:spacing w:val="2"/>
          <w:position w:val="17"/>
          <w:sz w:val="24"/>
          <w:szCs w:val="24"/>
          <w:highlight w:val="none"/>
        </w:rPr>
        <w:t>）的规定，本</w:t>
      </w:r>
      <w:r>
        <w:rPr>
          <w:rFonts w:hint="default" w:ascii="Times New Roman" w:hAnsi="Times New Roman" w:eastAsia="宋体" w:cs="Times New Roman"/>
          <w:spacing w:val="1"/>
          <w:position w:val="17"/>
          <w:sz w:val="24"/>
          <w:szCs w:val="24"/>
          <w:highlight w:val="none"/>
        </w:rPr>
        <w:t>项目地下</w:t>
      </w:r>
    </w:p>
    <w:p>
      <w:pPr>
        <w:pageBreakBefore w:val="0"/>
        <w:wordWrap/>
        <w:overflowPunct/>
        <w:topLinePunct w:val="0"/>
        <w:bidi w:val="0"/>
        <w:spacing w:line="360" w:lineRule="auto"/>
        <w:jc w:val="both"/>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2"/>
          <w:sz w:val="24"/>
          <w:szCs w:val="24"/>
          <w:highlight w:val="none"/>
        </w:rPr>
        <w:t>水环境评价范围厂区周边</w:t>
      </w:r>
      <w:r>
        <w:rPr>
          <w:rFonts w:hint="default" w:ascii="Times New Roman" w:hAnsi="Times New Roman" w:eastAsia="宋体" w:cs="Times New Roman"/>
          <w:spacing w:val="-36"/>
          <w:sz w:val="24"/>
          <w:szCs w:val="24"/>
          <w:highlight w:val="none"/>
        </w:rPr>
        <w:t xml:space="preserve"> </w:t>
      </w:r>
      <w:r>
        <w:rPr>
          <w:rFonts w:hint="default" w:ascii="Times New Roman" w:hAnsi="Times New Roman" w:eastAsia="Times New Roman" w:cs="Times New Roman"/>
          <w:spacing w:val="-2"/>
          <w:sz w:val="24"/>
          <w:szCs w:val="24"/>
          <w:highlight w:val="none"/>
        </w:rPr>
        <w:t>6km</w:t>
      </w:r>
      <w:r>
        <w:rPr>
          <w:rFonts w:hint="default" w:ascii="Times New Roman" w:hAnsi="Times New Roman" w:eastAsia="Times New Roman" w:cs="Times New Roman"/>
          <w:spacing w:val="-2"/>
          <w:position w:val="8"/>
          <w:sz w:val="15"/>
          <w:szCs w:val="15"/>
          <w:highlight w:val="none"/>
        </w:rPr>
        <w:t>2</w:t>
      </w:r>
      <w:r>
        <w:rPr>
          <w:rFonts w:hint="default" w:ascii="Times New Roman" w:hAnsi="Times New Roman" w:eastAsia="宋体" w:cs="Times New Roman"/>
          <w:spacing w:val="-2"/>
          <w:sz w:val="24"/>
          <w:szCs w:val="24"/>
          <w:highlight w:val="none"/>
        </w:rPr>
        <w:t>。</w:t>
      </w:r>
    </w:p>
    <w:p>
      <w:pPr>
        <w:pageBreakBefore w:val="0"/>
        <w:wordWrap/>
        <w:overflowPunct/>
        <w:topLinePunct w:val="0"/>
        <w:bidi w:val="0"/>
        <w:spacing w:line="360" w:lineRule="auto"/>
        <w:jc w:val="both"/>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3"/>
          <w:sz w:val="24"/>
          <w:szCs w:val="24"/>
          <w:highlight w:val="none"/>
        </w:rPr>
        <w:t>（</w:t>
      </w:r>
      <w:r>
        <w:rPr>
          <w:rFonts w:hint="eastAsia" w:ascii="Times New Roman" w:hAnsi="Times New Roman" w:eastAsia="宋体" w:cs="Times New Roman"/>
          <w:spacing w:val="-3"/>
          <w:sz w:val="24"/>
          <w:szCs w:val="24"/>
          <w:highlight w:val="none"/>
          <w:lang w:val="en-US" w:eastAsia="zh-CN"/>
        </w:rPr>
        <w:t>4</w:t>
      </w:r>
      <w:r>
        <w:rPr>
          <w:rFonts w:hint="default" w:ascii="Times New Roman" w:hAnsi="Times New Roman" w:eastAsia="宋体" w:cs="Times New Roman"/>
          <w:spacing w:val="-3"/>
          <w:sz w:val="24"/>
          <w:szCs w:val="24"/>
          <w:highlight w:val="none"/>
        </w:rPr>
        <w:t>）环境风险</w:t>
      </w:r>
    </w:p>
    <w:p>
      <w:pPr>
        <w:pageBreakBefore w:val="0"/>
        <w:wordWrap/>
        <w:overflowPunct/>
        <w:topLinePunct w:val="0"/>
        <w:bidi w:val="0"/>
        <w:spacing w:line="360" w:lineRule="auto"/>
        <w:ind w:left="0" w:firstLine="472" w:firstLineChars="200"/>
        <w:jc w:val="both"/>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2"/>
          <w:position w:val="17"/>
          <w:sz w:val="24"/>
          <w:szCs w:val="24"/>
          <w:highlight w:val="none"/>
        </w:rPr>
        <w:t>根据环境风险评价工作等级，确定本项目环境风险评价工作等级为简单分析，风险</w:t>
      </w:r>
    </w:p>
    <w:p>
      <w:pPr>
        <w:pageBreakBefore w:val="0"/>
        <w:wordWrap/>
        <w:overflowPunct/>
        <w:topLinePunct w:val="0"/>
        <w:bidi w:val="0"/>
        <w:spacing w:line="360" w:lineRule="auto"/>
        <w:jc w:val="both"/>
        <w:rPr>
          <w:rFonts w:hint="default" w:ascii="Times New Roman" w:hAnsi="Times New Roman" w:eastAsia="宋体" w:cs="Times New Roman"/>
          <w:spacing w:val="-1"/>
          <w:sz w:val="24"/>
          <w:szCs w:val="24"/>
          <w:highlight w:val="none"/>
        </w:rPr>
      </w:pPr>
      <w:r>
        <w:rPr>
          <w:rFonts w:hint="default" w:ascii="Times New Roman" w:hAnsi="Times New Roman" w:eastAsia="宋体" w:cs="Times New Roman"/>
          <w:sz w:val="24"/>
          <w:szCs w:val="24"/>
          <w:highlight w:val="none"/>
        </w:rPr>
        <w:t>评价范围参照地下水、大气环境评价范围，不再单独设</w:t>
      </w:r>
      <w:r>
        <w:rPr>
          <w:rFonts w:hint="default" w:ascii="Times New Roman" w:hAnsi="Times New Roman" w:eastAsia="宋体" w:cs="Times New Roman"/>
          <w:spacing w:val="-1"/>
          <w:sz w:val="24"/>
          <w:szCs w:val="24"/>
          <w:highlight w:val="none"/>
        </w:rPr>
        <w:t>置环境风险评价范围。</w:t>
      </w:r>
    </w:p>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eastAsia="宋体" w:cs="Times New Roman"/>
          <w:b/>
          <w:color w:val="auto"/>
          <w:sz w:val="20"/>
          <w:szCs w:val="20"/>
          <w:highlight w:val="none"/>
          <w:lang w:val="en-US" w:eastAsia="zh-CN"/>
        </w:rPr>
      </w:pPr>
      <w:r>
        <w:rPr>
          <w:rFonts w:hint="default" w:ascii="Times New Roman" w:hAnsi="Times New Roman" w:eastAsia="宋体" w:cs="Times New Roman"/>
          <w:b/>
          <w:color w:val="auto"/>
          <w:sz w:val="20"/>
          <w:szCs w:val="20"/>
          <w:highlight w:val="none"/>
          <w:lang w:val="en-US" w:eastAsia="zh-CN"/>
        </w:rPr>
        <w:t>表2.4-13    评价范围一览表</w:t>
      </w:r>
    </w:p>
    <w:p>
      <w:pPr>
        <w:spacing w:line="16" w:lineRule="exact"/>
        <w:rPr>
          <w:rFonts w:hint="default" w:ascii="Times New Roman" w:hAnsi="Times New Roman" w:cs="Times New Roman"/>
          <w:highlight w:val="none"/>
        </w:rPr>
      </w:pPr>
    </w:p>
    <w:tbl>
      <w:tblPr>
        <w:tblStyle w:val="34"/>
        <w:tblW w:w="5005"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808"/>
        <w:gridCol w:w="783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937" w:type="pct"/>
            <w:vAlign w:val="top"/>
          </w:tcPr>
          <w:p>
            <w:pPr>
              <w:spacing w:before="70" w:line="226" w:lineRule="auto"/>
              <w:ind w:left="454"/>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7"/>
                <w:sz w:val="21"/>
                <w:szCs w:val="21"/>
                <w:highlight w:val="none"/>
              </w:rPr>
              <w:t>评价内容</w:t>
            </w:r>
          </w:p>
        </w:tc>
        <w:tc>
          <w:tcPr>
            <w:tcW w:w="4062" w:type="pct"/>
            <w:vAlign w:val="top"/>
          </w:tcPr>
          <w:p>
            <w:pPr>
              <w:spacing w:before="70" w:line="226" w:lineRule="auto"/>
              <w:ind w:left="3354"/>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7"/>
                <w:sz w:val="21"/>
                <w:szCs w:val="21"/>
                <w:highlight w:val="none"/>
              </w:rPr>
              <w:t>评价范围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937" w:type="pct"/>
            <w:vAlign w:val="top"/>
          </w:tcPr>
          <w:p>
            <w:pPr>
              <w:spacing w:before="66" w:line="228" w:lineRule="auto"/>
              <w:ind w:left="668"/>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3"/>
                <w:sz w:val="21"/>
                <w:szCs w:val="21"/>
                <w:highlight w:val="none"/>
              </w:rPr>
              <w:t>大气</w:t>
            </w:r>
          </w:p>
        </w:tc>
        <w:tc>
          <w:tcPr>
            <w:tcW w:w="4062" w:type="pct"/>
            <w:vAlign w:val="top"/>
          </w:tcPr>
          <w:p>
            <w:pPr>
              <w:spacing w:before="66" w:line="228" w:lineRule="auto"/>
              <w:ind w:left="1984"/>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5"/>
                <w:sz w:val="21"/>
                <w:szCs w:val="21"/>
                <w:highlight w:val="none"/>
              </w:rPr>
              <w:t>以厂址为中心，边长为</w:t>
            </w:r>
            <w:r>
              <w:rPr>
                <w:rFonts w:hint="default" w:ascii="Times New Roman" w:hAnsi="Times New Roman" w:eastAsia="宋体" w:cs="Times New Roman"/>
                <w:spacing w:val="-21"/>
                <w:sz w:val="21"/>
                <w:szCs w:val="21"/>
                <w:highlight w:val="none"/>
              </w:rPr>
              <w:t xml:space="preserve"> </w:t>
            </w:r>
            <w:r>
              <w:rPr>
                <w:rFonts w:hint="default" w:ascii="Times New Roman" w:hAnsi="Times New Roman" w:eastAsia="宋体" w:cs="Times New Roman"/>
                <w:spacing w:val="5"/>
                <w:sz w:val="21"/>
                <w:szCs w:val="21"/>
                <w:highlight w:val="none"/>
              </w:rPr>
              <w:t>5</w:t>
            </w:r>
            <w:r>
              <w:rPr>
                <w:rFonts w:hint="default" w:ascii="Times New Roman" w:hAnsi="Times New Roman" w:eastAsia="宋体" w:cs="Times New Roman"/>
                <w:sz w:val="21"/>
                <w:szCs w:val="21"/>
                <w:highlight w:val="none"/>
              </w:rPr>
              <w:t>km</w:t>
            </w:r>
            <w:r>
              <w:rPr>
                <w:rFonts w:hint="default" w:ascii="Times New Roman" w:hAnsi="Times New Roman" w:eastAsia="宋体" w:cs="Times New Roman"/>
                <w:spacing w:val="29"/>
                <w:sz w:val="21"/>
                <w:szCs w:val="21"/>
                <w:highlight w:val="none"/>
              </w:rPr>
              <w:t xml:space="preserve"> </w:t>
            </w:r>
            <w:r>
              <w:rPr>
                <w:rFonts w:hint="default" w:ascii="Times New Roman" w:hAnsi="Times New Roman" w:eastAsia="宋体" w:cs="Times New Roman"/>
                <w:spacing w:val="5"/>
                <w:sz w:val="21"/>
                <w:szCs w:val="21"/>
                <w:highlight w:val="none"/>
              </w:rPr>
              <w:t>的矩形区域</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937" w:type="pct"/>
            <w:vAlign w:val="top"/>
          </w:tcPr>
          <w:p>
            <w:pPr>
              <w:spacing w:before="68" w:line="228" w:lineRule="auto"/>
              <w:ind w:left="560"/>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6"/>
                <w:sz w:val="21"/>
                <w:szCs w:val="21"/>
                <w:highlight w:val="none"/>
              </w:rPr>
              <w:t>地下水</w:t>
            </w:r>
          </w:p>
        </w:tc>
        <w:tc>
          <w:tcPr>
            <w:tcW w:w="4062" w:type="pct"/>
            <w:vAlign w:val="top"/>
          </w:tcPr>
          <w:p>
            <w:pPr>
              <w:spacing w:before="69" w:line="226" w:lineRule="auto"/>
              <w:ind w:left="3002"/>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7"/>
                <w:sz w:val="21"/>
                <w:szCs w:val="21"/>
                <w:highlight w:val="none"/>
              </w:rPr>
              <w:t>评价范围约</w:t>
            </w:r>
            <w:r>
              <w:rPr>
                <w:rFonts w:hint="default" w:ascii="Times New Roman" w:hAnsi="Times New Roman" w:eastAsia="宋体" w:cs="Times New Roman"/>
                <w:spacing w:val="-34"/>
                <w:sz w:val="21"/>
                <w:szCs w:val="21"/>
                <w:highlight w:val="none"/>
              </w:rPr>
              <w:t xml:space="preserve"> </w:t>
            </w:r>
            <w:r>
              <w:rPr>
                <w:rFonts w:hint="default" w:ascii="Times New Roman" w:hAnsi="Times New Roman" w:eastAsia="宋体" w:cs="Times New Roman"/>
                <w:spacing w:val="7"/>
                <w:sz w:val="21"/>
                <w:szCs w:val="21"/>
                <w:highlight w:val="none"/>
              </w:rPr>
              <w:t>6</w:t>
            </w:r>
            <w:r>
              <w:rPr>
                <w:rFonts w:hint="default" w:ascii="Times New Roman" w:hAnsi="Times New Roman" w:eastAsia="宋体" w:cs="Times New Roman"/>
                <w:sz w:val="21"/>
                <w:szCs w:val="21"/>
                <w:highlight w:val="none"/>
              </w:rPr>
              <w:t>km</w:t>
            </w:r>
            <w:r>
              <w:rPr>
                <w:rFonts w:hint="default" w:ascii="Times New Roman" w:hAnsi="Times New Roman" w:eastAsia="宋体" w:cs="Times New Roman"/>
                <w:spacing w:val="7"/>
                <w:position w:val="6"/>
                <w:sz w:val="21"/>
                <w:szCs w:val="21"/>
                <w:highlight w:val="none"/>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937" w:type="pct"/>
            <w:vAlign w:val="top"/>
          </w:tcPr>
          <w:p>
            <w:pPr>
              <w:spacing w:before="70" w:line="228" w:lineRule="auto"/>
              <w:ind w:left="676"/>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1"/>
                <w:sz w:val="21"/>
                <w:szCs w:val="21"/>
                <w:highlight w:val="none"/>
              </w:rPr>
              <w:t>噪声</w:t>
            </w:r>
          </w:p>
        </w:tc>
        <w:tc>
          <w:tcPr>
            <w:tcW w:w="4062" w:type="pct"/>
            <w:vAlign w:val="top"/>
          </w:tcPr>
          <w:p>
            <w:pPr>
              <w:spacing w:before="70" w:line="228" w:lineRule="auto"/>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pacing w:val="6"/>
                <w:sz w:val="21"/>
                <w:szCs w:val="21"/>
                <w:highlight w:val="none"/>
                <w:lang w:val="en-US" w:eastAsia="zh-CN"/>
              </w:rPr>
              <w:t>厂界外200m范围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937" w:type="pct"/>
            <w:vAlign w:val="top"/>
          </w:tcPr>
          <w:p>
            <w:pPr>
              <w:spacing w:before="69" w:line="228" w:lineRule="auto"/>
              <w:ind w:left="667"/>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rPr>
              <w:t>风险</w:t>
            </w:r>
          </w:p>
        </w:tc>
        <w:tc>
          <w:tcPr>
            <w:tcW w:w="4062" w:type="pct"/>
            <w:vAlign w:val="top"/>
          </w:tcPr>
          <w:p>
            <w:pPr>
              <w:spacing w:before="101" w:line="199" w:lineRule="auto"/>
              <w:ind w:left="3739"/>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2"/>
                <w:sz w:val="21"/>
                <w:szCs w:val="21"/>
                <w:highlight w:val="none"/>
              </w:rPr>
              <w:t>/</w:t>
            </w:r>
          </w:p>
        </w:tc>
      </w:tr>
    </w:tbl>
    <w:p>
      <w:pPr>
        <w:widowControl w:val="0"/>
        <w:kinsoku/>
        <w:autoSpaceDE/>
        <w:autoSpaceDN/>
        <w:adjustRightInd/>
        <w:snapToGrid/>
        <w:spacing w:line="360" w:lineRule="auto"/>
        <w:jc w:val="left"/>
        <w:textAlignment w:val="auto"/>
        <w:outlineLvl w:val="1"/>
        <w:rPr>
          <w:rFonts w:hint="default" w:ascii="Times New Roman" w:hAnsi="Times New Roman" w:eastAsia="宋体" w:cs="Times New Roman"/>
          <w:b/>
          <w:bCs/>
          <w:snapToGrid/>
          <w:color w:val="auto"/>
          <w:kern w:val="44"/>
          <w:sz w:val="30"/>
          <w:szCs w:val="30"/>
          <w:lang w:val="en-US" w:eastAsia="zh-CN"/>
        </w:rPr>
      </w:pPr>
      <w:bookmarkStart w:id="61" w:name="_Toc3110"/>
      <w:r>
        <w:rPr>
          <w:rFonts w:hint="default" w:ascii="Times New Roman" w:hAnsi="Times New Roman" w:eastAsia="宋体" w:cs="Times New Roman"/>
          <w:b/>
          <w:bCs/>
          <w:snapToGrid/>
          <w:color w:val="auto"/>
          <w:kern w:val="44"/>
          <w:sz w:val="30"/>
          <w:szCs w:val="30"/>
          <w:lang w:val="en-US" w:eastAsia="zh-CN"/>
        </w:rPr>
        <w:t>2.5 环境质量标准及评价标准</w:t>
      </w:r>
      <w:bookmarkEnd w:id="61"/>
    </w:p>
    <w:p>
      <w:pPr>
        <w:pStyle w:val="11"/>
        <w:widowControl w:val="0"/>
        <w:numPr>
          <w:ilvl w:val="2"/>
          <w:numId w:val="0"/>
        </w:numPr>
        <w:kinsoku/>
        <w:autoSpaceDE/>
        <w:autoSpaceDN/>
        <w:adjustRightInd/>
        <w:snapToGrid/>
        <w:spacing w:before="0" w:after="0" w:line="360" w:lineRule="auto"/>
        <w:jc w:val="both"/>
        <w:textAlignment w:val="auto"/>
        <w:outlineLvl w:val="1"/>
        <w:rPr>
          <w:rFonts w:hint="default" w:ascii="Times New Roman" w:hAnsi="Times New Roman" w:eastAsia="宋体" w:cs="Times New Roman"/>
          <w:b/>
          <w:bCs w:val="0"/>
          <w:snapToGrid/>
          <w:color w:val="auto"/>
          <w:kern w:val="2"/>
          <w:sz w:val="28"/>
          <w:szCs w:val="28"/>
          <w:highlight w:val="none"/>
          <w:lang w:val="en-US" w:eastAsia="zh-CN"/>
        </w:rPr>
      </w:pPr>
      <w:bookmarkStart w:id="62" w:name="_Toc31392"/>
      <w:bookmarkStart w:id="63" w:name="_Toc19136"/>
      <w:bookmarkStart w:id="64" w:name="_Toc32069"/>
      <w:r>
        <w:rPr>
          <w:rFonts w:hint="default" w:ascii="Times New Roman" w:hAnsi="Times New Roman" w:eastAsia="宋体" w:cs="Times New Roman"/>
          <w:b/>
          <w:bCs w:val="0"/>
          <w:snapToGrid/>
          <w:color w:val="auto"/>
          <w:kern w:val="2"/>
          <w:sz w:val="28"/>
          <w:szCs w:val="28"/>
          <w:highlight w:val="none"/>
          <w:lang w:val="en-US" w:eastAsia="zh-CN"/>
        </w:rPr>
        <w:t>2.5.1 环境质量标准</w:t>
      </w:r>
      <w:bookmarkEnd w:id="62"/>
      <w:bookmarkEnd w:id="63"/>
      <w:bookmarkEnd w:id="64"/>
    </w:p>
    <w:p>
      <w:pPr>
        <w:widowControl/>
        <w:spacing w:line="360" w:lineRule="auto"/>
        <w:ind w:firstLine="480" w:firstLineChars="200"/>
        <w:jc w:val="left"/>
        <w:rPr>
          <w:rFonts w:hint="default" w:ascii="Times New Roman" w:hAnsi="Times New Roman" w:cs="Times New Roman"/>
          <w:b/>
          <w:color w:val="auto"/>
          <w:kern w:val="0"/>
          <w:sz w:val="24"/>
        </w:rPr>
      </w:pPr>
      <w:r>
        <w:rPr>
          <w:rFonts w:hint="default" w:ascii="Times New Roman" w:hAnsi="Times New Roman" w:cs="Times New Roman"/>
          <w:color w:val="auto"/>
          <w:kern w:val="0"/>
          <w:sz w:val="24"/>
        </w:rPr>
        <w:t>环境质量标准见表2-</w:t>
      </w:r>
      <w:r>
        <w:rPr>
          <w:rFonts w:hint="default" w:ascii="Times New Roman" w:hAnsi="Times New Roman" w:eastAsia="宋体" w:cs="Times New Roman"/>
          <w:color w:val="auto"/>
          <w:kern w:val="0"/>
          <w:sz w:val="24"/>
          <w:lang w:val="en-US" w:eastAsia="zh-CN"/>
        </w:rPr>
        <w:t>5</w:t>
      </w:r>
      <w:r>
        <w:rPr>
          <w:rFonts w:hint="default" w:ascii="Times New Roman" w:hAnsi="Times New Roman" w:cs="Times New Roman"/>
          <w:color w:val="auto"/>
          <w:kern w:val="0"/>
          <w:sz w:val="24"/>
        </w:rPr>
        <w:t>-1。</w:t>
      </w:r>
    </w:p>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eastAsia="宋体" w:cs="Times New Roman"/>
          <w:b/>
          <w:color w:val="auto"/>
          <w:sz w:val="20"/>
          <w:szCs w:val="20"/>
          <w:highlight w:val="none"/>
          <w:lang w:val="en-US" w:eastAsia="zh-CN"/>
        </w:rPr>
      </w:pPr>
      <w:r>
        <w:rPr>
          <w:rFonts w:hint="default" w:ascii="Times New Roman" w:hAnsi="Times New Roman" w:eastAsia="宋体" w:cs="Times New Roman"/>
          <w:b/>
          <w:color w:val="auto"/>
          <w:sz w:val="20"/>
          <w:szCs w:val="20"/>
          <w:highlight w:val="none"/>
          <w:lang w:val="en-US" w:eastAsia="zh-CN"/>
        </w:rPr>
        <w:t>表2-5-1环境质量标准表</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08"/>
        <w:gridCol w:w="3129"/>
        <w:gridCol w:w="1459"/>
        <w:gridCol w:w="1337"/>
        <w:gridCol w:w="1957"/>
        <w:gridCol w:w="283"/>
        <w:gridCol w:w="811"/>
        <w:gridCol w:w="5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35" w:type="pct"/>
            <w:vMerge w:val="restart"/>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环境要素</w:t>
            </w:r>
          </w:p>
        </w:tc>
        <w:tc>
          <w:tcPr>
            <w:tcW w:w="1613" w:type="pct"/>
            <w:vMerge w:val="restart"/>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标准名称及级（类）别</w:t>
            </w:r>
          </w:p>
        </w:tc>
        <w:tc>
          <w:tcPr>
            <w:tcW w:w="765" w:type="pct"/>
            <w:vMerge w:val="restart"/>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项目</w:t>
            </w:r>
          </w:p>
        </w:tc>
        <w:tc>
          <w:tcPr>
            <w:tcW w:w="2185" w:type="pct"/>
            <w:gridSpan w:val="5"/>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 w:hRule="atLeast"/>
          <w:jc w:val="center"/>
        </w:trPr>
        <w:tc>
          <w:tcPr>
            <w:tcW w:w="435" w:type="pct"/>
            <w:vMerge w:val="continue"/>
            <w:vAlign w:val="center"/>
          </w:tcPr>
          <w:p>
            <w:pPr>
              <w:widowControl/>
              <w:jc w:val="left"/>
              <w:rPr>
                <w:rFonts w:hint="default" w:ascii="Times New Roman" w:hAnsi="Times New Roman" w:cs="Times New Roman"/>
                <w:color w:val="auto"/>
                <w:kern w:val="0"/>
                <w:sz w:val="21"/>
                <w:szCs w:val="21"/>
              </w:rPr>
            </w:pPr>
          </w:p>
        </w:tc>
        <w:tc>
          <w:tcPr>
            <w:tcW w:w="1613" w:type="pct"/>
            <w:vMerge w:val="continue"/>
            <w:vAlign w:val="center"/>
          </w:tcPr>
          <w:p>
            <w:pPr>
              <w:widowControl/>
              <w:jc w:val="left"/>
              <w:rPr>
                <w:rFonts w:hint="default" w:ascii="Times New Roman" w:hAnsi="Times New Roman" w:cs="Times New Roman"/>
                <w:color w:val="auto"/>
                <w:kern w:val="0"/>
                <w:sz w:val="21"/>
                <w:szCs w:val="21"/>
              </w:rPr>
            </w:pPr>
          </w:p>
        </w:tc>
        <w:tc>
          <w:tcPr>
            <w:tcW w:w="765" w:type="pct"/>
            <w:vMerge w:val="continue"/>
            <w:vAlign w:val="center"/>
          </w:tcPr>
          <w:p>
            <w:pPr>
              <w:widowControl/>
              <w:jc w:val="left"/>
              <w:rPr>
                <w:rFonts w:hint="default" w:ascii="Times New Roman" w:hAnsi="Times New Roman" w:cs="Times New Roman"/>
                <w:color w:val="auto"/>
                <w:kern w:val="0"/>
                <w:sz w:val="21"/>
                <w:szCs w:val="21"/>
              </w:rPr>
            </w:pPr>
          </w:p>
        </w:tc>
        <w:tc>
          <w:tcPr>
            <w:tcW w:w="509" w:type="pct"/>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单位</w:t>
            </w:r>
          </w:p>
        </w:tc>
        <w:tc>
          <w:tcPr>
            <w:tcW w:w="1676" w:type="pct"/>
            <w:gridSpan w:val="4"/>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数值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435" w:type="pct"/>
            <w:vMerge w:val="restart"/>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环境空气</w:t>
            </w:r>
          </w:p>
        </w:tc>
        <w:tc>
          <w:tcPr>
            <w:tcW w:w="1613" w:type="pct"/>
            <w:vMerge w:val="restart"/>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《环境空气质量标准》（GB3095-2012）及修改单二级</w:t>
            </w:r>
          </w:p>
        </w:tc>
        <w:tc>
          <w:tcPr>
            <w:tcW w:w="765" w:type="pct"/>
            <w:vMerge w:val="restart"/>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PM</w:t>
            </w:r>
            <w:r>
              <w:rPr>
                <w:rFonts w:hint="default" w:ascii="Times New Roman" w:hAnsi="Times New Roman" w:cs="Times New Roman"/>
                <w:color w:val="auto"/>
                <w:kern w:val="0"/>
                <w:sz w:val="21"/>
                <w:szCs w:val="21"/>
                <w:vertAlign w:val="subscript"/>
              </w:rPr>
              <w:t>10</w:t>
            </w:r>
          </w:p>
        </w:tc>
        <w:tc>
          <w:tcPr>
            <w:tcW w:w="509" w:type="pct"/>
            <w:vMerge w:val="restart"/>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μg/m</w:t>
            </w:r>
            <w:r>
              <w:rPr>
                <w:rFonts w:hint="default" w:ascii="Times New Roman" w:hAnsi="Times New Roman" w:cs="Times New Roman"/>
                <w:color w:val="auto"/>
                <w:kern w:val="0"/>
                <w:sz w:val="21"/>
                <w:szCs w:val="21"/>
                <w:vertAlign w:val="superscript"/>
              </w:rPr>
              <w:t>3</w:t>
            </w:r>
          </w:p>
        </w:tc>
        <w:tc>
          <w:tcPr>
            <w:tcW w:w="1186" w:type="pct"/>
            <w:gridSpan w:val="2"/>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24小时平均</w:t>
            </w:r>
          </w:p>
        </w:tc>
        <w:tc>
          <w:tcPr>
            <w:tcW w:w="489" w:type="pct"/>
            <w:gridSpan w:val="2"/>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35" w:type="pct"/>
            <w:vMerge w:val="continue"/>
            <w:vAlign w:val="center"/>
          </w:tcPr>
          <w:p>
            <w:pPr>
              <w:snapToGrid w:val="0"/>
              <w:spacing w:line="0" w:lineRule="atLeast"/>
              <w:jc w:val="center"/>
              <w:rPr>
                <w:rFonts w:hint="default" w:ascii="Times New Roman" w:hAnsi="Times New Roman" w:cs="Times New Roman"/>
                <w:color w:val="auto"/>
                <w:kern w:val="0"/>
                <w:sz w:val="21"/>
                <w:szCs w:val="21"/>
              </w:rPr>
            </w:pPr>
          </w:p>
        </w:tc>
        <w:tc>
          <w:tcPr>
            <w:tcW w:w="1613" w:type="pct"/>
            <w:vMerge w:val="continue"/>
            <w:vAlign w:val="center"/>
          </w:tcPr>
          <w:p>
            <w:pPr>
              <w:snapToGrid w:val="0"/>
              <w:spacing w:line="0" w:lineRule="atLeast"/>
              <w:jc w:val="center"/>
              <w:rPr>
                <w:rFonts w:hint="default" w:ascii="Times New Roman" w:hAnsi="Times New Roman" w:cs="Times New Roman"/>
                <w:color w:val="auto"/>
                <w:kern w:val="0"/>
                <w:sz w:val="21"/>
                <w:szCs w:val="21"/>
              </w:rPr>
            </w:pPr>
          </w:p>
        </w:tc>
        <w:tc>
          <w:tcPr>
            <w:tcW w:w="765" w:type="pct"/>
            <w:vMerge w:val="continue"/>
            <w:vAlign w:val="center"/>
          </w:tcPr>
          <w:p>
            <w:pPr>
              <w:widowControl/>
              <w:jc w:val="left"/>
              <w:rPr>
                <w:rFonts w:hint="default" w:ascii="Times New Roman" w:hAnsi="Times New Roman" w:cs="Times New Roman"/>
                <w:color w:val="auto"/>
                <w:kern w:val="0"/>
                <w:sz w:val="21"/>
                <w:szCs w:val="21"/>
              </w:rPr>
            </w:pPr>
          </w:p>
        </w:tc>
        <w:tc>
          <w:tcPr>
            <w:tcW w:w="509" w:type="pct"/>
            <w:vMerge w:val="continue"/>
            <w:vAlign w:val="center"/>
          </w:tcPr>
          <w:p>
            <w:pPr>
              <w:widowControl/>
              <w:jc w:val="left"/>
              <w:rPr>
                <w:rFonts w:hint="default" w:ascii="Times New Roman" w:hAnsi="Times New Roman" w:cs="Times New Roman"/>
                <w:color w:val="auto"/>
                <w:kern w:val="0"/>
                <w:sz w:val="21"/>
                <w:szCs w:val="21"/>
              </w:rPr>
            </w:pPr>
          </w:p>
        </w:tc>
        <w:tc>
          <w:tcPr>
            <w:tcW w:w="1186" w:type="pct"/>
            <w:gridSpan w:val="2"/>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年平均</w:t>
            </w:r>
          </w:p>
        </w:tc>
        <w:tc>
          <w:tcPr>
            <w:tcW w:w="489" w:type="pct"/>
            <w:gridSpan w:val="2"/>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35" w:type="pct"/>
            <w:vMerge w:val="continue"/>
            <w:vAlign w:val="center"/>
          </w:tcPr>
          <w:p>
            <w:pPr>
              <w:snapToGrid w:val="0"/>
              <w:spacing w:line="0" w:lineRule="atLeast"/>
              <w:jc w:val="center"/>
              <w:rPr>
                <w:rFonts w:hint="default" w:ascii="Times New Roman" w:hAnsi="Times New Roman" w:cs="Times New Roman"/>
                <w:color w:val="auto"/>
                <w:kern w:val="0"/>
                <w:sz w:val="21"/>
                <w:szCs w:val="21"/>
              </w:rPr>
            </w:pPr>
          </w:p>
        </w:tc>
        <w:tc>
          <w:tcPr>
            <w:tcW w:w="1613" w:type="pct"/>
            <w:vMerge w:val="continue"/>
            <w:vAlign w:val="center"/>
          </w:tcPr>
          <w:p>
            <w:pPr>
              <w:snapToGrid w:val="0"/>
              <w:spacing w:line="0" w:lineRule="atLeast"/>
              <w:jc w:val="center"/>
              <w:rPr>
                <w:rFonts w:hint="default" w:ascii="Times New Roman" w:hAnsi="Times New Roman" w:cs="Times New Roman"/>
                <w:color w:val="auto"/>
                <w:kern w:val="0"/>
                <w:sz w:val="21"/>
                <w:szCs w:val="21"/>
              </w:rPr>
            </w:pPr>
          </w:p>
        </w:tc>
        <w:tc>
          <w:tcPr>
            <w:tcW w:w="765" w:type="pct"/>
            <w:vMerge w:val="restart"/>
            <w:vAlign w:val="center"/>
          </w:tcPr>
          <w:p>
            <w:pPr>
              <w:widowControl/>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PM</w:t>
            </w:r>
            <w:r>
              <w:rPr>
                <w:rFonts w:hint="default" w:ascii="Times New Roman" w:hAnsi="Times New Roman" w:cs="Times New Roman"/>
                <w:color w:val="auto"/>
                <w:kern w:val="0"/>
                <w:sz w:val="21"/>
                <w:szCs w:val="21"/>
                <w:vertAlign w:val="subscript"/>
              </w:rPr>
              <w:t>2.5</w:t>
            </w:r>
          </w:p>
        </w:tc>
        <w:tc>
          <w:tcPr>
            <w:tcW w:w="509" w:type="pct"/>
            <w:vMerge w:val="continue"/>
            <w:vAlign w:val="center"/>
          </w:tcPr>
          <w:p>
            <w:pPr>
              <w:widowControl/>
              <w:jc w:val="left"/>
              <w:rPr>
                <w:rFonts w:hint="default" w:ascii="Times New Roman" w:hAnsi="Times New Roman" w:cs="Times New Roman"/>
                <w:color w:val="auto"/>
                <w:kern w:val="0"/>
                <w:sz w:val="21"/>
                <w:szCs w:val="21"/>
              </w:rPr>
            </w:pPr>
          </w:p>
        </w:tc>
        <w:tc>
          <w:tcPr>
            <w:tcW w:w="1186" w:type="pct"/>
            <w:gridSpan w:val="2"/>
            <w:vAlign w:val="center"/>
          </w:tcPr>
          <w:p>
            <w:pPr>
              <w:widowControl/>
              <w:adjustRightIn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24小时平均</w:t>
            </w:r>
          </w:p>
        </w:tc>
        <w:tc>
          <w:tcPr>
            <w:tcW w:w="489" w:type="pct"/>
            <w:gridSpan w:val="2"/>
            <w:vAlign w:val="center"/>
          </w:tcPr>
          <w:p>
            <w:pPr>
              <w:widowControl/>
              <w:adjustRightIn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35" w:type="pct"/>
            <w:vMerge w:val="continue"/>
            <w:vAlign w:val="center"/>
          </w:tcPr>
          <w:p>
            <w:pPr>
              <w:snapToGrid w:val="0"/>
              <w:spacing w:line="0" w:lineRule="atLeast"/>
              <w:jc w:val="center"/>
              <w:rPr>
                <w:rFonts w:hint="default" w:ascii="Times New Roman" w:hAnsi="Times New Roman" w:cs="Times New Roman"/>
                <w:color w:val="auto"/>
                <w:kern w:val="0"/>
                <w:sz w:val="21"/>
                <w:szCs w:val="21"/>
              </w:rPr>
            </w:pPr>
          </w:p>
        </w:tc>
        <w:tc>
          <w:tcPr>
            <w:tcW w:w="1613" w:type="pct"/>
            <w:vMerge w:val="continue"/>
            <w:vAlign w:val="center"/>
          </w:tcPr>
          <w:p>
            <w:pPr>
              <w:snapToGrid w:val="0"/>
              <w:spacing w:line="0" w:lineRule="atLeast"/>
              <w:jc w:val="center"/>
              <w:rPr>
                <w:rFonts w:hint="default" w:ascii="Times New Roman" w:hAnsi="Times New Roman" w:cs="Times New Roman"/>
                <w:color w:val="auto"/>
                <w:kern w:val="0"/>
                <w:sz w:val="21"/>
                <w:szCs w:val="21"/>
              </w:rPr>
            </w:pPr>
          </w:p>
        </w:tc>
        <w:tc>
          <w:tcPr>
            <w:tcW w:w="765" w:type="pct"/>
            <w:vMerge w:val="continue"/>
            <w:vAlign w:val="center"/>
          </w:tcPr>
          <w:p>
            <w:pPr>
              <w:widowControl/>
              <w:jc w:val="left"/>
              <w:rPr>
                <w:rFonts w:hint="default" w:ascii="Times New Roman" w:hAnsi="Times New Roman" w:cs="Times New Roman"/>
                <w:color w:val="auto"/>
                <w:kern w:val="0"/>
                <w:sz w:val="21"/>
                <w:szCs w:val="21"/>
              </w:rPr>
            </w:pPr>
          </w:p>
        </w:tc>
        <w:tc>
          <w:tcPr>
            <w:tcW w:w="509" w:type="pct"/>
            <w:vMerge w:val="continue"/>
            <w:vAlign w:val="center"/>
          </w:tcPr>
          <w:p>
            <w:pPr>
              <w:widowControl/>
              <w:jc w:val="left"/>
              <w:rPr>
                <w:rFonts w:hint="default" w:ascii="Times New Roman" w:hAnsi="Times New Roman" w:cs="Times New Roman"/>
                <w:color w:val="auto"/>
                <w:kern w:val="0"/>
                <w:sz w:val="21"/>
                <w:szCs w:val="21"/>
              </w:rPr>
            </w:pPr>
          </w:p>
        </w:tc>
        <w:tc>
          <w:tcPr>
            <w:tcW w:w="1186" w:type="pct"/>
            <w:gridSpan w:val="2"/>
            <w:vAlign w:val="center"/>
          </w:tcPr>
          <w:p>
            <w:pPr>
              <w:widowControl/>
              <w:adjustRightIn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年平均</w:t>
            </w:r>
          </w:p>
        </w:tc>
        <w:tc>
          <w:tcPr>
            <w:tcW w:w="489" w:type="pct"/>
            <w:gridSpan w:val="2"/>
            <w:vAlign w:val="center"/>
          </w:tcPr>
          <w:p>
            <w:pPr>
              <w:widowControl/>
              <w:adjustRightIn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35" w:type="pct"/>
            <w:vMerge w:val="continue"/>
            <w:vAlign w:val="center"/>
          </w:tcPr>
          <w:p>
            <w:pPr>
              <w:snapToGrid w:val="0"/>
              <w:spacing w:line="0" w:lineRule="atLeast"/>
              <w:jc w:val="center"/>
              <w:rPr>
                <w:rFonts w:hint="default" w:ascii="Times New Roman" w:hAnsi="Times New Roman" w:cs="Times New Roman"/>
                <w:color w:val="auto"/>
                <w:kern w:val="0"/>
                <w:sz w:val="21"/>
                <w:szCs w:val="21"/>
              </w:rPr>
            </w:pPr>
          </w:p>
        </w:tc>
        <w:tc>
          <w:tcPr>
            <w:tcW w:w="1613" w:type="pct"/>
            <w:vMerge w:val="continue"/>
            <w:vAlign w:val="center"/>
          </w:tcPr>
          <w:p>
            <w:pPr>
              <w:snapToGrid w:val="0"/>
              <w:spacing w:line="0" w:lineRule="atLeast"/>
              <w:jc w:val="center"/>
              <w:rPr>
                <w:rFonts w:hint="default" w:ascii="Times New Roman" w:hAnsi="Times New Roman" w:cs="Times New Roman"/>
                <w:color w:val="auto"/>
                <w:kern w:val="0"/>
                <w:sz w:val="21"/>
                <w:szCs w:val="21"/>
              </w:rPr>
            </w:pPr>
          </w:p>
        </w:tc>
        <w:tc>
          <w:tcPr>
            <w:tcW w:w="765" w:type="pct"/>
            <w:vMerge w:val="restart"/>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NO</w:t>
            </w:r>
            <w:r>
              <w:rPr>
                <w:rFonts w:hint="default" w:ascii="Times New Roman" w:hAnsi="Times New Roman" w:cs="Times New Roman"/>
                <w:color w:val="auto"/>
                <w:kern w:val="0"/>
                <w:sz w:val="21"/>
                <w:szCs w:val="21"/>
                <w:vertAlign w:val="subscript"/>
              </w:rPr>
              <w:t>2</w:t>
            </w:r>
          </w:p>
        </w:tc>
        <w:tc>
          <w:tcPr>
            <w:tcW w:w="509" w:type="pct"/>
            <w:vMerge w:val="continue"/>
            <w:vAlign w:val="center"/>
          </w:tcPr>
          <w:p>
            <w:pPr>
              <w:widowControl/>
              <w:jc w:val="center"/>
              <w:rPr>
                <w:rFonts w:hint="default" w:ascii="Times New Roman" w:hAnsi="Times New Roman" w:cs="Times New Roman"/>
                <w:color w:val="auto"/>
                <w:kern w:val="0"/>
                <w:sz w:val="21"/>
                <w:szCs w:val="21"/>
              </w:rPr>
            </w:pPr>
          </w:p>
        </w:tc>
        <w:tc>
          <w:tcPr>
            <w:tcW w:w="1186" w:type="pct"/>
            <w:gridSpan w:val="2"/>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1小时平均</w:t>
            </w:r>
          </w:p>
        </w:tc>
        <w:tc>
          <w:tcPr>
            <w:tcW w:w="489" w:type="pct"/>
            <w:gridSpan w:val="2"/>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35" w:type="pct"/>
            <w:vMerge w:val="continue"/>
            <w:vAlign w:val="center"/>
          </w:tcPr>
          <w:p>
            <w:pPr>
              <w:snapToGrid w:val="0"/>
              <w:spacing w:line="0" w:lineRule="atLeast"/>
              <w:jc w:val="center"/>
              <w:rPr>
                <w:rFonts w:hint="default" w:ascii="Times New Roman" w:hAnsi="Times New Roman" w:cs="Times New Roman"/>
                <w:color w:val="auto"/>
                <w:kern w:val="0"/>
                <w:sz w:val="21"/>
                <w:szCs w:val="21"/>
              </w:rPr>
            </w:pPr>
          </w:p>
        </w:tc>
        <w:tc>
          <w:tcPr>
            <w:tcW w:w="1613" w:type="pct"/>
            <w:vMerge w:val="continue"/>
            <w:vAlign w:val="center"/>
          </w:tcPr>
          <w:p>
            <w:pPr>
              <w:snapToGrid w:val="0"/>
              <w:spacing w:line="0" w:lineRule="atLeast"/>
              <w:jc w:val="center"/>
              <w:rPr>
                <w:rFonts w:hint="default" w:ascii="Times New Roman" w:hAnsi="Times New Roman" w:cs="Times New Roman"/>
                <w:color w:val="auto"/>
                <w:kern w:val="0"/>
                <w:sz w:val="21"/>
                <w:szCs w:val="21"/>
              </w:rPr>
            </w:pPr>
          </w:p>
        </w:tc>
        <w:tc>
          <w:tcPr>
            <w:tcW w:w="765" w:type="pct"/>
            <w:vMerge w:val="continue"/>
            <w:vAlign w:val="center"/>
          </w:tcPr>
          <w:p>
            <w:pPr>
              <w:widowControl/>
              <w:jc w:val="left"/>
              <w:rPr>
                <w:rFonts w:hint="default" w:ascii="Times New Roman" w:hAnsi="Times New Roman" w:cs="Times New Roman"/>
                <w:color w:val="auto"/>
                <w:kern w:val="0"/>
                <w:sz w:val="21"/>
                <w:szCs w:val="21"/>
              </w:rPr>
            </w:pPr>
          </w:p>
        </w:tc>
        <w:tc>
          <w:tcPr>
            <w:tcW w:w="509" w:type="pct"/>
            <w:vMerge w:val="continue"/>
            <w:vAlign w:val="center"/>
          </w:tcPr>
          <w:p>
            <w:pPr>
              <w:widowControl/>
              <w:jc w:val="left"/>
              <w:rPr>
                <w:rFonts w:hint="default" w:ascii="Times New Roman" w:hAnsi="Times New Roman" w:cs="Times New Roman"/>
                <w:color w:val="auto"/>
                <w:kern w:val="0"/>
                <w:sz w:val="21"/>
                <w:szCs w:val="21"/>
              </w:rPr>
            </w:pPr>
          </w:p>
        </w:tc>
        <w:tc>
          <w:tcPr>
            <w:tcW w:w="1186" w:type="pct"/>
            <w:gridSpan w:val="2"/>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24小时平均</w:t>
            </w:r>
          </w:p>
        </w:tc>
        <w:tc>
          <w:tcPr>
            <w:tcW w:w="489" w:type="pct"/>
            <w:gridSpan w:val="2"/>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35" w:type="pct"/>
            <w:vMerge w:val="continue"/>
            <w:vAlign w:val="center"/>
          </w:tcPr>
          <w:p>
            <w:pPr>
              <w:snapToGrid w:val="0"/>
              <w:spacing w:line="0" w:lineRule="atLeast"/>
              <w:jc w:val="center"/>
              <w:rPr>
                <w:rFonts w:hint="default" w:ascii="Times New Roman" w:hAnsi="Times New Roman" w:cs="Times New Roman"/>
                <w:color w:val="auto"/>
                <w:kern w:val="0"/>
                <w:sz w:val="21"/>
                <w:szCs w:val="21"/>
              </w:rPr>
            </w:pPr>
          </w:p>
        </w:tc>
        <w:tc>
          <w:tcPr>
            <w:tcW w:w="1613" w:type="pct"/>
            <w:vMerge w:val="continue"/>
            <w:vAlign w:val="center"/>
          </w:tcPr>
          <w:p>
            <w:pPr>
              <w:snapToGrid w:val="0"/>
              <w:spacing w:line="0" w:lineRule="atLeast"/>
              <w:jc w:val="center"/>
              <w:rPr>
                <w:rFonts w:hint="default" w:ascii="Times New Roman" w:hAnsi="Times New Roman" w:cs="Times New Roman"/>
                <w:color w:val="auto"/>
                <w:kern w:val="0"/>
                <w:sz w:val="21"/>
                <w:szCs w:val="21"/>
              </w:rPr>
            </w:pPr>
          </w:p>
        </w:tc>
        <w:tc>
          <w:tcPr>
            <w:tcW w:w="765" w:type="pct"/>
            <w:vMerge w:val="continue"/>
            <w:vAlign w:val="center"/>
          </w:tcPr>
          <w:p>
            <w:pPr>
              <w:widowControl/>
              <w:jc w:val="left"/>
              <w:rPr>
                <w:rFonts w:hint="default" w:ascii="Times New Roman" w:hAnsi="Times New Roman" w:cs="Times New Roman"/>
                <w:color w:val="auto"/>
                <w:kern w:val="0"/>
                <w:sz w:val="21"/>
                <w:szCs w:val="21"/>
              </w:rPr>
            </w:pPr>
          </w:p>
        </w:tc>
        <w:tc>
          <w:tcPr>
            <w:tcW w:w="509" w:type="pct"/>
            <w:vMerge w:val="continue"/>
            <w:vAlign w:val="center"/>
          </w:tcPr>
          <w:p>
            <w:pPr>
              <w:widowControl/>
              <w:jc w:val="left"/>
              <w:rPr>
                <w:rFonts w:hint="default" w:ascii="Times New Roman" w:hAnsi="Times New Roman" w:cs="Times New Roman"/>
                <w:color w:val="auto"/>
                <w:kern w:val="0"/>
                <w:sz w:val="21"/>
                <w:szCs w:val="21"/>
              </w:rPr>
            </w:pPr>
          </w:p>
        </w:tc>
        <w:tc>
          <w:tcPr>
            <w:tcW w:w="1186" w:type="pct"/>
            <w:gridSpan w:val="2"/>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年平均</w:t>
            </w:r>
          </w:p>
        </w:tc>
        <w:tc>
          <w:tcPr>
            <w:tcW w:w="489" w:type="pct"/>
            <w:gridSpan w:val="2"/>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snapToGrid w:val="0"/>
              <w:spacing w:line="0" w:lineRule="atLeast"/>
              <w:jc w:val="center"/>
              <w:rPr>
                <w:rFonts w:hint="default" w:ascii="Times New Roman" w:hAnsi="Times New Roman" w:cs="Times New Roman"/>
                <w:color w:val="auto"/>
                <w:kern w:val="0"/>
                <w:sz w:val="21"/>
                <w:szCs w:val="21"/>
              </w:rPr>
            </w:pPr>
          </w:p>
        </w:tc>
        <w:tc>
          <w:tcPr>
            <w:tcW w:w="1613" w:type="pct"/>
            <w:vMerge w:val="continue"/>
            <w:vAlign w:val="center"/>
          </w:tcPr>
          <w:p>
            <w:pPr>
              <w:snapToGrid w:val="0"/>
              <w:spacing w:line="0" w:lineRule="atLeast"/>
              <w:jc w:val="center"/>
              <w:rPr>
                <w:rFonts w:hint="default" w:ascii="Times New Roman" w:hAnsi="Times New Roman" w:cs="Times New Roman"/>
                <w:color w:val="auto"/>
                <w:kern w:val="0"/>
                <w:sz w:val="21"/>
                <w:szCs w:val="21"/>
              </w:rPr>
            </w:pPr>
          </w:p>
        </w:tc>
        <w:tc>
          <w:tcPr>
            <w:tcW w:w="765" w:type="pct"/>
            <w:vMerge w:val="restart"/>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SO</w:t>
            </w:r>
            <w:r>
              <w:rPr>
                <w:rFonts w:hint="default" w:ascii="Times New Roman" w:hAnsi="Times New Roman" w:cs="Times New Roman"/>
                <w:color w:val="auto"/>
                <w:kern w:val="0"/>
                <w:sz w:val="21"/>
                <w:szCs w:val="21"/>
                <w:vertAlign w:val="subscript"/>
              </w:rPr>
              <w:t>2</w:t>
            </w:r>
          </w:p>
        </w:tc>
        <w:tc>
          <w:tcPr>
            <w:tcW w:w="509" w:type="pct"/>
            <w:vMerge w:val="restart"/>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μg/m</w:t>
            </w:r>
            <w:r>
              <w:rPr>
                <w:rFonts w:hint="default" w:ascii="Times New Roman" w:hAnsi="Times New Roman" w:cs="Times New Roman"/>
                <w:color w:val="auto"/>
                <w:kern w:val="0"/>
                <w:sz w:val="21"/>
                <w:szCs w:val="21"/>
                <w:vertAlign w:val="superscript"/>
              </w:rPr>
              <w:t>3</w:t>
            </w:r>
          </w:p>
        </w:tc>
        <w:tc>
          <w:tcPr>
            <w:tcW w:w="1186" w:type="pct"/>
            <w:gridSpan w:val="2"/>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1小时平均</w:t>
            </w:r>
          </w:p>
        </w:tc>
        <w:tc>
          <w:tcPr>
            <w:tcW w:w="489" w:type="pct"/>
            <w:gridSpan w:val="2"/>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jc w:val="left"/>
              <w:rPr>
                <w:rFonts w:hint="default" w:ascii="Times New Roman" w:hAnsi="Times New Roman" w:cs="Times New Roman"/>
                <w:color w:val="auto"/>
                <w:kern w:val="0"/>
                <w:sz w:val="21"/>
                <w:szCs w:val="21"/>
              </w:rPr>
            </w:pPr>
          </w:p>
        </w:tc>
        <w:tc>
          <w:tcPr>
            <w:tcW w:w="1613" w:type="pct"/>
            <w:vMerge w:val="continue"/>
            <w:vAlign w:val="center"/>
          </w:tcPr>
          <w:p>
            <w:pPr>
              <w:widowControl/>
              <w:jc w:val="left"/>
              <w:rPr>
                <w:rFonts w:hint="default" w:ascii="Times New Roman" w:hAnsi="Times New Roman" w:cs="Times New Roman"/>
                <w:color w:val="auto"/>
                <w:kern w:val="0"/>
                <w:sz w:val="21"/>
                <w:szCs w:val="21"/>
              </w:rPr>
            </w:pPr>
          </w:p>
        </w:tc>
        <w:tc>
          <w:tcPr>
            <w:tcW w:w="765" w:type="pct"/>
            <w:vMerge w:val="continue"/>
            <w:vAlign w:val="center"/>
          </w:tcPr>
          <w:p>
            <w:pPr>
              <w:widowControl/>
              <w:jc w:val="left"/>
              <w:rPr>
                <w:rFonts w:hint="default" w:ascii="Times New Roman" w:hAnsi="Times New Roman" w:cs="Times New Roman"/>
                <w:color w:val="auto"/>
                <w:kern w:val="0"/>
                <w:sz w:val="21"/>
                <w:szCs w:val="21"/>
              </w:rPr>
            </w:pPr>
          </w:p>
        </w:tc>
        <w:tc>
          <w:tcPr>
            <w:tcW w:w="509" w:type="pct"/>
            <w:vMerge w:val="continue"/>
            <w:vAlign w:val="center"/>
          </w:tcPr>
          <w:p>
            <w:pPr>
              <w:widowControl/>
              <w:jc w:val="left"/>
              <w:rPr>
                <w:rFonts w:hint="default" w:ascii="Times New Roman" w:hAnsi="Times New Roman" w:cs="Times New Roman"/>
                <w:color w:val="auto"/>
                <w:kern w:val="0"/>
                <w:sz w:val="21"/>
                <w:szCs w:val="21"/>
              </w:rPr>
            </w:pPr>
          </w:p>
        </w:tc>
        <w:tc>
          <w:tcPr>
            <w:tcW w:w="1186" w:type="pct"/>
            <w:gridSpan w:val="2"/>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24小时平均</w:t>
            </w:r>
          </w:p>
        </w:tc>
        <w:tc>
          <w:tcPr>
            <w:tcW w:w="489" w:type="pct"/>
            <w:gridSpan w:val="2"/>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jc w:val="left"/>
              <w:rPr>
                <w:rFonts w:hint="default" w:ascii="Times New Roman" w:hAnsi="Times New Roman" w:cs="Times New Roman"/>
                <w:color w:val="auto"/>
                <w:kern w:val="0"/>
                <w:sz w:val="21"/>
                <w:szCs w:val="21"/>
              </w:rPr>
            </w:pPr>
          </w:p>
        </w:tc>
        <w:tc>
          <w:tcPr>
            <w:tcW w:w="1613" w:type="pct"/>
            <w:vMerge w:val="continue"/>
            <w:vAlign w:val="center"/>
          </w:tcPr>
          <w:p>
            <w:pPr>
              <w:widowControl/>
              <w:jc w:val="left"/>
              <w:rPr>
                <w:rFonts w:hint="default" w:ascii="Times New Roman" w:hAnsi="Times New Roman" w:cs="Times New Roman"/>
                <w:color w:val="auto"/>
                <w:kern w:val="0"/>
                <w:sz w:val="21"/>
                <w:szCs w:val="21"/>
              </w:rPr>
            </w:pPr>
          </w:p>
        </w:tc>
        <w:tc>
          <w:tcPr>
            <w:tcW w:w="765" w:type="pct"/>
            <w:vMerge w:val="continue"/>
            <w:vAlign w:val="center"/>
          </w:tcPr>
          <w:p>
            <w:pPr>
              <w:widowControl/>
              <w:jc w:val="left"/>
              <w:rPr>
                <w:rFonts w:hint="default" w:ascii="Times New Roman" w:hAnsi="Times New Roman" w:cs="Times New Roman"/>
                <w:color w:val="auto"/>
                <w:kern w:val="0"/>
                <w:sz w:val="21"/>
                <w:szCs w:val="21"/>
              </w:rPr>
            </w:pPr>
          </w:p>
        </w:tc>
        <w:tc>
          <w:tcPr>
            <w:tcW w:w="509" w:type="pct"/>
            <w:vMerge w:val="continue"/>
            <w:vAlign w:val="center"/>
          </w:tcPr>
          <w:p>
            <w:pPr>
              <w:widowControl/>
              <w:jc w:val="left"/>
              <w:rPr>
                <w:rFonts w:hint="default" w:ascii="Times New Roman" w:hAnsi="Times New Roman" w:cs="Times New Roman"/>
                <w:color w:val="auto"/>
                <w:kern w:val="0"/>
                <w:sz w:val="21"/>
                <w:szCs w:val="21"/>
              </w:rPr>
            </w:pPr>
          </w:p>
        </w:tc>
        <w:tc>
          <w:tcPr>
            <w:tcW w:w="1186" w:type="pct"/>
            <w:gridSpan w:val="2"/>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年平均</w:t>
            </w:r>
          </w:p>
        </w:tc>
        <w:tc>
          <w:tcPr>
            <w:tcW w:w="489" w:type="pct"/>
            <w:gridSpan w:val="2"/>
            <w:vAlign w:val="center"/>
          </w:tcPr>
          <w:p>
            <w:pPr>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jc w:val="left"/>
              <w:rPr>
                <w:rFonts w:hint="default" w:ascii="Times New Roman" w:hAnsi="Times New Roman" w:cs="Times New Roman"/>
                <w:color w:val="auto"/>
                <w:kern w:val="0"/>
                <w:sz w:val="21"/>
                <w:szCs w:val="21"/>
              </w:rPr>
            </w:pPr>
          </w:p>
        </w:tc>
        <w:tc>
          <w:tcPr>
            <w:tcW w:w="1613" w:type="pct"/>
            <w:vMerge w:val="continue"/>
            <w:vAlign w:val="center"/>
          </w:tcPr>
          <w:p>
            <w:pPr>
              <w:widowControl/>
              <w:jc w:val="left"/>
              <w:rPr>
                <w:rFonts w:hint="default" w:ascii="Times New Roman" w:hAnsi="Times New Roman" w:cs="Times New Roman"/>
                <w:color w:val="auto"/>
                <w:kern w:val="0"/>
                <w:sz w:val="21"/>
                <w:szCs w:val="21"/>
              </w:rPr>
            </w:pPr>
          </w:p>
        </w:tc>
        <w:tc>
          <w:tcPr>
            <w:tcW w:w="765" w:type="pct"/>
            <w:vMerge w:val="restart"/>
            <w:vAlign w:val="center"/>
          </w:tcPr>
          <w:p>
            <w:pPr>
              <w:widowControl/>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O</w:t>
            </w:r>
            <w:r>
              <w:rPr>
                <w:rFonts w:hint="default" w:ascii="Times New Roman" w:hAnsi="Times New Roman" w:cs="Times New Roman"/>
                <w:color w:val="auto"/>
                <w:kern w:val="0"/>
                <w:sz w:val="21"/>
                <w:szCs w:val="21"/>
                <w:vertAlign w:val="subscript"/>
              </w:rPr>
              <w:t>3</w:t>
            </w:r>
          </w:p>
        </w:tc>
        <w:tc>
          <w:tcPr>
            <w:tcW w:w="509" w:type="pct"/>
            <w:vMerge w:val="continue"/>
            <w:vAlign w:val="center"/>
          </w:tcPr>
          <w:p>
            <w:pPr>
              <w:widowControl/>
              <w:jc w:val="left"/>
              <w:rPr>
                <w:rFonts w:hint="default" w:ascii="Times New Roman" w:hAnsi="Times New Roman" w:cs="Times New Roman"/>
                <w:color w:val="auto"/>
                <w:kern w:val="0"/>
                <w:sz w:val="21"/>
                <w:szCs w:val="21"/>
              </w:rPr>
            </w:pPr>
          </w:p>
        </w:tc>
        <w:tc>
          <w:tcPr>
            <w:tcW w:w="1186" w:type="pct"/>
            <w:gridSpan w:val="2"/>
            <w:vAlign w:val="center"/>
          </w:tcPr>
          <w:p>
            <w:pPr>
              <w:widowControl/>
              <w:adjustRightIn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1小时平均</w:t>
            </w:r>
          </w:p>
        </w:tc>
        <w:tc>
          <w:tcPr>
            <w:tcW w:w="489" w:type="pct"/>
            <w:gridSpan w:val="2"/>
            <w:vAlign w:val="center"/>
          </w:tcPr>
          <w:p>
            <w:pPr>
              <w:widowControl/>
              <w:adjustRightIn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jc w:val="left"/>
              <w:rPr>
                <w:rFonts w:hint="default" w:ascii="Times New Roman" w:hAnsi="Times New Roman" w:cs="Times New Roman"/>
                <w:color w:val="auto"/>
                <w:kern w:val="0"/>
                <w:sz w:val="21"/>
                <w:szCs w:val="21"/>
              </w:rPr>
            </w:pPr>
          </w:p>
        </w:tc>
        <w:tc>
          <w:tcPr>
            <w:tcW w:w="1613" w:type="pct"/>
            <w:vMerge w:val="continue"/>
            <w:vAlign w:val="center"/>
          </w:tcPr>
          <w:p>
            <w:pPr>
              <w:widowControl/>
              <w:jc w:val="left"/>
              <w:rPr>
                <w:rFonts w:hint="default" w:ascii="Times New Roman" w:hAnsi="Times New Roman" w:cs="Times New Roman"/>
                <w:color w:val="auto"/>
                <w:kern w:val="0"/>
                <w:sz w:val="21"/>
                <w:szCs w:val="21"/>
              </w:rPr>
            </w:pPr>
          </w:p>
        </w:tc>
        <w:tc>
          <w:tcPr>
            <w:tcW w:w="765" w:type="pct"/>
            <w:vMerge w:val="continue"/>
            <w:vAlign w:val="center"/>
          </w:tcPr>
          <w:p>
            <w:pPr>
              <w:widowControl/>
              <w:jc w:val="left"/>
              <w:rPr>
                <w:rFonts w:hint="default" w:ascii="Times New Roman" w:hAnsi="Times New Roman" w:cs="Times New Roman"/>
                <w:color w:val="auto"/>
                <w:kern w:val="0"/>
                <w:sz w:val="21"/>
                <w:szCs w:val="21"/>
              </w:rPr>
            </w:pPr>
          </w:p>
        </w:tc>
        <w:tc>
          <w:tcPr>
            <w:tcW w:w="509" w:type="pct"/>
            <w:vMerge w:val="continue"/>
            <w:vAlign w:val="center"/>
          </w:tcPr>
          <w:p>
            <w:pPr>
              <w:widowControl/>
              <w:jc w:val="left"/>
              <w:rPr>
                <w:rFonts w:hint="default" w:ascii="Times New Roman" w:hAnsi="Times New Roman" w:cs="Times New Roman"/>
                <w:color w:val="auto"/>
                <w:kern w:val="0"/>
                <w:sz w:val="21"/>
                <w:szCs w:val="21"/>
              </w:rPr>
            </w:pPr>
          </w:p>
        </w:tc>
        <w:tc>
          <w:tcPr>
            <w:tcW w:w="1186" w:type="pct"/>
            <w:gridSpan w:val="2"/>
            <w:vAlign w:val="center"/>
          </w:tcPr>
          <w:p>
            <w:pPr>
              <w:widowControl/>
              <w:adjustRightIn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日最大8小时平均</w:t>
            </w:r>
          </w:p>
        </w:tc>
        <w:tc>
          <w:tcPr>
            <w:tcW w:w="489" w:type="pct"/>
            <w:gridSpan w:val="2"/>
            <w:vAlign w:val="center"/>
          </w:tcPr>
          <w:p>
            <w:pPr>
              <w:widowControl/>
              <w:adjustRightIn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jc w:val="left"/>
              <w:rPr>
                <w:rFonts w:hint="default" w:ascii="Times New Roman" w:hAnsi="Times New Roman" w:cs="Times New Roman"/>
                <w:color w:val="auto"/>
                <w:kern w:val="0"/>
                <w:sz w:val="21"/>
                <w:szCs w:val="21"/>
              </w:rPr>
            </w:pPr>
          </w:p>
        </w:tc>
        <w:tc>
          <w:tcPr>
            <w:tcW w:w="1613" w:type="pct"/>
            <w:vMerge w:val="continue"/>
            <w:vAlign w:val="center"/>
          </w:tcPr>
          <w:p>
            <w:pPr>
              <w:widowControl/>
              <w:jc w:val="left"/>
              <w:rPr>
                <w:rFonts w:hint="default" w:ascii="Times New Roman" w:hAnsi="Times New Roman" w:cs="Times New Roman"/>
                <w:color w:val="auto"/>
                <w:kern w:val="0"/>
                <w:sz w:val="21"/>
                <w:szCs w:val="21"/>
              </w:rPr>
            </w:pPr>
          </w:p>
        </w:tc>
        <w:tc>
          <w:tcPr>
            <w:tcW w:w="765" w:type="pct"/>
            <w:vMerge w:val="restart"/>
            <w:vAlign w:val="center"/>
          </w:tcPr>
          <w:p>
            <w:pPr>
              <w:widowControl/>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CO</w:t>
            </w:r>
          </w:p>
        </w:tc>
        <w:tc>
          <w:tcPr>
            <w:tcW w:w="509" w:type="pct"/>
            <w:vMerge w:val="restart"/>
            <w:vAlign w:val="center"/>
          </w:tcPr>
          <w:p>
            <w:pPr>
              <w:widowControl/>
              <w:snapToGri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mg/m</w:t>
            </w:r>
            <w:r>
              <w:rPr>
                <w:rFonts w:hint="default" w:ascii="Times New Roman" w:hAnsi="Times New Roman" w:cs="Times New Roman"/>
                <w:color w:val="auto"/>
                <w:kern w:val="0"/>
                <w:sz w:val="21"/>
                <w:szCs w:val="21"/>
                <w:vertAlign w:val="superscript"/>
              </w:rPr>
              <w:t>3</w:t>
            </w:r>
          </w:p>
        </w:tc>
        <w:tc>
          <w:tcPr>
            <w:tcW w:w="1186" w:type="pct"/>
            <w:gridSpan w:val="2"/>
            <w:vAlign w:val="center"/>
          </w:tcPr>
          <w:p>
            <w:pPr>
              <w:widowControl/>
              <w:adjustRightIn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1小时平均</w:t>
            </w:r>
          </w:p>
        </w:tc>
        <w:tc>
          <w:tcPr>
            <w:tcW w:w="489" w:type="pct"/>
            <w:gridSpan w:val="2"/>
            <w:vAlign w:val="center"/>
          </w:tcPr>
          <w:p>
            <w:pPr>
              <w:widowControl/>
              <w:adjustRightIn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jc w:val="left"/>
              <w:rPr>
                <w:rFonts w:hint="default" w:ascii="Times New Roman" w:hAnsi="Times New Roman" w:cs="Times New Roman"/>
                <w:color w:val="auto"/>
                <w:kern w:val="0"/>
                <w:sz w:val="21"/>
                <w:szCs w:val="21"/>
              </w:rPr>
            </w:pPr>
          </w:p>
        </w:tc>
        <w:tc>
          <w:tcPr>
            <w:tcW w:w="1613" w:type="pct"/>
            <w:vMerge w:val="continue"/>
            <w:vAlign w:val="center"/>
          </w:tcPr>
          <w:p>
            <w:pPr>
              <w:widowControl/>
              <w:jc w:val="left"/>
              <w:rPr>
                <w:rFonts w:hint="default" w:ascii="Times New Roman" w:hAnsi="Times New Roman" w:cs="Times New Roman"/>
                <w:color w:val="auto"/>
                <w:kern w:val="0"/>
                <w:sz w:val="21"/>
                <w:szCs w:val="21"/>
              </w:rPr>
            </w:pPr>
          </w:p>
        </w:tc>
        <w:tc>
          <w:tcPr>
            <w:tcW w:w="765" w:type="pct"/>
            <w:vMerge w:val="continue"/>
            <w:vAlign w:val="center"/>
          </w:tcPr>
          <w:p>
            <w:pPr>
              <w:widowControl/>
              <w:jc w:val="left"/>
              <w:rPr>
                <w:rFonts w:hint="default" w:ascii="Times New Roman" w:hAnsi="Times New Roman" w:cs="Times New Roman"/>
                <w:color w:val="auto"/>
                <w:kern w:val="0"/>
                <w:sz w:val="21"/>
                <w:szCs w:val="21"/>
              </w:rPr>
            </w:pPr>
          </w:p>
        </w:tc>
        <w:tc>
          <w:tcPr>
            <w:tcW w:w="509" w:type="pct"/>
            <w:vMerge w:val="continue"/>
            <w:vAlign w:val="center"/>
          </w:tcPr>
          <w:p>
            <w:pPr>
              <w:widowControl/>
              <w:jc w:val="left"/>
              <w:rPr>
                <w:rFonts w:hint="default" w:ascii="Times New Roman" w:hAnsi="Times New Roman" w:cs="Times New Roman"/>
                <w:color w:val="auto"/>
                <w:kern w:val="0"/>
                <w:sz w:val="21"/>
                <w:szCs w:val="21"/>
              </w:rPr>
            </w:pPr>
          </w:p>
        </w:tc>
        <w:tc>
          <w:tcPr>
            <w:tcW w:w="1186" w:type="pct"/>
            <w:gridSpan w:val="2"/>
            <w:vAlign w:val="center"/>
          </w:tcPr>
          <w:p>
            <w:pPr>
              <w:widowControl/>
              <w:adjustRightIn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24小时平均</w:t>
            </w:r>
          </w:p>
        </w:tc>
        <w:tc>
          <w:tcPr>
            <w:tcW w:w="489" w:type="pct"/>
            <w:gridSpan w:val="2"/>
            <w:vAlign w:val="center"/>
          </w:tcPr>
          <w:p>
            <w:pPr>
              <w:widowControl/>
              <w:adjustRightIn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jc w:val="left"/>
              <w:rPr>
                <w:rFonts w:hint="default" w:ascii="Times New Roman" w:hAnsi="Times New Roman" w:cs="Times New Roman"/>
                <w:color w:val="auto"/>
                <w:kern w:val="0"/>
                <w:sz w:val="21"/>
                <w:szCs w:val="21"/>
              </w:rPr>
            </w:pPr>
          </w:p>
        </w:tc>
        <w:tc>
          <w:tcPr>
            <w:tcW w:w="1613" w:type="pct"/>
            <w:vMerge w:val="continue"/>
            <w:vAlign w:val="center"/>
          </w:tcPr>
          <w:p>
            <w:pPr>
              <w:widowControl/>
              <w:jc w:val="left"/>
              <w:rPr>
                <w:rFonts w:hint="default" w:ascii="Times New Roman" w:hAnsi="Times New Roman" w:cs="Times New Roman"/>
                <w:color w:val="auto"/>
                <w:kern w:val="0"/>
                <w:sz w:val="21"/>
                <w:szCs w:val="21"/>
              </w:rPr>
            </w:pPr>
          </w:p>
        </w:tc>
        <w:tc>
          <w:tcPr>
            <w:tcW w:w="765" w:type="pct"/>
            <w:vMerge w:val="restart"/>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TSP</w:t>
            </w:r>
          </w:p>
        </w:tc>
        <w:tc>
          <w:tcPr>
            <w:tcW w:w="509" w:type="pct"/>
            <w:vMerge w:val="restart"/>
            <w:vAlign w:val="center"/>
          </w:tcPr>
          <w:p>
            <w:pPr>
              <w:widowControl/>
              <w:jc w:val="left"/>
              <w:rPr>
                <w:rFonts w:hint="default" w:ascii="Times New Roman" w:hAnsi="Times New Roman" w:cs="Times New Roman"/>
                <w:color w:val="auto"/>
                <w:kern w:val="0"/>
                <w:sz w:val="21"/>
                <w:szCs w:val="21"/>
              </w:rPr>
            </w:pPr>
            <w:r>
              <w:rPr>
                <w:rFonts w:hint="default" w:ascii="Times New Roman" w:hAnsi="Times New Roman" w:eastAsia="宋体" w:cs="Times New Roman"/>
                <w:color w:val="auto"/>
                <w:kern w:val="21"/>
                <w:sz w:val="21"/>
                <w:szCs w:val="21"/>
                <w:highlight w:val="none"/>
                <w:u w:val="none"/>
              </w:rPr>
              <w:t>μg/m</w:t>
            </w:r>
            <w:r>
              <w:rPr>
                <w:rFonts w:hint="default" w:ascii="Times New Roman" w:hAnsi="Times New Roman" w:eastAsia="宋体" w:cs="Times New Roman"/>
                <w:color w:val="auto"/>
                <w:kern w:val="21"/>
                <w:sz w:val="21"/>
                <w:szCs w:val="21"/>
                <w:highlight w:val="none"/>
                <w:u w:val="none"/>
                <w:vertAlign w:val="superscript"/>
              </w:rPr>
              <w:t>3</w:t>
            </w:r>
          </w:p>
        </w:tc>
        <w:tc>
          <w:tcPr>
            <w:tcW w:w="1186" w:type="pct"/>
            <w:gridSpan w:val="2"/>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21"/>
                <w:szCs w:val="21"/>
              </w:rPr>
            </w:pPr>
            <w:r>
              <w:rPr>
                <w:rFonts w:hint="default" w:ascii="Times New Roman" w:hAnsi="Times New Roman" w:eastAsia="宋体" w:cs="Times New Roman"/>
                <w:color w:val="auto"/>
                <w:kern w:val="21"/>
                <w:sz w:val="21"/>
                <w:szCs w:val="21"/>
                <w:highlight w:val="none"/>
                <w:u w:val="none"/>
                <w:lang w:val="en-US" w:eastAsia="zh-CN"/>
              </w:rPr>
              <w:t>年平均</w:t>
            </w:r>
          </w:p>
        </w:tc>
        <w:tc>
          <w:tcPr>
            <w:tcW w:w="489" w:type="pct"/>
            <w:gridSpan w:val="2"/>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21"/>
                <w:szCs w:val="21"/>
              </w:rPr>
            </w:pPr>
            <w:r>
              <w:rPr>
                <w:rFonts w:hint="default" w:ascii="Times New Roman" w:hAnsi="Times New Roman" w:eastAsia="宋体" w:cs="Times New Roman"/>
                <w:color w:val="auto"/>
                <w:kern w:val="21"/>
                <w:sz w:val="21"/>
                <w:szCs w:val="21"/>
                <w:highlight w:val="none"/>
                <w:u w:val="none"/>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jc w:val="left"/>
              <w:rPr>
                <w:rFonts w:hint="default" w:ascii="Times New Roman" w:hAnsi="Times New Roman" w:cs="Times New Roman"/>
                <w:color w:val="auto"/>
                <w:kern w:val="0"/>
                <w:sz w:val="21"/>
                <w:szCs w:val="21"/>
              </w:rPr>
            </w:pPr>
          </w:p>
        </w:tc>
        <w:tc>
          <w:tcPr>
            <w:tcW w:w="1613" w:type="pct"/>
            <w:vMerge w:val="continue"/>
            <w:vAlign w:val="center"/>
          </w:tcPr>
          <w:p>
            <w:pPr>
              <w:widowControl/>
              <w:jc w:val="left"/>
              <w:rPr>
                <w:rFonts w:hint="default" w:ascii="Times New Roman" w:hAnsi="Times New Roman" w:cs="Times New Roman"/>
                <w:color w:val="auto"/>
                <w:kern w:val="0"/>
                <w:sz w:val="21"/>
                <w:szCs w:val="21"/>
              </w:rPr>
            </w:pPr>
          </w:p>
        </w:tc>
        <w:tc>
          <w:tcPr>
            <w:tcW w:w="765" w:type="pct"/>
            <w:vMerge w:val="continue"/>
            <w:vAlign w:val="center"/>
          </w:tcPr>
          <w:p>
            <w:pPr>
              <w:widowControl/>
              <w:jc w:val="center"/>
              <w:rPr>
                <w:rFonts w:hint="default" w:ascii="Times New Roman" w:hAnsi="Times New Roman" w:eastAsia="宋体" w:cs="Times New Roman"/>
                <w:color w:val="auto"/>
                <w:kern w:val="0"/>
                <w:sz w:val="21"/>
                <w:szCs w:val="21"/>
                <w:lang w:val="en-US" w:eastAsia="zh-CN"/>
              </w:rPr>
            </w:pPr>
          </w:p>
        </w:tc>
        <w:tc>
          <w:tcPr>
            <w:tcW w:w="509" w:type="pct"/>
            <w:vMerge w:val="continue"/>
            <w:vAlign w:val="center"/>
          </w:tcPr>
          <w:p>
            <w:pPr>
              <w:widowControl/>
              <w:jc w:val="left"/>
              <w:rPr>
                <w:rFonts w:hint="default" w:ascii="Times New Roman" w:hAnsi="Times New Roman" w:cs="Times New Roman"/>
                <w:color w:val="auto"/>
                <w:kern w:val="0"/>
                <w:sz w:val="21"/>
                <w:szCs w:val="21"/>
              </w:rPr>
            </w:pPr>
          </w:p>
        </w:tc>
        <w:tc>
          <w:tcPr>
            <w:tcW w:w="1186" w:type="pct"/>
            <w:gridSpan w:val="2"/>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21"/>
                <w:szCs w:val="21"/>
              </w:rPr>
            </w:pPr>
            <w:r>
              <w:rPr>
                <w:rFonts w:hint="default" w:ascii="Times New Roman" w:hAnsi="Times New Roman" w:eastAsia="宋体" w:cs="Times New Roman"/>
                <w:color w:val="auto"/>
                <w:kern w:val="21"/>
                <w:sz w:val="21"/>
                <w:szCs w:val="21"/>
                <w:highlight w:val="none"/>
                <w:u w:val="none"/>
              </w:rPr>
              <w:t>24小时平均</w:t>
            </w:r>
          </w:p>
        </w:tc>
        <w:tc>
          <w:tcPr>
            <w:tcW w:w="489" w:type="pct"/>
            <w:gridSpan w:val="2"/>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21"/>
                <w:szCs w:val="21"/>
              </w:rPr>
            </w:pPr>
            <w:r>
              <w:rPr>
                <w:rFonts w:hint="default" w:ascii="Times New Roman" w:hAnsi="Times New Roman" w:eastAsia="宋体" w:cs="Times New Roman"/>
                <w:color w:val="auto"/>
                <w:kern w:val="21"/>
                <w:sz w:val="21"/>
                <w:szCs w:val="21"/>
                <w:highlight w:val="none"/>
                <w:u w:val="none"/>
              </w:rPr>
              <w:t>300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435" w:type="pct"/>
            <w:vMerge w:val="continue"/>
            <w:vAlign w:val="center"/>
          </w:tcPr>
          <w:p>
            <w:pPr>
              <w:widowControl/>
              <w:jc w:val="left"/>
              <w:rPr>
                <w:rFonts w:hint="default" w:ascii="Times New Roman" w:hAnsi="Times New Roman" w:cs="Times New Roman"/>
                <w:color w:val="auto"/>
                <w:kern w:val="0"/>
                <w:sz w:val="21"/>
                <w:szCs w:val="21"/>
              </w:rPr>
            </w:pPr>
          </w:p>
        </w:tc>
        <w:tc>
          <w:tcPr>
            <w:tcW w:w="1613" w:type="pct"/>
            <w:vMerge w:val="restart"/>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《环境影响评价技术导则大气环境》（HJ 2.2-2018）附录D标准</w:t>
            </w:r>
          </w:p>
        </w:tc>
        <w:tc>
          <w:tcPr>
            <w:tcW w:w="765" w:type="pct"/>
            <w:vAlign w:val="center"/>
          </w:tcPr>
          <w:p>
            <w:pPr>
              <w:widowControl/>
              <w:jc w:val="center"/>
              <w:rPr>
                <w:rFonts w:hint="default" w:ascii="Times New Roman" w:hAnsi="Times New Roman" w:cs="Times New Roman"/>
                <w:color w:val="auto"/>
                <w:kern w:val="0"/>
                <w:sz w:val="21"/>
                <w:szCs w:val="21"/>
                <w:vertAlign w:val="subscript"/>
              </w:rPr>
            </w:pPr>
            <w:r>
              <w:rPr>
                <w:rFonts w:hint="default" w:ascii="Times New Roman" w:hAnsi="Times New Roman" w:cs="Times New Roman"/>
                <w:color w:val="auto"/>
                <w:kern w:val="0"/>
                <w:sz w:val="21"/>
                <w:szCs w:val="21"/>
              </w:rPr>
              <w:t>NH</w:t>
            </w:r>
            <w:r>
              <w:rPr>
                <w:rFonts w:hint="default" w:ascii="Times New Roman" w:hAnsi="Times New Roman" w:cs="Times New Roman"/>
                <w:color w:val="auto"/>
                <w:kern w:val="0"/>
                <w:sz w:val="21"/>
                <w:szCs w:val="21"/>
                <w:vertAlign w:val="subscript"/>
              </w:rPr>
              <w:t>3</w:t>
            </w:r>
          </w:p>
        </w:tc>
        <w:tc>
          <w:tcPr>
            <w:tcW w:w="509" w:type="pct"/>
            <w:vMerge w:val="restart"/>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μg/m</w:t>
            </w:r>
            <w:r>
              <w:rPr>
                <w:rFonts w:hint="default" w:ascii="Times New Roman" w:hAnsi="Times New Roman" w:cs="Times New Roman"/>
                <w:color w:val="auto"/>
                <w:kern w:val="0"/>
                <w:sz w:val="21"/>
                <w:szCs w:val="21"/>
                <w:vertAlign w:val="superscript"/>
              </w:rPr>
              <w:t>3</w:t>
            </w:r>
          </w:p>
        </w:tc>
        <w:tc>
          <w:tcPr>
            <w:tcW w:w="1186" w:type="pct"/>
            <w:gridSpan w:val="2"/>
            <w:vAlign w:val="center"/>
          </w:tcPr>
          <w:p>
            <w:pPr>
              <w:widowControl/>
              <w:adjustRightIn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1小时平均</w:t>
            </w:r>
          </w:p>
        </w:tc>
        <w:tc>
          <w:tcPr>
            <w:tcW w:w="489" w:type="pct"/>
            <w:gridSpan w:val="2"/>
            <w:vAlign w:val="center"/>
          </w:tcPr>
          <w:p>
            <w:pPr>
              <w:widowControl/>
              <w:adjustRightIn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jc w:val="left"/>
              <w:rPr>
                <w:rFonts w:hint="default" w:ascii="Times New Roman" w:hAnsi="Times New Roman" w:cs="Times New Roman"/>
                <w:color w:val="auto"/>
                <w:kern w:val="0"/>
                <w:sz w:val="21"/>
                <w:szCs w:val="21"/>
              </w:rPr>
            </w:pPr>
          </w:p>
        </w:tc>
        <w:tc>
          <w:tcPr>
            <w:tcW w:w="1613" w:type="pct"/>
            <w:vMerge w:val="continue"/>
            <w:vAlign w:val="center"/>
          </w:tcPr>
          <w:p>
            <w:pPr>
              <w:widowControl/>
              <w:jc w:val="left"/>
              <w:rPr>
                <w:rFonts w:hint="default" w:ascii="Times New Roman" w:hAnsi="Times New Roman" w:cs="Times New Roman"/>
                <w:color w:val="auto"/>
                <w:kern w:val="0"/>
                <w:sz w:val="21"/>
                <w:szCs w:val="21"/>
              </w:rPr>
            </w:pPr>
          </w:p>
        </w:tc>
        <w:tc>
          <w:tcPr>
            <w:tcW w:w="765" w:type="pct"/>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H</w:t>
            </w:r>
            <w:r>
              <w:rPr>
                <w:rFonts w:hint="default" w:ascii="Times New Roman" w:hAnsi="Times New Roman" w:cs="Times New Roman"/>
                <w:color w:val="auto"/>
                <w:kern w:val="0"/>
                <w:sz w:val="21"/>
                <w:szCs w:val="21"/>
                <w:vertAlign w:val="subscript"/>
              </w:rPr>
              <w:t>2</w:t>
            </w:r>
            <w:r>
              <w:rPr>
                <w:rFonts w:hint="default" w:ascii="Times New Roman" w:hAnsi="Times New Roman" w:cs="Times New Roman"/>
                <w:color w:val="auto"/>
                <w:kern w:val="0"/>
                <w:sz w:val="21"/>
                <w:szCs w:val="21"/>
              </w:rPr>
              <w:t>S</w:t>
            </w:r>
          </w:p>
        </w:tc>
        <w:tc>
          <w:tcPr>
            <w:tcW w:w="509" w:type="pct"/>
            <w:vMerge w:val="continue"/>
            <w:vAlign w:val="center"/>
          </w:tcPr>
          <w:p>
            <w:pPr>
              <w:widowControl/>
              <w:jc w:val="left"/>
              <w:rPr>
                <w:rFonts w:hint="default" w:ascii="Times New Roman" w:hAnsi="Times New Roman" w:cs="Times New Roman"/>
                <w:color w:val="auto"/>
                <w:kern w:val="0"/>
                <w:sz w:val="21"/>
                <w:szCs w:val="21"/>
              </w:rPr>
            </w:pPr>
          </w:p>
        </w:tc>
        <w:tc>
          <w:tcPr>
            <w:tcW w:w="1186" w:type="pct"/>
            <w:gridSpan w:val="2"/>
            <w:vAlign w:val="center"/>
          </w:tcPr>
          <w:p>
            <w:pPr>
              <w:widowControl/>
              <w:adjustRightIn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1小时平均</w:t>
            </w:r>
          </w:p>
        </w:tc>
        <w:tc>
          <w:tcPr>
            <w:tcW w:w="489" w:type="pct"/>
            <w:gridSpan w:val="2"/>
            <w:vAlign w:val="center"/>
          </w:tcPr>
          <w:p>
            <w:pPr>
              <w:widowControl/>
              <w:adjustRightInd w:val="0"/>
              <w:spacing w:line="0" w:lineRule="atLeas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restar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地表水</w:t>
            </w:r>
          </w:p>
        </w:tc>
        <w:tc>
          <w:tcPr>
            <w:tcW w:w="1613" w:type="pct"/>
            <w:vMerge w:val="restart"/>
            <w:vAlign w:val="center"/>
          </w:tcPr>
          <w:p>
            <w:pPr>
              <w:spacing w:line="0" w:lineRule="atLeast"/>
              <w:contextualSpacing/>
              <w:jc w:val="center"/>
              <w:rPr>
                <w:rFonts w:hint="eastAsia"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rPr>
              <w:t>《地表水环境质量标准》（GB3838-2002）Ⅲ类</w:t>
            </w: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pH</w:t>
            </w:r>
          </w:p>
        </w:tc>
        <w:tc>
          <w:tcPr>
            <w:tcW w:w="509"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无量纲</w:t>
            </w: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6~9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13"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COD</w:t>
            </w:r>
          </w:p>
        </w:tc>
        <w:tc>
          <w:tcPr>
            <w:tcW w:w="509" w:type="pct"/>
            <w:vMerge w:val="restar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mg/L</w:t>
            </w: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13"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spacing w:val="22"/>
                <w:kern w:val="0"/>
                <w:sz w:val="21"/>
                <w:szCs w:val="21"/>
              </w:rPr>
              <w:t>NH</w:t>
            </w:r>
            <w:r>
              <w:rPr>
                <w:rFonts w:hint="default" w:ascii="Times New Roman" w:hAnsi="Times New Roman" w:cs="Times New Roman"/>
                <w:color w:val="auto"/>
                <w:spacing w:val="22"/>
                <w:kern w:val="0"/>
                <w:sz w:val="21"/>
                <w:szCs w:val="21"/>
                <w:vertAlign w:val="subscript"/>
              </w:rPr>
              <w:t>3</w:t>
            </w:r>
            <w:r>
              <w:rPr>
                <w:rFonts w:hint="default" w:ascii="Times New Roman" w:hAnsi="Times New Roman" w:cs="Times New Roman"/>
                <w:color w:val="auto"/>
                <w:spacing w:val="22"/>
                <w:kern w:val="0"/>
                <w:sz w:val="21"/>
                <w:szCs w:val="21"/>
              </w:rPr>
              <w:t>-N</w:t>
            </w:r>
          </w:p>
        </w:tc>
        <w:tc>
          <w:tcPr>
            <w:tcW w:w="509"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13"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765" w:type="pct"/>
            <w:vAlign w:val="center"/>
          </w:tcPr>
          <w:p>
            <w:pPr>
              <w:autoSpaceDE w:val="0"/>
              <w:autoSpaceDN w:val="0"/>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BOD</w:t>
            </w:r>
          </w:p>
        </w:tc>
        <w:tc>
          <w:tcPr>
            <w:tcW w:w="509"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13"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765" w:type="pct"/>
            <w:vAlign w:val="center"/>
          </w:tcPr>
          <w:p>
            <w:pPr>
              <w:autoSpaceDE w:val="0"/>
              <w:autoSpaceDN w:val="0"/>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高锰酸盐指数</w:t>
            </w:r>
          </w:p>
        </w:tc>
        <w:tc>
          <w:tcPr>
            <w:tcW w:w="509"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13"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765" w:type="pct"/>
            <w:vAlign w:val="center"/>
          </w:tcPr>
          <w:p>
            <w:pPr>
              <w:autoSpaceDE w:val="0"/>
              <w:autoSpaceDN w:val="0"/>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总氮</w:t>
            </w:r>
          </w:p>
        </w:tc>
        <w:tc>
          <w:tcPr>
            <w:tcW w:w="509"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13"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765" w:type="pct"/>
            <w:vAlign w:val="center"/>
          </w:tcPr>
          <w:p>
            <w:pPr>
              <w:autoSpaceDE w:val="0"/>
              <w:autoSpaceDN w:val="0"/>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粪大肠菌群（个/L）</w:t>
            </w:r>
          </w:p>
        </w:tc>
        <w:tc>
          <w:tcPr>
            <w:tcW w:w="509"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13"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765" w:type="pct"/>
            <w:vAlign w:val="center"/>
          </w:tcPr>
          <w:p>
            <w:pPr>
              <w:autoSpaceDE w:val="0"/>
              <w:autoSpaceDN w:val="0"/>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溶解氧</w:t>
            </w:r>
          </w:p>
        </w:tc>
        <w:tc>
          <w:tcPr>
            <w:tcW w:w="509"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13"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765" w:type="pct"/>
            <w:vAlign w:val="center"/>
          </w:tcPr>
          <w:p>
            <w:pPr>
              <w:autoSpaceDE w:val="0"/>
              <w:autoSpaceDN w:val="0"/>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石油类</w:t>
            </w:r>
          </w:p>
        </w:tc>
        <w:tc>
          <w:tcPr>
            <w:tcW w:w="509" w:type="pct"/>
            <w:vMerge w:val="continue"/>
            <w:vAlign w:val="center"/>
          </w:tcPr>
          <w:p>
            <w:pPr>
              <w:widowControl/>
              <w:spacing w:line="0" w:lineRule="atLeast"/>
              <w:contextualSpacing/>
              <w:jc w:val="center"/>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w:t>
            </w:r>
            <w:r>
              <w:rPr>
                <w:rFonts w:hint="default" w:ascii="Times New Roman" w:hAnsi="Times New Roman" w:cs="Times New Roman"/>
                <w:color w:val="auto"/>
                <w:sz w:val="21"/>
                <w:szCs w:val="21"/>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13"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765" w:type="pct"/>
            <w:vAlign w:val="center"/>
          </w:tcPr>
          <w:p>
            <w:pPr>
              <w:autoSpaceDE w:val="0"/>
              <w:autoSpaceDN w:val="0"/>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总磷</w:t>
            </w:r>
          </w:p>
        </w:tc>
        <w:tc>
          <w:tcPr>
            <w:tcW w:w="509"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w:t>
            </w:r>
            <w:r>
              <w:rPr>
                <w:rFonts w:hint="default" w:ascii="Times New Roman" w:hAnsi="Times New Roman" w:cs="Times New Roman"/>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restar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地下水环境</w:t>
            </w:r>
          </w:p>
        </w:tc>
        <w:tc>
          <w:tcPr>
            <w:tcW w:w="1613" w:type="pct"/>
            <w:vMerge w:val="restar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《地下水质量标准》（GB/T14848-2017）Ⅲ类</w:t>
            </w: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pH值</w:t>
            </w:r>
          </w:p>
        </w:tc>
        <w:tc>
          <w:tcPr>
            <w:tcW w:w="509"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无量纲</w:t>
            </w: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6.5~8.5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13"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氨氮</w:t>
            </w:r>
          </w:p>
        </w:tc>
        <w:tc>
          <w:tcPr>
            <w:tcW w:w="509" w:type="pct"/>
            <w:vMerge w:val="restar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mg/L</w:t>
            </w: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13"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硝酸盐</w:t>
            </w:r>
          </w:p>
        </w:tc>
        <w:tc>
          <w:tcPr>
            <w:tcW w:w="509"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13"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亚硝酸盐</w:t>
            </w:r>
          </w:p>
        </w:tc>
        <w:tc>
          <w:tcPr>
            <w:tcW w:w="509"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8" w:hRule="atLeast"/>
          <w:jc w:val="center"/>
        </w:trPr>
        <w:tc>
          <w:tcPr>
            <w:tcW w:w="435"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13"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挥发酚</w:t>
            </w:r>
          </w:p>
        </w:tc>
        <w:tc>
          <w:tcPr>
            <w:tcW w:w="509"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 w:hRule="atLeast"/>
          <w:jc w:val="center"/>
        </w:trPr>
        <w:tc>
          <w:tcPr>
            <w:tcW w:w="435"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13"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氰化物</w:t>
            </w:r>
          </w:p>
        </w:tc>
        <w:tc>
          <w:tcPr>
            <w:tcW w:w="509"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13"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砷</w:t>
            </w:r>
          </w:p>
        </w:tc>
        <w:tc>
          <w:tcPr>
            <w:tcW w:w="509"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13"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汞</w:t>
            </w:r>
          </w:p>
        </w:tc>
        <w:tc>
          <w:tcPr>
            <w:tcW w:w="509"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13"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六价铬</w:t>
            </w:r>
          </w:p>
        </w:tc>
        <w:tc>
          <w:tcPr>
            <w:tcW w:w="509"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13"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总硬度</w:t>
            </w:r>
          </w:p>
        </w:tc>
        <w:tc>
          <w:tcPr>
            <w:tcW w:w="509"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≤450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13"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氟化物</w:t>
            </w:r>
          </w:p>
        </w:tc>
        <w:tc>
          <w:tcPr>
            <w:tcW w:w="509"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13"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zh-CN"/>
              </w:rPr>
              <w:t>锌</w:t>
            </w:r>
          </w:p>
        </w:tc>
        <w:tc>
          <w:tcPr>
            <w:tcW w:w="509"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13"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lang w:val="zh-CN"/>
              </w:rPr>
            </w:pPr>
            <w:r>
              <w:rPr>
                <w:rFonts w:hint="default" w:ascii="Times New Roman" w:hAnsi="Times New Roman" w:cs="Times New Roman"/>
                <w:color w:val="auto"/>
                <w:kern w:val="0"/>
                <w:sz w:val="21"/>
                <w:szCs w:val="21"/>
                <w:lang w:val="zh-CN"/>
              </w:rPr>
              <w:t>铜</w:t>
            </w:r>
          </w:p>
        </w:tc>
        <w:tc>
          <w:tcPr>
            <w:tcW w:w="509"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lang w:val="zh-CN"/>
              </w:rPr>
            </w:pPr>
            <w:r>
              <w:rPr>
                <w:rFonts w:hint="default" w:ascii="Times New Roman" w:hAnsi="Times New Roman" w:cs="Times New Roman"/>
                <w:color w:val="auto"/>
                <w:kern w:val="0"/>
                <w:sz w:val="21"/>
                <w:szCs w:val="21"/>
                <w:lang w:val="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13"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zh-CN"/>
              </w:rPr>
              <w:t>氯化物</w:t>
            </w:r>
          </w:p>
        </w:tc>
        <w:tc>
          <w:tcPr>
            <w:tcW w:w="509"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zh-CN"/>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13"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lang w:val="zh-CN"/>
              </w:rPr>
            </w:pPr>
            <w:r>
              <w:rPr>
                <w:rFonts w:hint="default" w:ascii="Times New Roman" w:hAnsi="Times New Roman" w:cs="Times New Roman"/>
                <w:color w:val="auto"/>
                <w:kern w:val="0"/>
                <w:sz w:val="21"/>
                <w:szCs w:val="21"/>
                <w:lang w:val="zh-CN"/>
              </w:rPr>
              <w:t>硫酸盐</w:t>
            </w:r>
          </w:p>
        </w:tc>
        <w:tc>
          <w:tcPr>
            <w:tcW w:w="509"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lang w:val="zh-CN"/>
              </w:rPr>
            </w:pPr>
            <w:r>
              <w:rPr>
                <w:rFonts w:hint="default" w:ascii="Times New Roman" w:hAnsi="Times New Roman" w:cs="Times New Roman"/>
                <w:color w:val="auto"/>
                <w:kern w:val="0"/>
                <w:sz w:val="21"/>
                <w:szCs w:val="21"/>
                <w:lang w:val="zh-CN"/>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35"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13"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铅</w:t>
            </w:r>
          </w:p>
        </w:tc>
        <w:tc>
          <w:tcPr>
            <w:tcW w:w="509"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76" w:type="pct"/>
            <w:gridSpan w:val="4"/>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53" w:type="pct"/>
          <w:trHeight w:val="98" w:hRule="atLeast"/>
          <w:jc w:val="center"/>
        </w:trPr>
        <w:tc>
          <w:tcPr>
            <w:tcW w:w="435"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1613" w:type="pct"/>
            <w:vMerge w:val="continue"/>
            <w:vAlign w:val="center"/>
          </w:tcPr>
          <w:p>
            <w:pPr>
              <w:spacing w:line="0" w:lineRule="atLeast"/>
              <w:contextualSpacing/>
              <w:jc w:val="center"/>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镉</w:t>
            </w:r>
          </w:p>
        </w:tc>
        <w:tc>
          <w:tcPr>
            <w:tcW w:w="509" w:type="pct"/>
            <w:vMerge w:val="continue"/>
            <w:vAlign w:val="center"/>
          </w:tcPr>
          <w:p>
            <w:pPr>
              <w:widowControl/>
              <w:spacing w:line="0" w:lineRule="atLeast"/>
              <w:contextualSpacing/>
              <w:jc w:val="center"/>
              <w:rPr>
                <w:rFonts w:hint="default" w:ascii="Times New Roman" w:hAnsi="Times New Roman" w:cs="Times New Roman"/>
                <w:color w:val="auto"/>
                <w:sz w:val="21"/>
                <w:szCs w:val="21"/>
              </w:rPr>
            </w:pPr>
          </w:p>
        </w:tc>
        <w:tc>
          <w:tcPr>
            <w:tcW w:w="1622" w:type="pct"/>
            <w:gridSpan w:val="3"/>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53" w:type="pct"/>
          <w:trHeight w:val="98" w:hRule="atLeast"/>
          <w:jc w:val="center"/>
        </w:trPr>
        <w:tc>
          <w:tcPr>
            <w:tcW w:w="43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13"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锰</w:t>
            </w:r>
          </w:p>
        </w:tc>
        <w:tc>
          <w:tcPr>
            <w:tcW w:w="509" w:type="pct"/>
            <w:vMerge w:val="continue"/>
            <w:vAlign w:val="center"/>
          </w:tcPr>
          <w:p>
            <w:pPr>
              <w:spacing w:line="0" w:lineRule="atLeast"/>
              <w:contextualSpacing/>
              <w:rPr>
                <w:rFonts w:hint="default" w:ascii="Times New Roman" w:hAnsi="Times New Roman" w:cs="Times New Roman"/>
                <w:color w:val="auto"/>
                <w:sz w:val="21"/>
                <w:szCs w:val="21"/>
              </w:rPr>
            </w:pPr>
          </w:p>
        </w:tc>
        <w:tc>
          <w:tcPr>
            <w:tcW w:w="1622" w:type="pct"/>
            <w:gridSpan w:val="3"/>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53" w:type="pct"/>
          <w:trHeight w:val="98" w:hRule="atLeast"/>
          <w:jc w:val="center"/>
        </w:trPr>
        <w:tc>
          <w:tcPr>
            <w:tcW w:w="43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13"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铁</w:t>
            </w:r>
          </w:p>
        </w:tc>
        <w:tc>
          <w:tcPr>
            <w:tcW w:w="509" w:type="pct"/>
            <w:vMerge w:val="continue"/>
            <w:vAlign w:val="center"/>
          </w:tcPr>
          <w:p>
            <w:pPr>
              <w:spacing w:line="0" w:lineRule="atLeast"/>
              <w:contextualSpacing/>
              <w:rPr>
                <w:rFonts w:hint="default" w:ascii="Times New Roman" w:hAnsi="Times New Roman" w:cs="Times New Roman"/>
                <w:color w:val="auto"/>
                <w:sz w:val="21"/>
                <w:szCs w:val="21"/>
              </w:rPr>
            </w:pPr>
          </w:p>
        </w:tc>
        <w:tc>
          <w:tcPr>
            <w:tcW w:w="1622" w:type="pct"/>
            <w:gridSpan w:val="3"/>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53" w:type="pct"/>
          <w:trHeight w:val="98" w:hRule="atLeast"/>
          <w:jc w:val="center"/>
        </w:trPr>
        <w:tc>
          <w:tcPr>
            <w:tcW w:w="43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13"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溶解性总固体</w:t>
            </w:r>
          </w:p>
        </w:tc>
        <w:tc>
          <w:tcPr>
            <w:tcW w:w="509" w:type="pct"/>
            <w:vMerge w:val="continue"/>
            <w:vAlign w:val="center"/>
          </w:tcPr>
          <w:p>
            <w:pPr>
              <w:spacing w:line="0" w:lineRule="atLeast"/>
              <w:contextualSpacing/>
              <w:rPr>
                <w:rFonts w:hint="default" w:ascii="Times New Roman" w:hAnsi="Times New Roman" w:cs="Times New Roman"/>
                <w:color w:val="auto"/>
                <w:sz w:val="21"/>
                <w:szCs w:val="21"/>
              </w:rPr>
            </w:pPr>
          </w:p>
        </w:tc>
        <w:tc>
          <w:tcPr>
            <w:tcW w:w="1622" w:type="pct"/>
            <w:gridSpan w:val="3"/>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53" w:type="pct"/>
          <w:trHeight w:val="98" w:hRule="atLeast"/>
          <w:jc w:val="center"/>
        </w:trPr>
        <w:tc>
          <w:tcPr>
            <w:tcW w:w="43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13"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耗氧量</w:t>
            </w:r>
          </w:p>
        </w:tc>
        <w:tc>
          <w:tcPr>
            <w:tcW w:w="509" w:type="pct"/>
            <w:vMerge w:val="continue"/>
            <w:vAlign w:val="center"/>
          </w:tcPr>
          <w:p>
            <w:pPr>
              <w:spacing w:line="0" w:lineRule="atLeast"/>
              <w:contextualSpacing/>
              <w:rPr>
                <w:rFonts w:hint="default" w:ascii="Times New Roman" w:hAnsi="Times New Roman" w:cs="Times New Roman"/>
                <w:color w:val="auto"/>
                <w:sz w:val="21"/>
                <w:szCs w:val="21"/>
              </w:rPr>
            </w:pPr>
          </w:p>
        </w:tc>
        <w:tc>
          <w:tcPr>
            <w:tcW w:w="1622" w:type="pct"/>
            <w:gridSpan w:val="3"/>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53" w:type="pct"/>
          <w:trHeight w:val="98" w:hRule="atLeast"/>
          <w:jc w:val="center"/>
        </w:trPr>
        <w:tc>
          <w:tcPr>
            <w:tcW w:w="43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13"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总大肠菌群</w:t>
            </w:r>
          </w:p>
        </w:tc>
        <w:tc>
          <w:tcPr>
            <w:tcW w:w="509" w:type="pct"/>
            <w:vAlign w:val="center"/>
          </w:tcPr>
          <w:p>
            <w:pPr>
              <w:widowControl/>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MPN/100mL</w:t>
            </w:r>
          </w:p>
        </w:tc>
        <w:tc>
          <w:tcPr>
            <w:tcW w:w="1622" w:type="pct"/>
            <w:gridSpan w:val="3"/>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53" w:type="pct"/>
          <w:trHeight w:val="98" w:hRule="atLeast"/>
          <w:jc w:val="center"/>
        </w:trPr>
        <w:tc>
          <w:tcPr>
            <w:tcW w:w="43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13"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765"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菌落</w:t>
            </w:r>
            <w:r>
              <w:rPr>
                <w:rFonts w:hint="default" w:ascii="Times New Roman" w:hAnsi="Times New Roman" w:cs="Times New Roman"/>
                <w:color w:val="auto"/>
                <w:kern w:val="0"/>
                <w:sz w:val="21"/>
                <w:szCs w:val="21"/>
              </w:rPr>
              <w:t>总数</w:t>
            </w:r>
          </w:p>
        </w:tc>
        <w:tc>
          <w:tcPr>
            <w:tcW w:w="509" w:type="pct"/>
            <w:vAlign w:val="center"/>
          </w:tcPr>
          <w:p>
            <w:pPr>
              <w:widowControl/>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CFU/mL</w:t>
            </w:r>
          </w:p>
        </w:tc>
        <w:tc>
          <w:tcPr>
            <w:tcW w:w="1622" w:type="pct"/>
            <w:gridSpan w:val="3"/>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53" w:type="pct"/>
          <w:trHeight w:val="225" w:hRule="atLeast"/>
          <w:jc w:val="center"/>
        </w:trPr>
        <w:tc>
          <w:tcPr>
            <w:tcW w:w="435" w:type="pct"/>
            <w:vMerge w:val="restar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声环境</w:t>
            </w:r>
          </w:p>
        </w:tc>
        <w:tc>
          <w:tcPr>
            <w:tcW w:w="1613" w:type="pct"/>
            <w:vMerge w:val="restar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《声环境质量标准》（GB3096-2008）2类</w:t>
            </w:r>
          </w:p>
        </w:tc>
        <w:tc>
          <w:tcPr>
            <w:tcW w:w="765" w:type="pct"/>
            <w:vMerge w:val="restar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连续等效声压级</w:t>
            </w:r>
          </w:p>
        </w:tc>
        <w:tc>
          <w:tcPr>
            <w:tcW w:w="509" w:type="pct"/>
            <w:vMerge w:val="restar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dB(A)</w:t>
            </w:r>
          </w:p>
        </w:tc>
        <w:tc>
          <w:tcPr>
            <w:tcW w:w="1018"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昼间</w:t>
            </w:r>
          </w:p>
        </w:tc>
        <w:tc>
          <w:tcPr>
            <w:tcW w:w="603" w:type="pct"/>
            <w:gridSpan w:val="2"/>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53" w:type="pct"/>
          <w:trHeight w:val="286" w:hRule="atLeast"/>
          <w:jc w:val="center"/>
        </w:trPr>
        <w:tc>
          <w:tcPr>
            <w:tcW w:w="43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613"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765"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509" w:type="pct"/>
            <w:vMerge w:val="continue"/>
            <w:vAlign w:val="center"/>
          </w:tcPr>
          <w:p>
            <w:pPr>
              <w:widowControl/>
              <w:spacing w:line="0" w:lineRule="atLeast"/>
              <w:contextualSpacing/>
              <w:jc w:val="left"/>
              <w:rPr>
                <w:rFonts w:hint="default" w:ascii="Times New Roman" w:hAnsi="Times New Roman" w:cs="Times New Roman"/>
                <w:color w:val="auto"/>
                <w:kern w:val="0"/>
                <w:sz w:val="21"/>
                <w:szCs w:val="21"/>
              </w:rPr>
            </w:pPr>
          </w:p>
        </w:tc>
        <w:tc>
          <w:tcPr>
            <w:tcW w:w="1018" w:type="pct"/>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夜间</w:t>
            </w:r>
          </w:p>
        </w:tc>
        <w:tc>
          <w:tcPr>
            <w:tcW w:w="603" w:type="pct"/>
            <w:gridSpan w:val="2"/>
            <w:vAlign w:val="center"/>
          </w:tcPr>
          <w:p>
            <w:pPr>
              <w:spacing w:line="0" w:lineRule="atLeast"/>
              <w:contextualSpacing/>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50</w:t>
            </w:r>
          </w:p>
        </w:tc>
      </w:tr>
    </w:tbl>
    <w:p>
      <w:pPr>
        <w:rPr>
          <w:rFonts w:hint="default" w:ascii="Times New Roman" w:hAnsi="Times New Roman" w:cs="Times New Roman"/>
          <w:lang w:val="en-US" w:eastAsia="zh-CN"/>
        </w:rPr>
      </w:pPr>
    </w:p>
    <w:p>
      <w:pPr>
        <w:pStyle w:val="11"/>
        <w:widowControl w:val="0"/>
        <w:numPr>
          <w:ilvl w:val="2"/>
          <w:numId w:val="0"/>
        </w:numPr>
        <w:kinsoku/>
        <w:autoSpaceDE/>
        <w:autoSpaceDN/>
        <w:adjustRightInd/>
        <w:snapToGrid/>
        <w:spacing w:before="0" w:after="0" w:line="360" w:lineRule="auto"/>
        <w:jc w:val="both"/>
        <w:textAlignment w:val="auto"/>
        <w:outlineLvl w:val="1"/>
        <w:rPr>
          <w:rFonts w:hint="default" w:ascii="Times New Roman" w:hAnsi="Times New Roman" w:eastAsia="宋体" w:cs="Times New Roman"/>
          <w:b/>
          <w:bCs w:val="0"/>
          <w:snapToGrid/>
          <w:color w:val="auto"/>
          <w:kern w:val="2"/>
          <w:sz w:val="28"/>
          <w:szCs w:val="28"/>
          <w:highlight w:val="none"/>
          <w:lang w:val="en-US" w:eastAsia="zh-CN"/>
        </w:rPr>
      </w:pPr>
      <w:bookmarkStart w:id="65" w:name="_Toc31990"/>
      <w:bookmarkStart w:id="66" w:name="_Toc19701"/>
      <w:bookmarkStart w:id="67" w:name="_Toc15163"/>
      <w:r>
        <w:rPr>
          <w:rFonts w:hint="default" w:ascii="Times New Roman" w:hAnsi="Times New Roman" w:eastAsia="宋体" w:cs="Times New Roman"/>
          <w:b/>
          <w:bCs w:val="0"/>
          <w:snapToGrid/>
          <w:color w:val="auto"/>
          <w:kern w:val="2"/>
          <w:sz w:val="28"/>
          <w:szCs w:val="28"/>
          <w:highlight w:val="none"/>
          <w:lang w:val="en-US" w:eastAsia="zh-CN"/>
        </w:rPr>
        <w:t>2.5.2  污染物排放标准</w:t>
      </w:r>
      <w:bookmarkEnd w:id="65"/>
      <w:bookmarkEnd w:id="66"/>
      <w:bookmarkEnd w:id="67"/>
    </w:p>
    <w:p>
      <w:pPr>
        <w:keepNext w:val="0"/>
        <w:keepLines w:val="0"/>
        <w:pageBreakBefore w:val="0"/>
        <w:wordWrap/>
        <w:overflowPunct/>
        <w:topLinePunct w:val="0"/>
        <w:autoSpaceDE w:val="0"/>
        <w:autoSpaceDN w:val="0"/>
        <w:bidi w:val="0"/>
        <w:spacing w:line="360" w:lineRule="auto"/>
        <w:ind w:left="0" w:firstLine="468"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w:t>
      </w:r>
      <w:r>
        <w:rPr>
          <w:rFonts w:hint="default" w:ascii="Times New Roman" w:hAnsi="Times New Roman" w:eastAsia="Times New Roman" w:cs="Times New Roman"/>
          <w:spacing w:val="-3"/>
          <w:sz w:val="24"/>
          <w:szCs w:val="24"/>
        </w:rPr>
        <w:t>1</w:t>
      </w:r>
      <w:r>
        <w:rPr>
          <w:rFonts w:hint="default" w:ascii="Times New Roman" w:hAnsi="Times New Roman" w:eastAsia="宋体" w:cs="Times New Roman"/>
          <w:spacing w:val="-3"/>
          <w:sz w:val="24"/>
          <w:szCs w:val="24"/>
        </w:rPr>
        <w:t>）废水排放标准</w:t>
      </w:r>
    </w:p>
    <w:p>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jc w:val="both"/>
        <w:textAlignment w:val="auto"/>
        <w:rPr>
          <w:rFonts w:hint="default" w:ascii="Times New Roman" w:hAnsi="Times New Roman" w:eastAsia="宋体" w:cs="Times New Roman"/>
          <w:b/>
          <w:color w:val="auto"/>
          <w:sz w:val="20"/>
          <w:szCs w:val="20"/>
          <w:highlight w:val="none"/>
          <w:lang w:val="en-US" w:eastAsia="zh-CN"/>
        </w:rPr>
      </w:pPr>
      <w:r>
        <w:rPr>
          <w:rFonts w:hint="default" w:ascii="Times New Roman" w:hAnsi="Times New Roman" w:eastAsia="宋体" w:cs="Times New Roman"/>
          <w:color w:val="auto"/>
          <w:sz w:val="24"/>
        </w:rPr>
        <w:t>本项目运营期产生的所有废水均排入厂区污水处理站处理后，排入</w:t>
      </w:r>
      <w:r>
        <w:rPr>
          <w:rFonts w:hint="default" w:ascii="Times New Roman" w:hAnsi="Times New Roman" w:eastAsia="宋体" w:cs="Times New Roman"/>
          <w:color w:val="auto"/>
          <w:sz w:val="24"/>
          <w:lang w:val="en-US" w:eastAsia="zh-CN"/>
        </w:rPr>
        <w:t>兴隆镇</w:t>
      </w:r>
      <w:r>
        <w:rPr>
          <w:rFonts w:hint="default" w:ascii="Times New Roman" w:hAnsi="Times New Roman" w:eastAsia="宋体" w:cs="Times New Roman"/>
          <w:color w:val="auto"/>
          <w:sz w:val="24"/>
        </w:rPr>
        <w:t>污水处理厂进一步处理后排入</w:t>
      </w:r>
      <w:r>
        <w:rPr>
          <w:rFonts w:hint="default" w:ascii="Times New Roman" w:hAnsi="Times New Roman" w:eastAsia="宋体" w:cs="Times New Roman"/>
          <w:color w:val="auto"/>
          <w:sz w:val="24"/>
          <w:lang w:eastAsia="zh-CN"/>
        </w:rPr>
        <w:t>泥河</w:t>
      </w:r>
      <w:r>
        <w:rPr>
          <w:rFonts w:hint="default" w:ascii="Times New Roman" w:hAnsi="Times New Roman" w:eastAsia="宋体" w:cs="Times New Roman"/>
          <w:color w:val="auto"/>
          <w:sz w:val="24"/>
        </w:rPr>
        <w:t>。项目废水经厂区污水处理站处理后达到《肉类加工工业水污染物排放标准》（GB13457-92）表3三级畜类屠宰加工</w:t>
      </w:r>
      <w:r>
        <w:rPr>
          <w:rFonts w:hint="default" w:ascii="Times New Roman" w:hAnsi="Times New Roman" w:eastAsia="宋体" w:cs="Times New Roman"/>
          <w:color w:val="auto"/>
          <w:sz w:val="24"/>
          <w:lang w:val="en-US" w:eastAsia="zh-CN"/>
        </w:rPr>
        <w:t>和肉制品加工三级</w:t>
      </w:r>
      <w:r>
        <w:rPr>
          <w:rFonts w:hint="default" w:ascii="Times New Roman" w:hAnsi="Times New Roman" w:eastAsia="宋体" w:cs="Times New Roman"/>
          <w:color w:val="auto"/>
          <w:sz w:val="24"/>
        </w:rPr>
        <w:t>标准限值及</w:t>
      </w:r>
      <w:r>
        <w:rPr>
          <w:rFonts w:hint="default" w:ascii="Times New Roman" w:hAnsi="Times New Roman" w:eastAsia="宋体" w:cs="Times New Roman"/>
          <w:color w:val="auto"/>
          <w:sz w:val="24"/>
          <w:lang w:val="en-US" w:eastAsia="zh-CN"/>
        </w:rPr>
        <w:t>兴隆镇</w:t>
      </w:r>
      <w:r>
        <w:rPr>
          <w:rFonts w:hint="default" w:ascii="Times New Roman" w:hAnsi="Times New Roman" w:eastAsia="宋体" w:cs="Times New Roman"/>
          <w:color w:val="auto"/>
          <w:sz w:val="24"/>
        </w:rPr>
        <w:t>污水处理厂进水指标。</w:t>
      </w:r>
    </w:p>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eastAsia="宋体" w:cs="Times New Roman"/>
          <w:b/>
          <w:color w:val="auto"/>
          <w:sz w:val="20"/>
          <w:szCs w:val="20"/>
          <w:highlight w:val="none"/>
          <w:lang w:val="en-US" w:eastAsia="zh-CN"/>
        </w:rPr>
      </w:pPr>
      <w:r>
        <w:rPr>
          <w:rFonts w:hint="default" w:ascii="Times New Roman" w:hAnsi="Times New Roman" w:eastAsia="宋体" w:cs="Times New Roman"/>
          <w:b/>
          <w:color w:val="auto"/>
          <w:sz w:val="20"/>
          <w:szCs w:val="20"/>
          <w:highlight w:val="none"/>
          <w:lang w:val="en-US" w:eastAsia="zh-CN"/>
        </w:rPr>
        <w:t>表 2-5-2  兴隆镇污水处理厂接管标准  单位 mg/L</w:t>
      </w:r>
    </w:p>
    <w:tbl>
      <w:tblPr>
        <w:tblStyle w:val="24"/>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61"/>
        <w:gridCol w:w="4337"/>
        <w:gridCol w:w="45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4" w:hRule="atLeast"/>
          <w:tblHeader/>
          <w:jc w:val="center"/>
        </w:trPr>
        <w:tc>
          <w:tcPr>
            <w:tcW w:w="48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序号</w:t>
            </w:r>
          </w:p>
        </w:tc>
        <w:tc>
          <w:tcPr>
            <w:tcW w:w="220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污染物名称</w:t>
            </w:r>
          </w:p>
        </w:tc>
        <w:tc>
          <w:tcPr>
            <w:tcW w:w="2308"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标准限值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48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w:t>
            </w:r>
          </w:p>
        </w:tc>
        <w:tc>
          <w:tcPr>
            <w:tcW w:w="220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pH</w:t>
            </w:r>
          </w:p>
        </w:tc>
        <w:tc>
          <w:tcPr>
            <w:tcW w:w="2308"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48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w:t>
            </w:r>
          </w:p>
        </w:tc>
        <w:tc>
          <w:tcPr>
            <w:tcW w:w="220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COD</w:t>
            </w:r>
          </w:p>
        </w:tc>
        <w:tc>
          <w:tcPr>
            <w:tcW w:w="2308"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350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48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3</w:t>
            </w:r>
          </w:p>
        </w:tc>
        <w:tc>
          <w:tcPr>
            <w:tcW w:w="220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BOD</w:t>
            </w:r>
            <w:r>
              <w:rPr>
                <w:rFonts w:hint="default" w:ascii="Times New Roman" w:hAnsi="Times New Roman" w:eastAsia="宋体" w:cs="Times New Roman"/>
                <w:b w:val="0"/>
                <w:bCs w:val="0"/>
                <w:color w:val="auto"/>
                <w:sz w:val="21"/>
                <w:szCs w:val="21"/>
                <w:highlight w:val="none"/>
                <w:vertAlign w:val="subscript"/>
                <w:lang w:val="en-US" w:eastAsia="zh-CN"/>
              </w:rPr>
              <w:t>5</w:t>
            </w:r>
          </w:p>
        </w:tc>
        <w:tc>
          <w:tcPr>
            <w:tcW w:w="2308"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180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jc w:val="center"/>
        </w:trPr>
        <w:tc>
          <w:tcPr>
            <w:tcW w:w="48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4</w:t>
            </w:r>
          </w:p>
        </w:tc>
        <w:tc>
          <w:tcPr>
            <w:tcW w:w="220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SS</w:t>
            </w:r>
          </w:p>
        </w:tc>
        <w:tc>
          <w:tcPr>
            <w:tcW w:w="2308"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jc w:val="center"/>
        </w:trPr>
        <w:tc>
          <w:tcPr>
            <w:tcW w:w="48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w:t>
            </w:r>
          </w:p>
        </w:tc>
        <w:tc>
          <w:tcPr>
            <w:tcW w:w="220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氨氮</w:t>
            </w:r>
          </w:p>
        </w:tc>
        <w:tc>
          <w:tcPr>
            <w:tcW w:w="2308"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35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9" w:hRule="atLeast"/>
          <w:jc w:val="center"/>
        </w:trPr>
        <w:tc>
          <w:tcPr>
            <w:tcW w:w="48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w:t>
            </w:r>
          </w:p>
        </w:tc>
        <w:tc>
          <w:tcPr>
            <w:tcW w:w="220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总氮</w:t>
            </w:r>
          </w:p>
        </w:tc>
        <w:tc>
          <w:tcPr>
            <w:tcW w:w="2308"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jc w:val="center"/>
        </w:trPr>
        <w:tc>
          <w:tcPr>
            <w:tcW w:w="48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w:t>
            </w:r>
          </w:p>
        </w:tc>
        <w:tc>
          <w:tcPr>
            <w:tcW w:w="220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总磷</w:t>
            </w:r>
          </w:p>
        </w:tc>
        <w:tc>
          <w:tcPr>
            <w:tcW w:w="2308"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5.0</w:t>
            </w:r>
          </w:p>
        </w:tc>
      </w:tr>
    </w:tbl>
    <w:p>
      <w:pPr>
        <w:spacing w:line="21" w:lineRule="exact"/>
        <w:rPr>
          <w:rFonts w:hint="default" w:ascii="Times New Roman" w:hAnsi="Times New Roman" w:cs="Times New Roman"/>
        </w:rPr>
      </w:pPr>
    </w:p>
    <w:p>
      <w:pPr>
        <w:spacing w:before="118" w:line="221"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 xml:space="preserve">表 </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5-</w:t>
      </w:r>
      <w:r>
        <w:rPr>
          <w:rFonts w:hint="default" w:ascii="Times New Roman" w:hAnsi="Times New Roman" w:eastAsia="宋体" w:cs="Times New Roman"/>
          <w:b/>
          <w:bCs/>
          <w:color w:val="auto"/>
          <w:sz w:val="21"/>
          <w:szCs w:val="21"/>
          <w:lang w:val="en-US" w:eastAsia="zh-CN"/>
        </w:rPr>
        <w:t>3</w:t>
      </w:r>
      <w:r>
        <w:rPr>
          <w:rFonts w:hint="default" w:ascii="Times New Roman" w:hAnsi="Times New Roman" w:eastAsia="宋体" w:cs="Times New Roman"/>
          <w:b/>
          <w:bCs/>
          <w:color w:val="auto"/>
          <w:sz w:val="21"/>
          <w:szCs w:val="21"/>
        </w:rPr>
        <w:t xml:space="preserve"> </w:t>
      </w:r>
      <w:r>
        <w:rPr>
          <w:rFonts w:hint="default" w:ascii="Times New Roman" w:hAnsi="Times New Roman" w:eastAsia="宋体" w:cs="Times New Roman"/>
          <w:b/>
          <w:bCs/>
          <w:color w:val="auto"/>
          <w:sz w:val="21"/>
          <w:szCs w:val="21"/>
          <w:lang w:val="en-US" w:eastAsia="zh-CN"/>
        </w:rPr>
        <w:t>水污染物排放标准</w:t>
      </w:r>
    </w:p>
    <w:p>
      <w:pPr>
        <w:spacing w:line="139" w:lineRule="auto"/>
        <w:rPr>
          <w:rFonts w:hint="default" w:ascii="Times New Roman" w:hAnsi="Times New Roman" w:cs="Times New Roman"/>
          <w:sz w:val="2"/>
        </w:rPr>
      </w:pPr>
    </w:p>
    <w:tbl>
      <w:tblPr>
        <w:tblStyle w:val="24"/>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045"/>
        <w:gridCol w:w="2899"/>
        <w:gridCol w:w="29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0" w:hRule="atLeast"/>
        </w:trPr>
        <w:tc>
          <w:tcPr>
            <w:tcW w:w="2054" w:type="pct"/>
            <w:vMerge w:val="restart"/>
            <w:tcBorders>
              <w:left w:val="nil"/>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2945" w:type="pct"/>
            <w:gridSpan w:val="2"/>
            <w:tcBorders>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《肉类加工工业水污染物排放标准》（GB13457-92）表3三级畜类屠宰加工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6" w:hRule="atLeast"/>
        </w:trPr>
        <w:tc>
          <w:tcPr>
            <w:tcW w:w="2054" w:type="pct"/>
            <w:vMerge w:val="continue"/>
            <w:tcBorders>
              <w:top w:val="single" w:color="auto" w:sz="6" w:space="0"/>
              <w:left w:val="nil"/>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1472"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排放浓度（mg/L）</w:t>
            </w:r>
          </w:p>
        </w:tc>
        <w:tc>
          <w:tcPr>
            <w:tcW w:w="1473"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排放总量(kg/t活屠重)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58" w:hRule="atLeast"/>
        </w:trPr>
        <w:tc>
          <w:tcPr>
            <w:tcW w:w="2054" w:type="pct"/>
            <w:tcBorders>
              <w:top w:val="single" w:color="auto" w:sz="6" w:space="0"/>
              <w:left w:val="nil"/>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悬浮物</w:t>
            </w:r>
          </w:p>
        </w:tc>
        <w:tc>
          <w:tcPr>
            <w:tcW w:w="1472"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1473"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58" w:hRule="atLeast"/>
        </w:trPr>
        <w:tc>
          <w:tcPr>
            <w:tcW w:w="2054" w:type="pct"/>
            <w:tcBorders>
              <w:top w:val="single" w:color="auto" w:sz="6" w:space="0"/>
              <w:left w:val="nil"/>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BOD</w:t>
            </w:r>
            <w:r>
              <w:rPr>
                <w:rFonts w:hint="default" w:ascii="Times New Roman" w:hAnsi="Times New Roman" w:eastAsia="宋体" w:cs="Times New Roman"/>
                <w:color w:val="auto"/>
                <w:sz w:val="21"/>
                <w:szCs w:val="21"/>
                <w:vertAlign w:val="subscript"/>
              </w:rPr>
              <w:t>5</w:t>
            </w:r>
          </w:p>
        </w:tc>
        <w:tc>
          <w:tcPr>
            <w:tcW w:w="1472"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1473"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58" w:hRule="atLeast"/>
        </w:trPr>
        <w:tc>
          <w:tcPr>
            <w:tcW w:w="2054" w:type="pct"/>
            <w:tcBorders>
              <w:top w:val="single" w:color="auto" w:sz="6" w:space="0"/>
              <w:left w:val="nil"/>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COD</w:t>
            </w:r>
          </w:p>
        </w:tc>
        <w:tc>
          <w:tcPr>
            <w:tcW w:w="1472"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1473"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68" w:hRule="atLeast"/>
        </w:trPr>
        <w:tc>
          <w:tcPr>
            <w:tcW w:w="2054" w:type="pct"/>
            <w:tcBorders>
              <w:top w:val="single" w:color="auto" w:sz="6" w:space="0"/>
              <w:left w:val="nil"/>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动植物油</w:t>
            </w:r>
          </w:p>
        </w:tc>
        <w:tc>
          <w:tcPr>
            <w:tcW w:w="1472"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1473"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58" w:hRule="atLeast"/>
        </w:trPr>
        <w:tc>
          <w:tcPr>
            <w:tcW w:w="2054" w:type="pct"/>
            <w:tcBorders>
              <w:top w:val="single" w:color="auto" w:sz="6" w:space="0"/>
              <w:left w:val="nil"/>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w:t>
            </w:r>
          </w:p>
        </w:tc>
        <w:tc>
          <w:tcPr>
            <w:tcW w:w="1472"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473"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58" w:hRule="atLeast"/>
        </w:trPr>
        <w:tc>
          <w:tcPr>
            <w:tcW w:w="2054" w:type="pct"/>
            <w:tcBorders>
              <w:top w:val="single" w:color="auto" w:sz="6" w:space="0"/>
              <w:left w:val="nil"/>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w:t>
            </w:r>
          </w:p>
        </w:tc>
        <w:tc>
          <w:tcPr>
            <w:tcW w:w="1472"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6.0～8.5</w:t>
            </w:r>
          </w:p>
        </w:tc>
        <w:tc>
          <w:tcPr>
            <w:tcW w:w="1473"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58" w:hRule="atLeast"/>
        </w:trPr>
        <w:tc>
          <w:tcPr>
            <w:tcW w:w="2054" w:type="pct"/>
            <w:tcBorders>
              <w:top w:val="single" w:color="auto" w:sz="6" w:space="0"/>
              <w:left w:val="nil"/>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大肠菌群个数，个/L</w:t>
            </w:r>
          </w:p>
        </w:tc>
        <w:tc>
          <w:tcPr>
            <w:tcW w:w="1472"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473"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68" w:hRule="atLeast"/>
        </w:trPr>
        <w:tc>
          <w:tcPr>
            <w:tcW w:w="2054" w:type="pct"/>
            <w:tcBorders>
              <w:top w:val="single" w:color="auto" w:sz="6" w:space="0"/>
              <w:left w:val="nil"/>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排水量m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/t（活屠重）</w:t>
            </w:r>
          </w:p>
        </w:tc>
        <w:tc>
          <w:tcPr>
            <w:tcW w:w="1472"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473"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68" w:hRule="atLeast"/>
        </w:trPr>
        <w:tc>
          <w:tcPr>
            <w:tcW w:w="2054" w:type="pct"/>
            <w:tcBorders>
              <w:top w:val="single" w:color="auto" w:sz="6" w:space="0"/>
              <w:left w:val="nil"/>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油脂回收率，%</w:t>
            </w:r>
          </w:p>
        </w:tc>
        <w:tc>
          <w:tcPr>
            <w:tcW w:w="1472"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473"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68" w:hRule="atLeast"/>
        </w:trPr>
        <w:tc>
          <w:tcPr>
            <w:tcW w:w="2054" w:type="pct"/>
            <w:tcBorders>
              <w:top w:val="single" w:color="auto" w:sz="6" w:space="0"/>
              <w:left w:val="nil"/>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血液回收率，%</w:t>
            </w:r>
          </w:p>
        </w:tc>
        <w:tc>
          <w:tcPr>
            <w:tcW w:w="1472"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473"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68" w:hRule="atLeast"/>
        </w:trPr>
        <w:tc>
          <w:tcPr>
            <w:tcW w:w="2054" w:type="pct"/>
            <w:tcBorders>
              <w:top w:val="single" w:color="auto" w:sz="6" w:space="0"/>
              <w:left w:val="nil"/>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肠胃内容物回收率，%</w:t>
            </w:r>
          </w:p>
        </w:tc>
        <w:tc>
          <w:tcPr>
            <w:tcW w:w="1472"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473"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68" w:hRule="atLeast"/>
        </w:trPr>
        <w:tc>
          <w:tcPr>
            <w:tcW w:w="2054" w:type="pct"/>
            <w:tcBorders>
              <w:top w:val="single" w:color="auto" w:sz="6" w:space="0"/>
              <w:left w:val="nil"/>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毛羽回收率</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w:t>
            </w:r>
          </w:p>
        </w:tc>
        <w:tc>
          <w:tcPr>
            <w:tcW w:w="1472"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1473" w:type="pct"/>
            <w:tcBorders>
              <w:top w:val="single" w:color="auto" w:sz="6" w:space="0"/>
              <w:left w:val="single" w:color="auto" w:sz="6" w:space="0"/>
              <w:bottom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68" w:hRule="atLeast"/>
        </w:trPr>
        <w:tc>
          <w:tcPr>
            <w:tcW w:w="2054" w:type="pct"/>
            <w:tcBorders>
              <w:top w:val="single" w:color="auto" w:sz="6" w:space="0"/>
              <w:left w:val="nil"/>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废水回收率，%</w:t>
            </w:r>
          </w:p>
        </w:tc>
        <w:tc>
          <w:tcPr>
            <w:tcW w:w="1472" w:type="pct"/>
            <w:tcBorders>
              <w:top w:val="single" w:color="auto" w:sz="6" w:space="0"/>
              <w:left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c>
          <w:tcPr>
            <w:tcW w:w="1473" w:type="pct"/>
            <w:tcBorders>
              <w:top w:val="single" w:color="auto" w:sz="6" w:space="0"/>
              <w:left w:val="single" w:color="auto" w:sz="6" w:space="0"/>
              <w:right w:val="single" w:color="auto"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15</w:t>
            </w:r>
          </w:p>
        </w:tc>
      </w:tr>
    </w:tbl>
    <w:p>
      <w:pPr>
        <w:spacing w:before="118" w:line="221" w:lineRule="auto"/>
        <w:ind w:left="2621"/>
        <w:rPr>
          <w:rFonts w:hint="default" w:ascii="Times New Roman" w:hAnsi="Times New Roman" w:eastAsia="宋体" w:cs="Times New Roman"/>
          <w:spacing w:val="7"/>
          <w:sz w:val="21"/>
          <w:szCs w:val="21"/>
          <w:lang w:eastAsia="zh-CN"/>
          <w14:textOutline w14:w="3795" w14:cap="sq" w14:cmpd="sng">
            <w14:solidFill>
              <w14:srgbClr w14:val="000000"/>
            </w14:solidFill>
            <w14:prstDash w14:val="solid"/>
            <w14:bevel/>
          </w14:textOutline>
        </w:rPr>
      </w:pPr>
      <w:r>
        <w:rPr>
          <w:rFonts w:hint="default" w:ascii="Times New Roman" w:hAnsi="Times New Roman" w:eastAsia="宋体" w:cs="Times New Roman"/>
          <w:b/>
          <w:bCs/>
          <w:color w:val="auto"/>
          <w:sz w:val="21"/>
          <w:szCs w:val="21"/>
          <w:lang w:eastAsia="zh-CN"/>
        </w:rPr>
        <w:t xml:space="preserve">表 </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lang w:eastAsia="zh-CN"/>
        </w:rPr>
        <w:t>5-</w:t>
      </w:r>
      <w:r>
        <w:rPr>
          <w:rFonts w:hint="default" w:ascii="Times New Roman" w:hAnsi="Times New Roman" w:eastAsia="宋体" w:cs="Times New Roman"/>
          <w:b/>
          <w:bCs/>
          <w:color w:val="auto"/>
          <w:sz w:val="21"/>
          <w:szCs w:val="21"/>
          <w:lang w:val="en-US" w:eastAsia="zh-CN"/>
        </w:rPr>
        <w:t>4</w:t>
      </w:r>
      <w:r>
        <w:rPr>
          <w:rFonts w:hint="default" w:ascii="Times New Roman" w:hAnsi="Times New Roman" w:eastAsia="宋体" w:cs="Times New Roman"/>
          <w:b/>
          <w:bCs/>
          <w:color w:val="auto"/>
          <w:sz w:val="21"/>
          <w:szCs w:val="21"/>
          <w:lang w:eastAsia="zh-CN"/>
        </w:rPr>
        <w:t xml:space="preserve">  </w:t>
      </w:r>
      <w:r>
        <w:rPr>
          <w:rFonts w:hint="eastAsia" w:ascii="Times New Roman" w:hAnsi="Times New Roman" w:eastAsia="宋体" w:cs="Times New Roman"/>
          <w:b/>
          <w:bCs/>
          <w:color w:val="auto"/>
          <w:sz w:val="21"/>
          <w:szCs w:val="21"/>
          <w:lang w:val="en-US" w:eastAsia="zh-CN"/>
        </w:rPr>
        <w:t>本项目</w:t>
      </w:r>
      <w:r>
        <w:rPr>
          <w:rFonts w:hint="default" w:ascii="Times New Roman" w:hAnsi="Times New Roman" w:eastAsia="宋体" w:cs="Times New Roman"/>
          <w:b/>
          <w:bCs/>
          <w:color w:val="auto"/>
          <w:sz w:val="21"/>
          <w:szCs w:val="21"/>
        </w:rPr>
        <w:t>水污染物排放</w:t>
      </w:r>
      <w:r>
        <w:rPr>
          <w:rFonts w:hint="default" w:ascii="Times New Roman" w:hAnsi="Times New Roman" w:eastAsia="宋体" w:cs="Times New Roman"/>
          <w:b/>
          <w:bCs/>
          <w:color w:val="auto"/>
          <w:sz w:val="21"/>
          <w:szCs w:val="21"/>
          <w:lang w:eastAsia="zh-CN"/>
        </w:rPr>
        <w:t>限值</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单位：mg/L （pH除外）</w:t>
      </w:r>
    </w:p>
    <w:p>
      <w:pPr>
        <w:spacing w:line="22" w:lineRule="exact"/>
        <w:rPr>
          <w:rFonts w:hint="default" w:ascii="Times New Roman" w:hAnsi="Times New Roman" w:cs="Times New Roman"/>
        </w:rPr>
      </w:pPr>
    </w:p>
    <w:tbl>
      <w:tblPr>
        <w:tblStyle w:val="24"/>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60"/>
        <w:gridCol w:w="4337"/>
        <w:gridCol w:w="45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4" w:hRule="atLeast"/>
          <w:tblHeader/>
          <w:jc w:val="center"/>
        </w:trPr>
        <w:tc>
          <w:tcPr>
            <w:tcW w:w="48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序号</w:t>
            </w:r>
          </w:p>
        </w:tc>
        <w:tc>
          <w:tcPr>
            <w:tcW w:w="220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污染物名称</w:t>
            </w:r>
          </w:p>
        </w:tc>
        <w:tc>
          <w:tcPr>
            <w:tcW w:w="2308"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标准限值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48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1</w:t>
            </w:r>
          </w:p>
        </w:tc>
        <w:tc>
          <w:tcPr>
            <w:tcW w:w="220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pH</w:t>
            </w:r>
          </w:p>
        </w:tc>
        <w:tc>
          <w:tcPr>
            <w:tcW w:w="2308"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6.</w:t>
            </w:r>
            <w:r>
              <w:rPr>
                <w:rFonts w:hint="eastAsia" w:ascii="Times New Roman" w:hAnsi="Times New Roman" w:eastAsia="宋体" w:cs="Times New Roman"/>
                <w:b w:val="0"/>
                <w:bCs w:val="0"/>
                <w:color w:val="auto"/>
                <w:sz w:val="21"/>
                <w:szCs w:val="21"/>
                <w:lang w:val="en-US" w:eastAsia="zh-CN"/>
              </w:rPr>
              <w:t>0</w:t>
            </w:r>
            <w:r>
              <w:rPr>
                <w:rFonts w:hint="default" w:ascii="Times New Roman" w:hAnsi="Times New Roman" w:eastAsia="宋体" w:cs="Times New Roman"/>
                <w:b w:val="0"/>
                <w:bCs w:val="0"/>
                <w:color w:val="auto"/>
                <w:sz w:val="21"/>
                <w:szCs w:val="21"/>
                <w:lang w:val="en-US" w:eastAsia="zh-CN"/>
              </w:rPr>
              <w:t>~8.5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48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2</w:t>
            </w:r>
          </w:p>
        </w:tc>
        <w:tc>
          <w:tcPr>
            <w:tcW w:w="220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COD</w:t>
            </w:r>
          </w:p>
        </w:tc>
        <w:tc>
          <w:tcPr>
            <w:tcW w:w="2308"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48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3</w:t>
            </w:r>
          </w:p>
        </w:tc>
        <w:tc>
          <w:tcPr>
            <w:tcW w:w="220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BOD</w:t>
            </w:r>
            <w:r>
              <w:rPr>
                <w:rFonts w:hint="default" w:ascii="Times New Roman" w:hAnsi="Times New Roman" w:eastAsia="宋体" w:cs="Times New Roman"/>
                <w:b w:val="0"/>
                <w:bCs w:val="0"/>
                <w:color w:val="auto"/>
                <w:sz w:val="21"/>
                <w:szCs w:val="21"/>
                <w:vertAlign w:val="subscript"/>
                <w:lang w:val="en-US" w:eastAsia="zh-CN"/>
              </w:rPr>
              <w:t>5</w:t>
            </w:r>
          </w:p>
        </w:tc>
        <w:tc>
          <w:tcPr>
            <w:tcW w:w="2308"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jc w:val="center"/>
        </w:trPr>
        <w:tc>
          <w:tcPr>
            <w:tcW w:w="48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4</w:t>
            </w:r>
          </w:p>
        </w:tc>
        <w:tc>
          <w:tcPr>
            <w:tcW w:w="220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SS</w:t>
            </w:r>
          </w:p>
        </w:tc>
        <w:tc>
          <w:tcPr>
            <w:tcW w:w="2308"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400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jc w:val="center"/>
        </w:trPr>
        <w:tc>
          <w:tcPr>
            <w:tcW w:w="48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w:t>
            </w:r>
          </w:p>
        </w:tc>
        <w:tc>
          <w:tcPr>
            <w:tcW w:w="220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氨氮</w:t>
            </w:r>
          </w:p>
        </w:tc>
        <w:tc>
          <w:tcPr>
            <w:tcW w:w="2308"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35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jc w:val="center"/>
        </w:trPr>
        <w:tc>
          <w:tcPr>
            <w:tcW w:w="488"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6</w:t>
            </w:r>
          </w:p>
        </w:tc>
        <w:tc>
          <w:tcPr>
            <w:tcW w:w="220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动植物油</w:t>
            </w:r>
          </w:p>
        </w:tc>
        <w:tc>
          <w:tcPr>
            <w:tcW w:w="2308"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60</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w:t>
      </w:r>
      <w:r>
        <w:rPr>
          <w:rFonts w:hint="default" w:ascii="Times New Roman" w:hAnsi="Times New Roman" w:eastAsia="Times New Roman" w:cs="Times New Roman"/>
          <w:spacing w:val="-2"/>
          <w:sz w:val="24"/>
          <w:szCs w:val="24"/>
        </w:rPr>
        <w:t>2</w:t>
      </w:r>
      <w:r>
        <w:rPr>
          <w:rFonts w:hint="default" w:ascii="Times New Roman" w:hAnsi="Times New Roman" w:eastAsia="宋体" w:cs="Times New Roman"/>
          <w:spacing w:val="-2"/>
          <w:sz w:val="24"/>
          <w:szCs w:val="24"/>
        </w:rPr>
        <w:t>）大气污染物排放标准</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color w:val="auto"/>
          <w:kern w:val="21"/>
          <w:sz w:val="24"/>
          <w:szCs w:val="24"/>
        </w:rPr>
        <w:t>本项目锅炉以</w:t>
      </w:r>
      <w:r>
        <w:rPr>
          <w:rFonts w:hint="default" w:ascii="Times New Roman" w:hAnsi="Times New Roman" w:eastAsia="宋体" w:cs="Times New Roman"/>
          <w:color w:val="auto"/>
          <w:kern w:val="21"/>
          <w:sz w:val="24"/>
          <w:szCs w:val="24"/>
          <w:lang w:eastAsia="zh-CN"/>
        </w:rPr>
        <w:t>轻质柴油</w:t>
      </w:r>
      <w:r>
        <w:rPr>
          <w:rFonts w:hint="default" w:ascii="Times New Roman" w:hAnsi="Times New Roman" w:eastAsia="宋体" w:cs="Times New Roman"/>
          <w:color w:val="auto"/>
          <w:kern w:val="21"/>
          <w:sz w:val="24"/>
          <w:szCs w:val="24"/>
        </w:rPr>
        <w:t>为燃料，燃烧产生烟气执行《锅炉大气污染物排放标准》（GB13271-2014）新建燃</w:t>
      </w:r>
      <w:r>
        <w:rPr>
          <w:rFonts w:hint="default" w:ascii="Times New Roman" w:hAnsi="Times New Roman" w:eastAsia="宋体" w:cs="Times New Roman"/>
          <w:color w:val="auto"/>
          <w:kern w:val="21"/>
          <w:sz w:val="24"/>
          <w:szCs w:val="24"/>
          <w:lang w:val="en-US" w:eastAsia="zh-CN"/>
        </w:rPr>
        <w:t>油</w:t>
      </w:r>
      <w:r>
        <w:rPr>
          <w:rFonts w:hint="default" w:ascii="Times New Roman" w:hAnsi="Times New Roman" w:eastAsia="宋体" w:cs="Times New Roman"/>
          <w:color w:val="auto"/>
          <w:kern w:val="21"/>
          <w:sz w:val="24"/>
          <w:szCs w:val="24"/>
        </w:rPr>
        <w:t>锅炉表</w:t>
      </w:r>
      <w:r>
        <w:rPr>
          <w:rFonts w:hint="default" w:ascii="Times New Roman" w:hAnsi="Times New Roman" w:eastAsia="宋体" w:cs="Times New Roman"/>
          <w:color w:val="auto"/>
          <w:kern w:val="21"/>
          <w:sz w:val="24"/>
          <w:szCs w:val="24"/>
          <w:lang w:val="en-US" w:eastAsia="zh-CN"/>
        </w:rPr>
        <w:t>2</w:t>
      </w:r>
      <w:r>
        <w:rPr>
          <w:rFonts w:hint="default" w:ascii="Times New Roman" w:hAnsi="Times New Roman" w:eastAsia="宋体" w:cs="Times New Roman"/>
          <w:color w:val="auto"/>
          <w:kern w:val="21"/>
          <w:sz w:val="24"/>
          <w:szCs w:val="24"/>
        </w:rPr>
        <w:t>排放标准；</w:t>
      </w:r>
      <w:r>
        <w:rPr>
          <w:rFonts w:hint="default" w:ascii="Times New Roman" w:hAnsi="Times New Roman" w:eastAsia="宋体" w:cs="Times New Roman"/>
          <w:color w:val="auto"/>
          <w:kern w:val="21"/>
          <w:sz w:val="24"/>
          <w:szCs w:val="24"/>
          <w:lang w:val="en-US" w:eastAsia="zh-CN"/>
        </w:rPr>
        <w:t>待宰圈、屠宰加工车间、污水处理站</w:t>
      </w:r>
      <w:r>
        <w:rPr>
          <w:rFonts w:hint="default" w:ascii="Times New Roman" w:hAnsi="Times New Roman" w:eastAsia="宋体" w:cs="Times New Roman"/>
          <w:color w:val="auto"/>
          <w:kern w:val="21"/>
          <w:sz w:val="24"/>
          <w:szCs w:val="24"/>
          <w:lang w:eastAsia="zh-CN"/>
        </w:rPr>
        <w:t>项目排放的</w:t>
      </w:r>
      <w:r>
        <w:rPr>
          <w:rFonts w:hint="default" w:ascii="Times New Roman" w:hAnsi="Times New Roman" w:eastAsia="宋体" w:cs="Times New Roman"/>
          <w:color w:val="auto"/>
          <w:kern w:val="21"/>
          <w:sz w:val="24"/>
          <w:szCs w:val="24"/>
        </w:rPr>
        <w:t>特征因子H</w:t>
      </w:r>
      <w:r>
        <w:rPr>
          <w:rFonts w:hint="default" w:ascii="Times New Roman" w:hAnsi="Times New Roman" w:eastAsia="宋体" w:cs="Times New Roman"/>
          <w:color w:val="auto"/>
          <w:kern w:val="21"/>
          <w:sz w:val="24"/>
          <w:szCs w:val="24"/>
          <w:vertAlign w:val="subscript"/>
        </w:rPr>
        <w:t>2</w:t>
      </w:r>
      <w:r>
        <w:rPr>
          <w:rFonts w:hint="default" w:ascii="Times New Roman" w:hAnsi="Times New Roman" w:eastAsia="宋体" w:cs="Times New Roman"/>
          <w:color w:val="auto"/>
          <w:kern w:val="21"/>
          <w:sz w:val="24"/>
          <w:szCs w:val="24"/>
        </w:rPr>
        <w:t>S</w:t>
      </w:r>
      <w:r>
        <w:rPr>
          <w:rFonts w:hint="default" w:ascii="Times New Roman" w:hAnsi="Times New Roman" w:eastAsia="宋体" w:cs="Times New Roman"/>
          <w:color w:val="auto"/>
          <w:kern w:val="21"/>
          <w:sz w:val="24"/>
          <w:szCs w:val="24"/>
          <w:lang w:eastAsia="zh-CN"/>
        </w:rPr>
        <w:t>、</w:t>
      </w:r>
      <w:r>
        <w:rPr>
          <w:rFonts w:hint="default" w:ascii="Times New Roman" w:hAnsi="Times New Roman" w:eastAsia="宋体" w:cs="Times New Roman"/>
          <w:color w:val="auto"/>
          <w:kern w:val="21"/>
          <w:sz w:val="24"/>
          <w:szCs w:val="24"/>
        </w:rPr>
        <w:t>NH</w:t>
      </w:r>
      <w:r>
        <w:rPr>
          <w:rFonts w:hint="default" w:ascii="Times New Roman" w:hAnsi="Times New Roman" w:eastAsia="宋体" w:cs="Times New Roman"/>
          <w:color w:val="auto"/>
          <w:kern w:val="21"/>
          <w:sz w:val="24"/>
          <w:szCs w:val="24"/>
          <w:vertAlign w:val="subscript"/>
        </w:rPr>
        <w:t>3</w:t>
      </w:r>
      <w:r>
        <w:rPr>
          <w:rFonts w:hint="default" w:ascii="Times New Roman" w:hAnsi="Times New Roman" w:eastAsia="宋体" w:cs="Times New Roman"/>
          <w:color w:val="auto"/>
          <w:kern w:val="21"/>
          <w:sz w:val="24"/>
          <w:szCs w:val="24"/>
          <w:vertAlign w:val="baseline"/>
          <w:lang w:eastAsia="zh-CN"/>
        </w:rPr>
        <w:t>、臭气浓度</w:t>
      </w:r>
      <w:r>
        <w:rPr>
          <w:rFonts w:hint="default" w:ascii="Times New Roman" w:hAnsi="Times New Roman" w:eastAsia="宋体" w:cs="Times New Roman"/>
          <w:color w:val="auto"/>
          <w:kern w:val="21"/>
          <w:sz w:val="24"/>
          <w:szCs w:val="24"/>
        </w:rPr>
        <w:t>执行《恶臭污染物排放标准》（GB14554-93）；</w:t>
      </w:r>
      <w:r>
        <w:rPr>
          <w:rFonts w:hint="default" w:ascii="Times New Roman" w:hAnsi="Times New Roman" w:eastAsia="宋体" w:cs="Times New Roman"/>
          <w:color w:val="auto"/>
          <w:kern w:val="21"/>
          <w:sz w:val="24"/>
          <w:szCs w:val="24"/>
          <w:lang w:val="en-US" w:eastAsia="zh-CN"/>
        </w:rPr>
        <w:t>厂界非甲烷总烃排放浓度执行《大气污染物综合排放标准》（GB16297-1996）表2中无组织排放监控浓度限值要求，厂房外及</w:t>
      </w:r>
      <w:r>
        <w:rPr>
          <w:rFonts w:hint="default" w:ascii="Times New Roman" w:hAnsi="Times New Roman" w:eastAsia="宋体" w:cs="Times New Roman"/>
          <w:snapToGrid w:val="0"/>
          <w:color w:val="auto"/>
          <w:kern w:val="0"/>
          <w:sz w:val="24"/>
          <w:szCs w:val="24"/>
          <w:highlight w:val="none"/>
          <w:lang w:val="en-US" w:eastAsia="zh-CN"/>
        </w:rPr>
        <w:t>储罐周边非甲烷总烃排放浓度满足《挥发性有机物无组织排放控制标准》（GB37822-2019）表A.1中排放限值标准</w:t>
      </w:r>
      <w:r>
        <w:rPr>
          <w:rFonts w:hint="default" w:ascii="Times New Roman" w:hAnsi="Times New Roman" w:eastAsia="宋体" w:cs="Times New Roman"/>
          <w:color w:val="auto"/>
          <w:kern w:val="21"/>
          <w:sz w:val="24"/>
          <w:szCs w:val="24"/>
          <w:lang w:val="en-US" w:eastAsia="zh-CN"/>
        </w:rPr>
        <w:t>。</w:t>
      </w:r>
    </w:p>
    <w:p>
      <w:pPr>
        <w:spacing w:before="118" w:line="221"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表</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lang w:eastAsia="zh-CN"/>
        </w:rPr>
        <w:t>5-</w:t>
      </w:r>
      <w:r>
        <w:rPr>
          <w:rFonts w:hint="default" w:ascii="Times New Roman" w:hAnsi="Times New Roman" w:eastAsia="宋体" w:cs="Times New Roman"/>
          <w:b/>
          <w:bCs/>
          <w:color w:val="auto"/>
          <w:sz w:val="21"/>
          <w:szCs w:val="21"/>
          <w:lang w:val="en-US" w:eastAsia="zh-CN"/>
        </w:rPr>
        <w:t>5</w:t>
      </w:r>
      <w:r>
        <w:rPr>
          <w:rFonts w:hint="default" w:ascii="Times New Roman" w:hAnsi="Times New Roman" w:eastAsia="宋体" w:cs="Times New Roman"/>
          <w:b/>
          <w:bCs/>
          <w:color w:val="auto"/>
          <w:sz w:val="21"/>
          <w:szCs w:val="21"/>
          <w:lang w:eastAsia="zh-CN"/>
        </w:rPr>
        <w:t xml:space="preserve"> 大气污染物排放标准</w:t>
      </w:r>
    </w:p>
    <w:p>
      <w:pPr>
        <w:spacing w:line="144" w:lineRule="auto"/>
        <w:rPr>
          <w:rFonts w:hint="default" w:ascii="Times New Roman" w:hAnsi="Times New Roman" w:cs="Times New Roman"/>
          <w:sz w:val="2"/>
        </w:rPr>
      </w:pPr>
    </w:p>
    <w:tbl>
      <w:tblPr>
        <w:tblStyle w:val="24"/>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00"/>
        <w:gridCol w:w="1510"/>
        <w:gridCol w:w="1067"/>
        <w:gridCol w:w="1073"/>
        <w:gridCol w:w="2063"/>
        <w:gridCol w:w="28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340" w:hRule="atLeast"/>
        </w:trPr>
        <w:tc>
          <w:tcPr>
            <w:tcW w:w="661" w:type="pct"/>
            <w:vMerge w:val="restar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污染物名称</w:t>
            </w:r>
          </w:p>
        </w:tc>
        <w:tc>
          <w:tcPr>
            <w:tcW w:w="767"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最高允许</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排放浓度/排放速率</w:t>
            </w:r>
          </w:p>
        </w:tc>
        <w:tc>
          <w:tcPr>
            <w:tcW w:w="54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排气筒高度</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1593"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无组织排放</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监控浓度值(mg/m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1436" w:type="pct"/>
            <w:vMerge w:val="restar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61"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76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54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1593"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新改扩</w:t>
            </w:r>
          </w:p>
        </w:tc>
        <w:tc>
          <w:tcPr>
            <w:tcW w:w="1436" w:type="pct"/>
            <w:vMerge w:val="continue"/>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61"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w:t>
            </w:r>
          </w:p>
        </w:tc>
        <w:tc>
          <w:tcPr>
            <w:tcW w:w="7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4.9kg/h</w:t>
            </w:r>
          </w:p>
        </w:tc>
        <w:tc>
          <w:tcPr>
            <w:tcW w:w="54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593"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436" w:type="pct"/>
            <w:vMerge w:val="restar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《恶臭污染物排放标准》</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GB14554-93</w:t>
            </w:r>
            <w:r>
              <w:rPr>
                <w:rFonts w:hint="default" w:ascii="Times New Roman" w:hAnsi="Times New Roman" w:eastAsia="宋体" w:cs="Times New Roman"/>
                <w:color w:val="auto"/>
                <w:sz w:val="21"/>
                <w:szCs w:val="21"/>
                <w:lang w:val="en-US" w:eastAsia="zh-CN"/>
              </w:rPr>
              <w:t>表2标准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61"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硫化氢</w:t>
            </w:r>
          </w:p>
        </w:tc>
        <w:tc>
          <w:tcPr>
            <w:tcW w:w="7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0.33kg/h</w:t>
            </w:r>
          </w:p>
        </w:tc>
        <w:tc>
          <w:tcPr>
            <w:tcW w:w="54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1593"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0.06</w:t>
            </w:r>
          </w:p>
        </w:tc>
        <w:tc>
          <w:tcPr>
            <w:tcW w:w="1436" w:type="pct"/>
            <w:vMerge w:val="continue"/>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61"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臭</w:t>
            </w:r>
            <w:r>
              <w:rPr>
                <w:rFonts w:hint="default" w:ascii="Times New Roman" w:hAnsi="Times New Roman" w:eastAsia="宋体" w:cs="Times New Roman"/>
                <w:color w:val="auto"/>
                <w:spacing w:val="7"/>
                <w:sz w:val="21"/>
                <w:szCs w:val="21"/>
              </w:rPr>
              <w:t>气浓度</w:t>
            </w:r>
          </w:p>
        </w:tc>
        <w:tc>
          <w:tcPr>
            <w:tcW w:w="7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5"/>
                <w:sz w:val="21"/>
                <w:szCs w:val="21"/>
              </w:rPr>
              <w:t>20</w:t>
            </w:r>
            <w:r>
              <w:rPr>
                <w:rFonts w:hint="default" w:ascii="Times New Roman" w:hAnsi="Times New Roman" w:eastAsia="宋体" w:cs="Times New Roman"/>
                <w:color w:val="auto"/>
                <w:spacing w:val="5"/>
                <w:sz w:val="21"/>
                <w:szCs w:val="21"/>
                <w:lang w:val="en-US" w:eastAsia="zh-CN"/>
              </w:rPr>
              <w:t>00</w:t>
            </w:r>
            <w:r>
              <w:rPr>
                <w:rFonts w:hint="default" w:ascii="Times New Roman" w:hAnsi="Times New Roman" w:eastAsia="宋体" w:cs="Times New Roman"/>
                <w:color w:val="auto"/>
                <w:spacing w:val="5"/>
                <w:sz w:val="21"/>
                <w:szCs w:val="21"/>
              </w:rPr>
              <w:t>(无量纲</w:t>
            </w:r>
            <w:r>
              <w:rPr>
                <w:rFonts w:hint="default" w:ascii="Times New Roman" w:hAnsi="Times New Roman" w:eastAsia="宋体" w:cs="Times New Roman"/>
                <w:color w:val="auto"/>
                <w:spacing w:val="4"/>
                <w:sz w:val="21"/>
                <w:szCs w:val="21"/>
              </w:rPr>
              <w:t>)</w:t>
            </w:r>
          </w:p>
        </w:tc>
        <w:tc>
          <w:tcPr>
            <w:tcW w:w="54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1593"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r>
              <w:rPr>
                <w:rFonts w:hint="default" w:ascii="Times New Roman" w:hAnsi="Times New Roman" w:eastAsia="宋体" w:cs="Times New Roman"/>
                <w:color w:val="auto"/>
                <w:spacing w:val="5"/>
                <w:sz w:val="21"/>
                <w:szCs w:val="21"/>
              </w:rPr>
              <w:t>(无量纲</w:t>
            </w:r>
            <w:r>
              <w:rPr>
                <w:rFonts w:hint="default" w:ascii="Times New Roman" w:hAnsi="Times New Roman" w:eastAsia="宋体" w:cs="Times New Roman"/>
                <w:color w:val="auto"/>
                <w:spacing w:val="4"/>
                <w:sz w:val="21"/>
                <w:szCs w:val="21"/>
              </w:rPr>
              <w:t>)</w:t>
            </w:r>
          </w:p>
        </w:tc>
        <w:tc>
          <w:tcPr>
            <w:tcW w:w="1436" w:type="pct"/>
            <w:vMerge w:val="continue"/>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61"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7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30</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54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1593" w:type="pct"/>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436" w:type="pct"/>
            <w:vMerge w:val="restar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《锅炉大气污染物排放标准》（GB13271-2014）</w:t>
            </w:r>
            <w:r>
              <w:rPr>
                <w:rFonts w:hint="default" w:ascii="Times New Roman" w:hAnsi="Times New Roman" w:eastAsia="宋体" w:cs="Times New Roman"/>
                <w:color w:val="auto"/>
                <w:sz w:val="21"/>
                <w:szCs w:val="21"/>
                <w:lang w:eastAsia="zh-CN"/>
              </w:rPr>
              <w:t>燃油</w:t>
            </w:r>
            <w:r>
              <w:rPr>
                <w:rFonts w:hint="default" w:ascii="Times New Roman" w:hAnsi="Times New Roman" w:eastAsia="宋体" w:cs="Times New Roman"/>
                <w:color w:val="auto"/>
                <w:sz w:val="21"/>
                <w:szCs w:val="21"/>
              </w:rPr>
              <w:t>锅炉表</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61"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p>
        </w:tc>
        <w:tc>
          <w:tcPr>
            <w:tcW w:w="7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200m</w:t>
            </w:r>
            <w:r>
              <w:rPr>
                <w:rFonts w:hint="default" w:ascii="Times New Roman" w:hAnsi="Times New Roman" w:eastAsia="宋体" w:cs="Times New Roman"/>
                <w:color w:val="auto"/>
                <w:sz w:val="21"/>
                <w:szCs w:val="21"/>
              </w:rPr>
              <w:t>g/m</w:t>
            </w:r>
            <w:r>
              <w:rPr>
                <w:rFonts w:hint="default" w:ascii="Times New Roman" w:hAnsi="Times New Roman" w:eastAsia="宋体" w:cs="Times New Roman"/>
                <w:color w:val="auto"/>
                <w:sz w:val="21"/>
                <w:szCs w:val="21"/>
                <w:vertAlign w:val="superscript"/>
              </w:rPr>
              <w:t>3</w:t>
            </w:r>
          </w:p>
        </w:tc>
        <w:tc>
          <w:tcPr>
            <w:tcW w:w="54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1593" w:type="pct"/>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1436" w:type="pct"/>
            <w:vMerge w:val="continue"/>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61"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x</w:t>
            </w:r>
          </w:p>
        </w:tc>
        <w:tc>
          <w:tcPr>
            <w:tcW w:w="7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250</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54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1593" w:type="pct"/>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1436" w:type="pct"/>
            <w:vMerge w:val="continue"/>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61"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烟气黑度</w:t>
            </w:r>
          </w:p>
        </w:tc>
        <w:tc>
          <w:tcPr>
            <w:tcW w:w="7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54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1593" w:type="pct"/>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1436" w:type="pct"/>
            <w:vMerge w:val="continue"/>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420" w:hRule="atLeast"/>
        </w:trPr>
        <w:tc>
          <w:tcPr>
            <w:tcW w:w="661" w:type="pct"/>
            <w:vMerge w:val="restar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1"/>
                <w:sz w:val="21"/>
                <w:szCs w:val="21"/>
              </w:rPr>
              <w:t>非甲烷总烃</w:t>
            </w:r>
          </w:p>
        </w:tc>
        <w:tc>
          <w:tcPr>
            <w:tcW w:w="767" w:type="pct"/>
            <w:noWrap w:val="0"/>
            <w:vAlign w:val="center"/>
          </w:tcPr>
          <w:p>
            <w:pPr>
              <w:spacing w:line="360" w:lineRule="exact"/>
              <w:jc w:val="center"/>
              <w:rPr>
                <w:rFonts w:hint="default" w:ascii="Times New Roman" w:hAnsi="Times New Roman" w:eastAsia="宋体" w:cs="Times New Roman"/>
                <w:color w:val="auto"/>
                <w:sz w:val="21"/>
                <w:szCs w:val="21"/>
                <w:highlight w:val="magenta"/>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54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4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1"/>
                <w:sz w:val="21"/>
                <w:szCs w:val="21"/>
              </w:rPr>
              <w:t>厂界无组织</w:t>
            </w:r>
          </w:p>
        </w:tc>
        <w:tc>
          <w:tcPr>
            <w:tcW w:w="104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1"/>
                <w:sz w:val="21"/>
                <w:szCs w:val="21"/>
              </w:rPr>
              <w:t>周界外浓度最高点：4.0mg/m</w:t>
            </w:r>
            <w:r>
              <w:rPr>
                <w:rFonts w:hint="default" w:ascii="Times New Roman" w:hAnsi="Times New Roman" w:eastAsia="宋体" w:cs="Times New Roman"/>
                <w:color w:val="auto"/>
                <w:kern w:val="21"/>
                <w:sz w:val="21"/>
                <w:szCs w:val="21"/>
                <w:vertAlign w:val="superscript"/>
              </w:rPr>
              <w:t>3</w:t>
            </w:r>
          </w:p>
        </w:tc>
        <w:tc>
          <w:tcPr>
            <w:tcW w:w="1436"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1"/>
                <w:sz w:val="21"/>
                <w:szCs w:val="21"/>
              </w:rPr>
              <w:t>《大气污染物综合排放标准》（GB16297-1996）无组织排放监控浓度限值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61"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rPr>
            </w:pPr>
          </w:p>
        </w:tc>
        <w:tc>
          <w:tcPr>
            <w:tcW w:w="767" w:type="pct"/>
            <w:noWrap w:val="0"/>
            <w:vAlign w:val="center"/>
          </w:tcPr>
          <w:p>
            <w:pPr>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4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4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1"/>
                <w:sz w:val="21"/>
                <w:szCs w:val="21"/>
                <w:lang w:eastAsia="zh-CN"/>
              </w:rPr>
              <w:t>厂房外、储罐周边</w:t>
            </w:r>
            <w:r>
              <w:rPr>
                <w:rFonts w:hint="default" w:ascii="Times New Roman" w:hAnsi="Times New Roman" w:eastAsia="宋体" w:cs="Times New Roman"/>
                <w:color w:val="auto"/>
                <w:kern w:val="21"/>
                <w:sz w:val="21"/>
                <w:szCs w:val="21"/>
              </w:rPr>
              <w:t>无组织</w:t>
            </w:r>
          </w:p>
        </w:tc>
        <w:tc>
          <w:tcPr>
            <w:tcW w:w="104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1"/>
                <w:sz w:val="21"/>
                <w:szCs w:val="21"/>
                <w:vertAlign w:val="superscript"/>
              </w:rPr>
            </w:pPr>
            <w:r>
              <w:rPr>
                <w:rFonts w:hint="default" w:ascii="Times New Roman" w:hAnsi="Times New Roman" w:eastAsia="宋体" w:cs="Times New Roman"/>
                <w:bCs/>
                <w:color w:val="auto"/>
                <w:kern w:val="21"/>
                <w:sz w:val="21"/>
                <w:szCs w:val="21"/>
              </w:rPr>
              <w:t>1h平均浓度＜10mg/m</w:t>
            </w:r>
            <w:r>
              <w:rPr>
                <w:rFonts w:hint="default" w:ascii="Times New Roman" w:hAnsi="Times New Roman" w:eastAsia="宋体" w:cs="Times New Roman"/>
                <w:bCs/>
                <w:color w:val="auto"/>
                <w:kern w:val="21"/>
                <w:sz w:val="21"/>
                <w:szCs w:val="21"/>
                <w:vertAlign w:val="superscript"/>
              </w:rPr>
              <w:t>3</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1"/>
                <w:sz w:val="21"/>
                <w:szCs w:val="21"/>
              </w:rPr>
              <w:t>任意一次浓度值：30mg/m</w:t>
            </w:r>
            <w:r>
              <w:rPr>
                <w:rFonts w:hint="default" w:ascii="Times New Roman" w:hAnsi="Times New Roman" w:eastAsia="宋体" w:cs="Times New Roman"/>
                <w:color w:val="auto"/>
                <w:kern w:val="21"/>
                <w:sz w:val="21"/>
                <w:szCs w:val="21"/>
                <w:vertAlign w:val="superscript"/>
              </w:rPr>
              <w:t>3</w:t>
            </w:r>
          </w:p>
        </w:tc>
        <w:tc>
          <w:tcPr>
            <w:tcW w:w="1436"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1"/>
                <w:sz w:val="21"/>
                <w:szCs w:val="21"/>
              </w:rPr>
              <w:t>《挥发性有机物无组织排放控制标准》（GB37822-2019）</w:t>
            </w:r>
            <w:r>
              <w:rPr>
                <w:rFonts w:hint="default" w:ascii="Times New Roman" w:hAnsi="Times New Roman" w:cs="Times New Roman"/>
                <w:color w:val="auto"/>
                <w:kern w:val="24"/>
                <w:sz w:val="21"/>
                <w:szCs w:val="21"/>
                <w:lang w:val="en-US" w:eastAsia="zh-CN"/>
              </w:rPr>
              <w:t>表A.1</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w:t>
      </w:r>
      <w:r>
        <w:rPr>
          <w:rFonts w:hint="default" w:ascii="Times New Roman" w:hAnsi="Times New Roman" w:eastAsia="Times New Roman" w:cs="Times New Roman"/>
          <w:spacing w:val="-3"/>
          <w:sz w:val="24"/>
          <w:szCs w:val="24"/>
        </w:rPr>
        <w:t>3</w:t>
      </w:r>
      <w:r>
        <w:rPr>
          <w:rFonts w:hint="default" w:ascii="Times New Roman" w:hAnsi="Times New Roman" w:eastAsia="宋体" w:cs="Times New Roman"/>
          <w:spacing w:val="-3"/>
          <w:sz w:val="24"/>
          <w:szCs w:val="24"/>
        </w:rPr>
        <w:t>）噪声排放标准</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营运期厂界噪声执行</w:t>
      </w:r>
      <w:r>
        <w:rPr>
          <w:rFonts w:hint="default" w:ascii="Times New Roman" w:hAnsi="Times New Roman" w:eastAsia="宋体" w:cs="Times New Roman"/>
          <w:spacing w:val="-36"/>
          <w:sz w:val="24"/>
          <w:szCs w:val="24"/>
        </w:rPr>
        <w:t xml:space="preserve"> </w:t>
      </w:r>
      <w:r>
        <w:rPr>
          <w:rFonts w:hint="default" w:ascii="Times New Roman" w:hAnsi="Times New Roman" w:eastAsia="Times New Roman" w:cs="Times New Roman"/>
          <w:spacing w:val="-1"/>
          <w:sz w:val="24"/>
          <w:szCs w:val="24"/>
        </w:rPr>
        <w:t>GB12348-2008</w:t>
      </w:r>
      <w:r>
        <w:rPr>
          <w:rFonts w:hint="default" w:ascii="Times New Roman" w:hAnsi="Times New Roman" w:eastAsia="宋体" w:cs="Times New Roman"/>
          <w:spacing w:val="-1"/>
          <w:sz w:val="24"/>
          <w:szCs w:val="24"/>
        </w:rPr>
        <w:t>《工业企业厂界环境噪声排放标准》</w:t>
      </w:r>
      <w:r>
        <w:rPr>
          <w:rFonts w:hint="default" w:ascii="Times New Roman" w:hAnsi="Times New Roman" w:eastAsia="Times New Roman" w:cs="Times New Roman"/>
          <w:spacing w:val="-1"/>
          <w:sz w:val="24"/>
          <w:szCs w:val="24"/>
        </w:rPr>
        <w:t xml:space="preserve">2 </w:t>
      </w:r>
      <w:r>
        <w:rPr>
          <w:rFonts w:hint="default" w:ascii="Times New Roman" w:hAnsi="Times New Roman" w:eastAsia="宋体" w:cs="Times New Roman"/>
          <w:spacing w:val="-1"/>
          <w:sz w:val="24"/>
          <w:szCs w:val="24"/>
        </w:rPr>
        <w:t>类标准，</w:t>
      </w:r>
      <w:r>
        <w:rPr>
          <w:rFonts w:hint="default" w:ascii="Times New Roman" w:hAnsi="Times New Roman" w:eastAsia="宋体" w:cs="Times New Roman"/>
          <w:spacing w:val="-6"/>
          <w:sz w:val="24"/>
          <w:szCs w:val="24"/>
        </w:rPr>
        <w:t>标准值见表</w:t>
      </w:r>
      <w:r>
        <w:rPr>
          <w:rFonts w:hint="default" w:ascii="Times New Roman" w:hAnsi="Times New Roman" w:eastAsia="宋体" w:cs="Times New Roman"/>
          <w:spacing w:val="-28"/>
          <w:sz w:val="24"/>
          <w:szCs w:val="24"/>
        </w:rPr>
        <w:t xml:space="preserve"> </w:t>
      </w:r>
      <w:r>
        <w:rPr>
          <w:rFonts w:hint="default" w:ascii="Times New Roman" w:hAnsi="Times New Roman" w:eastAsia="宋体" w:cs="Times New Roman"/>
          <w:spacing w:val="-6"/>
          <w:sz w:val="24"/>
          <w:szCs w:val="24"/>
          <w:lang w:val="en-US" w:eastAsia="zh-CN"/>
        </w:rPr>
        <w:t>2-</w:t>
      </w:r>
      <w:r>
        <w:rPr>
          <w:rFonts w:hint="default" w:ascii="Times New Roman" w:hAnsi="Times New Roman" w:eastAsia="Times New Roman" w:cs="Times New Roman"/>
          <w:spacing w:val="-6"/>
          <w:sz w:val="24"/>
          <w:szCs w:val="24"/>
        </w:rPr>
        <w:t>5-</w:t>
      </w:r>
      <w:r>
        <w:rPr>
          <w:rFonts w:hint="default" w:ascii="Times New Roman" w:hAnsi="Times New Roman" w:eastAsia="Times New Roman" w:cs="Times New Roman"/>
          <w:spacing w:val="-33"/>
          <w:sz w:val="24"/>
          <w:szCs w:val="24"/>
        </w:rPr>
        <w:t xml:space="preserve"> </w:t>
      </w:r>
      <w:r>
        <w:rPr>
          <w:rFonts w:hint="default" w:ascii="Times New Roman" w:hAnsi="Times New Roman" w:eastAsia="宋体" w:cs="Times New Roman"/>
          <w:spacing w:val="-6"/>
          <w:sz w:val="24"/>
          <w:szCs w:val="24"/>
          <w:lang w:val="en-US" w:eastAsia="zh-CN"/>
        </w:rPr>
        <w:t>6</w:t>
      </w:r>
      <w:r>
        <w:rPr>
          <w:rFonts w:hint="default" w:ascii="Times New Roman" w:hAnsi="Times New Roman" w:eastAsia="宋体" w:cs="Times New Roman"/>
          <w:spacing w:val="-6"/>
          <w:sz w:val="24"/>
          <w:szCs w:val="24"/>
        </w:rPr>
        <w:t>。</w:t>
      </w:r>
    </w:p>
    <w:p>
      <w:pPr>
        <w:spacing w:before="118" w:line="221"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 xml:space="preserve">表 </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lang w:eastAsia="zh-CN"/>
        </w:rPr>
        <w:t>5-</w:t>
      </w:r>
      <w:r>
        <w:rPr>
          <w:rFonts w:hint="default" w:ascii="Times New Roman" w:hAnsi="Times New Roman" w:eastAsia="宋体" w:cs="Times New Roman"/>
          <w:b/>
          <w:bCs/>
          <w:color w:val="auto"/>
          <w:sz w:val="21"/>
          <w:szCs w:val="21"/>
          <w:lang w:val="en-US" w:eastAsia="zh-CN"/>
        </w:rPr>
        <w:t>6</w:t>
      </w:r>
      <w:r>
        <w:rPr>
          <w:rFonts w:hint="default" w:ascii="Times New Roman" w:hAnsi="Times New Roman" w:eastAsia="宋体" w:cs="Times New Roman"/>
          <w:b/>
          <w:bCs/>
          <w:color w:val="auto"/>
          <w:sz w:val="21"/>
          <w:szCs w:val="21"/>
          <w:lang w:eastAsia="zh-CN"/>
        </w:rPr>
        <w:t xml:space="preserve"> 噪声评价标准</w:t>
      </w:r>
    </w:p>
    <w:p>
      <w:pPr>
        <w:spacing w:line="16" w:lineRule="exact"/>
        <w:rPr>
          <w:rFonts w:hint="default" w:ascii="Times New Roman" w:hAnsi="Times New Roman" w:cs="Times New Roman"/>
        </w:rPr>
      </w:pPr>
    </w:p>
    <w:tbl>
      <w:tblPr>
        <w:tblStyle w:val="34"/>
        <w:tblW w:w="4999" w:type="pct"/>
        <w:tblInd w:w="0" w:type="dxa"/>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6595"/>
        <w:gridCol w:w="1539"/>
        <w:gridCol w:w="1495"/>
      </w:tblGrid>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3424" w:type="pct"/>
            <w:vMerge w:val="restart"/>
            <w:tcBorders>
              <w:tl2br w:val="nil"/>
              <w:tr2bl w:val="nil"/>
            </w:tcBorders>
            <w:vAlign w:val="top"/>
          </w:tcPr>
          <w:p>
            <w:pPr>
              <w:spacing w:before="175" w:line="228" w:lineRule="auto"/>
              <w:ind w:left="2363"/>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标准名称和类别</w:t>
            </w:r>
          </w:p>
        </w:tc>
        <w:tc>
          <w:tcPr>
            <w:tcW w:w="1575" w:type="pct"/>
            <w:gridSpan w:val="2"/>
            <w:tcBorders>
              <w:tl2br w:val="nil"/>
              <w:tr2bl w:val="nil"/>
            </w:tcBorders>
            <w:vAlign w:val="top"/>
          </w:tcPr>
          <w:p>
            <w:pPr>
              <w:spacing w:before="36" w:line="216"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噪声限值</w:t>
            </w:r>
            <w:r>
              <w:rPr>
                <w:rFonts w:hint="default" w:ascii="Times New Roman" w:hAnsi="Times New Roman" w:eastAsia="宋体" w:cs="Times New Roman"/>
                <w:spacing w:val="30"/>
                <w:sz w:val="21"/>
                <w:szCs w:val="21"/>
              </w:rPr>
              <w:t xml:space="preserve"> </w:t>
            </w:r>
            <w:r>
              <w:rPr>
                <w:rFonts w:hint="default" w:ascii="Times New Roman" w:hAnsi="Times New Roman" w:eastAsia="宋体" w:cs="Times New Roman"/>
                <w:spacing w:val="5"/>
                <w:sz w:val="21"/>
                <w:szCs w:val="21"/>
              </w:rPr>
              <w:t>[</w:t>
            </w:r>
            <w:r>
              <w:rPr>
                <w:rFonts w:hint="default" w:ascii="Times New Roman" w:hAnsi="Times New Roman" w:eastAsia="宋体" w:cs="Times New Roman"/>
                <w:sz w:val="21"/>
                <w:szCs w:val="21"/>
              </w:rPr>
              <w:t>dB</w:t>
            </w:r>
            <w:r>
              <w:rPr>
                <w:rFonts w:hint="default" w:ascii="Times New Roman" w:hAnsi="Times New Roman" w:eastAsia="宋体" w:cs="Times New Roman"/>
                <w:spacing w:val="5"/>
                <w:sz w:val="21"/>
                <w:szCs w:val="21"/>
              </w:rPr>
              <w:t>（A）]</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3424" w:type="pct"/>
            <w:vMerge w:val="continue"/>
            <w:tcBorders>
              <w:tl2br w:val="nil"/>
              <w:tr2bl w:val="nil"/>
            </w:tcBorders>
            <w:vAlign w:val="top"/>
          </w:tcPr>
          <w:p>
            <w:pPr>
              <w:pStyle w:val="35"/>
              <w:rPr>
                <w:rFonts w:hint="default" w:ascii="Times New Roman" w:hAnsi="Times New Roman" w:eastAsia="宋体" w:cs="Times New Roman"/>
                <w:sz w:val="21"/>
                <w:szCs w:val="21"/>
              </w:rPr>
            </w:pPr>
          </w:p>
        </w:tc>
        <w:tc>
          <w:tcPr>
            <w:tcW w:w="799" w:type="pct"/>
            <w:tcBorders>
              <w:tl2br w:val="nil"/>
              <w:tr2bl w:val="nil"/>
            </w:tcBorders>
            <w:vAlign w:val="top"/>
          </w:tcPr>
          <w:p>
            <w:pPr>
              <w:spacing w:before="34" w:line="214" w:lineRule="auto"/>
              <w:ind w:left="495"/>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昼间</w:t>
            </w:r>
          </w:p>
        </w:tc>
        <w:tc>
          <w:tcPr>
            <w:tcW w:w="776" w:type="pct"/>
            <w:tcBorders>
              <w:tl2br w:val="nil"/>
              <w:tr2bl w:val="nil"/>
            </w:tcBorders>
            <w:vAlign w:val="top"/>
          </w:tcPr>
          <w:p>
            <w:pPr>
              <w:spacing w:before="34" w:line="214" w:lineRule="auto"/>
              <w:ind w:left="653"/>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夜间</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6" w:hRule="atLeast"/>
        </w:trPr>
        <w:tc>
          <w:tcPr>
            <w:tcW w:w="3424" w:type="pct"/>
            <w:tcBorders>
              <w:tl2br w:val="nil"/>
              <w:tr2bl w:val="nil"/>
            </w:tcBorders>
            <w:vAlign w:val="top"/>
          </w:tcPr>
          <w:p>
            <w:pPr>
              <w:spacing w:before="33" w:line="218" w:lineRule="auto"/>
              <w:ind w:left="165"/>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《工业企业厂界环境噪声排放标准》（</w:t>
            </w:r>
            <w:r>
              <w:rPr>
                <w:rFonts w:hint="default" w:ascii="Times New Roman" w:hAnsi="Times New Roman" w:eastAsia="宋体" w:cs="Times New Roman"/>
                <w:sz w:val="21"/>
                <w:szCs w:val="21"/>
              </w:rPr>
              <w:t>GB</w:t>
            </w:r>
            <w:r>
              <w:rPr>
                <w:rFonts w:hint="default" w:ascii="Times New Roman" w:hAnsi="Times New Roman" w:eastAsia="宋体" w:cs="Times New Roman"/>
                <w:spacing w:val="8"/>
                <w:sz w:val="21"/>
                <w:szCs w:val="21"/>
              </w:rPr>
              <w:t>12348-2008）2 类标准</w:t>
            </w:r>
          </w:p>
        </w:tc>
        <w:tc>
          <w:tcPr>
            <w:tcW w:w="799" w:type="pct"/>
            <w:tcBorders>
              <w:tl2br w:val="nil"/>
              <w:tr2bl w:val="nil"/>
            </w:tcBorders>
            <w:vAlign w:val="top"/>
          </w:tcPr>
          <w:p>
            <w:pPr>
              <w:spacing w:before="70" w:line="195" w:lineRule="auto"/>
              <w:ind w:left="602"/>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776" w:type="pct"/>
            <w:tcBorders>
              <w:tl2br w:val="nil"/>
              <w:tr2bl w:val="nil"/>
            </w:tcBorders>
            <w:vAlign w:val="top"/>
          </w:tcPr>
          <w:p>
            <w:pPr>
              <w:spacing w:before="70" w:line="195" w:lineRule="auto"/>
              <w:ind w:left="75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w:t>
            </w:r>
          </w:p>
        </w:tc>
      </w:tr>
    </w:tbl>
    <w:p>
      <w:pPr>
        <w:keepNext w:val="0"/>
        <w:keepLines w:val="0"/>
        <w:pageBreakBefore w:val="0"/>
        <w:widowControl/>
        <w:kinsoku w:val="0"/>
        <w:wordWrap/>
        <w:overflowPunct/>
        <w:topLinePunct w:val="0"/>
        <w:autoSpaceDE w:val="0"/>
        <w:autoSpaceDN w:val="0"/>
        <w:bidi w:val="0"/>
        <w:adjustRightInd w:val="0"/>
        <w:snapToGrid w:val="0"/>
        <w:spacing w:before="116" w:line="360" w:lineRule="auto"/>
        <w:ind w:left="609"/>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w:t>
      </w:r>
      <w:r>
        <w:rPr>
          <w:rFonts w:hint="default" w:ascii="Times New Roman" w:hAnsi="Times New Roman" w:eastAsia="Times New Roman" w:cs="Times New Roman"/>
          <w:spacing w:val="-3"/>
          <w:sz w:val="24"/>
          <w:szCs w:val="24"/>
        </w:rPr>
        <w:t>4</w:t>
      </w:r>
      <w:r>
        <w:rPr>
          <w:rFonts w:hint="default" w:ascii="Times New Roman" w:hAnsi="Times New Roman" w:eastAsia="宋体" w:cs="Times New Roman"/>
          <w:spacing w:val="-3"/>
          <w:sz w:val="24"/>
          <w:szCs w:val="24"/>
        </w:rPr>
        <w:t>）固体废弃物</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营运期危险废物执行《危险废物贮存污染控制标准》（GB 18597-2023）中有关规定，一般固体废物排放执行《一般工业固体废物贮存和填埋污染控制标准》（GB18599-2020）、《一般固体废物分类与代码（GB/T39198-2020）》中相关要求。</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宋体" w:cs="Times New Roman"/>
          <w:b/>
          <w:bCs/>
          <w:snapToGrid/>
          <w:color w:val="auto"/>
          <w:kern w:val="44"/>
          <w:sz w:val="30"/>
          <w:szCs w:val="30"/>
          <w:lang w:val="en-US" w:eastAsia="zh-CN"/>
        </w:rPr>
      </w:pPr>
      <w:bookmarkStart w:id="68" w:name="_Toc868"/>
      <w:r>
        <w:rPr>
          <w:rFonts w:hint="default" w:ascii="Times New Roman" w:hAnsi="Times New Roman" w:eastAsia="宋体" w:cs="Times New Roman"/>
          <w:b/>
          <w:bCs/>
          <w:snapToGrid/>
          <w:color w:val="auto"/>
          <w:kern w:val="44"/>
          <w:sz w:val="30"/>
          <w:szCs w:val="30"/>
          <w:lang w:val="en-US" w:eastAsia="zh-CN"/>
        </w:rPr>
        <w:t>2.6 评价时段</w:t>
      </w:r>
      <w:bookmarkEnd w:id="68"/>
    </w:p>
    <w:p>
      <w:pPr>
        <w:keepNext w:val="0"/>
        <w:keepLines w:val="0"/>
        <w:pageBreakBefore w:val="0"/>
        <w:wordWrap/>
        <w:overflowPunct/>
        <w:topLinePunct w:val="0"/>
        <w:bidi w:val="0"/>
        <w:spacing w:line="360" w:lineRule="auto"/>
        <w:ind w:left="0" w:firstLine="476"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评价时段分为施工期和运营期，</w:t>
      </w:r>
      <w:r>
        <w:rPr>
          <w:rFonts w:hint="default" w:ascii="Times New Roman" w:hAnsi="Times New Roman" w:eastAsia="宋体" w:cs="Times New Roman"/>
          <w:spacing w:val="-1"/>
          <w:sz w:val="24"/>
          <w:szCs w:val="24"/>
          <w:lang w:val="en-US" w:eastAsia="zh-CN"/>
        </w:rPr>
        <w:t>由于施工期无大型土建工程，故</w:t>
      </w:r>
      <w:r>
        <w:rPr>
          <w:rFonts w:hint="default" w:ascii="Times New Roman" w:hAnsi="Times New Roman" w:eastAsia="宋体" w:cs="Times New Roman"/>
          <w:spacing w:val="-1"/>
          <w:sz w:val="24"/>
          <w:szCs w:val="24"/>
        </w:rPr>
        <w:t>以运营期评价为主。</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宋体" w:cs="Times New Roman"/>
          <w:b/>
          <w:bCs/>
          <w:snapToGrid/>
          <w:color w:val="auto"/>
          <w:kern w:val="44"/>
          <w:sz w:val="30"/>
          <w:szCs w:val="30"/>
          <w:lang w:val="en-US" w:eastAsia="zh-CN"/>
        </w:rPr>
      </w:pPr>
      <w:bookmarkStart w:id="69" w:name="_Toc9096"/>
      <w:r>
        <w:rPr>
          <w:rFonts w:hint="default" w:ascii="Times New Roman" w:hAnsi="Times New Roman" w:eastAsia="宋体" w:cs="Times New Roman"/>
          <w:b/>
          <w:bCs/>
          <w:snapToGrid/>
          <w:color w:val="auto"/>
          <w:kern w:val="44"/>
          <w:sz w:val="30"/>
          <w:szCs w:val="30"/>
          <w:lang w:val="en-US" w:eastAsia="zh-CN"/>
        </w:rPr>
        <w:t>2.7 环境保护目标</w:t>
      </w:r>
      <w:bookmarkEnd w:id="69"/>
    </w:p>
    <w:p>
      <w:pPr>
        <w:keepNext w:val="0"/>
        <w:keepLines w:val="0"/>
        <w:pageBreakBefore w:val="0"/>
        <w:wordWrap/>
        <w:overflowPunct/>
        <w:topLinePunct w:val="0"/>
        <w:bidi w:val="0"/>
        <w:spacing w:line="360" w:lineRule="auto"/>
        <w:ind w:left="0" w:firstLine="476" w:firstLineChars="200"/>
        <w:jc w:val="both"/>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 xml:space="preserve">评价区内环境保护目标具体见表 </w:t>
      </w:r>
      <w:r>
        <w:rPr>
          <w:rFonts w:hint="default" w:ascii="Times New Roman" w:hAnsi="Times New Roman" w:eastAsia="宋体" w:cs="Times New Roman"/>
          <w:spacing w:val="-1"/>
          <w:sz w:val="24"/>
          <w:szCs w:val="24"/>
          <w:lang w:val="en-US" w:eastAsia="zh-CN"/>
        </w:rPr>
        <w:t>2-7-1</w:t>
      </w:r>
      <w:r>
        <w:rPr>
          <w:rFonts w:hint="default" w:ascii="Times New Roman" w:hAnsi="Times New Roman" w:eastAsia="宋体" w:cs="Times New Roman"/>
          <w:spacing w:val="-1"/>
          <w:sz w:val="24"/>
          <w:szCs w:val="24"/>
        </w:rPr>
        <w:t xml:space="preserve"> 和图</w:t>
      </w:r>
      <w:r>
        <w:rPr>
          <w:rFonts w:hint="default" w:ascii="Times New Roman" w:hAnsi="Times New Roman" w:eastAsia="宋体" w:cs="Times New Roman"/>
          <w:spacing w:val="-1"/>
          <w:sz w:val="24"/>
          <w:szCs w:val="24"/>
          <w:lang w:val="en-US" w:eastAsia="zh-CN"/>
        </w:rPr>
        <w:t>2-7-1</w:t>
      </w:r>
      <w:r>
        <w:rPr>
          <w:rFonts w:hint="default" w:ascii="Times New Roman" w:hAnsi="Times New Roman" w:eastAsia="宋体" w:cs="Times New Roman"/>
          <w:spacing w:val="-1"/>
          <w:sz w:val="24"/>
          <w:szCs w:val="24"/>
        </w:rPr>
        <w:t>。</w:t>
      </w:r>
    </w:p>
    <w:p>
      <w:pPr>
        <w:spacing w:before="120" w:line="228" w:lineRule="auto"/>
        <w:jc w:val="center"/>
        <w:rPr>
          <w:rFonts w:hint="eastAsia" w:ascii="Times New Roman" w:hAnsi="Times New Roman" w:eastAsia="宋体" w:cs="Times New Roman"/>
          <w:sz w:val="20"/>
          <w:szCs w:val="20"/>
          <w:highlight w:val="magenta"/>
          <w:lang w:eastAsia="zh-CN"/>
        </w:rPr>
      </w:pPr>
      <w: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20"/>
          <w:sz w:val="20"/>
          <w:szCs w:val="20"/>
          <w:highlight w:val="none"/>
        </w:rPr>
        <w:t xml:space="preserve"> </w:t>
      </w:r>
      <w:r>
        <w:rPr>
          <w:rFonts w:hint="default" w:ascii="Times New Roman" w:hAnsi="Times New Roman" w:eastAsia="宋体" w:cs="Times New Roman"/>
          <w:b/>
          <w:bCs/>
          <w:spacing w:val="5"/>
          <w:sz w:val="20"/>
          <w:szCs w:val="20"/>
          <w:highlight w:val="none"/>
          <w:lang w:val="en-US" w:eastAsia="zh-CN"/>
        </w:rPr>
        <w:t>2-7</w:t>
      </w:r>
      <w:r>
        <w:rPr>
          <w:rFonts w:hint="default" w:ascii="Times New Roman" w:hAnsi="Times New Roman" w:eastAsia="Times New Roman" w:cs="Times New Roman"/>
          <w:b/>
          <w:bCs/>
          <w:spacing w:val="5"/>
          <w:sz w:val="20"/>
          <w:szCs w:val="20"/>
          <w:highlight w:val="none"/>
        </w:rPr>
        <w:t xml:space="preserve">-1    </w:t>
      </w:r>
      <w: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t>项目环境保护目标</w:t>
      </w:r>
    </w:p>
    <w:p>
      <w:pPr>
        <w:spacing w:line="143" w:lineRule="auto"/>
        <w:rPr>
          <w:rFonts w:hint="default" w:ascii="Times New Roman" w:hAnsi="Times New Roman" w:cs="Times New Roman"/>
          <w:sz w:val="2"/>
          <w:highlight w:val="none"/>
        </w:rPr>
      </w:pPr>
    </w:p>
    <w:tbl>
      <w:tblPr>
        <w:tblStyle w:val="34"/>
        <w:tblW w:w="500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97"/>
        <w:gridCol w:w="338"/>
        <w:gridCol w:w="1047"/>
        <w:gridCol w:w="1262"/>
        <w:gridCol w:w="1142"/>
        <w:gridCol w:w="614"/>
        <w:gridCol w:w="938"/>
        <w:gridCol w:w="1541"/>
        <w:gridCol w:w="187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trPr>
        <w:tc>
          <w:tcPr>
            <w:tcW w:w="475" w:type="pct"/>
            <w:vMerge w:val="restart"/>
            <w:tcBorders>
              <w:tl2br w:val="nil"/>
              <w:tr2bl w:val="nil"/>
            </w:tcBorders>
            <w:vAlign w:val="top"/>
          </w:tcPr>
          <w:p>
            <w:pPr>
              <w:spacing w:before="161" w:line="239" w:lineRule="auto"/>
              <w:ind w:left="385" w:right="166" w:hanging="211"/>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6"/>
                <w:sz w:val="21"/>
                <w:szCs w:val="21"/>
                <w:highlight w:val="none"/>
              </w:rPr>
              <w:t>环境要</w:t>
            </w:r>
            <w:r>
              <w:rPr>
                <w:rFonts w:hint="default" w:ascii="Times New Roman" w:hAnsi="Times New Roman" w:eastAsia="宋体" w:cs="Times New Roman"/>
                <w:spacing w:val="1"/>
                <w:sz w:val="21"/>
                <w:szCs w:val="21"/>
                <w:highlight w:val="none"/>
              </w:rPr>
              <w:t xml:space="preserve"> </w:t>
            </w:r>
            <w:r>
              <w:rPr>
                <w:rFonts w:hint="default" w:ascii="Times New Roman" w:hAnsi="Times New Roman" w:eastAsia="宋体" w:cs="Times New Roman"/>
                <w:sz w:val="21"/>
                <w:szCs w:val="21"/>
                <w:highlight w:val="none"/>
              </w:rPr>
              <w:t>素</w:t>
            </w:r>
          </w:p>
        </w:tc>
        <w:tc>
          <w:tcPr>
            <w:tcW w:w="186" w:type="pct"/>
            <w:vMerge w:val="restart"/>
            <w:tcBorders>
              <w:tl2br w:val="nil"/>
              <w:tr2bl w:val="nil"/>
            </w:tcBorders>
            <w:textDirection w:val="tbRlV"/>
            <w:vAlign w:val="top"/>
          </w:tcPr>
          <w:p>
            <w:pPr>
              <w:spacing w:before="111" w:line="218" w:lineRule="auto"/>
              <w:ind w:left="161"/>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8"/>
                <w:sz w:val="21"/>
                <w:szCs w:val="21"/>
                <w:highlight w:val="none"/>
              </w:rPr>
              <w:t>序</w:t>
            </w:r>
            <w:r>
              <w:rPr>
                <w:rFonts w:hint="default" w:ascii="Times New Roman" w:hAnsi="Times New Roman" w:eastAsia="宋体" w:cs="Times New Roman"/>
                <w:spacing w:val="-38"/>
                <w:sz w:val="21"/>
                <w:szCs w:val="21"/>
                <w:highlight w:val="none"/>
              </w:rPr>
              <w:t xml:space="preserve"> </w:t>
            </w:r>
            <w:r>
              <w:rPr>
                <w:rFonts w:hint="default" w:ascii="Times New Roman" w:hAnsi="Times New Roman" w:eastAsia="宋体" w:cs="Times New Roman"/>
                <w:spacing w:val="8"/>
                <w:sz w:val="21"/>
                <w:szCs w:val="21"/>
                <w:highlight w:val="none"/>
              </w:rPr>
              <w:t>号</w:t>
            </w:r>
          </w:p>
        </w:tc>
        <w:tc>
          <w:tcPr>
            <w:tcW w:w="553" w:type="pct"/>
            <w:vMerge w:val="restart"/>
            <w:tcBorders>
              <w:tl2br w:val="nil"/>
              <w:tr2bl w:val="nil"/>
            </w:tcBorders>
            <w:vAlign w:val="top"/>
          </w:tcPr>
          <w:p>
            <w:pPr>
              <w:spacing w:before="161" w:line="239" w:lineRule="auto"/>
              <w:ind w:left="179" w:right="136" w:hanging="39"/>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7"/>
                <w:sz w:val="21"/>
                <w:szCs w:val="21"/>
                <w:highlight w:val="none"/>
              </w:rPr>
              <w:t>环境保护</w:t>
            </w:r>
            <w:r>
              <w:rPr>
                <w:rFonts w:hint="default" w:ascii="Times New Roman" w:hAnsi="Times New Roman" w:eastAsia="宋体" w:cs="Times New Roman"/>
                <w:sz w:val="21"/>
                <w:szCs w:val="21"/>
                <w:highlight w:val="none"/>
              </w:rPr>
              <w:t xml:space="preserve"> </w:t>
            </w:r>
            <w:r>
              <w:rPr>
                <w:rFonts w:hint="default" w:ascii="Times New Roman" w:hAnsi="Times New Roman" w:eastAsia="宋体" w:cs="Times New Roman"/>
                <w:spacing w:val="-3"/>
                <w:sz w:val="21"/>
                <w:szCs w:val="21"/>
                <w:highlight w:val="none"/>
              </w:rPr>
              <w:t>目标名称</w:t>
            </w:r>
          </w:p>
        </w:tc>
        <w:tc>
          <w:tcPr>
            <w:tcW w:w="1192" w:type="pct"/>
            <w:gridSpan w:val="2"/>
            <w:tcBorders>
              <w:tl2br w:val="nil"/>
              <w:tr2bl w:val="nil"/>
            </w:tcBorders>
            <w:vAlign w:val="top"/>
          </w:tcPr>
          <w:p>
            <w:pPr>
              <w:spacing w:before="170" w:line="228" w:lineRule="auto"/>
              <w:ind w:left="568" w:leftChars="0"/>
              <w:rPr>
                <w:rFonts w:hint="default" w:ascii="Times New Roman" w:hAnsi="Times New Roman" w:eastAsia="宋体" w:cs="Times New Roman"/>
                <w:snapToGrid w:val="0"/>
                <w:color w:val="000000"/>
                <w:kern w:val="0"/>
                <w:sz w:val="21"/>
                <w:szCs w:val="21"/>
                <w:highlight w:val="none"/>
                <w:lang w:val="en-US" w:eastAsia="zh-CN" w:bidi="ar-SA"/>
              </w:rPr>
            </w:pPr>
            <w:r>
              <w:rPr>
                <w:rFonts w:hint="default" w:ascii="Times New Roman" w:hAnsi="Times New Roman" w:eastAsia="宋体" w:cs="Times New Roman"/>
                <w:spacing w:val="3"/>
                <w:sz w:val="21"/>
                <w:szCs w:val="21"/>
                <w:highlight w:val="none"/>
                <w:lang w:val="en-US" w:eastAsia="zh-CN"/>
              </w:rPr>
              <w:t>坐标</w:t>
            </w:r>
          </w:p>
        </w:tc>
        <w:tc>
          <w:tcPr>
            <w:tcW w:w="328" w:type="pct"/>
            <w:vMerge w:val="restart"/>
            <w:tcBorders>
              <w:tl2br w:val="nil"/>
              <w:tr2bl w:val="nil"/>
            </w:tcBorders>
            <w:vAlign w:val="top"/>
          </w:tcPr>
          <w:p>
            <w:pPr>
              <w:spacing w:before="297" w:line="229" w:lineRule="auto"/>
              <w:ind w:left="142"/>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rPr>
              <w:t>方位</w:t>
            </w:r>
          </w:p>
        </w:tc>
        <w:tc>
          <w:tcPr>
            <w:tcW w:w="474" w:type="pct"/>
            <w:vMerge w:val="restart"/>
            <w:tcBorders>
              <w:tl2br w:val="nil"/>
              <w:tr2bl w:val="nil"/>
            </w:tcBorders>
            <w:vAlign w:val="top"/>
          </w:tcPr>
          <w:p>
            <w:pPr>
              <w:spacing w:before="161" w:line="245" w:lineRule="auto"/>
              <w:ind w:left="180" w:right="180" w:firstLine="70"/>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5"/>
                <w:sz w:val="21"/>
                <w:szCs w:val="21"/>
                <w:highlight w:val="none"/>
              </w:rPr>
              <w:t>距离</w:t>
            </w:r>
            <w:r>
              <w:rPr>
                <w:rFonts w:hint="default" w:ascii="Times New Roman" w:hAnsi="Times New Roman" w:eastAsia="宋体" w:cs="Times New Roman"/>
                <w:sz w:val="21"/>
                <w:szCs w:val="21"/>
                <w:highlight w:val="none"/>
              </w:rPr>
              <w:t xml:space="preserve"> </w:t>
            </w:r>
            <w:r>
              <w:rPr>
                <w:rFonts w:hint="default" w:ascii="Times New Roman" w:hAnsi="Times New Roman" w:eastAsia="宋体" w:cs="Times New Roman"/>
                <w:spacing w:val="-4"/>
                <w:sz w:val="21"/>
                <w:szCs w:val="21"/>
                <w:highlight w:val="none"/>
              </w:rPr>
              <w:t>（</w:t>
            </w:r>
            <w:r>
              <w:rPr>
                <w:rFonts w:hint="default" w:ascii="Times New Roman" w:hAnsi="Times New Roman" w:eastAsia="Times New Roman" w:cs="Times New Roman"/>
                <w:spacing w:val="-4"/>
                <w:sz w:val="21"/>
                <w:szCs w:val="21"/>
                <w:highlight w:val="none"/>
              </w:rPr>
              <w:t>m</w:t>
            </w:r>
            <w:r>
              <w:rPr>
                <w:rFonts w:hint="default" w:ascii="Times New Roman" w:hAnsi="Times New Roman" w:eastAsia="宋体" w:cs="Times New Roman"/>
                <w:spacing w:val="-4"/>
                <w:sz w:val="21"/>
                <w:szCs w:val="21"/>
                <w:highlight w:val="none"/>
              </w:rPr>
              <w:t>）</w:t>
            </w:r>
          </w:p>
        </w:tc>
        <w:tc>
          <w:tcPr>
            <w:tcW w:w="808" w:type="pct"/>
            <w:vMerge w:val="restart"/>
            <w:tcBorders>
              <w:tl2br w:val="nil"/>
              <w:tr2bl w:val="nil"/>
            </w:tcBorders>
            <w:vAlign w:val="top"/>
          </w:tcPr>
          <w:p>
            <w:pPr>
              <w:spacing w:before="297" w:line="228" w:lineRule="auto"/>
              <w:ind w:left="614"/>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rPr>
              <w:t>规模</w:t>
            </w:r>
          </w:p>
        </w:tc>
        <w:tc>
          <w:tcPr>
            <w:tcW w:w="981" w:type="pct"/>
            <w:vMerge w:val="restart"/>
            <w:tcBorders>
              <w:tl2br w:val="nil"/>
              <w:tr2bl w:val="nil"/>
            </w:tcBorders>
            <w:vAlign w:val="top"/>
          </w:tcPr>
          <w:p>
            <w:pPr>
              <w:spacing w:before="161" w:line="228" w:lineRule="auto"/>
              <w:ind w:left="431"/>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8"/>
                <w:sz w:val="21"/>
                <w:szCs w:val="21"/>
                <w:highlight w:val="none"/>
              </w:rPr>
              <w:t>环境功能及</w:t>
            </w:r>
          </w:p>
          <w:p>
            <w:pPr>
              <w:spacing w:before="24" w:line="228" w:lineRule="auto"/>
              <w:ind w:left="537"/>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7"/>
                <w:sz w:val="21"/>
                <w:szCs w:val="21"/>
                <w:highlight w:val="none"/>
              </w:rPr>
              <w:t>保护级别</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6"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vMerge w:val="continue"/>
            <w:tcBorders>
              <w:tl2br w:val="nil"/>
              <w:tr2bl w:val="nil"/>
            </w:tcBorders>
            <w:textDirection w:val="tbRlV"/>
            <w:vAlign w:val="top"/>
          </w:tcPr>
          <w:p>
            <w:pPr>
              <w:pStyle w:val="35"/>
              <w:rPr>
                <w:rFonts w:hint="default" w:ascii="Times New Roman" w:hAnsi="Times New Roman" w:cs="Times New Roman"/>
                <w:sz w:val="21"/>
                <w:szCs w:val="21"/>
                <w:highlight w:val="none"/>
              </w:rPr>
            </w:pPr>
          </w:p>
        </w:tc>
        <w:tc>
          <w:tcPr>
            <w:tcW w:w="553"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624" w:type="pct"/>
            <w:tcBorders>
              <w:tl2br w:val="nil"/>
              <w:tr2bl w:val="nil"/>
            </w:tcBorders>
            <w:vAlign w:val="top"/>
          </w:tcPr>
          <w:p>
            <w:pPr>
              <w:spacing w:before="56" w:line="187"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经度</w:t>
            </w:r>
          </w:p>
        </w:tc>
        <w:tc>
          <w:tcPr>
            <w:tcW w:w="567" w:type="pct"/>
            <w:tcBorders>
              <w:tl2br w:val="nil"/>
              <w:tr2bl w:val="nil"/>
            </w:tcBorders>
            <w:vAlign w:val="top"/>
          </w:tcPr>
          <w:p>
            <w:pPr>
              <w:spacing w:before="56" w:line="187"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纬度</w:t>
            </w:r>
          </w:p>
        </w:tc>
        <w:tc>
          <w:tcPr>
            <w:tcW w:w="328"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474"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808"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981"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75" w:type="pct"/>
            <w:vMerge w:val="restart"/>
            <w:tcBorders>
              <w:tl2br w:val="nil"/>
              <w:tr2bl w:val="nil"/>
            </w:tcBorders>
            <w:vAlign w:val="top"/>
          </w:tcPr>
          <w:p>
            <w:pPr>
              <w:pStyle w:val="35"/>
              <w:rPr>
                <w:rFonts w:hint="default" w:ascii="Times New Roman" w:hAnsi="Times New Roman" w:cs="Times New Roman"/>
                <w:sz w:val="21"/>
                <w:szCs w:val="21"/>
                <w:highlight w:val="none"/>
              </w:rPr>
            </w:pPr>
          </w:p>
          <w:p>
            <w:pPr>
              <w:pStyle w:val="35"/>
              <w:rPr>
                <w:rFonts w:hint="default" w:ascii="Times New Roman" w:hAnsi="Times New Roman" w:cs="Times New Roman"/>
                <w:sz w:val="21"/>
                <w:szCs w:val="21"/>
                <w:highlight w:val="none"/>
              </w:rPr>
            </w:pPr>
          </w:p>
          <w:p>
            <w:pPr>
              <w:pStyle w:val="35"/>
              <w:rPr>
                <w:rFonts w:hint="default" w:ascii="Times New Roman" w:hAnsi="Times New Roman" w:cs="Times New Roman"/>
                <w:sz w:val="21"/>
                <w:szCs w:val="21"/>
                <w:highlight w:val="none"/>
              </w:rPr>
            </w:pPr>
          </w:p>
          <w:p>
            <w:pPr>
              <w:pStyle w:val="35"/>
              <w:rPr>
                <w:rFonts w:hint="default" w:ascii="Times New Roman" w:hAnsi="Times New Roman" w:cs="Times New Roman"/>
                <w:sz w:val="21"/>
                <w:szCs w:val="21"/>
                <w:highlight w:val="none"/>
              </w:rPr>
            </w:pPr>
          </w:p>
          <w:p>
            <w:pPr>
              <w:pStyle w:val="35"/>
              <w:spacing w:line="241" w:lineRule="auto"/>
              <w:rPr>
                <w:rFonts w:hint="default" w:ascii="Times New Roman" w:hAnsi="Times New Roman" w:cs="Times New Roman"/>
                <w:sz w:val="21"/>
                <w:szCs w:val="21"/>
                <w:highlight w:val="none"/>
              </w:rPr>
            </w:pPr>
          </w:p>
          <w:p>
            <w:pPr>
              <w:pStyle w:val="35"/>
              <w:spacing w:line="241" w:lineRule="auto"/>
              <w:rPr>
                <w:rFonts w:hint="default" w:ascii="Times New Roman" w:hAnsi="Times New Roman" w:cs="Times New Roman"/>
                <w:sz w:val="21"/>
                <w:szCs w:val="21"/>
                <w:highlight w:val="none"/>
              </w:rPr>
            </w:pPr>
          </w:p>
          <w:p>
            <w:pPr>
              <w:pStyle w:val="35"/>
              <w:spacing w:line="241" w:lineRule="auto"/>
              <w:rPr>
                <w:rFonts w:hint="default" w:ascii="Times New Roman" w:hAnsi="Times New Roman" w:cs="Times New Roman"/>
                <w:sz w:val="21"/>
                <w:szCs w:val="21"/>
                <w:highlight w:val="none"/>
              </w:rPr>
            </w:pPr>
          </w:p>
          <w:p>
            <w:pPr>
              <w:pStyle w:val="35"/>
              <w:spacing w:line="241" w:lineRule="auto"/>
              <w:rPr>
                <w:rFonts w:hint="default" w:ascii="Times New Roman" w:hAnsi="Times New Roman" w:cs="Times New Roman"/>
                <w:sz w:val="21"/>
                <w:szCs w:val="21"/>
                <w:highlight w:val="none"/>
              </w:rPr>
            </w:pPr>
          </w:p>
          <w:p>
            <w:pPr>
              <w:pStyle w:val="35"/>
              <w:spacing w:line="241" w:lineRule="auto"/>
              <w:rPr>
                <w:rFonts w:hint="default" w:ascii="Times New Roman" w:hAnsi="Times New Roman" w:cs="Times New Roman"/>
                <w:sz w:val="21"/>
                <w:szCs w:val="21"/>
                <w:highlight w:val="none"/>
              </w:rPr>
            </w:pPr>
          </w:p>
          <w:p>
            <w:pPr>
              <w:pStyle w:val="35"/>
              <w:spacing w:line="241" w:lineRule="auto"/>
              <w:rPr>
                <w:rFonts w:hint="default" w:ascii="Times New Roman" w:hAnsi="Times New Roman" w:cs="Times New Roman"/>
                <w:sz w:val="21"/>
                <w:szCs w:val="21"/>
                <w:highlight w:val="none"/>
              </w:rPr>
            </w:pPr>
          </w:p>
          <w:p>
            <w:pPr>
              <w:pStyle w:val="35"/>
              <w:spacing w:line="241" w:lineRule="auto"/>
              <w:rPr>
                <w:rFonts w:hint="default" w:ascii="Times New Roman" w:hAnsi="Times New Roman" w:cs="Times New Roman"/>
                <w:sz w:val="21"/>
                <w:szCs w:val="21"/>
                <w:highlight w:val="none"/>
              </w:rPr>
            </w:pPr>
          </w:p>
          <w:p>
            <w:pPr>
              <w:pStyle w:val="35"/>
              <w:spacing w:line="241" w:lineRule="auto"/>
              <w:rPr>
                <w:rFonts w:hint="default" w:ascii="Times New Roman" w:hAnsi="Times New Roman" w:cs="Times New Roman"/>
                <w:sz w:val="21"/>
                <w:szCs w:val="21"/>
                <w:highlight w:val="none"/>
              </w:rPr>
            </w:pPr>
          </w:p>
          <w:p>
            <w:pPr>
              <w:pStyle w:val="35"/>
              <w:spacing w:line="241" w:lineRule="auto"/>
              <w:rPr>
                <w:rFonts w:hint="default" w:ascii="Times New Roman" w:hAnsi="Times New Roman" w:cs="Times New Roman"/>
                <w:sz w:val="21"/>
                <w:szCs w:val="21"/>
                <w:highlight w:val="none"/>
              </w:rPr>
            </w:pPr>
          </w:p>
          <w:p>
            <w:pPr>
              <w:pStyle w:val="35"/>
              <w:spacing w:line="241" w:lineRule="auto"/>
              <w:rPr>
                <w:rFonts w:hint="default" w:ascii="Times New Roman" w:hAnsi="Times New Roman" w:cs="Times New Roman"/>
                <w:sz w:val="21"/>
                <w:szCs w:val="21"/>
                <w:highlight w:val="none"/>
              </w:rPr>
            </w:pPr>
          </w:p>
          <w:p>
            <w:pPr>
              <w:pStyle w:val="35"/>
              <w:spacing w:line="241" w:lineRule="auto"/>
              <w:rPr>
                <w:rFonts w:hint="default" w:ascii="Times New Roman" w:hAnsi="Times New Roman" w:cs="Times New Roman"/>
                <w:sz w:val="21"/>
                <w:szCs w:val="21"/>
                <w:highlight w:val="none"/>
              </w:rPr>
            </w:pPr>
          </w:p>
          <w:p>
            <w:pPr>
              <w:pStyle w:val="35"/>
              <w:spacing w:line="241" w:lineRule="auto"/>
              <w:rPr>
                <w:rFonts w:hint="default" w:ascii="Times New Roman" w:hAnsi="Times New Roman" w:cs="Times New Roman"/>
                <w:sz w:val="21"/>
                <w:szCs w:val="21"/>
                <w:highlight w:val="none"/>
              </w:rPr>
            </w:pPr>
          </w:p>
          <w:p>
            <w:pPr>
              <w:spacing w:before="65"/>
              <w:ind w:right="166"/>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6"/>
                <w:sz w:val="21"/>
                <w:szCs w:val="21"/>
                <w:highlight w:val="none"/>
              </w:rPr>
              <w:t>环境空</w:t>
            </w:r>
            <w:r>
              <w:rPr>
                <w:rFonts w:hint="default" w:ascii="Times New Roman" w:hAnsi="Times New Roman" w:eastAsia="宋体" w:cs="Times New Roman"/>
                <w:spacing w:val="1"/>
                <w:sz w:val="21"/>
                <w:szCs w:val="21"/>
                <w:highlight w:val="none"/>
              </w:rPr>
              <w:t xml:space="preserve"> </w:t>
            </w:r>
            <w:r>
              <w:rPr>
                <w:rFonts w:hint="default" w:ascii="Times New Roman" w:hAnsi="Times New Roman" w:eastAsia="宋体" w:cs="Times New Roman"/>
                <w:sz w:val="21"/>
                <w:szCs w:val="21"/>
                <w:highlight w:val="none"/>
              </w:rPr>
              <w:t>气</w:t>
            </w:r>
          </w:p>
        </w:tc>
        <w:tc>
          <w:tcPr>
            <w:tcW w:w="186" w:type="pct"/>
            <w:tcBorders>
              <w:tl2br w:val="nil"/>
              <w:tr2bl w:val="nil"/>
            </w:tcBorders>
            <w:vAlign w:val="top"/>
          </w:tcPr>
          <w:p>
            <w:pPr>
              <w:spacing w:before="68" w:line="195" w:lineRule="auto"/>
              <w:ind w:left="183"/>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z w:val="21"/>
                <w:szCs w:val="21"/>
                <w:highlight w:val="none"/>
              </w:rPr>
              <w:t>1</w:t>
            </w:r>
          </w:p>
        </w:tc>
        <w:tc>
          <w:tcPr>
            <w:tcW w:w="553" w:type="pct"/>
            <w:tcBorders>
              <w:tl2br w:val="nil"/>
              <w:tr2bl w:val="nil"/>
            </w:tcBorders>
            <w:vAlign w:val="top"/>
          </w:tcPr>
          <w:p>
            <w:pPr>
              <w:spacing w:before="32" w:line="217"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6"/>
                <w:sz w:val="21"/>
                <w:szCs w:val="21"/>
                <w:highlight w:val="none"/>
              </w:rPr>
              <w:t>中兴村</w:t>
            </w:r>
          </w:p>
        </w:tc>
        <w:tc>
          <w:tcPr>
            <w:tcW w:w="624" w:type="pct"/>
            <w:tcBorders>
              <w:tl2br w:val="nil"/>
              <w:tr2bl w:val="nil"/>
            </w:tcBorders>
            <w:vAlign w:val="top"/>
          </w:tcPr>
          <w:p>
            <w:pPr>
              <w:spacing w:before="66" w:line="195" w:lineRule="auto"/>
              <w:jc w:val="center"/>
              <w:rPr>
                <w:rFonts w:hint="default" w:ascii="Times New Roman" w:hAnsi="Times New Roman" w:eastAsia="Times New Roman" w:cs="Times New Roman"/>
                <w:spacing w:val="-2"/>
                <w:sz w:val="21"/>
                <w:szCs w:val="21"/>
                <w:highlight w:val="none"/>
              </w:rPr>
            </w:pPr>
            <w:r>
              <w:rPr>
                <w:rFonts w:hint="default" w:ascii="Times New Roman" w:hAnsi="Times New Roman" w:eastAsia="Times New Roman" w:cs="Times New Roman"/>
                <w:spacing w:val="-2"/>
                <w:sz w:val="21"/>
                <w:szCs w:val="21"/>
                <w:highlight w:val="none"/>
              </w:rPr>
              <w:t>127.08647490</w:t>
            </w:r>
          </w:p>
        </w:tc>
        <w:tc>
          <w:tcPr>
            <w:tcW w:w="567" w:type="pct"/>
            <w:tcBorders>
              <w:tl2br w:val="nil"/>
              <w:tr2bl w:val="nil"/>
            </w:tcBorders>
            <w:vAlign w:val="top"/>
          </w:tcPr>
          <w:p>
            <w:pPr>
              <w:spacing w:before="66" w:line="195" w:lineRule="auto"/>
              <w:jc w:val="center"/>
              <w:rPr>
                <w:rFonts w:hint="default" w:ascii="Times New Roman" w:hAnsi="Times New Roman" w:eastAsia="Times New Roman" w:cs="Times New Roman"/>
                <w:spacing w:val="-2"/>
                <w:sz w:val="21"/>
                <w:szCs w:val="21"/>
                <w:highlight w:val="none"/>
              </w:rPr>
            </w:pPr>
            <w:r>
              <w:rPr>
                <w:rFonts w:hint="default" w:ascii="Times New Roman" w:hAnsi="Times New Roman" w:eastAsia="Times New Roman" w:cs="Times New Roman"/>
                <w:spacing w:val="-2"/>
                <w:sz w:val="21"/>
                <w:szCs w:val="21"/>
                <w:highlight w:val="none"/>
              </w:rPr>
              <w:t>46.41695835</w:t>
            </w:r>
          </w:p>
        </w:tc>
        <w:tc>
          <w:tcPr>
            <w:tcW w:w="328" w:type="pct"/>
            <w:tcBorders>
              <w:tl2br w:val="nil"/>
              <w:tr2bl w:val="nil"/>
            </w:tcBorders>
            <w:vAlign w:val="top"/>
          </w:tcPr>
          <w:p>
            <w:pPr>
              <w:spacing w:before="71" w:line="192" w:lineRule="auto"/>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pacing w:val="8"/>
                <w:sz w:val="21"/>
                <w:szCs w:val="21"/>
                <w:highlight w:val="none"/>
                <w:lang w:val="en-US" w:eastAsia="zh-CN"/>
              </w:rPr>
              <w:t>S</w:t>
            </w:r>
          </w:p>
        </w:tc>
        <w:tc>
          <w:tcPr>
            <w:tcW w:w="474" w:type="pct"/>
            <w:tcBorders>
              <w:tl2br w:val="nil"/>
              <w:tr2bl w:val="nil"/>
            </w:tcBorders>
            <w:vAlign w:val="top"/>
          </w:tcPr>
          <w:p>
            <w:pPr>
              <w:spacing w:before="68" w:line="195"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3"/>
                <w:sz w:val="21"/>
                <w:szCs w:val="21"/>
                <w:highlight w:val="none"/>
                <w:lang w:val="en-US" w:eastAsia="zh-CN"/>
              </w:rPr>
              <w:t>1000</w:t>
            </w:r>
          </w:p>
        </w:tc>
        <w:tc>
          <w:tcPr>
            <w:tcW w:w="808" w:type="pct"/>
            <w:tcBorders>
              <w:tl2br w:val="nil"/>
              <w:tr2bl w:val="nil"/>
            </w:tcBorders>
            <w:vAlign w:val="top"/>
          </w:tcPr>
          <w:p>
            <w:pPr>
              <w:spacing w:before="32" w:line="217" w:lineRule="auto"/>
              <w:jc w:val="center"/>
              <w:rPr>
                <w:rFonts w:hint="default" w:ascii="Times New Roman" w:hAnsi="Times New Roman" w:eastAsia="宋体" w:cs="Times New Roman"/>
                <w:sz w:val="21"/>
                <w:szCs w:val="21"/>
                <w:highlight w:val="none"/>
              </w:rPr>
            </w:pPr>
            <w:r>
              <w:rPr>
                <w:rFonts w:hint="default" w:ascii="Times New Roman" w:hAnsi="Times New Roman" w:eastAsia="Times New Roman" w:cs="Times New Roman"/>
                <w:spacing w:val="2"/>
                <w:sz w:val="21"/>
                <w:szCs w:val="21"/>
                <w:highlight w:val="none"/>
              </w:rPr>
              <w:t xml:space="preserve">100 </w:t>
            </w:r>
            <w:r>
              <w:rPr>
                <w:rFonts w:hint="default" w:ascii="Times New Roman" w:hAnsi="Times New Roman" w:eastAsia="宋体" w:cs="Times New Roman"/>
                <w:spacing w:val="2"/>
                <w:sz w:val="21"/>
                <w:szCs w:val="21"/>
                <w:highlight w:val="none"/>
              </w:rPr>
              <w:t>户，</w:t>
            </w:r>
            <w:r>
              <w:rPr>
                <w:rFonts w:hint="default" w:ascii="Times New Roman" w:hAnsi="Times New Roman" w:eastAsia="Times New Roman" w:cs="Times New Roman"/>
                <w:spacing w:val="2"/>
                <w:sz w:val="21"/>
                <w:szCs w:val="21"/>
                <w:highlight w:val="none"/>
              </w:rPr>
              <w:t>300</w:t>
            </w:r>
            <w:r>
              <w:rPr>
                <w:rFonts w:hint="default" w:ascii="Times New Roman" w:hAnsi="Times New Roman" w:eastAsia="Times New Roman" w:cs="Times New Roman"/>
                <w:spacing w:val="18"/>
                <w:w w:val="101"/>
                <w:sz w:val="21"/>
                <w:szCs w:val="21"/>
                <w:highlight w:val="none"/>
              </w:rPr>
              <w:t xml:space="preserve"> </w:t>
            </w:r>
            <w:r>
              <w:rPr>
                <w:rFonts w:hint="default" w:ascii="Times New Roman" w:hAnsi="Times New Roman" w:eastAsia="宋体" w:cs="Times New Roman"/>
                <w:spacing w:val="2"/>
                <w:sz w:val="21"/>
                <w:szCs w:val="21"/>
                <w:highlight w:val="none"/>
              </w:rPr>
              <w:t>人</w:t>
            </w:r>
          </w:p>
        </w:tc>
        <w:tc>
          <w:tcPr>
            <w:tcW w:w="981" w:type="pct"/>
            <w:vMerge w:val="restart"/>
            <w:tcBorders>
              <w:tl2br w:val="nil"/>
              <w:tr2bl w:val="nil"/>
            </w:tcBorders>
            <w:vAlign w:val="top"/>
          </w:tcPr>
          <w:p>
            <w:pPr>
              <w:pStyle w:val="35"/>
              <w:spacing w:line="253" w:lineRule="auto"/>
              <w:jc w:val="both"/>
              <w:rPr>
                <w:rFonts w:hint="default" w:ascii="Times New Roman" w:hAnsi="Times New Roman" w:cs="Times New Roman"/>
                <w:sz w:val="21"/>
                <w:szCs w:val="21"/>
                <w:highlight w:val="none"/>
              </w:rPr>
            </w:pPr>
          </w:p>
          <w:p>
            <w:pPr>
              <w:pStyle w:val="35"/>
              <w:spacing w:line="254" w:lineRule="auto"/>
              <w:jc w:val="both"/>
              <w:rPr>
                <w:rFonts w:hint="default" w:ascii="Times New Roman" w:hAnsi="Times New Roman" w:cs="Times New Roman"/>
                <w:sz w:val="21"/>
                <w:szCs w:val="21"/>
                <w:highlight w:val="none"/>
              </w:rPr>
            </w:pPr>
          </w:p>
          <w:p>
            <w:pPr>
              <w:pStyle w:val="35"/>
              <w:spacing w:line="254" w:lineRule="auto"/>
              <w:jc w:val="both"/>
              <w:rPr>
                <w:rFonts w:hint="default" w:ascii="Times New Roman" w:hAnsi="Times New Roman" w:cs="Times New Roman"/>
                <w:sz w:val="21"/>
                <w:szCs w:val="21"/>
                <w:highlight w:val="none"/>
              </w:rPr>
            </w:pPr>
          </w:p>
          <w:p>
            <w:pPr>
              <w:pStyle w:val="35"/>
              <w:spacing w:line="254" w:lineRule="auto"/>
              <w:jc w:val="both"/>
              <w:rPr>
                <w:rFonts w:hint="default" w:ascii="Times New Roman" w:hAnsi="Times New Roman" w:cs="Times New Roman"/>
                <w:sz w:val="21"/>
                <w:szCs w:val="21"/>
                <w:highlight w:val="none"/>
              </w:rPr>
            </w:pPr>
          </w:p>
          <w:p>
            <w:pPr>
              <w:pStyle w:val="35"/>
              <w:spacing w:line="254" w:lineRule="auto"/>
              <w:jc w:val="both"/>
              <w:rPr>
                <w:rFonts w:hint="default" w:ascii="Times New Roman" w:hAnsi="Times New Roman" w:cs="Times New Roman"/>
                <w:sz w:val="21"/>
                <w:szCs w:val="21"/>
                <w:highlight w:val="none"/>
              </w:rPr>
            </w:pPr>
          </w:p>
          <w:p>
            <w:pPr>
              <w:pStyle w:val="35"/>
              <w:spacing w:line="254" w:lineRule="auto"/>
              <w:jc w:val="both"/>
              <w:rPr>
                <w:rFonts w:hint="default" w:ascii="Times New Roman" w:hAnsi="Times New Roman" w:cs="Times New Roman"/>
                <w:sz w:val="21"/>
                <w:szCs w:val="21"/>
                <w:highlight w:val="none"/>
              </w:rPr>
            </w:pPr>
          </w:p>
          <w:p>
            <w:pPr>
              <w:pStyle w:val="35"/>
              <w:spacing w:line="254" w:lineRule="auto"/>
              <w:jc w:val="both"/>
              <w:rPr>
                <w:rFonts w:hint="default" w:ascii="Times New Roman" w:hAnsi="Times New Roman" w:cs="Times New Roman"/>
                <w:sz w:val="21"/>
                <w:szCs w:val="21"/>
                <w:highlight w:val="none"/>
              </w:rPr>
            </w:pPr>
          </w:p>
          <w:p>
            <w:pPr>
              <w:pStyle w:val="35"/>
              <w:spacing w:line="254" w:lineRule="auto"/>
              <w:jc w:val="both"/>
              <w:rPr>
                <w:rFonts w:hint="default" w:ascii="Times New Roman" w:hAnsi="Times New Roman" w:cs="Times New Roman"/>
                <w:sz w:val="21"/>
                <w:szCs w:val="21"/>
                <w:highlight w:val="none"/>
              </w:rPr>
            </w:pPr>
          </w:p>
          <w:p>
            <w:pPr>
              <w:pStyle w:val="35"/>
              <w:spacing w:line="254" w:lineRule="auto"/>
              <w:jc w:val="both"/>
              <w:rPr>
                <w:rFonts w:hint="default" w:ascii="Times New Roman" w:hAnsi="Times New Roman" w:cs="Times New Roman"/>
                <w:sz w:val="21"/>
                <w:szCs w:val="21"/>
                <w:highlight w:val="none"/>
              </w:rPr>
            </w:pPr>
          </w:p>
          <w:p>
            <w:pPr>
              <w:pStyle w:val="35"/>
              <w:spacing w:line="254" w:lineRule="auto"/>
              <w:jc w:val="both"/>
              <w:rPr>
                <w:rFonts w:hint="default" w:ascii="Times New Roman" w:hAnsi="Times New Roman" w:cs="Times New Roman"/>
                <w:sz w:val="21"/>
                <w:szCs w:val="21"/>
                <w:highlight w:val="none"/>
              </w:rPr>
            </w:pPr>
          </w:p>
          <w:p>
            <w:pPr>
              <w:pStyle w:val="35"/>
              <w:spacing w:line="254" w:lineRule="auto"/>
              <w:jc w:val="both"/>
              <w:rPr>
                <w:rFonts w:hint="default" w:ascii="Times New Roman" w:hAnsi="Times New Roman" w:cs="Times New Roman"/>
                <w:sz w:val="21"/>
                <w:szCs w:val="21"/>
                <w:highlight w:val="none"/>
              </w:rPr>
            </w:pPr>
          </w:p>
          <w:p>
            <w:pPr>
              <w:pStyle w:val="35"/>
              <w:spacing w:line="254" w:lineRule="auto"/>
              <w:jc w:val="both"/>
              <w:rPr>
                <w:rFonts w:hint="default" w:ascii="Times New Roman" w:hAnsi="Times New Roman" w:cs="Times New Roman"/>
                <w:sz w:val="21"/>
                <w:szCs w:val="21"/>
                <w:highlight w:val="none"/>
              </w:rPr>
            </w:pPr>
          </w:p>
          <w:p>
            <w:pPr>
              <w:pStyle w:val="35"/>
              <w:spacing w:line="254" w:lineRule="auto"/>
              <w:jc w:val="both"/>
              <w:rPr>
                <w:rFonts w:hint="default" w:ascii="Times New Roman" w:hAnsi="Times New Roman" w:cs="Times New Roman"/>
                <w:sz w:val="21"/>
                <w:szCs w:val="21"/>
                <w:highlight w:val="none"/>
              </w:rPr>
            </w:pPr>
          </w:p>
          <w:p>
            <w:pPr>
              <w:pStyle w:val="35"/>
              <w:spacing w:line="254" w:lineRule="auto"/>
              <w:jc w:val="both"/>
              <w:rPr>
                <w:rFonts w:hint="default" w:ascii="Times New Roman" w:hAnsi="Times New Roman" w:cs="Times New Roman"/>
                <w:sz w:val="21"/>
                <w:szCs w:val="21"/>
                <w:highlight w:val="none"/>
              </w:rPr>
            </w:pPr>
          </w:p>
          <w:p>
            <w:pPr>
              <w:pStyle w:val="35"/>
              <w:spacing w:line="254" w:lineRule="auto"/>
              <w:jc w:val="both"/>
              <w:rPr>
                <w:rFonts w:hint="default" w:ascii="Times New Roman" w:hAnsi="Times New Roman" w:cs="Times New Roman"/>
                <w:sz w:val="21"/>
                <w:szCs w:val="21"/>
                <w:highlight w:val="none"/>
              </w:rPr>
            </w:pPr>
          </w:p>
          <w:p>
            <w:pPr>
              <w:pStyle w:val="35"/>
              <w:spacing w:line="254" w:lineRule="auto"/>
              <w:jc w:val="both"/>
              <w:rPr>
                <w:rFonts w:hint="default" w:ascii="Times New Roman" w:hAnsi="Times New Roman" w:cs="Times New Roman"/>
                <w:sz w:val="21"/>
                <w:szCs w:val="21"/>
                <w:highlight w:val="none"/>
              </w:rPr>
            </w:pPr>
          </w:p>
          <w:p>
            <w:pPr>
              <w:pStyle w:val="35"/>
              <w:spacing w:line="254" w:lineRule="auto"/>
              <w:jc w:val="both"/>
              <w:rPr>
                <w:rFonts w:hint="default" w:ascii="Times New Roman" w:hAnsi="Times New Roman" w:cs="Times New Roman"/>
                <w:sz w:val="21"/>
                <w:szCs w:val="21"/>
                <w:highlight w:val="none"/>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 w:val="21"/>
                <w:szCs w:val="21"/>
                <w:highlight w:val="none"/>
              </w:rPr>
              <w:t>《环境空气质量标准》</w:t>
            </w:r>
            <w:r>
              <w:rPr>
                <w:rFonts w:hint="default" w:ascii="Times New Roman" w:hAnsi="Times New Roman" w:eastAsia="宋体" w:cs="Times New Roman"/>
                <w:color w:val="auto"/>
                <w:sz w:val="21"/>
                <w:szCs w:val="21"/>
                <w:highlight w:val="none"/>
                <w:lang w:bidi="en-US"/>
              </w:rPr>
              <w:t>(GB3095-2012)</w:t>
            </w:r>
            <w:r>
              <w:rPr>
                <w:rFonts w:hint="eastAsia" w:ascii="Times New Roman" w:hAnsi="Times New Roman" w:eastAsia="宋体" w:cs="Times New Roman"/>
                <w:color w:val="auto"/>
                <w:sz w:val="21"/>
                <w:szCs w:val="21"/>
                <w:highlight w:val="none"/>
                <w:lang w:val="en-US" w:eastAsia="zh-CN" w:bidi="en-US"/>
              </w:rPr>
              <w:t>中</w:t>
            </w:r>
            <w:r>
              <w:rPr>
                <w:rFonts w:hint="default" w:ascii="Times New Roman" w:hAnsi="Times New Roman" w:eastAsia="宋体" w:cs="Times New Roman"/>
                <w:color w:val="auto"/>
                <w:sz w:val="21"/>
                <w:szCs w:val="21"/>
                <w:highlight w:val="none"/>
              </w:rPr>
              <w:t>二级</w:t>
            </w:r>
            <w:r>
              <w:rPr>
                <w:rFonts w:hint="eastAsia" w:ascii="Times New Roman" w:hAnsi="Times New Roman" w:eastAsia="宋体" w:cs="Times New Roman"/>
                <w:color w:val="auto"/>
                <w:sz w:val="21"/>
                <w:szCs w:val="21"/>
                <w:highlight w:val="none"/>
                <w:lang w:val="en-US" w:eastAsia="zh-CN"/>
              </w:rPr>
              <w:t>标准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6" w:line="195" w:lineRule="auto"/>
              <w:ind w:left="163"/>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z w:val="21"/>
                <w:szCs w:val="21"/>
                <w:highlight w:val="none"/>
              </w:rPr>
              <w:t>2</w:t>
            </w:r>
          </w:p>
        </w:tc>
        <w:tc>
          <w:tcPr>
            <w:tcW w:w="553" w:type="pct"/>
            <w:tcBorders>
              <w:tl2br w:val="nil"/>
              <w:tr2bl w:val="nil"/>
            </w:tcBorders>
            <w:vAlign w:val="top"/>
          </w:tcPr>
          <w:p>
            <w:pPr>
              <w:spacing w:before="30" w:line="218"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6"/>
                <w:sz w:val="21"/>
                <w:szCs w:val="21"/>
                <w:highlight w:val="none"/>
              </w:rPr>
              <w:t>陶家窝棚</w:t>
            </w:r>
          </w:p>
        </w:tc>
        <w:tc>
          <w:tcPr>
            <w:tcW w:w="624" w:type="pct"/>
            <w:tcBorders>
              <w:tl2br w:val="nil"/>
              <w:tr2bl w:val="nil"/>
            </w:tcBorders>
            <w:vAlign w:val="top"/>
          </w:tcPr>
          <w:p>
            <w:pPr>
              <w:spacing w:before="66" w:line="195" w:lineRule="auto"/>
              <w:jc w:val="center"/>
              <w:rPr>
                <w:rFonts w:hint="default" w:ascii="Times New Roman" w:hAnsi="Times New Roman" w:eastAsia="Times New Roman" w:cs="Times New Roman"/>
                <w:spacing w:val="-2"/>
                <w:sz w:val="21"/>
                <w:szCs w:val="21"/>
                <w:highlight w:val="none"/>
              </w:rPr>
            </w:pPr>
            <w:r>
              <w:rPr>
                <w:rFonts w:hint="default" w:ascii="Times New Roman" w:hAnsi="Times New Roman" w:eastAsia="Times New Roman" w:cs="Times New Roman"/>
                <w:spacing w:val="-2"/>
                <w:sz w:val="21"/>
                <w:szCs w:val="21"/>
                <w:highlight w:val="none"/>
              </w:rPr>
              <w:t>127.05911636</w:t>
            </w:r>
          </w:p>
        </w:tc>
        <w:tc>
          <w:tcPr>
            <w:tcW w:w="567" w:type="pct"/>
            <w:tcBorders>
              <w:tl2br w:val="nil"/>
              <w:tr2bl w:val="nil"/>
            </w:tcBorders>
            <w:vAlign w:val="top"/>
          </w:tcPr>
          <w:p>
            <w:pPr>
              <w:spacing w:before="66" w:line="195" w:lineRule="auto"/>
              <w:jc w:val="center"/>
              <w:rPr>
                <w:rFonts w:hint="default" w:ascii="Times New Roman" w:hAnsi="Times New Roman" w:eastAsia="Times New Roman" w:cs="Times New Roman"/>
                <w:spacing w:val="-2"/>
                <w:sz w:val="21"/>
                <w:szCs w:val="21"/>
                <w:highlight w:val="none"/>
              </w:rPr>
            </w:pPr>
            <w:r>
              <w:rPr>
                <w:rFonts w:hint="default" w:ascii="Times New Roman" w:hAnsi="Times New Roman" w:eastAsia="Times New Roman" w:cs="Times New Roman"/>
                <w:spacing w:val="-2"/>
                <w:sz w:val="21"/>
                <w:szCs w:val="21"/>
                <w:highlight w:val="none"/>
              </w:rPr>
              <w:t>46.41907371</w:t>
            </w:r>
          </w:p>
        </w:tc>
        <w:tc>
          <w:tcPr>
            <w:tcW w:w="328" w:type="pct"/>
            <w:tcBorders>
              <w:tl2br w:val="nil"/>
              <w:tr2bl w:val="nil"/>
            </w:tcBorders>
            <w:vAlign w:val="top"/>
          </w:tcPr>
          <w:p>
            <w:pPr>
              <w:spacing w:before="69" w:line="192"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SW</w:t>
            </w:r>
          </w:p>
        </w:tc>
        <w:tc>
          <w:tcPr>
            <w:tcW w:w="474" w:type="pct"/>
            <w:tcBorders>
              <w:tl2br w:val="nil"/>
              <w:tr2bl w:val="nil"/>
            </w:tcBorders>
            <w:vAlign w:val="top"/>
          </w:tcPr>
          <w:p>
            <w:pPr>
              <w:spacing w:before="66" w:line="195" w:lineRule="auto"/>
              <w:ind w:left="26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Times New Roman" w:cs="Times New Roman"/>
                <w:spacing w:val="-2"/>
                <w:sz w:val="21"/>
                <w:szCs w:val="21"/>
                <w:highlight w:val="none"/>
              </w:rPr>
              <w:t>1</w:t>
            </w:r>
            <w:r>
              <w:rPr>
                <w:rFonts w:hint="default" w:ascii="Times New Roman" w:hAnsi="Times New Roman" w:eastAsia="宋体" w:cs="Times New Roman"/>
                <w:spacing w:val="-2"/>
                <w:sz w:val="21"/>
                <w:szCs w:val="21"/>
                <w:highlight w:val="none"/>
                <w:lang w:val="en-US" w:eastAsia="zh-CN"/>
              </w:rPr>
              <w:t>860</w:t>
            </w:r>
          </w:p>
        </w:tc>
        <w:tc>
          <w:tcPr>
            <w:tcW w:w="808" w:type="pct"/>
            <w:tcBorders>
              <w:tl2br w:val="nil"/>
              <w:tr2bl w:val="nil"/>
            </w:tcBorders>
            <w:vAlign w:val="top"/>
          </w:tcPr>
          <w:p>
            <w:pPr>
              <w:spacing w:before="30" w:line="218"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lang w:val="en-US" w:eastAsia="zh-CN"/>
              </w:rPr>
              <w:t>80</w:t>
            </w:r>
            <w:r>
              <w:rPr>
                <w:rFonts w:hint="default" w:ascii="Times New Roman" w:hAnsi="Times New Roman" w:eastAsia="Times New Roman" w:cs="Times New Roman"/>
                <w:spacing w:val="4"/>
                <w:sz w:val="21"/>
                <w:szCs w:val="21"/>
                <w:highlight w:val="none"/>
              </w:rPr>
              <w:t xml:space="preserve"> </w:t>
            </w:r>
            <w:r>
              <w:rPr>
                <w:rFonts w:hint="default" w:ascii="Times New Roman" w:hAnsi="Times New Roman" w:eastAsia="宋体" w:cs="Times New Roman"/>
                <w:spacing w:val="4"/>
                <w:sz w:val="21"/>
                <w:szCs w:val="21"/>
                <w:highlight w:val="none"/>
              </w:rPr>
              <w:t>户，</w:t>
            </w:r>
            <w:r>
              <w:rPr>
                <w:rFonts w:hint="default" w:ascii="Times New Roman" w:hAnsi="Times New Roman" w:eastAsia="宋体" w:cs="Times New Roman"/>
                <w:spacing w:val="4"/>
                <w:sz w:val="21"/>
                <w:szCs w:val="21"/>
                <w:highlight w:val="none"/>
                <w:lang w:val="en-US" w:eastAsia="zh-CN"/>
              </w:rPr>
              <w:t>200</w:t>
            </w:r>
            <w:r>
              <w:rPr>
                <w:rFonts w:hint="default" w:ascii="Times New Roman" w:hAnsi="Times New Roman" w:eastAsia="Times New Roman" w:cs="Times New Roman"/>
                <w:spacing w:val="11"/>
                <w:sz w:val="21"/>
                <w:szCs w:val="21"/>
                <w:highlight w:val="none"/>
              </w:rPr>
              <w:t xml:space="preserve"> </w:t>
            </w:r>
            <w:r>
              <w:rPr>
                <w:rFonts w:hint="default" w:ascii="Times New Roman" w:hAnsi="Times New Roman" w:eastAsia="宋体" w:cs="Times New Roman"/>
                <w:spacing w:val="4"/>
                <w:sz w:val="21"/>
                <w:szCs w:val="21"/>
                <w:highlight w:val="none"/>
              </w:rPr>
              <w:t>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7" w:line="195" w:lineRule="auto"/>
              <w:ind w:left="167"/>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z w:val="21"/>
                <w:szCs w:val="21"/>
                <w:highlight w:val="none"/>
              </w:rPr>
              <w:t>3</w:t>
            </w:r>
          </w:p>
        </w:tc>
        <w:tc>
          <w:tcPr>
            <w:tcW w:w="553" w:type="pct"/>
            <w:tcBorders>
              <w:tl2br w:val="nil"/>
              <w:tr2bl w:val="nil"/>
            </w:tcBorders>
            <w:vAlign w:val="top"/>
          </w:tcPr>
          <w:p>
            <w:pPr>
              <w:spacing w:before="31" w:line="217" w:lineRule="auto"/>
              <w:ind w:left="141"/>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7"/>
                <w:sz w:val="21"/>
                <w:szCs w:val="21"/>
                <w:highlight w:val="none"/>
              </w:rPr>
              <w:t>兴乐村</w:t>
            </w:r>
          </w:p>
        </w:tc>
        <w:tc>
          <w:tcPr>
            <w:tcW w:w="624" w:type="pct"/>
            <w:tcBorders>
              <w:tl2br w:val="nil"/>
              <w:tr2bl w:val="nil"/>
            </w:tcBorders>
            <w:vAlign w:val="top"/>
          </w:tcPr>
          <w:p>
            <w:pPr>
              <w:spacing w:before="67"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127.05621958</w:t>
            </w:r>
          </w:p>
        </w:tc>
        <w:tc>
          <w:tcPr>
            <w:tcW w:w="567" w:type="pct"/>
            <w:tcBorders>
              <w:tl2br w:val="nil"/>
              <w:tr2bl w:val="nil"/>
            </w:tcBorders>
            <w:vAlign w:val="top"/>
          </w:tcPr>
          <w:p>
            <w:pPr>
              <w:spacing w:before="67"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1"/>
                <w:sz w:val="21"/>
                <w:szCs w:val="21"/>
                <w:highlight w:val="none"/>
              </w:rPr>
              <w:t>46.42036804</w:t>
            </w:r>
          </w:p>
        </w:tc>
        <w:tc>
          <w:tcPr>
            <w:tcW w:w="328" w:type="pct"/>
            <w:tcBorders>
              <w:tl2br w:val="nil"/>
              <w:tr2bl w:val="nil"/>
            </w:tcBorders>
            <w:vAlign w:val="top"/>
          </w:tcPr>
          <w:p>
            <w:pPr>
              <w:spacing w:before="70" w:line="192"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8"/>
                <w:sz w:val="21"/>
                <w:szCs w:val="21"/>
                <w:highlight w:val="none"/>
                <w:lang w:val="en-US" w:eastAsia="zh-CN"/>
              </w:rPr>
              <w:t>SW</w:t>
            </w:r>
          </w:p>
        </w:tc>
        <w:tc>
          <w:tcPr>
            <w:tcW w:w="474" w:type="pct"/>
            <w:tcBorders>
              <w:tl2br w:val="nil"/>
              <w:tr2bl w:val="nil"/>
            </w:tcBorders>
            <w:vAlign w:val="top"/>
          </w:tcPr>
          <w:p>
            <w:pPr>
              <w:spacing w:before="67" w:line="195" w:lineRule="auto"/>
              <w:ind w:left="24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3"/>
                <w:sz w:val="21"/>
                <w:szCs w:val="21"/>
                <w:highlight w:val="none"/>
                <w:lang w:val="en-US" w:eastAsia="zh-CN"/>
              </w:rPr>
              <w:t>2360</w:t>
            </w:r>
          </w:p>
        </w:tc>
        <w:tc>
          <w:tcPr>
            <w:tcW w:w="808" w:type="pct"/>
            <w:tcBorders>
              <w:tl2br w:val="nil"/>
              <w:tr2bl w:val="nil"/>
            </w:tcBorders>
            <w:vAlign w:val="top"/>
          </w:tcPr>
          <w:p>
            <w:pPr>
              <w:spacing w:before="31" w:line="217" w:lineRule="auto"/>
              <w:jc w:val="center"/>
              <w:rPr>
                <w:rFonts w:hint="default" w:ascii="Times New Roman" w:hAnsi="Times New Roman" w:eastAsia="宋体" w:cs="Times New Roman"/>
                <w:sz w:val="21"/>
                <w:szCs w:val="21"/>
                <w:highlight w:val="none"/>
              </w:rPr>
            </w:pPr>
            <w:r>
              <w:rPr>
                <w:rFonts w:hint="default" w:ascii="Times New Roman" w:hAnsi="Times New Roman" w:eastAsia="Times New Roman" w:cs="Times New Roman"/>
                <w:spacing w:val="4"/>
                <w:sz w:val="21"/>
                <w:szCs w:val="21"/>
                <w:highlight w:val="none"/>
              </w:rPr>
              <w:t xml:space="preserve">20 </w:t>
            </w:r>
            <w:r>
              <w:rPr>
                <w:rFonts w:hint="default" w:ascii="Times New Roman" w:hAnsi="Times New Roman" w:eastAsia="宋体" w:cs="Times New Roman"/>
                <w:spacing w:val="4"/>
                <w:sz w:val="21"/>
                <w:szCs w:val="21"/>
                <w:highlight w:val="none"/>
              </w:rPr>
              <w:t>户，</w:t>
            </w:r>
            <w:r>
              <w:rPr>
                <w:rFonts w:hint="default" w:ascii="Times New Roman" w:hAnsi="Times New Roman" w:eastAsia="Times New Roman" w:cs="Times New Roman"/>
                <w:spacing w:val="4"/>
                <w:sz w:val="21"/>
                <w:szCs w:val="21"/>
                <w:highlight w:val="none"/>
              </w:rPr>
              <w:t>60</w:t>
            </w:r>
            <w:r>
              <w:rPr>
                <w:rFonts w:hint="default" w:ascii="Times New Roman" w:hAnsi="Times New Roman" w:eastAsia="Times New Roman" w:cs="Times New Roman"/>
                <w:spacing w:val="15"/>
                <w:w w:val="101"/>
                <w:sz w:val="21"/>
                <w:szCs w:val="21"/>
                <w:highlight w:val="none"/>
              </w:rPr>
              <w:t xml:space="preserve"> </w:t>
            </w:r>
            <w:r>
              <w:rPr>
                <w:rFonts w:hint="default" w:ascii="Times New Roman" w:hAnsi="Times New Roman" w:eastAsia="宋体" w:cs="Times New Roman"/>
                <w:spacing w:val="4"/>
                <w:sz w:val="21"/>
                <w:szCs w:val="21"/>
                <w:highlight w:val="none"/>
              </w:rPr>
              <w:t>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8" w:line="195" w:lineRule="auto"/>
              <w:ind w:left="162"/>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1"/>
                <w:sz w:val="21"/>
                <w:szCs w:val="21"/>
                <w:highlight w:val="none"/>
              </w:rPr>
              <w:t>4</w:t>
            </w:r>
          </w:p>
        </w:tc>
        <w:tc>
          <w:tcPr>
            <w:tcW w:w="553" w:type="pct"/>
            <w:tcBorders>
              <w:tl2br w:val="nil"/>
              <w:tr2bl w:val="nil"/>
            </w:tcBorders>
            <w:vAlign w:val="top"/>
          </w:tcPr>
          <w:p>
            <w:pPr>
              <w:spacing w:before="32" w:line="217"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rPr>
              <w:t>小四间房</w:t>
            </w:r>
          </w:p>
        </w:tc>
        <w:tc>
          <w:tcPr>
            <w:tcW w:w="624" w:type="pct"/>
            <w:tcBorders>
              <w:tl2br w:val="nil"/>
              <w:tr2bl w:val="nil"/>
            </w:tcBorders>
            <w:vAlign w:val="top"/>
          </w:tcPr>
          <w:p>
            <w:pPr>
              <w:spacing w:before="68"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127.10748196</w:t>
            </w:r>
          </w:p>
        </w:tc>
        <w:tc>
          <w:tcPr>
            <w:tcW w:w="567" w:type="pct"/>
            <w:tcBorders>
              <w:tl2br w:val="nil"/>
              <w:tr2bl w:val="nil"/>
            </w:tcBorders>
            <w:vAlign w:val="top"/>
          </w:tcPr>
          <w:p>
            <w:pPr>
              <w:spacing w:before="68"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46.41846722</w:t>
            </w:r>
          </w:p>
        </w:tc>
        <w:tc>
          <w:tcPr>
            <w:tcW w:w="328" w:type="pct"/>
            <w:tcBorders>
              <w:tl2br w:val="nil"/>
              <w:tr2bl w:val="nil"/>
            </w:tcBorders>
            <w:vAlign w:val="top"/>
          </w:tcPr>
          <w:p>
            <w:pPr>
              <w:spacing w:before="71" w:line="192"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8"/>
                <w:sz w:val="21"/>
                <w:szCs w:val="21"/>
                <w:highlight w:val="none"/>
                <w:lang w:val="en-US" w:eastAsia="zh-CN"/>
              </w:rPr>
              <w:t>SE</w:t>
            </w:r>
          </w:p>
        </w:tc>
        <w:tc>
          <w:tcPr>
            <w:tcW w:w="474" w:type="pct"/>
            <w:tcBorders>
              <w:tl2br w:val="nil"/>
              <w:tr2bl w:val="nil"/>
            </w:tcBorders>
            <w:vAlign w:val="top"/>
          </w:tcPr>
          <w:p>
            <w:pPr>
              <w:spacing w:before="68" w:line="195" w:lineRule="auto"/>
              <w:ind w:left="24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3"/>
                <w:sz w:val="21"/>
                <w:szCs w:val="21"/>
                <w:highlight w:val="none"/>
                <w:lang w:val="en-US" w:eastAsia="zh-CN"/>
              </w:rPr>
              <w:t>1650</w:t>
            </w:r>
          </w:p>
        </w:tc>
        <w:tc>
          <w:tcPr>
            <w:tcW w:w="808" w:type="pct"/>
            <w:tcBorders>
              <w:tl2br w:val="nil"/>
              <w:tr2bl w:val="nil"/>
            </w:tcBorders>
            <w:vAlign w:val="top"/>
          </w:tcPr>
          <w:p>
            <w:pPr>
              <w:spacing w:before="32" w:line="217" w:lineRule="auto"/>
              <w:jc w:val="center"/>
              <w:rPr>
                <w:rFonts w:hint="default" w:ascii="Times New Roman" w:hAnsi="Times New Roman" w:eastAsia="宋体" w:cs="Times New Roman"/>
                <w:sz w:val="21"/>
                <w:szCs w:val="21"/>
                <w:highlight w:val="none"/>
              </w:rPr>
            </w:pPr>
            <w:r>
              <w:rPr>
                <w:rFonts w:hint="default" w:ascii="Times New Roman" w:hAnsi="Times New Roman" w:eastAsia="Times New Roman" w:cs="Times New Roman"/>
                <w:spacing w:val="3"/>
                <w:sz w:val="21"/>
                <w:szCs w:val="21"/>
                <w:highlight w:val="none"/>
              </w:rPr>
              <w:t xml:space="preserve">80 </w:t>
            </w:r>
            <w:r>
              <w:rPr>
                <w:rFonts w:hint="default" w:ascii="Times New Roman" w:hAnsi="Times New Roman" w:eastAsia="宋体" w:cs="Times New Roman"/>
                <w:spacing w:val="3"/>
                <w:sz w:val="21"/>
                <w:szCs w:val="21"/>
                <w:highlight w:val="none"/>
              </w:rPr>
              <w:t>户，</w:t>
            </w:r>
            <w:r>
              <w:rPr>
                <w:rFonts w:hint="default" w:ascii="Times New Roman" w:hAnsi="Times New Roman" w:eastAsia="Times New Roman" w:cs="Times New Roman"/>
                <w:spacing w:val="3"/>
                <w:sz w:val="21"/>
                <w:szCs w:val="21"/>
                <w:highlight w:val="none"/>
              </w:rPr>
              <w:t>240</w:t>
            </w:r>
            <w:r>
              <w:rPr>
                <w:rFonts w:hint="default" w:ascii="Times New Roman" w:hAnsi="Times New Roman" w:eastAsia="Times New Roman" w:cs="Times New Roman"/>
                <w:spacing w:val="17"/>
                <w:w w:val="101"/>
                <w:sz w:val="21"/>
                <w:szCs w:val="21"/>
                <w:highlight w:val="none"/>
              </w:rPr>
              <w:t xml:space="preserve"> </w:t>
            </w:r>
            <w:r>
              <w:rPr>
                <w:rFonts w:hint="default" w:ascii="Times New Roman" w:hAnsi="Times New Roman" w:eastAsia="宋体" w:cs="Times New Roman"/>
                <w:spacing w:val="3"/>
                <w:sz w:val="21"/>
                <w:szCs w:val="21"/>
                <w:highlight w:val="none"/>
              </w:rPr>
              <w:t>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9" w:line="192" w:lineRule="auto"/>
              <w:ind w:left="169"/>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z w:val="21"/>
                <w:szCs w:val="21"/>
                <w:highlight w:val="none"/>
              </w:rPr>
              <w:t>5</w:t>
            </w:r>
          </w:p>
        </w:tc>
        <w:tc>
          <w:tcPr>
            <w:tcW w:w="553" w:type="pct"/>
            <w:tcBorders>
              <w:tl2br w:val="nil"/>
              <w:tr2bl w:val="nil"/>
            </w:tcBorders>
            <w:vAlign w:val="top"/>
          </w:tcPr>
          <w:p>
            <w:pPr>
              <w:spacing w:before="30" w:line="218"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3"/>
                <w:sz w:val="21"/>
                <w:szCs w:val="21"/>
                <w:highlight w:val="none"/>
              </w:rPr>
              <w:t>孙长发屯</w:t>
            </w:r>
          </w:p>
        </w:tc>
        <w:tc>
          <w:tcPr>
            <w:tcW w:w="624" w:type="pct"/>
            <w:tcBorders>
              <w:tl2br w:val="nil"/>
              <w:tr2bl w:val="nil"/>
            </w:tcBorders>
            <w:vAlign w:val="top"/>
          </w:tcPr>
          <w:p>
            <w:pPr>
              <w:spacing w:before="66"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127.11671948</w:t>
            </w:r>
          </w:p>
        </w:tc>
        <w:tc>
          <w:tcPr>
            <w:tcW w:w="567" w:type="pct"/>
            <w:tcBorders>
              <w:tl2br w:val="nil"/>
              <w:tr2bl w:val="nil"/>
            </w:tcBorders>
            <w:vAlign w:val="top"/>
          </w:tcPr>
          <w:p>
            <w:pPr>
              <w:spacing w:before="66"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3"/>
                <w:sz w:val="21"/>
                <w:szCs w:val="21"/>
                <w:highlight w:val="none"/>
              </w:rPr>
              <w:t>46.40592903</w:t>
            </w:r>
          </w:p>
        </w:tc>
        <w:tc>
          <w:tcPr>
            <w:tcW w:w="328" w:type="pct"/>
            <w:tcBorders>
              <w:tl2br w:val="nil"/>
              <w:tr2bl w:val="nil"/>
            </w:tcBorders>
            <w:vAlign w:val="top"/>
          </w:tcPr>
          <w:p>
            <w:pPr>
              <w:spacing w:before="69" w:line="192"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8"/>
                <w:sz w:val="21"/>
                <w:szCs w:val="21"/>
                <w:highlight w:val="none"/>
                <w:lang w:val="en-US" w:eastAsia="zh-CN"/>
              </w:rPr>
              <w:t>SE</w:t>
            </w:r>
          </w:p>
        </w:tc>
        <w:tc>
          <w:tcPr>
            <w:tcW w:w="474" w:type="pct"/>
            <w:tcBorders>
              <w:tl2br w:val="nil"/>
              <w:tr2bl w:val="nil"/>
            </w:tcBorders>
            <w:vAlign w:val="top"/>
          </w:tcPr>
          <w:p>
            <w:pPr>
              <w:spacing w:before="66" w:line="195" w:lineRule="auto"/>
              <w:ind w:left="26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2"/>
                <w:sz w:val="21"/>
                <w:szCs w:val="21"/>
                <w:highlight w:val="none"/>
                <w:lang w:val="en-US" w:eastAsia="zh-CN"/>
              </w:rPr>
              <w:t>3000</w:t>
            </w:r>
          </w:p>
        </w:tc>
        <w:tc>
          <w:tcPr>
            <w:tcW w:w="808" w:type="pct"/>
            <w:tcBorders>
              <w:tl2br w:val="nil"/>
              <w:tr2bl w:val="nil"/>
            </w:tcBorders>
            <w:vAlign w:val="top"/>
          </w:tcPr>
          <w:p>
            <w:pPr>
              <w:spacing w:before="30" w:line="218"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lang w:val="en-US" w:eastAsia="zh-CN"/>
              </w:rPr>
              <w:t>50</w:t>
            </w:r>
            <w:r>
              <w:rPr>
                <w:rFonts w:hint="default" w:ascii="Times New Roman" w:hAnsi="Times New Roman" w:eastAsia="Times New Roman" w:cs="Times New Roman"/>
                <w:spacing w:val="4"/>
                <w:sz w:val="21"/>
                <w:szCs w:val="21"/>
                <w:highlight w:val="none"/>
              </w:rPr>
              <w:t xml:space="preserve"> </w:t>
            </w:r>
            <w:r>
              <w:rPr>
                <w:rFonts w:hint="default" w:ascii="Times New Roman" w:hAnsi="Times New Roman" w:eastAsia="宋体" w:cs="Times New Roman"/>
                <w:spacing w:val="4"/>
                <w:sz w:val="21"/>
                <w:szCs w:val="21"/>
                <w:highlight w:val="none"/>
              </w:rPr>
              <w:t>户，</w:t>
            </w:r>
            <w:r>
              <w:rPr>
                <w:rFonts w:hint="default" w:ascii="Times New Roman" w:hAnsi="Times New Roman" w:eastAsia="Times New Roman" w:cs="Times New Roman"/>
                <w:spacing w:val="4"/>
                <w:sz w:val="21"/>
                <w:szCs w:val="21"/>
                <w:highlight w:val="none"/>
              </w:rPr>
              <w:t>105</w:t>
            </w:r>
            <w:r>
              <w:rPr>
                <w:rFonts w:hint="default" w:ascii="Times New Roman" w:hAnsi="Times New Roman" w:eastAsia="Times New Roman" w:cs="Times New Roman"/>
                <w:spacing w:val="13"/>
                <w:sz w:val="21"/>
                <w:szCs w:val="21"/>
                <w:highlight w:val="none"/>
              </w:rPr>
              <w:t xml:space="preserve"> </w:t>
            </w:r>
            <w:r>
              <w:rPr>
                <w:rFonts w:hint="default" w:ascii="Times New Roman" w:hAnsi="Times New Roman" w:eastAsia="宋体" w:cs="Times New Roman"/>
                <w:spacing w:val="4"/>
                <w:sz w:val="21"/>
                <w:szCs w:val="21"/>
                <w:highlight w:val="none"/>
              </w:rPr>
              <w:t>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5"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7" w:line="195" w:lineRule="auto"/>
              <w:ind w:left="168"/>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z w:val="21"/>
                <w:szCs w:val="21"/>
                <w:highlight w:val="none"/>
              </w:rPr>
              <w:t>6</w:t>
            </w:r>
          </w:p>
        </w:tc>
        <w:tc>
          <w:tcPr>
            <w:tcW w:w="553" w:type="pct"/>
            <w:tcBorders>
              <w:tl2br w:val="nil"/>
              <w:tr2bl w:val="nil"/>
            </w:tcBorders>
            <w:vAlign w:val="top"/>
          </w:tcPr>
          <w:p>
            <w:pPr>
              <w:spacing w:before="31" w:line="217"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6"/>
                <w:sz w:val="21"/>
                <w:szCs w:val="21"/>
                <w:highlight w:val="none"/>
              </w:rPr>
              <w:t>梁老奤</w:t>
            </w:r>
          </w:p>
        </w:tc>
        <w:tc>
          <w:tcPr>
            <w:tcW w:w="624" w:type="pct"/>
            <w:tcBorders>
              <w:tl2br w:val="nil"/>
              <w:tr2bl w:val="nil"/>
            </w:tcBorders>
            <w:vAlign w:val="top"/>
          </w:tcPr>
          <w:p>
            <w:pPr>
              <w:spacing w:before="67"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127.10349083</w:t>
            </w:r>
          </w:p>
        </w:tc>
        <w:tc>
          <w:tcPr>
            <w:tcW w:w="567" w:type="pct"/>
            <w:tcBorders>
              <w:tl2br w:val="nil"/>
              <w:tr2bl w:val="nil"/>
            </w:tcBorders>
            <w:vAlign w:val="top"/>
          </w:tcPr>
          <w:p>
            <w:pPr>
              <w:spacing w:before="67"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4"/>
                <w:sz w:val="21"/>
                <w:szCs w:val="21"/>
                <w:highlight w:val="none"/>
              </w:rPr>
              <w:t>46.40750478</w:t>
            </w:r>
          </w:p>
        </w:tc>
        <w:tc>
          <w:tcPr>
            <w:tcW w:w="328" w:type="pct"/>
            <w:tcBorders>
              <w:tl2br w:val="nil"/>
              <w:tr2bl w:val="nil"/>
            </w:tcBorders>
            <w:vAlign w:val="top"/>
          </w:tcPr>
          <w:p>
            <w:pPr>
              <w:spacing w:before="67" w:line="195" w:lineRule="auto"/>
              <w:jc w:val="center"/>
              <w:rPr>
                <w:rFonts w:hint="default" w:ascii="Times New Roman" w:hAnsi="Times New Roman" w:eastAsia="宋体" w:cs="Times New Roman"/>
                <w:sz w:val="21"/>
                <w:szCs w:val="21"/>
                <w:highlight w:val="none"/>
                <w:lang w:eastAsia="zh-CN"/>
              </w:rPr>
            </w:pPr>
            <w:r>
              <w:rPr>
                <w:rFonts w:hint="default" w:ascii="Times New Roman" w:hAnsi="Times New Roman" w:eastAsia="Times New Roman" w:cs="Times New Roman"/>
                <w:spacing w:val="-1"/>
                <w:sz w:val="21"/>
                <w:szCs w:val="21"/>
                <w:highlight w:val="none"/>
              </w:rPr>
              <w:t>S</w:t>
            </w:r>
            <w:r>
              <w:rPr>
                <w:rFonts w:hint="default" w:ascii="Times New Roman" w:hAnsi="Times New Roman" w:eastAsia="宋体" w:cs="Times New Roman"/>
                <w:spacing w:val="-1"/>
                <w:sz w:val="21"/>
                <w:szCs w:val="21"/>
                <w:highlight w:val="none"/>
                <w:lang w:val="en-US" w:eastAsia="zh-CN"/>
              </w:rPr>
              <w:t>E</w:t>
            </w:r>
          </w:p>
        </w:tc>
        <w:tc>
          <w:tcPr>
            <w:tcW w:w="474" w:type="pct"/>
            <w:tcBorders>
              <w:tl2br w:val="nil"/>
              <w:tr2bl w:val="nil"/>
            </w:tcBorders>
            <w:vAlign w:val="top"/>
          </w:tcPr>
          <w:p>
            <w:pPr>
              <w:spacing w:before="67" w:line="195" w:lineRule="auto"/>
              <w:ind w:left="24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3"/>
                <w:sz w:val="21"/>
                <w:szCs w:val="21"/>
                <w:highlight w:val="none"/>
                <w:lang w:val="en-US" w:eastAsia="zh-CN"/>
              </w:rPr>
              <w:t>2340</w:t>
            </w:r>
          </w:p>
        </w:tc>
        <w:tc>
          <w:tcPr>
            <w:tcW w:w="808" w:type="pct"/>
            <w:tcBorders>
              <w:tl2br w:val="nil"/>
              <w:tr2bl w:val="nil"/>
            </w:tcBorders>
            <w:vAlign w:val="top"/>
          </w:tcPr>
          <w:p>
            <w:pPr>
              <w:spacing w:before="31" w:line="217"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lang w:val="en-US" w:eastAsia="zh-CN"/>
              </w:rPr>
              <w:t>20</w:t>
            </w:r>
            <w:r>
              <w:rPr>
                <w:rFonts w:hint="default" w:ascii="Times New Roman" w:hAnsi="Times New Roman" w:eastAsia="Times New Roman" w:cs="Times New Roman"/>
                <w:spacing w:val="4"/>
                <w:sz w:val="21"/>
                <w:szCs w:val="21"/>
                <w:highlight w:val="none"/>
              </w:rPr>
              <w:t xml:space="preserve"> </w:t>
            </w:r>
            <w:r>
              <w:rPr>
                <w:rFonts w:hint="default" w:ascii="Times New Roman" w:hAnsi="Times New Roman" w:eastAsia="宋体" w:cs="Times New Roman"/>
                <w:spacing w:val="4"/>
                <w:sz w:val="21"/>
                <w:szCs w:val="21"/>
                <w:highlight w:val="none"/>
              </w:rPr>
              <w:t>户，</w:t>
            </w:r>
            <w:r>
              <w:rPr>
                <w:rFonts w:hint="default" w:ascii="Times New Roman" w:hAnsi="Times New Roman" w:eastAsia="宋体" w:cs="Times New Roman"/>
                <w:spacing w:val="4"/>
                <w:sz w:val="21"/>
                <w:szCs w:val="21"/>
                <w:highlight w:val="none"/>
                <w:lang w:val="en-US" w:eastAsia="zh-CN"/>
              </w:rPr>
              <w:t>60</w:t>
            </w:r>
            <w:r>
              <w:rPr>
                <w:rFonts w:hint="default" w:ascii="Times New Roman" w:hAnsi="Times New Roman" w:eastAsia="宋体" w:cs="Times New Roman"/>
                <w:spacing w:val="4"/>
                <w:sz w:val="21"/>
                <w:szCs w:val="21"/>
                <w:highlight w:val="none"/>
              </w:rPr>
              <w:t>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71" w:line="192" w:lineRule="auto"/>
              <w:ind w:left="166"/>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z w:val="21"/>
                <w:szCs w:val="21"/>
                <w:highlight w:val="none"/>
              </w:rPr>
              <w:t>7</w:t>
            </w:r>
          </w:p>
        </w:tc>
        <w:tc>
          <w:tcPr>
            <w:tcW w:w="553" w:type="pct"/>
            <w:tcBorders>
              <w:tl2br w:val="nil"/>
              <w:tr2bl w:val="nil"/>
            </w:tcBorders>
            <w:vAlign w:val="top"/>
          </w:tcPr>
          <w:p>
            <w:pPr>
              <w:spacing w:before="32" w:line="217"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3"/>
                <w:sz w:val="21"/>
                <w:szCs w:val="21"/>
                <w:highlight w:val="none"/>
              </w:rPr>
              <w:t>森林村</w:t>
            </w:r>
          </w:p>
        </w:tc>
        <w:tc>
          <w:tcPr>
            <w:tcW w:w="624" w:type="pct"/>
            <w:tcBorders>
              <w:tl2br w:val="nil"/>
              <w:tr2bl w:val="nil"/>
            </w:tcBorders>
            <w:vAlign w:val="top"/>
          </w:tcPr>
          <w:p>
            <w:pPr>
              <w:spacing w:before="68"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127.05623031</w:t>
            </w:r>
          </w:p>
        </w:tc>
        <w:tc>
          <w:tcPr>
            <w:tcW w:w="567" w:type="pct"/>
            <w:tcBorders>
              <w:tl2br w:val="nil"/>
              <w:tr2bl w:val="nil"/>
            </w:tcBorders>
            <w:vAlign w:val="top"/>
          </w:tcPr>
          <w:p>
            <w:pPr>
              <w:spacing w:before="68"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46.44127267</w:t>
            </w:r>
          </w:p>
        </w:tc>
        <w:tc>
          <w:tcPr>
            <w:tcW w:w="328" w:type="pct"/>
            <w:tcBorders>
              <w:tl2br w:val="nil"/>
              <w:tr2bl w:val="nil"/>
            </w:tcBorders>
            <w:vAlign w:val="top"/>
          </w:tcPr>
          <w:p>
            <w:pPr>
              <w:spacing w:before="68" w:line="195"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1"/>
                <w:sz w:val="21"/>
                <w:szCs w:val="21"/>
                <w:highlight w:val="none"/>
                <w:lang w:val="en-US" w:eastAsia="zh-CN"/>
              </w:rPr>
              <w:t>NW</w:t>
            </w:r>
          </w:p>
        </w:tc>
        <w:tc>
          <w:tcPr>
            <w:tcW w:w="474" w:type="pct"/>
            <w:tcBorders>
              <w:tl2br w:val="nil"/>
              <w:tr2bl w:val="nil"/>
            </w:tcBorders>
            <w:vAlign w:val="top"/>
          </w:tcPr>
          <w:p>
            <w:pPr>
              <w:spacing w:before="68" w:line="195" w:lineRule="auto"/>
              <w:ind w:left="24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3"/>
                <w:sz w:val="21"/>
                <w:szCs w:val="21"/>
                <w:highlight w:val="none"/>
                <w:lang w:val="en-US" w:eastAsia="zh-CN"/>
              </w:rPr>
              <w:t>2600</w:t>
            </w:r>
          </w:p>
        </w:tc>
        <w:tc>
          <w:tcPr>
            <w:tcW w:w="808" w:type="pct"/>
            <w:tcBorders>
              <w:tl2br w:val="nil"/>
              <w:tr2bl w:val="nil"/>
            </w:tcBorders>
            <w:vAlign w:val="top"/>
          </w:tcPr>
          <w:p>
            <w:pPr>
              <w:spacing w:before="32" w:line="217"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3"/>
                <w:sz w:val="21"/>
                <w:szCs w:val="21"/>
                <w:highlight w:val="none"/>
                <w:lang w:val="en-US" w:eastAsia="zh-CN"/>
              </w:rPr>
              <w:t>60</w:t>
            </w:r>
            <w:r>
              <w:rPr>
                <w:rFonts w:hint="default" w:ascii="Times New Roman" w:hAnsi="Times New Roman" w:eastAsia="宋体" w:cs="Times New Roman"/>
                <w:spacing w:val="3"/>
                <w:sz w:val="21"/>
                <w:szCs w:val="21"/>
                <w:highlight w:val="none"/>
              </w:rPr>
              <w:t>户，</w:t>
            </w:r>
            <w:r>
              <w:rPr>
                <w:rFonts w:hint="default" w:ascii="Times New Roman" w:hAnsi="Times New Roman" w:eastAsia="宋体" w:cs="Times New Roman"/>
                <w:spacing w:val="3"/>
                <w:sz w:val="21"/>
                <w:szCs w:val="21"/>
                <w:highlight w:val="none"/>
                <w:lang w:val="en-US" w:eastAsia="zh-CN"/>
              </w:rPr>
              <w:t>160</w:t>
            </w:r>
            <w:r>
              <w:rPr>
                <w:rFonts w:hint="default" w:ascii="Times New Roman" w:hAnsi="Times New Roman" w:eastAsia="Times New Roman" w:cs="Times New Roman"/>
                <w:spacing w:val="17"/>
                <w:w w:val="101"/>
                <w:sz w:val="21"/>
                <w:szCs w:val="21"/>
                <w:highlight w:val="none"/>
              </w:rPr>
              <w:t xml:space="preserve"> </w:t>
            </w:r>
            <w:r>
              <w:rPr>
                <w:rFonts w:hint="default" w:ascii="Times New Roman" w:hAnsi="Times New Roman" w:eastAsia="宋体" w:cs="Times New Roman"/>
                <w:spacing w:val="3"/>
                <w:sz w:val="21"/>
                <w:szCs w:val="21"/>
                <w:highlight w:val="none"/>
              </w:rPr>
              <w:t>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6" w:line="195" w:lineRule="auto"/>
              <w:ind w:left="171"/>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z w:val="21"/>
                <w:szCs w:val="21"/>
                <w:highlight w:val="none"/>
              </w:rPr>
              <w:t>8</w:t>
            </w:r>
          </w:p>
        </w:tc>
        <w:tc>
          <w:tcPr>
            <w:tcW w:w="553" w:type="pct"/>
            <w:tcBorders>
              <w:tl2br w:val="nil"/>
              <w:tr2bl w:val="nil"/>
            </w:tcBorders>
            <w:vAlign w:val="top"/>
          </w:tcPr>
          <w:p>
            <w:pPr>
              <w:spacing w:before="30" w:line="218"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2"/>
                <w:sz w:val="21"/>
                <w:szCs w:val="21"/>
                <w:highlight w:val="none"/>
              </w:rPr>
              <w:t>永合村</w:t>
            </w:r>
          </w:p>
        </w:tc>
        <w:tc>
          <w:tcPr>
            <w:tcW w:w="624" w:type="pct"/>
            <w:tcBorders>
              <w:tl2br w:val="nil"/>
              <w:tr2bl w:val="nil"/>
            </w:tcBorders>
            <w:vAlign w:val="top"/>
          </w:tcPr>
          <w:p>
            <w:pPr>
              <w:spacing w:before="66"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127.07107902</w:t>
            </w:r>
          </w:p>
        </w:tc>
        <w:tc>
          <w:tcPr>
            <w:tcW w:w="567" w:type="pct"/>
            <w:tcBorders>
              <w:tl2br w:val="nil"/>
              <w:tr2bl w:val="nil"/>
            </w:tcBorders>
            <w:vAlign w:val="top"/>
          </w:tcPr>
          <w:p>
            <w:pPr>
              <w:spacing w:before="66"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46.43981618</w:t>
            </w:r>
          </w:p>
        </w:tc>
        <w:tc>
          <w:tcPr>
            <w:tcW w:w="328" w:type="pct"/>
            <w:tcBorders>
              <w:tl2br w:val="nil"/>
              <w:tr2bl w:val="nil"/>
            </w:tcBorders>
            <w:vAlign w:val="top"/>
          </w:tcPr>
          <w:p>
            <w:pPr>
              <w:spacing w:before="66" w:line="195"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1"/>
                <w:sz w:val="21"/>
                <w:szCs w:val="21"/>
                <w:highlight w:val="none"/>
                <w:lang w:val="en-US" w:eastAsia="zh-CN"/>
              </w:rPr>
              <w:t>NW</w:t>
            </w:r>
          </w:p>
        </w:tc>
        <w:tc>
          <w:tcPr>
            <w:tcW w:w="474" w:type="pct"/>
            <w:tcBorders>
              <w:tl2br w:val="nil"/>
              <w:tr2bl w:val="nil"/>
            </w:tcBorders>
            <w:vAlign w:val="top"/>
          </w:tcPr>
          <w:p>
            <w:pPr>
              <w:spacing w:before="66" w:line="195" w:lineRule="auto"/>
              <w:ind w:left="24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3"/>
                <w:sz w:val="21"/>
                <w:szCs w:val="21"/>
                <w:highlight w:val="none"/>
                <w:lang w:val="en-US" w:eastAsia="zh-CN"/>
              </w:rPr>
              <w:t>1100</w:t>
            </w:r>
          </w:p>
        </w:tc>
        <w:tc>
          <w:tcPr>
            <w:tcW w:w="808" w:type="pct"/>
            <w:tcBorders>
              <w:tl2br w:val="nil"/>
              <w:tr2bl w:val="nil"/>
            </w:tcBorders>
            <w:vAlign w:val="top"/>
          </w:tcPr>
          <w:p>
            <w:pPr>
              <w:spacing w:before="30" w:line="218"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3"/>
                <w:sz w:val="21"/>
                <w:szCs w:val="21"/>
                <w:highlight w:val="none"/>
                <w:lang w:val="en-US" w:eastAsia="zh-CN"/>
              </w:rPr>
              <w:t>100</w:t>
            </w:r>
            <w:r>
              <w:rPr>
                <w:rFonts w:hint="default" w:ascii="Times New Roman" w:hAnsi="Times New Roman" w:eastAsia="Times New Roman" w:cs="Times New Roman"/>
                <w:spacing w:val="3"/>
                <w:sz w:val="21"/>
                <w:szCs w:val="21"/>
                <w:highlight w:val="none"/>
              </w:rPr>
              <w:t xml:space="preserve"> </w:t>
            </w:r>
            <w:r>
              <w:rPr>
                <w:rFonts w:hint="default" w:ascii="Times New Roman" w:hAnsi="Times New Roman" w:eastAsia="宋体" w:cs="Times New Roman"/>
                <w:spacing w:val="3"/>
                <w:sz w:val="21"/>
                <w:szCs w:val="21"/>
                <w:highlight w:val="none"/>
              </w:rPr>
              <w:t>户，</w:t>
            </w:r>
            <w:r>
              <w:rPr>
                <w:rFonts w:hint="default" w:ascii="Times New Roman" w:hAnsi="Times New Roman" w:eastAsia="宋体" w:cs="Times New Roman"/>
                <w:spacing w:val="3"/>
                <w:sz w:val="21"/>
                <w:szCs w:val="21"/>
                <w:highlight w:val="none"/>
                <w:lang w:val="en-US" w:eastAsia="zh-CN"/>
              </w:rPr>
              <w:t>300</w:t>
            </w:r>
            <w:r>
              <w:rPr>
                <w:rFonts w:hint="default" w:ascii="Times New Roman" w:hAnsi="Times New Roman" w:eastAsia="Times New Roman" w:cs="Times New Roman"/>
                <w:spacing w:val="17"/>
                <w:w w:val="101"/>
                <w:sz w:val="21"/>
                <w:szCs w:val="21"/>
                <w:highlight w:val="none"/>
              </w:rPr>
              <w:t xml:space="preserve"> </w:t>
            </w:r>
            <w:r>
              <w:rPr>
                <w:rFonts w:hint="default" w:ascii="Times New Roman" w:hAnsi="Times New Roman" w:eastAsia="宋体" w:cs="Times New Roman"/>
                <w:spacing w:val="3"/>
                <w:sz w:val="21"/>
                <w:szCs w:val="21"/>
                <w:highlight w:val="none"/>
              </w:rPr>
              <w:t>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7" w:line="195" w:lineRule="auto"/>
              <w:ind w:left="167"/>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z w:val="21"/>
                <w:szCs w:val="21"/>
                <w:highlight w:val="none"/>
              </w:rPr>
              <w:t>9</w:t>
            </w:r>
          </w:p>
        </w:tc>
        <w:tc>
          <w:tcPr>
            <w:tcW w:w="553" w:type="pct"/>
            <w:tcBorders>
              <w:tl2br w:val="nil"/>
              <w:tr2bl w:val="nil"/>
            </w:tcBorders>
            <w:vAlign w:val="top"/>
          </w:tcPr>
          <w:p>
            <w:pPr>
              <w:spacing w:before="31" w:line="217"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5"/>
                <w:sz w:val="21"/>
                <w:szCs w:val="21"/>
                <w:highlight w:val="none"/>
              </w:rPr>
              <w:t>巴彦县兴隆文化小学</w:t>
            </w:r>
          </w:p>
        </w:tc>
        <w:tc>
          <w:tcPr>
            <w:tcW w:w="624" w:type="pct"/>
            <w:tcBorders>
              <w:tl2br w:val="nil"/>
              <w:tr2bl w:val="nil"/>
            </w:tcBorders>
            <w:vAlign w:val="top"/>
          </w:tcPr>
          <w:p>
            <w:pPr>
              <w:spacing w:before="67"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127.08671093</w:t>
            </w:r>
          </w:p>
        </w:tc>
        <w:tc>
          <w:tcPr>
            <w:tcW w:w="567" w:type="pct"/>
            <w:tcBorders>
              <w:tl2br w:val="nil"/>
              <w:tr2bl w:val="nil"/>
            </w:tcBorders>
            <w:vAlign w:val="top"/>
          </w:tcPr>
          <w:p>
            <w:pPr>
              <w:spacing w:before="67"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3"/>
                <w:sz w:val="21"/>
                <w:szCs w:val="21"/>
                <w:highlight w:val="none"/>
              </w:rPr>
              <w:t>46.43738370</w:t>
            </w:r>
          </w:p>
        </w:tc>
        <w:tc>
          <w:tcPr>
            <w:tcW w:w="328" w:type="pct"/>
            <w:tcBorders>
              <w:tl2br w:val="nil"/>
              <w:tr2bl w:val="nil"/>
            </w:tcBorders>
            <w:vAlign w:val="top"/>
          </w:tcPr>
          <w:p>
            <w:pPr>
              <w:spacing w:before="67" w:line="195"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1"/>
                <w:sz w:val="21"/>
                <w:szCs w:val="21"/>
                <w:highlight w:val="none"/>
                <w:lang w:val="en-US" w:eastAsia="zh-CN"/>
              </w:rPr>
              <w:t>NW</w:t>
            </w:r>
          </w:p>
        </w:tc>
        <w:tc>
          <w:tcPr>
            <w:tcW w:w="474" w:type="pct"/>
            <w:tcBorders>
              <w:tl2br w:val="nil"/>
              <w:tr2bl w:val="nil"/>
            </w:tcBorders>
            <w:vAlign w:val="top"/>
          </w:tcPr>
          <w:p>
            <w:pPr>
              <w:spacing w:before="67" w:line="195" w:lineRule="auto"/>
              <w:ind w:left="24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3"/>
                <w:sz w:val="21"/>
                <w:szCs w:val="21"/>
                <w:highlight w:val="none"/>
                <w:lang w:val="en-US" w:eastAsia="zh-CN"/>
              </w:rPr>
              <w:t>1000</w:t>
            </w:r>
          </w:p>
        </w:tc>
        <w:tc>
          <w:tcPr>
            <w:tcW w:w="808" w:type="pct"/>
            <w:tcBorders>
              <w:tl2br w:val="nil"/>
              <w:tr2bl w:val="nil"/>
            </w:tcBorders>
            <w:vAlign w:val="top"/>
          </w:tcPr>
          <w:p>
            <w:pPr>
              <w:spacing w:before="31" w:line="217" w:lineRule="auto"/>
              <w:jc w:val="center"/>
              <w:rPr>
                <w:rFonts w:hint="default" w:ascii="Times New Roman" w:hAnsi="Times New Roman" w:eastAsia="宋体" w:cs="Times New Roman"/>
                <w:sz w:val="21"/>
                <w:szCs w:val="21"/>
                <w:highlight w:val="none"/>
              </w:rPr>
            </w:pPr>
            <w:r>
              <w:rPr>
                <w:rFonts w:hint="default" w:ascii="Times New Roman" w:hAnsi="Times New Roman" w:eastAsia="Times New Roman" w:cs="Times New Roman"/>
                <w:spacing w:val="4"/>
                <w:sz w:val="21"/>
                <w:szCs w:val="21"/>
                <w:highlight w:val="none"/>
              </w:rPr>
              <w:t>150</w:t>
            </w:r>
            <w:r>
              <w:rPr>
                <w:rFonts w:hint="default" w:ascii="Times New Roman" w:hAnsi="Times New Roman" w:eastAsia="Times New Roman" w:cs="Times New Roman"/>
                <w:spacing w:val="11"/>
                <w:sz w:val="21"/>
                <w:szCs w:val="21"/>
                <w:highlight w:val="none"/>
              </w:rPr>
              <w:t xml:space="preserve"> </w:t>
            </w:r>
            <w:r>
              <w:rPr>
                <w:rFonts w:hint="default" w:ascii="Times New Roman" w:hAnsi="Times New Roman" w:eastAsia="宋体" w:cs="Times New Roman"/>
                <w:spacing w:val="4"/>
                <w:sz w:val="21"/>
                <w:szCs w:val="21"/>
                <w:highlight w:val="none"/>
              </w:rPr>
              <w:t>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9" w:line="195" w:lineRule="auto"/>
              <w:ind w:left="130"/>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8"/>
                <w:sz w:val="21"/>
                <w:szCs w:val="21"/>
                <w:highlight w:val="none"/>
              </w:rPr>
              <w:t>10</w:t>
            </w:r>
          </w:p>
        </w:tc>
        <w:tc>
          <w:tcPr>
            <w:tcW w:w="553" w:type="pct"/>
            <w:tcBorders>
              <w:tl2br w:val="nil"/>
              <w:tr2bl w:val="nil"/>
            </w:tcBorders>
            <w:vAlign w:val="top"/>
          </w:tcPr>
          <w:p>
            <w:pPr>
              <w:spacing w:before="32" w:line="217"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3"/>
                <w:sz w:val="21"/>
                <w:szCs w:val="21"/>
                <w:highlight w:val="none"/>
              </w:rPr>
              <w:t>巴彦县兴隆红星小学</w:t>
            </w:r>
          </w:p>
        </w:tc>
        <w:tc>
          <w:tcPr>
            <w:tcW w:w="624" w:type="pct"/>
            <w:tcBorders>
              <w:tl2br w:val="nil"/>
              <w:tr2bl w:val="nil"/>
            </w:tcBorders>
            <w:vAlign w:val="top"/>
          </w:tcPr>
          <w:p>
            <w:pPr>
              <w:spacing w:before="69"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127.10304022</w:t>
            </w:r>
          </w:p>
        </w:tc>
        <w:tc>
          <w:tcPr>
            <w:tcW w:w="567" w:type="pct"/>
            <w:tcBorders>
              <w:tl2br w:val="nil"/>
              <w:tr2bl w:val="nil"/>
            </w:tcBorders>
            <w:vAlign w:val="top"/>
          </w:tcPr>
          <w:p>
            <w:pPr>
              <w:spacing w:before="69"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46.43308037</w:t>
            </w:r>
          </w:p>
        </w:tc>
        <w:tc>
          <w:tcPr>
            <w:tcW w:w="328" w:type="pct"/>
            <w:tcBorders>
              <w:tl2br w:val="nil"/>
              <w:tr2bl w:val="nil"/>
            </w:tcBorders>
            <w:vAlign w:val="top"/>
          </w:tcPr>
          <w:p>
            <w:pPr>
              <w:spacing w:before="69" w:line="195"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1"/>
                <w:sz w:val="21"/>
                <w:szCs w:val="21"/>
                <w:highlight w:val="none"/>
                <w:lang w:val="en-US" w:eastAsia="zh-CN"/>
              </w:rPr>
              <w:t>NE</w:t>
            </w:r>
          </w:p>
        </w:tc>
        <w:tc>
          <w:tcPr>
            <w:tcW w:w="474" w:type="pct"/>
            <w:tcBorders>
              <w:tl2br w:val="nil"/>
              <w:tr2bl w:val="nil"/>
            </w:tcBorders>
            <w:vAlign w:val="top"/>
          </w:tcPr>
          <w:p>
            <w:pPr>
              <w:spacing w:before="69" w:line="195" w:lineRule="auto"/>
              <w:ind w:left="26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2"/>
                <w:sz w:val="21"/>
                <w:szCs w:val="21"/>
                <w:highlight w:val="none"/>
                <w:lang w:val="en-US" w:eastAsia="zh-CN"/>
              </w:rPr>
              <w:t>1200</w:t>
            </w:r>
          </w:p>
        </w:tc>
        <w:tc>
          <w:tcPr>
            <w:tcW w:w="808" w:type="pct"/>
            <w:tcBorders>
              <w:tl2br w:val="nil"/>
              <w:tr2bl w:val="nil"/>
            </w:tcBorders>
            <w:vAlign w:val="top"/>
          </w:tcPr>
          <w:p>
            <w:pPr>
              <w:spacing w:before="32" w:line="217"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lang w:val="en-US" w:eastAsia="zh-CN"/>
              </w:rPr>
              <w:t>150</w:t>
            </w:r>
            <w:r>
              <w:rPr>
                <w:rFonts w:hint="default" w:ascii="Times New Roman" w:hAnsi="Times New Roman" w:eastAsia="Times New Roman" w:cs="Times New Roman"/>
                <w:spacing w:val="13"/>
                <w:w w:val="101"/>
                <w:sz w:val="21"/>
                <w:szCs w:val="21"/>
                <w:highlight w:val="none"/>
              </w:rPr>
              <w:t xml:space="preserve"> </w:t>
            </w:r>
            <w:r>
              <w:rPr>
                <w:rFonts w:hint="default" w:ascii="Times New Roman" w:hAnsi="Times New Roman" w:eastAsia="宋体" w:cs="Times New Roman"/>
                <w:spacing w:val="4"/>
                <w:sz w:val="21"/>
                <w:szCs w:val="21"/>
                <w:highlight w:val="none"/>
              </w:rPr>
              <w:t>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7" w:line="195" w:lineRule="auto"/>
              <w:ind w:left="135"/>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10"/>
                <w:sz w:val="21"/>
                <w:szCs w:val="21"/>
                <w:highlight w:val="none"/>
              </w:rPr>
              <w:t>11</w:t>
            </w:r>
          </w:p>
        </w:tc>
        <w:tc>
          <w:tcPr>
            <w:tcW w:w="553" w:type="pct"/>
            <w:tcBorders>
              <w:tl2br w:val="nil"/>
              <w:tr2bl w:val="nil"/>
            </w:tcBorders>
            <w:vAlign w:val="top"/>
          </w:tcPr>
          <w:p>
            <w:pPr>
              <w:spacing w:before="30" w:line="218"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6"/>
                <w:sz w:val="21"/>
                <w:szCs w:val="21"/>
                <w:highlight w:val="none"/>
              </w:rPr>
              <w:t>巴彦县兴隆中学</w:t>
            </w:r>
          </w:p>
        </w:tc>
        <w:tc>
          <w:tcPr>
            <w:tcW w:w="624" w:type="pct"/>
            <w:tcBorders>
              <w:tl2br w:val="nil"/>
              <w:tr2bl w:val="nil"/>
            </w:tcBorders>
            <w:vAlign w:val="top"/>
          </w:tcPr>
          <w:p>
            <w:pPr>
              <w:spacing w:before="66"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1"/>
                <w:sz w:val="21"/>
                <w:szCs w:val="21"/>
                <w:highlight w:val="none"/>
              </w:rPr>
              <w:t>127.10146844</w:t>
            </w:r>
          </w:p>
        </w:tc>
        <w:tc>
          <w:tcPr>
            <w:tcW w:w="567" w:type="pct"/>
            <w:tcBorders>
              <w:tl2br w:val="nil"/>
              <w:tr2bl w:val="nil"/>
            </w:tcBorders>
            <w:vAlign w:val="top"/>
          </w:tcPr>
          <w:p>
            <w:pPr>
              <w:spacing w:before="66"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3"/>
                <w:sz w:val="21"/>
                <w:szCs w:val="21"/>
                <w:highlight w:val="none"/>
              </w:rPr>
              <w:t>46.44344623</w:t>
            </w:r>
          </w:p>
        </w:tc>
        <w:tc>
          <w:tcPr>
            <w:tcW w:w="328" w:type="pct"/>
            <w:tcBorders>
              <w:tl2br w:val="nil"/>
              <w:tr2bl w:val="nil"/>
            </w:tcBorders>
            <w:vAlign w:val="top"/>
          </w:tcPr>
          <w:p>
            <w:pPr>
              <w:spacing w:before="66" w:line="195"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1"/>
                <w:sz w:val="21"/>
                <w:szCs w:val="21"/>
                <w:highlight w:val="none"/>
                <w:lang w:val="en-US" w:eastAsia="zh-CN"/>
              </w:rPr>
              <w:t>NE</w:t>
            </w:r>
          </w:p>
        </w:tc>
        <w:tc>
          <w:tcPr>
            <w:tcW w:w="474" w:type="pct"/>
            <w:tcBorders>
              <w:tl2br w:val="nil"/>
              <w:tr2bl w:val="nil"/>
            </w:tcBorders>
            <w:vAlign w:val="top"/>
          </w:tcPr>
          <w:p>
            <w:pPr>
              <w:spacing w:before="66" w:line="195" w:lineRule="auto"/>
              <w:ind w:left="24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3"/>
                <w:sz w:val="21"/>
                <w:szCs w:val="21"/>
                <w:highlight w:val="none"/>
                <w:lang w:val="en-US" w:eastAsia="zh-CN"/>
              </w:rPr>
              <w:t>1890</w:t>
            </w:r>
          </w:p>
        </w:tc>
        <w:tc>
          <w:tcPr>
            <w:tcW w:w="808" w:type="pct"/>
            <w:tcBorders>
              <w:tl2br w:val="nil"/>
              <w:tr2bl w:val="nil"/>
            </w:tcBorders>
            <w:vAlign w:val="top"/>
          </w:tcPr>
          <w:p>
            <w:pPr>
              <w:spacing w:before="30" w:line="218" w:lineRule="auto"/>
              <w:jc w:val="center"/>
              <w:rPr>
                <w:rFonts w:hint="default" w:ascii="Times New Roman" w:hAnsi="Times New Roman" w:eastAsia="宋体" w:cs="Times New Roman"/>
                <w:sz w:val="21"/>
                <w:szCs w:val="21"/>
                <w:highlight w:val="none"/>
              </w:rPr>
            </w:pPr>
            <w:r>
              <w:rPr>
                <w:rFonts w:hint="default" w:ascii="Times New Roman" w:hAnsi="Times New Roman" w:eastAsia="Times New Roman" w:cs="Times New Roman"/>
                <w:spacing w:val="4"/>
                <w:sz w:val="21"/>
                <w:szCs w:val="21"/>
                <w:highlight w:val="none"/>
              </w:rPr>
              <w:t>210</w:t>
            </w:r>
            <w:r>
              <w:rPr>
                <w:rFonts w:hint="default" w:ascii="Times New Roman" w:hAnsi="Times New Roman" w:eastAsia="Times New Roman" w:cs="Times New Roman"/>
                <w:spacing w:val="13"/>
                <w:sz w:val="21"/>
                <w:szCs w:val="21"/>
                <w:highlight w:val="none"/>
              </w:rPr>
              <w:t xml:space="preserve"> </w:t>
            </w:r>
            <w:r>
              <w:rPr>
                <w:rFonts w:hint="default" w:ascii="Times New Roman" w:hAnsi="Times New Roman" w:eastAsia="宋体" w:cs="Times New Roman"/>
                <w:spacing w:val="4"/>
                <w:sz w:val="21"/>
                <w:szCs w:val="21"/>
                <w:highlight w:val="none"/>
              </w:rPr>
              <w:t>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8" w:line="195" w:lineRule="auto"/>
              <w:ind w:left="130"/>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8"/>
                <w:sz w:val="21"/>
                <w:szCs w:val="21"/>
                <w:highlight w:val="none"/>
              </w:rPr>
              <w:t>12</w:t>
            </w:r>
          </w:p>
        </w:tc>
        <w:tc>
          <w:tcPr>
            <w:tcW w:w="553" w:type="pct"/>
            <w:tcBorders>
              <w:tl2br w:val="nil"/>
              <w:tr2bl w:val="nil"/>
            </w:tcBorders>
            <w:vAlign w:val="top"/>
          </w:tcPr>
          <w:p>
            <w:pPr>
              <w:spacing w:before="31" w:line="217"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3"/>
                <w:sz w:val="21"/>
                <w:szCs w:val="21"/>
                <w:highlight w:val="none"/>
              </w:rPr>
              <w:t>巴彦县第二人民医院</w:t>
            </w:r>
          </w:p>
        </w:tc>
        <w:tc>
          <w:tcPr>
            <w:tcW w:w="624" w:type="pct"/>
            <w:tcBorders>
              <w:tl2br w:val="nil"/>
              <w:tr2bl w:val="nil"/>
            </w:tcBorders>
            <w:vAlign w:val="top"/>
          </w:tcPr>
          <w:p>
            <w:pPr>
              <w:spacing w:before="68"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127.10299730</w:t>
            </w:r>
          </w:p>
        </w:tc>
        <w:tc>
          <w:tcPr>
            <w:tcW w:w="567" w:type="pct"/>
            <w:tcBorders>
              <w:tl2br w:val="nil"/>
              <w:tr2bl w:val="nil"/>
            </w:tcBorders>
            <w:vAlign w:val="top"/>
          </w:tcPr>
          <w:p>
            <w:pPr>
              <w:spacing w:before="68"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46.44743826</w:t>
            </w:r>
          </w:p>
        </w:tc>
        <w:tc>
          <w:tcPr>
            <w:tcW w:w="328" w:type="pct"/>
            <w:tcBorders>
              <w:tl2br w:val="nil"/>
              <w:tr2bl w:val="nil"/>
            </w:tcBorders>
            <w:vAlign w:val="top"/>
          </w:tcPr>
          <w:p>
            <w:pPr>
              <w:spacing w:before="68" w:line="195"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2"/>
                <w:sz w:val="21"/>
                <w:szCs w:val="21"/>
                <w:highlight w:val="none"/>
                <w:lang w:val="en-US" w:eastAsia="zh-CN"/>
              </w:rPr>
              <w:t>NE</w:t>
            </w:r>
          </w:p>
        </w:tc>
        <w:tc>
          <w:tcPr>
            <w:tcW w:w="474" w:type="pct"/>
            <w:tcBorders>
              <w:tl2br w:val="nil"/>
              <w:tr2bl w:val="nil"/>
            </w:tcBorders>
            <w:vAlign w:val="top"/>
          </w:tcPr>
          <w:p>
            <w:pPr>
              <w:spacing w:before="68" w:line="195" w:lineRule="auto"/>
              <w:ind w:left="24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3"/>
                <w:sz w:val="21"/>
                <w:szCs w:val="21"/>
                <w:highlight w:val="none"/>
                <w:lang w:val="en-US" w:eastAsia="zh-CN"/>
              </w:rPr>
              <w:t>2400</w:t>
            </w:r>
          </w:p>
        </w:tc>
        <w:tc>
          <w:tcPr>
            <w:tcW w:w="808" w:type="pct"/>
            <w:tcBorders>
              <w:tl2br w:val="nil"/>
              <w:tr2bl w:val="nil"/>
            </w:tcBorders>
            <w:vAlign w:val="top"/>
          </w:tcPr>
          <w:p>
            <w:pPr>
              <w:spacing w:before="31" w:line="217" w:lineRule="auto"/>
              <w:jc w:val="center"/>
              <w:rPr>
                <w:rFonts w:hint="eastAsia" w:ascii="Times New Roman" w:hAnsi="Times New Roman" w:eastAsia="宋体" w:cs="Times New Roman"/>
                <w:sz w:val="21"/>
                <w:szCs w:val="21"/>
                <w:highlight w:val="none"/>
                <w:lang w:eastAsia="zh-CN"/>
              </w:rPr>
            </w:pPr>
            <w:r>
              <w:rPr>
                <w:rFonts w:hint="default" w:ascii="Times New Roman" w:hAnsi="Times New Roman" w:eastAsia="Times New Roman" w:cs="Times New Roman"/>
                <w:sz w:val="21"/>
                <w:szCs w:val="21"/>
                <w:highlight w:val="none"/>
              </w:rPr>
              <w:t>30</w:t>
            </w:r>
            <w:r>
              <w:rPr>
                <w:rFonts w:hint="default" w:ascii="Times New Roman" w:hAnsi="Times New Roman" w:eastAsia="Times New Roman" w:cs="Times New Roman"/>
                <w:spacing w:val="11"/>
                <w:sz w:val="21"/>
                <w:szCs w:val="21"/>
                <w:highlight w:val="none"/>
              </w:rPr>
              <w:t xml:space="preserve"> </w:t>
            </w:r>
            <w:r>
              <w:rPr>
                <w:rFonts w:hint="eastAsia" w:ascii="Times New Roman" w:hAnsi="Times New Roman" w:eastAsia="宋体" w:cs="Times New Roman"/>
                <w:spacing w:val="11"/>
                <w:sz w:val="21"/>
                <w:szCs w:val="21"/>
                <w:highlight w:val="none"/>
                <w:lang w:val="en-US" w:eastAsia="zh-CN"/>
              </w:rPr>
              <w:t>0</w:t>
            </w:r>
            <w:r>
              <w:rPr>
                <w:rFonts w:hint="default" w:ascii="Times New Roman" w:hAnsi="Times New Roman" w:eastAsia="宋体" w:cs="Times New Roman"/>
                <w:sz w:val="21"/>
                <w:szCs w:val="21"/>
                <w:highlight w:val="none"/>
              </w:rPr>
              <w:t>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2"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9" w:line="195" w:lineRule="auto"/>
              <w:ind w:left="130"/>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8"/>
                <w:sz w:val="21"/>
                <w:szCs w:val="21"/>
                <w:highlight w:val="none"/>
              </w:rPr>
              <w:t>13</w:t>
            </w:r>
          </w:p>
        </w:tc>
        <w:tc>
          <w:tcPr>
            <w:tcW w:w="553" w:type="pct"/>
            <w:tcBorders>
              <w:tl2br w:val="nil"/>
              <w:tr2bl w:val="nil"/>
            </w:tcBorders>
            <w:vAlign w:val="top"/>
          </w:tcPr>
          <w:p>
            <w:pPr>
              <w:spacing w:before="33" w:line="216"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1"/>
                <w:sz w:val="21"/>
                <w:szCs w:val="21"/>
                <w:highlight w:val="none"/>
              </w:rPr>
              <w:t>巴彦县兴隆镇中心学校</w:t>
            </w:r>
          </w:p>
        </w:tc>
        <w:tc>
          <w:tcPr>
            <w:tcW w:w="624" w:type="pct"/>
            <w:tcBorders>
              <w:tl2br w:val="nil"/>
              <w:tr2bl w:val="nil"/>
            </w:tcBorders>
            <w:vAlign w:val="top"/>
          </w:tcPr>
          <w:p>
            <w:pPr>
              <w:spacing w:before="69"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4"/>
                <w:sz w:val="21"/>
                <w:szCs w:val="21"/>
                <w:highlight w:val="none"/>
              </w:rPr>
              <w:t>127.10466564</w:t>
            </w:r>
          </w:p>
        </w:tc>
        <w:tc>
          <w:tcPr>
            <w:tcW w:w="567" w:type="pct"/>
            <w:tcBorders>
              <w:tl2br w:val="nil"/>
              <w:tr2bl w:val="nil"/>
            </w:tcBorders>
            <w:vAlign w:val="top"/>
          </w:tcPr>
          <w:p>
            <w:pPr>
              <w:spacing w:before="69"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46.44166820</w:t>
            </w:r>
          </w:p>
        </w:tc>
        <w:tc>
          <w:tcPr>
            <w:tcW w:w="328" w:type="pct"/>
            <w:tcBorders>
              <w:tl2br w:val="nil"/>
              <w:tr2bl w:val="nil"/>
            </w:tcBorders>
            <w:vAlign w:val="top"/>
          </w:tcPr>
          <w:p>
            <w:pPr>
              <w:spacing w:before="69" w:line="195"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2"/>
                <w:sz w:val="21"/>
                <w:szCs w:val="21"/>
                <w:highlight w:val="none"/>
                <w:lang w:val="en-US" w:eastAsia="zh-CN"/>
              </w:rPr>
              <w:t>NE</w:t>
            </w:r>
          </w:p>
        </w:tc>
        <w:tc>
          <w:tcPr>
            <w:tcW w:w="474" w:type="pct"/>
            <w:tcBorders>
              <w:tl2br w:val="nil"/>
              <w:tr2bl w:val="nil"/>
            </w:tcBorders>
            <w:vAlign w:val="top"/>
          </w:tcPr>
          <w:p>
            <w:pPr>
              <w:spacing w:before="69" w:line="195" w:lineRule="auto"/>
              <w:ind w:left="26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2"/>
                <w:sz w:val="21"/>
                <w:szCs w:val="21"/>
                <w:highlight w:val="none"/>
                <w:lang w:val="en-US" w:eastAsia="zh-CN"/>
              </w:rPr>
              <w:t>1950</w:t>
            </w:r>
          </w:p>
        </w:tc>
        <w:tc>
          <w:tcPr>
            <w:tcW w:w="808" w:type="pct"/>
            <w:tcBorders>
              <w:tl2br w:val="nil"/>
              <w:tr2bl w:val="nil"/>
            </w:tcBorders>
            <w:vAlign w:val="top"/>
          </w:tcPr>
          <w:p>
            <w:pPr>
              <w:spacing w:before="33" w:line="216"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lang w:val="en-US" w:eastAsia="zh-CN"/>
              </w:rPr>
              <w:t>150</w:t>
            </w:r>
            <w:r>
              <w:rPr>
                <w:rFonts w:hint="default" w:ascii="Times New Roman" w:hAnsi="Times New Roman" w:eastAsia="宋体" w:cs="Times New Roman"/>
                <w:spacing w:val="4"/>
                <w:sz w:val="21"/>
                <w:szCs w:val="21"/>
                <w:highlight w:val="none"/>
              </w:rPr>
              <w:t>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7" w:line="195" w:lineRule="auto"/>
              <w:ind w:left="130"/>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8"/>
                <w:sz w:val="21"/>
                <w:szCs w:val="21"/>
                <w:highlight w:val="none"/>
              </w:rPr>
              <w:t>14</w:t>
            </w:r>
          </w:p>
        </w:tc>
        <w:tc>
          <w:tcPr>
            <w:tcW w:w="553" w:type="pct"/>
            <w:tcBorders>
              <w:tl2br w:val="nil"/>
              <w:tr2bl w:val="nil"/>
            </w:tcBorders>
            <w:vAlign w:val="top"/>
          </w:tcPr>
          <w:p>
            <w:pPr>
              <w:spacing w:before="30" w:line="218"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3"/>
                <w:sz w:val="21"/>
                <w:szCs w:val="21"/>
                <w:highlight w:val="none"/>
              </w:rPr>
              <w:t>巴彦县兴隆镇人民政府</w:t>
            </w:r>
          </w:p>
        </w:tc>
        <w:tc>
          <w:tcPr>
            <w:tcW w:w="624" w:type="pct"/>
            <w:tcBorders>
              <w:tl2br w:val="nil"/>
              <w:tr2bl w:val="nil"/>
            </w:tcBorders>
            <w:vAlign w:val="top"/>
          </w:tcPr>
          <w:p>
            <w:pPr>
              <w:spacing w:before="67"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127.10930049</w:t>
            </w:r>
          </w:p>
        </w:tc>
        <w:tc>
          <w:tcPr>
            <w:tcW w:w="567" w:type="pct"/>
            <w:tcBorders>
              <w:tl2br w:val="nil"/>
              <w:tr2bl w:val="nil"/>
            </w:tcBorders>
            <w:vAlign w:val="top"/>
          </w:tcPr>
          <w:p>
            <w:pPr>
              <w:spacing w:before="67"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3"/>
                <w:sz w:val="21"/>
                <w:szCs w:val="21"/>
                <w:highlight w:val="none"/>
              </w:rPr>
              <w:t>46.43463685</w:t>
            </w:r>
          </w:p>
        </w:tc>
        <w:tc>
          <w:tcPr>
            <w:tcW w:w="328" w:type="pct"/>
            <w:tcBorders>
              <w:tl2br w:val="nil"/>
              <w:tr2bl w:val="nil"/>
            </w:tcBorders>
            <w:vAlign w:val="top"/>
          </w:tcPr>
          <w:p>
            <w:pPr>
              <w:spacing w:before="67" w:line="195"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2"/>
                <w:sz w:val="21"/>
                <w:szCs w:val="21"/>
                <w:highlight w:val="none"/>
                <w:lang w:val="en-US" w:eastAsia="zh-CN"/>
              </w:rPr>
              <w:t>NE</w:t>
            </w:r>
          </w:p>
        </w:tc>
        <w:tc>
          <w:tcPr>
            <w:tcW w:w="474" w:type="pct"/>
            <w:tcBorders>
              <w:tl2br w:val="nil"/>
              <w:tr2bl w:val="nil"/>
            </w:tcBorders>
            <w:vAlign w:val="top"/>
          </w:tcPr>
          <w:p>
            <w:pPr>
              <w:spacing w:before="67" w:line="195" w:lineRule="auto"/>
              <w:ind w:left="24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3"/>
                <w:sz w:val="21"/>
                <w:szCs w:val="21"/>
                <w:highlight w:val="none"/>
                <w:lang w:val="en-US" w:eastAsia="zh-CN"/>
              </w:rPr>
              <w:t>1700</w:t>
            </w:r>
          </w:p>
        </w:tc>
        <w:tc>
          <w:tcPr>
            <w:tcW w:w="808" w:type="pct"/>
            <w:tcBorders>
              <w:tl2br w:val="nil"/>
              <w:tr2bl w:val="nil"/>
            </w:tcBorders>
            <w:vAlign w:val="top"/>
          </w:tcPr>
          <w:p>
            <w:pPr>
              <w:spacing w:before="30" w:line="218" w:lineRule="auto"/>
              <w:jc w:val="center"/>
              <w:rPr>
                <w:rFonts w:hint="default" w:ascii="Times New Roman" w:hAnsi="Times New Roman" w:eastAsia="宋体" w:cs="Times New Roman"/>
                <w:sz w:val="21"/>
                <w:szCs w:val="21"/>
                <w:highlight w:val="none"/>
              </w:rPr>
            </w:pPr>
            <w:r>
              <w:rPr>
                <w:rFonts w:hint="default" w:ascii="Times New Roman" w:hAnsi="Times New Roman" w:eastAsia="Times New Roman" w:cs="Times New Roman"/>
                <w:spacing w:val="4"/>
                <w:sz w:val="21"/>
                <w:szCs w:val="21"/>
                <w:highlight w:val="none"/>
              </w:rPr>
              <w:t>60</w:t>
            </w:r>
            <w:r>
              <w:rPr>
                <w:rFonts w:hint="default" w:ascii="Times New Roman" w:hAnsi="Times New Roman" w:eastAsia="Times New Roman" w:cs="Times New Roman"/>
                <w:spacing w:val="15"/>
                <w:w w:val="101"/>
                <w:sz w:val="21"/>
                <w:szCs w:val="21"/>
                <w:highlight w:val="none"/>
              </w:rPr>
              <w:t xml:space="preserve"> </w:t>
            </w:r>
            <w:r>
              <w:rPr>
                <w:rFonts w:hint="default" w:ascii="Times New Roman" w:hAnsi="Times New Roman" w:eastAsia="宋体" w:cs="Times New Roman"/>
                <w:spacing w:val="4"/>
                <w:sz w:val="21"/>
                <w:szCs w:val="21"/>
                <w:highlight w:val="none"/>
              </w:rPr>
              <w:t>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8" w:line="195" w:lineRule="auto"/>
              <w:ind w:left="130"/>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8"/>
                <w:sz w:val="21"/>
                <w:szCs w:val="21"/>
                <w:highlight w:val="none"/>
              </w:rPr>
              <w:t>15</w:t>
            </w:r>
          </w:p>
        </w:tc>
        <w:tc>
          <w:tcPr>
            <w:tcW w:w="553" w:type="pct"/>
            <w:tcBorders>
              <w:tl2br w:val="nil"/>
              <w:tr2bl w:val="nil"/>
            </w:tcBorders>
            <w:vAlign w:val="top"/>
          </w:tcPr>
          <w:p>
            <w:pPr>
              <w:spacing w:before="33" w:line="216"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6"/>
                <w:sz w:val="21"/>
                <w:szCs w:val="21"/>
                <w:highlight w:val="none"/>
              </w:rPr>
              <w:t>黑龙江省兴隆林业地区公安局</w:t>
            </w:r>
          </w:p>
        </w:tc>
        <w:tc>
          <w:tcPr>
            <w:tcW w:w="624" w:type="pct"/>
            <w:tcBorders>
              <w:tl2br w:val="nil"/>
              <w:tr2bl w:val="nil"/>
            </w:tcBorders>
            <w:vAlign w:val="top"/>
          </w:tcPr>
          <w:p>
            <w:pPr>
              <w:spacing w:before="68"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1"/>
                <w:sz w:val="21"/>
                <w:szCs w:val="21"/>
                <w:highlight w:val="none"/>
              </w:rPr>
              <w:t>127.11559296</w:t>
            </w:r>
          </w:p>
        </w:tc>
        <w:tc>
          <w:tcPr>
            <w:tcW w:w="567" w:type="pct"/>
            <w:tcBorders>
              <w:tl2br w:val="nil"/>
              <w:tr2bl w:val="nil"/>
            </w:tcBorders>
            <w:vAlign w:val="top"/>
          </w:tcPr>
          <w:p>
            <w:pPr>
              <w:spacing w:before="68"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46.43776817</w:t>
            </w:r>
          </w:p>
        </w:tc>
        <w:tc>
          <w:tcPr>
            <w:tcW w:w="328" w:type="pct"/>
            <w:tcBorders>
              <w:tl2br w:val="nil"/>
              <w:tr2bl w:val="nil"/>
            </w:tcBorders>
            <w:vAlign w:val="top"/>
          </w:tcPr>
          <w:p>
            <w:pPr>
              <w:spacing w:before="68" w:line="195"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2"/>
                <w:sz w:val="21"/>
                <w:szCs w:val="21"/>
                <w:highlight w:val="none"/>
                <w:lang w:val="en-US" w:eastAsia="zh-CN"/>
              </w:rPr>
              <w:t>NE</w:t>
            </w:r>
          </w:p>
        </w:tc>
        <w:tc>
          <w:tcPr>
            <w:tcW w:w="474" w:type="pct"/>
            <w:tcBorders>
              <w:tl2br w:val="nil"/>
              <w:tr2bl w:val="nil"/>
            </w:tcBorders>
            <w:vAlign w:val="top"/>
          </w:tcPr>
          <w:p>
            <w:pPr>
              <w:spacing w:before="68" w:line="195" w:lineRule="auto"/>
              <w:ind w:left="24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3"/>
                <w:sz w:val="21"/>
                <w:szCs w:val="21"/>
                <w:highlight w:val="none"/>
                <w:lang w:val="en-US" w:eastAsia="zh-CN"/>
              </w:rPr>
              <w:t>2300</w:t>
            </w:r>
          </w:p>
        </w:tc>
        <w:tc>
          <w:tcPr>
            <w:tcW w:w="808" w:type="pct"/>
            <w:tcBorders>
              <w:tl2br w:val="nil"/>
              <w:tr2bl w:val="nil"/>
            </w:tcBorders>
            <w:vAlign w:val="top"/>
          </w:tcPr>
          <w:p>
            <w:pPr>
              <w:spacing w:before="33" w:line="216" w:lineRule="auto"/>
              <w:jc w:val="center"/>
              <w:rPr>
                <w:rFonts w:hint="default" w:ascii="Times New Roman" w:hAnsi="Times New Roman" w:eastAsia="宋体" w:cs="Times New Roman"/>
                <w:sz w:val="21"/>
                <w:szCs w:val="21"/>
                <w:highlight w:val="none"/>
              </w:rPr>
            </w:pPr>
            <w:r>
              <w:rPr>
                <w:rFonts w:hint="default" w:ascii="Times New Roman" w:hAnsi="Times New Roman" w:eastAsia="Times New Roman" w:cs="Times New Roman"/>
                <w:spacing w:val="4"/>
                <w:sz w:val="21"/>
                <w:szCs w:val="21"/>
                <w:highlight w:val="none"/>
              </w:rPr>
              <w:t>50</w:t>
            </w:r>
            <w:r>
              <w:rPr>
                <w:rFonts w:hint="default" w:ascii="Times New Roman" w:hAnsi="Times New Roman" w:eastAsia="Times New Roman" w:cs="Times New Roman"/>
                <w:spacing w:val="11"/>
                <w:sz w:val="21"/>
                <w:szCs w:val="21"/>
                <w:highlight w:val="none"/>
              </w:rPr>
              <w:t xml:space="preserve"> </w:t>
            </w:r>
            <w:r>
              <w:rPr>
                <w:rFonts w:hint="default" w:ascii="Times New Roman" w:hAnsi="Times New Roman" w:eastAsia="宋体" w:cs="Times New Roman"/>
                <w:spacing w:val="4"/>
                <w:sz w:val="21"/>
                <w:szCs w:val="21"/>
                <w:highlight w:val="none"/>
              </w:rPr>
              <w:t>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7" w:line="195" w:lineRule="auto"/>
              <w:ind w:left="130"/>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8"/>
                <w:sz w:val="21"/>
                <w:szCs w:val="21"/>
                <w:highlight w:val="none"/>
              </w:rPr>
              <w:t>16</w:t>
            </w:r>
          </w:p>
        </w:tc>
        <w:tc>
          <w:tcPr>
            <w:tcW w:w="553" w:type="pct"/>
            <w:tcBorders>
              <w:tl2br w:val="nil"/>
              <w:tr2bl w:val="nil"/>
            </w:tcBorders>
            <w:vAlign w:val="top"/>
          </w:tcPr>
          <w:p>
            <w:pPr>
              <w:spacing w:before="30" w:line="219"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6"/>
                <w:sz w:val="21"/>
                <w:szCs w:val="21"/>
                <w:highlight w:val="none"/>
              </w:rPr>
              <w:t>巴彦县人民法院兴隆人民法庭</w:t>
            </w:r>
          </w:p>
        </w:tc>
        <w:tc>
          <w:tcPr>
            <w:tcW w:w="624" w:type="pct"/>
            <w:tcBorders>
              <w:tl2br w:val="nil"/>
              <w:tr2bl w:val="nil"/>
            </w:tcBorders>
            <w:vAlign w:val="top"/>
          </w:tcPr>
          <w:p>
            <w:pPr>
              <w:spacing w:before="67"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1"/>
                <w:sz w:val="21"/>
                <w:szCs w:val="21"/>
                <w:highlight w:val="none"/>
              </w:rPr>
              <w:t>127.11859703</w:t>
            </w:r>
          </w:p>
        </w:tc>
        <w:tc>
          <w:tcPr>
            <w:tcW w:w="567" w:type="pct"/>
            <w:tcBorders>
              <w:tl2br w:val="nil"/>
              <w:tr2bl w:val="nil"/>
            </w:tcBorders>
            <w:vAlign w:val="top"/>
          </w:tcPr>
          <w:p>
            <w:pPr>
              <w:spacing w:before="67"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46.43782732</w:t>
            </w:r>
          </w:p>
        </w:tc>
        <w:tc>
          <w:tcPr>
            <w:tcW w:w="328" w:type="pct"/>
            <w:tcBorders>
              <w:tl2br w:val="nil"/>
              <w:tr2bl w:val="nil"/>
            </w:tcBorders>
            <w:vAlign w:val="top"/>
          </w:tcPr>
          <w:p>
            <w:pPr>
              <w:spacing w:before="67" w:line="195" w:lineRule="auto"/>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pacing w:val="-2"/>
                <w:sz w:val="21"/>
                <w:szCs w:val="21"/>
                <w:highlight w:val="none"/>
                <w:lang w:val="en-US" w:eastAsia="zh-CN"/>
              </w:rPr>
              <w:t>N</w:t>
            </w:r>
          </w:p>
        </w:tc>
        <w:tc>
          <w:tcPr>
            <w:tcW w:w="474" w:type="pct"/>
            <w:tcBorders>
              <w:tl2br w:val="nil"/>
              <w:tr2bl w:val="nil"/>
            </w:tcBorders>
            <w:vAlign w:val="top"/>
          </w:tcPr>
          <w:p>
            <w:pPr>
              <w:spacing w:before="67" w:line="195" w:lineRule="auto"/>
              <w:ind w:left="26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Times New Roman" w:cs="Times New Roman"/>
                <w:spacing w:val="-2"/>
                <w:sz w:val="21"/>
                <w:szCs w:val="21"/>
                <w:highlight w:val="none"/>
              </w:rPr>
              <w:t>1</w:t>
            </w:r>
            <w:r>
              <w:rPr>
                <w:rFonts w:hint="default" w:ascii="Times New Roman" w:hAnsi="Times New Roman" w:eastAsia="宋体" w:cs="Times New Roman"/>
                <w:spacing w:val="-2"/>
                <w:sz w:val="21"/>
                <w:szCs w:val="21"/>
                <w:highlight w:val="none"/>
                <w:lang w:val="en-US" w:eastAsia="zh-CN"/>
              </w:rPr>
              <w:t>230</w:t>
            </w:r>
          </w:p>
        </w:tc>
        <w:tc>
          <w:tcPr>
            <w:tcW w:w="808" w:type="pct"/>
            <w:tcBorders>
              <w:tl2br w:val="nil"/>
              <w:tr2bl w:val="nil"/>
            </w:tcBorders>
            <w:vAlign w:val="top"/>
          </w:tcPr>
          <w:p>
            <w:pPr>
              <w:spacing w:before="30" w:line="219"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3"/>
                <w:sz w:val="21"/>
                <w:szCs w:val="21"/>
                <w:highlight w:val="none"/>
                <w:lang w:val="en-US" w:eastAsia="zh-CN"/>
              </w:rPr>
              <w:t>50</w:t>
            </w:r>
            <w:r>
              <w:rPr>
                <w:rFonts w:hint="default" w:ascii="Times New Roman" w:hAnsi="Times New Roman" w:eastAsia="Times New Roman" w:cs="Times New Roman"/>
                <w:spacing w:val="17"/>
                <w:w w:val="101"/>
                <w:sz w:val="21"/>
                <w:szCs w:val="21"/>
                <w:highlight w:val="none"/>
              </w:rPr>
              <w:t xml:space="preserve"> </w:t>
            </w:r>
            <w:r>
              <w:rPr>
                <w:rFonts w:hint="default" w:ascii="Times New Roman" w:hAnsi="Times New Roman" w:eastAsia="宋体" w:cs="Times New Roman"/>
                <w:spacing w:val="3"/>
                <w:sz w:val="21"/>
                <w:szCs w:val="21"/>
                <w:highlight w:val="none"/>
              </w:rPr>
              <w:t>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7" w:line="195" w:lineRule="auto"/>
              <w:ind w:left="130"/>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8"/>
                <w:sz w:val="21"/>
                <w:szCs w:val="21"/>
                <w:highlight w:val="none"/>
              </w:rPr>
              <w:t>17</w:t>
            </w:r>
          </w:p>
        </w:tc>
        <w:tc>
          <w:tcPr>
            <w:tcW w:w="553" w:type="pct"/>
            <w:tcBorders>
              <w:tl2br w:val="nil"/>
              <w:tr2bl w:val="nil"/>
            </w:tcBorders>
            <w:vAlign w:val="top"/>
          </w:tcPr>
          <w:p>
            <w:pPr>
              <w:spacing w:before="31" w:line="217"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2"/>
                <w:sz w:val="21"/>
                <w:szCs w:val="21"/>
                <w:highlight w:val="none"/>
              </w:rPr>
              <w:t>巴彦县兴乐村卫生室</w:t>
            </w:r>
          </w:p>
        </w:tc>
        <w:tc>
          <w:tcPr>
            <w:tcW w:w="624" w:type="pct"/>
            <w:tcBorders>
              <w:tl2br w:val="nil"/>
              <w:tr2bl w:val="nil"/>
            </w:tcBorders>
            <w:vAlign w:val="top"/>
          </w:tcPr>
          <w:p>
            <w:pPr>
              <w:spacing w:before="67"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4"/>
                <w:sz w:val="21"/>
                <w:szCs w:val="21"/>
                <w:highlight w:val="none"/>
              </w:rPr>
              <w:t>127.09031582</w:t>
            </w:r>
          </w:p>
        </w:tc>
        <w:tc>
          <w:tcPr>
            <w:tcW w:w="567" w:type="pct"/>
            <w:tcBorders>
              <w:tl2br w:val="nil"/>
              <w:tr2bl w:val="nil"/>
            </w:tcBorders>
            <w:vAlign w:val="top"/>
          </w:tcPr>
          <w:p>
            <w:pPr>
              <w:spacing w:before="67"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46.43900290</w:t>
            </w:r>
          </w:p>
        </w:tc>
        <w:tc>
          <w:tcPr>
            <w:tcW w:w="328" w:type="pct"/>
            <w:tcBorders>
              <w:tl2br w:val="nil"/>
              <w:tr2bl w:val="nil"/>
            </w:tcBorders>
            <w:vAlign w:val="top"/>
          </w:tcPr>
          <w:p>
            <w:pPr>
              <w:spacing w:before="67" w:line="195" w:lineRule="auto"/>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pacing w:val="-2"/>
                <w:sz w:val="21"/>
                <w:szCs w:val="21"/>
                <w:highlight w:val="none"/>
                <w:lang w:val="en-US" w:eastAsia="zh-CN"/>
              </w:rPr>
              <w:t>N</w:t>
            </w:r>
          </w:p>
        </w:tc>
        <w:tc>
          <w:tcPr>
            <w:tcW w:w="474" w:type="pct"/>
            <w:tcBorders>
              <w:tl2br w:val="nil"/>
              <w:tr2bl w:val="nil"/>
            </w:tcBorders>
            <w:vAlign w:val="top"/>
          </w:tcPr>
          <w:p>
            <w:pPr>
              <w:spacing w:before="67" w:line="195" w:lineRule="auto"/>
              <w:ind w:left="24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3"/>
                <w:sz w:val="21"/>
                <w:szCs w:val="21"/>
                <w:highlight w:val="none"/>
                <w:lang w:val="en-US" w:eastAsia="zh-CN"/>
              </w:rPr>
              <w:t>1280</w:t>
            </w:r>
          </w:p>
        </w:tc>
        <w:tc>
          <w:tcPr>
            <w:tcW w:w="808" w:type="pct"/>
            <w:tcBorders>
              <w:tl2br w:val="nil"/>
              <w:tr2bl w:val="nil"/>
            </w:tcBorders>
            <w:vAlign w:val="top"/>
          </w:tcPr>
          <w:p>
            <w:pPr>
              <w:spacing w:before="31" w:line="217"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pacing w:val="4"/>
                <w:sz w:val="21"/>
                <w:szCs w:val="21"/>
                <w:highlight w:val="none"/>
                <w:lang w:val="en-US" w:eastAsia="zh-CN"/>
              </w:rPr>
              <w:t>50</w:t>
            </w:r>
            <w:r>
              <w:rPr>
                <w:rFonts w:hint="default" w:ascii="Times New Roman" w:hAnsi="Times New Roman" w:eastAsia="宋体" w:cs="Times New Roman"/>
                <w:spacing w:val="4"/>
                <w:sz w:val="21"/>
                <w:szCs w:val="21"/>
                <w:highlight w:val="none"/>
              </w:rPr>
              <w:t>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8" w:line="195" w:lineRule="auto"/>
              <w:ind w:left="130"/>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8"/>
                <w:sz w:val="21"/>
                <w:szCs w:val="21"/>
                <w:highlight w:val="none"/>
              </w:rPr>
              <w:t>18</w:t>
            </w:r>
          </w:p>
        </w:tc>
        <w:tc>
          <w:tcPr>
            <w:tcW w:w="553" w:type="pct"/>
            <w:tcBorders>
              <w:tl2br w:val="nil"/>
              <w:tr2bl w:val="nil"/>
            </w:tcBorders>
            <w:vAlign w:val="top"/>
          </w:tcPr>
          <w:p>
            <w:pPr>
              <w:spacing w:before="33" w:line="216"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5"/>
                <w:sz w:val="21"/>
                <w:szCs w:val="21"/>
                <w:highlight w:val="none"/>
              </w:rPr>
              <w:t>巴彦县兴隆二中</w:t>
            </w:r>
          </w:p>
        </w:tc>
        <w:tc>
          <w:tcPr>
            <w:tcW w:w="624" w:type="pct"/>
            <w:tcBorders>
              <w:tl2br w:val="nil"/>
              <w:tr2bl w:val="nil"/>
            </w:tcBorders>
            <w:vAlign w:val="top"/>
          </w:tcPr>
          <w:p>
            <w:pPr>
              <w:spacing w:before="68"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1"/>
                <w:sz w:val="21"/>
                <w:szCs w:val="21"/>
                <w:highlight w:val="none"/>
              </w:rPr>
              <w:t>127.08895326</w:t>
            </w:r>
          </w:p>
        </w:tc>
        <w:tc>
          <w:tcPr>
            <w:tcW w:w="567" w:type="pct"/>
            <w:tcBorders>
              <w:tl2br w:val="nil"/>
              <w:tr2bl w:val="nil"/>
            </w:tcBorders>
            <w:vAlign w:val="top"/>
          </w:tcPr>
          <w:p>
            <w:pPr>
              <w:spacing w:before="68"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46.43683656</w:t>
            </w:r>
          </w:p>
        </w:tc>
        <w:tc>
          <w:tcPr>
            <w:tcW w:w="328" w:type="pct"/>
            <w:tcBorders>
              <w:tl2br w:val="nil"/>
              <w:tr2bl w:val="nil"/>
            </w:tcBorders>
            <w:vAlign w:val="top"/>
          </w:tcPr>
          <w:p>
            <w:pPr>
              <w:spacing w:before="71" w:line="192" w:lineRule="auto"/>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pacing w:val="7"/>
                <w:sz w:val="21"/>
                <w:szCs w:val="21"/>
                <w:highlight w:val="none"/>
                <w:lang w:val="en-US" w:eastAsia="zh-CN"/>
              </w:rPr>
              <w:t>N</w:t>
            </w:r>
          </w:p>
        </w:tc>
        <w:tc>
          <w:tcPr>
            <w:tcW w:w="474" w:type="pct"/>
            <w:tcBorders>
              <w:tl2br w:val="nil"/>
              <w:tr2bl w:val="nil"/>
            </w:tcBorders>
            <w:vAlign w:val="top"/>
          </w:tcPr>
          <w:p>
            <w:pPr>
              <w:spacing w:before="68" w:line="195" w:lineRule="auto"/>
              <w:ind w:left="268"/>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2"/>
                <w:sz w:val="21"/>
                <w:szCs w:val="21"/>
                <w:highlight w:val="none"/>
                <w:lang w:val="en-US" w:eastAsia="zh-CN"/>
              </w:rPr>
              <w:t>950</w:t>
            </w:r>
          </w:p>
        </w:tc>
        <w:tc>
          <w:tcPr>
            <w:tcW w:w="808" w:type="pct"/>
            <w:tcBorders>
              <w:tl2br w:val="nil"/>
              <w:tr2bl w:val="nil"/>
            </w:tcBorders>
            <w:vAlign w:val="top"/>
          </w:tcPr>
          <w:p>
            <w:pPr>
              <w:spacing w:before="33" w:line="216"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pacing w:val="4"/>
                <w:sz w:val="21"/>
                <w:szCs w:val="21"/>
                <w:highlight w:val="none"/>
                <w:lang w:val="en-US" w:eastAsia="zh-CN"/>
              </w:rPr>
              <w:t>720人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75" w:type="pct"/>
            <w:vMerge w:val="continue"/>
            <w:tcBorders>
              <w:tl2br w:val="nil"/>
              <w:tr2bl w:val="nil"/>
            </w:tcBorders>
            <w:vAlign w:val="top"/>
          </w:tcPr>
          <w:p>
            <w:pPr>
              <w:pStyle w:val="35"/>
              <w:rPr>
                <w:rFonts w:hint="default" w:ascii="Times New Roman" w:hAnsi="Times New Roman" w:cs="Times New Roman"/>
                <w:sz w:val="21"/>
                <w:szCs w:val="21"/>
                <w:highlight w:val="none"/>
              </w:rPr>
            </w:pPr>
          </w:p>
        </w:tc>
        <w:tc>
          <w:tcPr>
            <w:tcW w:w="186" w:type="pct"/>
            <w:tcBorders>
              <w:tl2br w:val="nil"/>
              <w:tr2bl w:val="nil"/>
            </w:tcBorders>
            <w:vAlign w:val="top"/>
          </w:tcPr>
          <w:p>
            <w:pPr>
              <w:spacing w:before="68" w:line="195" w:lineRule="auto"/>
              <w:jc w:val="center"/>
              <w:rPr>
                <w:rFonts w:hint="default" w:ascii="Times New Roman" w:hAnsi="Times New Roman" w:eastAsia="Times New Roman" w:cs="Times New Roman"/>
                <w:spacing w:val="-8"/>
                <w:sz w:val="21"/>
                <w:szCs w:val="21"/>
                <w:highlight w:val="none"/>
              </w:rPr>
            </w:pPr>
            <w:r>
              <w:rPr>
                <w:rFonts w:hint="eastAsia" w:ascii="Times New Roman" w:hAnsi="Times New Roman" w:eastAsia="宋体" w:cs="Times New Roman"/>
                <w:spacing w:val="-8"/>
                <w:sz w:val="21"/>
                <w:szCs w:val="21"/>
                <w:highlight w:val="none"/>
                <w:lang w:val="en-US" w:eastAsia="zh-CN"/>
              </w:rPr>
              <w:t>19</w:t>
            </w:r>
          </w:p>
        </w:tc>
        <w:tc>
          <w:tcPr>
            <w:tcW w:w="553" w:type="pct"/>
            <w:tcBorders>
              <w:tl2br w:val="nil"/>
              <w:tr2bl w:val="nil"/>
            </w:tcBorders>
            <w:vAlign w:val="top"/>
          </w:tcPr>
          <w:p>
            <w:pPr>
              <w:spacing w:before="33" w:line="216" w:lineRule="auto"/>
              <w:jc w:val="center"/>
              <w:rPr>
                <w:rFonts w:hint="default" w:ascii="Times New Roman" w:hAnsi="Times New Roman" w:eastAsia="宋体" w:cs="Times New Roman"/>
                <w:spacing w:val="5"/>
                <w:sz w:val="21"/>
                <w:szCs w:val="21"/>
                <w:highlight w:val="none"/>
              </w:rPr>
            </w:pPr>
            <w:r>
              <w:rPr>
                <w:rFonts w:hint="eastAsia" w:ascii="Times New Roman" w:hAnsi="Times New Roman" w:eastAsia="宋体" w:cs="Times New Roman"/>
                <w:spacing w:val="5"/>
                <w:sz w:val="21"/>
                <w:szCs w:val="21"/>
                <w:highlight w:val="none"/>
                <w:lang w:val="en-US" w:eastAsia="zh-CN"/>
              </w:rPr>
              <w:t>兴隆镇居民</w:t>
            </w:r>
          </w:p>
        </w:tc>
        <w:tc>
          <w:tcPr>
            <w:tcW w:w="624" w:type="pct"/>
            <w:tcBorders>
              <w:tl2br w:val="nil"/>
              <w:tr2bl w:val="nil"/>
            </w:tcBorders>
            <w:vAlign w:val="top"/>
          </w:tcPr>
          <w:p>
            <w:pPr>
              <w:spacing w:before="68" w:line="195" w:lineRule="auto"/>
              <w:jc w:val="center"/>
              <w:rPr>
                <w:rFonts w:hint="default" w:ascii="Times New Roman" w:hAnsi="Times New Roman" w:eastAsia="Times New Roman" w:cs="Times New Roman"/>
                <w:spacing w:val="-1"/>
                <w:sz w:val="21"/>
                <w:szCs w:val="21"/>
                <w:highlight w:val="none"/>
              </w:rPr>
            </w:pPr>
            <w:r>
              <w:rPr>
                <w:rFonts w:hint="default" w:ascii="Times New Roman" w:hAnsi="Times New Roman" w:eastAsia="Times New Roman" w:cs="Times New Roman"/>
                <w:spacing w:val="-1"/>
                <w:sz w:val="21"/>
                <w:szCs w:val="21"/>
                <w:highlight w:val="none"/>
              </w:rPr>
              <w:t>127.0889</w:t>
            </w:r>
            <w:r>
              <w:rPr>
                <w:rFonts w:hint="eastAsia" w:ascii="Times New Roman" w:hAnsi="Times New Roman" w:eastAsia="宋体" w:cs="Times New Roman"/>
                <w:spacing w:val="-1"/>
                <w:sz w:val="21"/>
                <w:szCs w:val="21"/>
                <w:highlight w:val="none"/>
                <w:lang w:val="en-US" w:eastAsia="zh-CN"/>
              </w:rPr>
              <w:t>987</w:t>
            </w:r>
            <w:r>
              <w:rPr>
                <w:rFonts w:hint="default" w:ascii="Times New Roman" w:hAnsi="Times New Roman" w:eastAsia="Times New Roman" w:cs="Times New Roman"/>
                <w:spacing w:val="-1"/>
                <w:sz w:val="21"/>
                <w:szCs w:val="21"/>
                <w:highlight w:val="none"/>
              </w:rPr>
              <w:t>6</w:t>
            </w:r>
          </w:p>
        </w:tc>
        <w:tc>
          <w:tcPr>
            <w:tcW w:w="567" w:type="pct"/>
            <w:tcBorders>
              <w:tl2br w:val="nil"/>
              <w:tr2bl w:val="nil"/>
            </w:tcBorders>
            <w:vAlign w:val="top"/>
          </w:tcPr>
          <w:p>
            <w:pPr>
              <w:spacing w:before="68" w:line="195" w:lineRule="auto"/>
              <w:jc w:val="center"/>
              <w:rPr>
                <w:rFonts w:hint="default" w:ascii="Times New Roman" w:hAnsi="Times New Roman" w:eastAsia="Times New Roman" w:cs="Times New Roman"/>
                <w:spacing w:val="2"/>
                <w:sz w:val="21"/>
                <w:szCs w:val="21"/>
                <w:highlight w:val="none"/>
              </w:rPr>
            </w:pPr>
            <w:r>
              <w:rPr>
                <w:rFonts w:hint="default" w:ascii="Times New Roman" w:hAnsi="Times New Roman" w:eastAsia="Times New Roman" w:cs="Times New Roman"/>
                <w:spacing w:val="2"/>
                <w:sz w:val="21"/>
                <w:szCs w:val="21"/>
                <w:highlight w:val="none"/>
              </w:rPr>
              <w:t>46.43683</w:t>
            </w:r>
            <w:r>
              <w:rPr>
                <w:rFonts w:hint="eastAsia" w:ascii="Times New Roman" w:hAnsi="Times New Roman" w:eastAsia="宋体" w:cs="Times New Roman"/>
                <w:spacing w:val="2"/>
                <w:sz w:val="21"/>
                <w:szCs w:val="21"/>
                <w:highlight w:val="none"/>
                <w:lang w:val="en-US" w:eastAsia="zh-CN"/>
              </w:rPr>
              <w:t>098</w:t>
            </w:r>
          </w:p>
        </w:tc>
        <w:tc>
          <w:tcPr>
            <w:tcW w:w="328" w:type="pct"/>
            <w:tcBorders>
              <w:tl2br w:val="nil"/>
              <w:tr2bl w:val="nil"/>
            </w:tcBorders>
            <w:vAlign w:val="top"/>
          </w:tcPr>
          <w:p>
            <w:pPr>
              <w:spacing w:before="71" w:line="192" w:lineRule="auto"/>
              <w:jc w:val="center"/>
              <w:rPr>
                <w:rFonts w:hint="default" w:ascii="Times New Roman" w:hAnsi="Times New Roman" w:eastAsia="宋体" w:cs="Times New Roman"/>
                <w:spacing w:val="7"/>
                <w:sz w:val="21"/>
                <w:szCs w:val="21"/>
                <w:highlight w:val="none"/>
                <w:lang w:val="en-US" w:eastAsia="zh-CN"/>
              </w:rPr>
            </w:pPr>
            <w:r>
              <w:rPr>
                <w:rFonts w:hint="eastAsia" w:ascii="Times New Roman" w:hAnsi="Times New Roman" w:eastAsia="宋体" w:cs="Times New Roman"/>
                <w:spacing w:val="7"/>
                <w:sz w:val="21"/>
                <w:szCs w:val="21"/>
                <w:highlight w:val="none"/>
                <w:lang w:val="en-US" w:eastAsia="zh-CN"/>
              </w:rPr>
              <w:t>N</w:t>
            </w:r>
          </w:p>
        </w:tc>
        <w:tc>
          <w:tcPr>
            <w:tcW w:w="474" w:type="pct"/>
            <w:tcBorders>
              <w:tl2br w:val="nil"/>
              <w:tr2bl w:val="nil"/>
            </w:tcBorders>
            <w:vAlign w:val="top"/>
          </w:tcPr>
          <w:p>
            <w:pPr>
              <w:spacing w:before="68" w:line="195" w:lineRule="auto"/>
              <w:ind w:left="268" w:leftChars="0"/>
              <w:jc w:val="both"/>
              <w:rPr>
                <w:rFonts w:hint="default" w:ascii="Times New Roman" w:hAnsi="Times New Roman" w:eastAsia="宋体" w:cs="Times New Roman"/>
                <w:spacing w:val="-2"/>
                <w:sz w:val="21"/>
                <w:szCs w:val="21"/>
                <w:highlight w:val="none"/>
                <w:lang w:val="en-US" w:eastAsia="zh-CN"/>
              </w:rPr>
            </w:pPr>
            <w:r>
              <w:rPr>
                <w:rFonts w:hint="eastAsia" w:ascii="Times New Roman" w:hAnsi="Times New Roman" w:eastAsia="宋体" w:cs="Times New Roman"/>
                <w:spacing w:val="-2"/>
                <w:sz w:val="21"/>
                <w:szCs w:val="21"/>
                <w:highlight w:val="none"/>
                <w:lang w:val="en-US" w:eastAsia="zh-CN"/>
              </w:rPr>
              <w:t>380</w:t>
            </w:r>
          </w:p>
        </w:tc>
        <w:tc>
          <w:tcPr>
            <w:tcW w:w="808" w:type="pct"/>
            <w:tcBorders>
              <w:tl2br w:val="nil"/>
              <w:tr2bl w:val="nil"/>
            </w:tcBorders>
            <w:vAlign w:val="top"/>
          </w:tcPr>
          <w:p>
            <w:pPr>
              <w:spacing w:before="33" w:line="216" w:lineRule="auto"/>
              <w:jc w:val="center"/>
              <w:rPr>
                <w:rFonts w:hint="eastAsia" w:ascii="Times New Roman" w:hAnsi="Times New Roman" w:eastAsia="宋体" w:cs="Times New Roman"/>
                <w:spacing w:val="4"/>
                <w:sz w:val="21"/>
                <w:szCs w:val="21"/>
                <w:highlight w:val="none"/>
                <w:lang w:val="en-US" w:eastAsia="zh-CN"/>
              </w:rPr>
            </w:pPr>
            <w:r>
              <w:rPr>
                <w:rFonts w:hint="eastAsia" w:ascii="Times New Roman" w:hAnsi="Times New Roman" w:eastAsia="宋体" w:cs="Times New Roman"/>
                <w:spacing w:val="4"/>
                <w:sz w:val="21"/>
                <w:szCs w:val="21"/>
                <w:highlight w:val="none"/>
                <w:lang w:val="en-US" w:eastAsia="zh-CN"/>
              </w:rPr>
              <w:t>300人</w:t>
            </w:r>
          </w:p>
        </w:tc>
        <w:tc>
          <w:tcPr>
            <w:tcW w:w="981" w:type="pct"/>
            <w:vMerge w:val="continue"/>
            <w:tcBorders>
              <w:tl2br w:val="nil"/>
              <w:tr2bl w:val="nil"/>
            </w:tcBorders>
            <w:vAlign w:val="top"/>
          </w:tcPr>
          <w:p>
            <w:pPr>
              <w:pStyle w:val="35"/>
              <w:jc w:val="both"/>
              <w:rPr>
                <w:rFonts w:hint="default" w:ascii="Times New Roman" w:hAnsi="Times New Roman"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475" w:type="pct"/>
            <w:tcBorders>
              <w:tl2br w:val="nil"/>
              <w:tr2bl w:val="nil"/>
            </w:tcBorders>
            <w:vAlign w:val="top"/>
          </w:tcPr>
          <w:p>
            <w:pPr>
              <w:spacing w:before="170" w:line="228" w:lineRule="auto"/>
              <w:ind w:left="178"/>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5"/>
                <w:sz w:val="21"/>
                <w:szCs w:val="21"/>
                <w:highlight w:val="none"/>
              </w:rPr>
              <w:t>声环境</w:t>
            </w:r>
          </w:p>
        </w:tc>
        <w:tc>
          <w:tcPr>
            <w:tcW w:w="2734" w:type="pct"/>
            <w:gridSpan w:val="6"/>
            <w:tcBorders>
              <w:tl2br w:val="nil"/>
              <w:tr2bl w:val="nil"/>
            </w:tcBorders>
            <w:vAlign w:val="top"/>
          </w:tcPr>
          <w:p>
            <w:pPr>
              <w:spacing w:before="170" w:line="228"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3"/>
                <w:sz w:val="21"/>
                <w:szCs w:val="21"/>
                <w:highlight w:val="none"/>
              </w:rPr>
              <w:t>厂界</w:t>
            </w:r>
            <w:r>
              <w:rPr>
                <w:rFonts w:hint="default" w:ascii="Times New Roman" w:hAnsi="Times New Roman" w:eastAsia="宋体" w:cs="Times New Roman"/>
                <w:spacing w:val="3"/>
                <w:sz w:val="21"/>
                <w:szCs w:val="21"/>
                <w:highlight w:val="none"/>
                <w:lang w:val="en-US" w:eastAsia="zh-CN"/>
              </w:rPr>
              <w:t>周围</w:t>
            </w:r>
            <w:r>
              <w:rPr>
                <w:rFonts w:hint="default" w:ascii="Times New Roman" w:hAnsi="Times New Roman" w:eastAsia="宋体" w:cs="Times New Roman"/>
                <w:sz w:val="21"/>
                <w:szCs w:val="21"/>
                <w:highlight w:val="none"/>
                <w:lang w:val="en-US" w:eastAsia="zh-CN"/>
              </w:rPr>
              <w:t>200米</w:t>
            </w:r>
          </w:p>
        </w:tc>
        <w:tc>
          <w:tcPr>
            <w:tcW w:w="808" w:type="pct"/>
            <w:tcBorders>
              <w:tl2br w:val="nil"/>
              <w:tr2bl w:val="nil"/>
            </w:tcBorders>
            <w:vAlign w:val="top"/>
          </w:tcPr>
          <w:p>
            <w:pPr>
              <w:spacing w:before="201" w:line="199"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981" w:type="pct"/>
            <w:tcBorders>
              <w:tl2br w:val="nil"/>
              <w:tr2bl w:val="nil"/>
            </w:tcBorders>
            <w:vAlign w:val="top"/>
          </w:tcPr>
          <w:p>
            <w:pPr>
              <w:spacing w:before="36" w:line="232" w:lineRule="auto"/>
              <w:ind w:right="107"/>
              <w:jc w:val="center"/>
              <w:rPr>
                <w:rFonts w:hint="default" w:ascii="Times New Roman" w:hAnsi="Times New Roman" w:eastAsia="宋体" w:cs="Times New Roman"/>
                <w:sz w:val="21"/>
                <w:szCs w:val="21"/>
                <w:highlight w:val="none"/>
              </w:rPr>
            </w:pPr>
            <w:r>
              <w:rPr>
                <w:rFonts w:hint="default" w:ascii="Times New Roman" w:hAnsi="Times New Roman" w:cs="Times New Roman"/>
                <w:color w:val="auto"/>
                <w:sz w:val="21"/>
                <w:szCs w:val="21"/>
                <w:highlight w:val="none"/>
              </w:rPr>
              <w:t>《声环境质量标准》（GB3096-2008）中2类区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475" w:type="pct"/>
            <w:tcBorders>
              <w:tl2br w:val="nil"/>
              <w:tr2bl w:val="nil"/>
            </w:tcBorders>
            <w:vAlign w:val="top"/>
          </w:tcPr>
          <w:p>
            <w:pPr>
              <w:spacing w:before="35" w:line="228" w:lineRule="auto"/>
              <w:ind w:left="174"/>
              <w:rPr>
                <w:rFonts w:hint="default" w:ascii="Times New Roman" w:hAnsi="Times New Roman" w:eastAsia="宋体" w:cs="Times New Roman"/>
                <w:spacing w:val="6"/>
                <w:sz w:val="21"/>
                <w:szCs w:val="21"/>
                <w:highlight w:val="none"/>
              </w:rPr>
            </w:pPr>
          </w:p>
          <w:p>
            <w:pPr>
              <w:spacing w:before="35" w:line="228" w:lineRule="auto"/>
              <w:ind w:left="174"/>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6"/>
                <w:sz w:val="21"/>
                <w:szCs w:val="21"/>
                <w:highlight w:val="none"/>
              </w:rPr>
              <w:t>地表水</w:t>
            </w:r>
          </w:p>
          <w:p>
            <w:pPr>
              <w:spacing w:before="24" w:line="214" w:lineRule="auto"/>
              <w:ind w:left="279"/>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rPr>
              <w:t>环境</w:t>
            </w:r>
          </w:p>
        </w:tc>
        <w:tc>
          <w:tcPr>
            <w:tcW w:w="1932" w:type="pct"/>
            <w:gridSpan w:val="4"/>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6"/>
                <w:sz w:val="21"/>
                <w:szCs w:val="21"/>
                <w:highlight w:val="none"/>
                <w:lang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6"/>
                <w:sz w:val="21"/>
                <w:szCs w:val="21"/>
                <w:highlight w:val="none"/>
                <w:lang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Times New Roman" w:cs="Times New Roman"/>
                <w:sz w:val="21"/>
                <w:szCs w:val="21"/>
                <w:highlight w:val="none"/>
              </w:rPr>
            </w:pPr>
            <w:r>
              <w:rPr>
                <w:rFonts w:hint="default" w:ascii="Times New Roman" w:hAnsi="Times New Roman" w:eastAsia="宋体" w:cs="Times New Roman"/>
                <w:spacing w:val="6"/>
                <w:sz w:val="21"/>
                <w:szCs w:val="21"/>
                <w:highlight w:val="none"/>
                <w:lang w:eastAsia="zh-CN"/>
              </w:rPr>
              <w:t>泥河</w:t>
            </w:r>
          </w:p>
        </w:tc>
        <w:tc>
          <w:tcPr>
            <w:tcW w:w="328"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z w:val="21"/>
                <w:szCs w:val="21"/>
                <w:highlight w:val="none"/>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z w:val="21"/>
                <w:szCs w:val="21"/>
                <w:highlight w:val="none"/>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N</w:t>
            </w:r>
          </w:p>
        </w:tc>
        <w:tc>
          <w:tcPr>
            <w:tcW w:w="474" w:type="pct"/>
            <w:tcBorders>
              <w:tl2br w:val="nil"/>
              <w:tr2bl w:val="nil"/>
            </w:tcBorders>
            <w:vAlign w:val="top"/>
          </w:tcPr>
          <w:p>
            <w:pPr>
              <w:pStyle w:val="6"/>
              <w:rPr>
                <w:rFonts w:hint="default"/>
                <w:sz w:val="21"/>
                <w:szCs w:val="2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214" w:firstLineChars="100"/>
              <w:textAlignment w:val="baseline"/>
              <w:rPr>
                <w:rFonts w:hint="default" w:ascii="Times New Roman" w:hAnsi="Times New Roman" w:eastAsia="宋体" w:cs="Times New Roman"/>
                <w:spacing w:val="2"/>
                <w:sz w:val="21"/>
                <w:szCs w:val="21"/>
                <w:highlight w:val="none"/>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214" w:firstLineChars="100"/>
              <w:textAlignment w:val="baseline"/>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2"/>
                <w:sz w:val="21"/>
                <w:szCs w:val="21"/>
                <w:highlight w:val="none"/>
                <w:lang w:val="en-US" w:eastAsia="zh-CN"/>
              </w:rPr>
              <w:t>17000</w:t>
            </w:r>
          </w:p>
        </w:tc>
        <w:tc>
          <w:tcPr>
            <w:tcW w:w="808"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pacing w:val="5"/>
                <w:sz w:val="21"/>
                <w:szCs w:val="21"/>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pacing w:val="5"/>
                <w:sz w:val="21"/>
                <w:szCs w:val="21"/>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5"/>
                <w:sz w:val="21"/>
                <w:szCs w:val="21"/>
                <w:highlight w:val="none"/>
              </w:rPr>
              <w:t>小型河流</w:t>
            </w:r>
          </w:p>
        </w:tc>
        <w:tc>
          <w:tcPr>
            <w:tcW w:w="981" w:type="pct"/>
            <w:tcBorders>
              <w:tl2br w:val="nil"/>
              <w:tr2bl w:val="nil"/>
            </w:tcBorders>
            <w:vAlign w:val="top"/>
          </w:tcPr>
          <w:p>
            <w:pPr>
              <w:spacing w:before="36" w:line="232" w:lineRule="auto"/>
              <w:ind w:right="158"/>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pacing w:val="3"/>
                <w:sz w:val="21"/>
                <w:szCs w:val="21"/>
                <w:highlight w:val="none"/>
                <w:lang w:eastAsia="zh-CN"/>
              </w:rPr>
              <w:t>《</w:t>
            </w:r>
            <w:r>
              <w:rPr>
                <w:rFonts w:hint="eastAsia" w:ascii="Times New Roman" w:hAnsi="Times New Roman" w:eastAsia="宋体" w:cs="Times New Roman"/>
                <w:spacing w:val="3"/>
                <w:sz w:val="21"/>
                <w:szCs w:val="21"/>
                <w:highlight w:val="none"/>
                <w:lang w:val="en-US" w:eastAsia="zh-CN"/>
              </w:rPr>
              <w:t>地表水环境质量标准</w:t>
            </w:r>
            <w:r>
              <w:rPr>
                <w:rFonts w:hint="eastAsia" w:ascii="Times New Roman" w:hAnsi="Times New Roman" w:eastAsia="宋体" w:cs="Times New Roman"/>
                <w:spacing w:val="3"/>
                <w:sz w:val="21"/>
                <w:szCs w:val="21"/>
                <w:highlight w:val="none"/>
                <w:lang w:eastAsia="zh-CN"/>
              </w:rPr>
              <w:t>》</w:t>
            </w:r>
            <w:r>
              <w:rPr>
                <w:rFonts w:hint="default" w:ascii="Times New Roman" w:hAnsi="Times New Roman" w:eastAsia="宋体" w:cs="Times New Roman"/>
                <w:spacing w:val="3"/>
                <w:sz w:val="21"/>
                <w:szCs w:val="21"/>
                <w:highlight w:val="none"/>
              </w:rPr>
              <w:t>（</w:t>
            </w:r>
            <w:r>
              <w:rPr>
                <w:rFonts w:hint="default" w:ascii="Times New Roman" w:hAnsi="Times New Roman" w:eastAsia="Times New Roman" w:cs="Times New Roman"/>
                <w:sz w:val="21"/>
                <w:szCs w:val="21"/>
                <w:highlight w:val="none"/>
              </w:rPr>
              <w:t>GB</w:t>
            </w:r>
            <w:r>
              <w:rPr>
                <w:rFonts w:hint="default" w:ascii="Times New Roman" w:hAnsi="Times New Roman" w:eastAsia="Times New Roman" w:cs="Times New Roman"/>
                <w:spacing w:val="3"/>
                <w:sz w:val="21"/>
                <w:szCs w:val="21"/>
                <w:highlight w:val="none"/>
              </w:rPr>
              <w:t>3838-2002</w:t>
            </w:r>
            <w:r>
              <w:rPr>
                <w:rFonts w:hint="default" w:ascii="Times New Roman" w:hAnsi="Times New Roman" w:eastAsia="宋体" w:cs="Times New Roman"/>
                <w:spacing w:val="3"/>
                <w:sz w:val="21"/>
                <w:szCs w:val="21"/>
                <w:highlight w:val="none"/>
              </w:rPr>
              <w:t>）</w:t>
            </w:r>
            <w:r>
              <w:rPr>
                <w:rFonts w:hint="default" w:ascii="Times New Roman" w:hAnsi="Times New Roman" w:eastAsia="宋体" w:cs="Times New Roman"/>
                <w:spacing w:val="4"/>
                <w:sz w:val="21"/>
                <w:szCs w:val="21"/>
                <w:highlight w:val="none"/>
              </w:rPr>
              <w:t>中</w:t>
            </w:r>
            <w:r>
              <w:rPr>
                <w:rFonts w:hint="default" w:ascii="Times New Roman" w:hAnsi="Times New Roman" w:eastAsia="Times New Roman" w:cs="Times New Roman"/>
                <w:spacing w:val="4"/>
                <w:sz w:val="21"/>
                <w:szCs w:val="21"/>
                <w:highlight w:val="none"/>
              </w:rPr>
              <w:t>Ⅳ</w:t>
            </w:r>
            <w:r>
              <w:rPr>
                <w:rFonts w:hint="default" w:ascii="Times New Roman" w:hAnsi="Times New Roman" w:eastAsia="宋体" w:cs="Times New Roman"/>
                <w:spacing w:val="4"/>
                <w:sz w:val="21"/>
                <w:szCs w:val="21"/>
                <w:highlight w:val="none"/>
              </w:rPr>
              <w:t>类标准值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trPr>
        <w:tc>
          <w:tcPr>
            <w:tcW w:w="475" w:type="pct"/>
            <w:tcBorders>
              <w:tl2br w:val="nil"/>
              <w:tr2bl w:val="nil"/>
            </w:tcBorders>
            <w:vAlign w:val="top"/>
          </w:tcPr>
          <w:p>
            <w:pPr>
              <w:spacing w:before="35" w:line="228" w:lineRule="auto"/>
              <w:ind w:left="174"/>
              <w:jc w:val="both"/>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6"/>
                <w:sz w:val="21"/>
                <w:szCs w:val="21"/>
                <w:highlight w:val="none"/>
              </w:rPr>
              <w:t>地下水</w:t>
            </w:r>
          </w:p>
          <w:p>
            <w:pPr>
              <w:spacing w:before="24" w:line="218" w:lineRule="auto"/>
              <w:ind w:left="279"/>
              <w:jc w:val="both"/>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rPr>
              <w:t>环境</w:t>
            </w:r>
          </w:p>
        </w:tc>
        <w:tc>
          <w:tcPr>
            <w:tcW w:w="2734" w:type="pct"/>
            <w:gridSpan w:val="6"/>
            <w:tcBorders>
              <w:tl2br w:val="nil"/>
              <w:tr2bl w:val="nil"/>
            </w:tcBorders>
            <w:vAlign w:val="top"/>
          </w:tcPr>
          <w:p>
            <w:pPr>
              <w:spacing w:before="50" w:line="273" w:lineRule="exact"/>
              <w:jc w:val="center"/>
              <w:rPr>
                <w:rFonts w:hint="default" w:ascii="Times New Roman" w:hAnsi="Times New Roman" w:eastAsia="Times New Roman" w:cs="Times New Roman"/>
                <w:sz w:val="21"/>
                <w:szCs w:val="21"/>
                <w:highlight w:val="none"/>
              </w:rPr>
            </w:pPr>
            <w:r>
              <w:rPr>
                <w:rFonts w:hint="default" w:ascii="Times New Roman" w:hAnsi="Times New Roman" w:eastAsia="宋体" w:cs="Times New Roman"/>
                <w:spacing w:val="5"/>
                <w:sz w:val="21"/>
                <w:szCs w:val="21"/>
                <w:highlight w:val="none"/>
                <w:lang w:val="en-US" w:eastAsia="zh-CN"/>
              </w:rPr>
              <w:t>周围6km</w:t>
            </w:r>
            <w:r>
              <w:rPr>
                <w:rFonts w:hint="default" w:ascii="Times New Roman" w:hAnsi="Times New Roman" w:eastAsia="宋体" w:cs="Times New Roman"/>
                <w:spacing w:val="5"/>
                <w:sz w:val="21"/>
                <w:szCs w:val="21"/>
                <w:highlight w:val="none"/>
                <w:vertAlign w:val="superscript"/>
                <w:lang w:val="en-US" w:eastAsia="zh-CN"/>
              </w:rPr>
              <w:t>2</w:t>
            </w:r>
          </w:p>
        </w:tc>
        <w:tc>
          <w:tcPr>
            <w:tcW w:w="808" w:type="pct"/>
            <w:tcBorders>
              <w:tl2br w:val="nil"/>
              <w:tr2bl w:val="nil"/>
            </w:tcBorders>
            <w:vAlign w:val="top"/>
          </w:tcPr>
          <w:p>
            <w:pPr>
              <w:spacing w:before="202" w:line="199" w:lineRule="auto"/>
              <w:ind w:left="786"/>
              <w:rPr>
                <w:rFonts w:hint="default" w:ascii="Times New Roman" w:hAnsi="Times New Roman" w:eastAsia="Times New Roman" w:cs="Times New Roman"/>
                <w:sz w:val="21"/>
                <w:szCs w:val="21"/>
                <w:highlight w:val="none"/>
              </w:rPr>
            </w:pPr>
            <w:r>
              <w:rPr>
                <w:rFonts w:hint="default" w:ascii="Times New Roman" w:hAnsi="Times New Roman" w:eastAsia="Times New Roman" w:cs="Times New Roman"/>
                <w:spacing w:val="2"/>
                <w:sz w:val="21"/>
                <w:szCs w:val="21"/>
                <w:highlight w:val="none"/>
              </w:rPr>
              <w:t>/</w:t>
            </w:r>
          </w:p>
        </w:tc>
        <w:tc>
          <w:tcPr>
            <w:tcW w:w="981" w:type="pct"/>
            <w:tcBorders>
              <w:tl2br w:val="nil"/>
              <w:tr2bl w:val="nil"/>
            </w:tcBorders>
            <w:vAlign w:val="top"/>
          </w:tcPr>
          <w:p>
            <w:pPr>
              <w:spacing w:before="35" w:line="241" w:lineRule="auto"/>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pacing w:val="4"/>
                <w:sz w:val="21"/>
                <w:szCs w:val="21"/>
                <w:highlight w:val="none"/>
                <w:lang w:eastAsia="zh-CN"/>
              </w:rPr>
              <w:t>《</w:t>
            </w:r>
            <w:r>
              <w:rPr>
                <w:rFonts w:hint="eastAsia" w:ascii="Times New Roman" w:hAnsi="Times New Roman" w:eastAsia="宋体" w:cs="Times New Roman"/>
                <w:spacing w:val="4"/>
                <w:sz w:val="21"/>
                <w:szCs w:val="21"/>
                <w:highlight w:val="none"/>
                <w:lang w:val="en-US" w:eastAsia="zh-CN"/>
              </w:rPr>
              <w:t>地下水质量标准</w:t>
            </w:r>
            <w:r>
              <w:rPr>
                <w:rFonts w:hint="eastAsia" w:ascii="Times New Roman" w:hAnsi="Times New Roman" w:eastAsia="宋体" w:cs="Times New Roman"/>
                <w:spacing w:val="4"/>
                <w:sz w:val="21"/>
                <w:szCs w:val="21"/>
                <w:highlight w:val="none"/>
                <w:lang w:eastAsia="zh-CN"/>
              </w:rPr>
              <w:t>》</w:t>
            </w:r>
            <w:r>
              <w:rPr>
                <w:rFonts w:hint="default" w:ascii="Times New Roman" w:hAnsi="Times New Roman" w:eastAsia="宋体" w:cs="Times New Roman"/>
                <w:spacing w:val="4"/>
                <w:sz w:val="21"/>
                <w:szCs w:val="21"/>
                <w:highlight w:val="none"/>
              </w:rPr>
              <w:t>（</w:t>
            </w:r>
            <w:r>
              <w:rPr>
                <w:rFonts w:hint="default" w:ascii="Times New Roman" w:hAnsi="Times New Roman" w:eastAsia="Times New Roman" w:cs="Times New Roman"/>
                <w:sz w:val="21"/>
                <w:szCs w:val="21"/>
                <w:highlight w:val="none"/>
              </w:rPr>
              <w:t>GB</w:t>
            </w:r>
            <w:r>
              <w:rPr>
                <w:rFonts w:hint="default" w:ascii="Times New Roman" w:hAnsi="Times New Roman" w:eastAsia="Times New Roman" w:cs="Times New Roman"/>
                <w:spacing w:val="4"/>
                <w:sz w:val="21"/>
                <w:szCs w:val="21"/>
                <w:highlight w:val="none"/>
              </w:rPr>
              <w:t>/T14848-201</w:t>
            </w:r>
            <w:r>
              <w:rPr>
                <w:rFonts w:hint="default" w:ascii="Times New Roman" w:hAnsi="Times New Roman" w:eastAsia="Times New Roman" w:cs="Times New Roman"/>
                <w:spacing w:val="7"/>
                <w:sz w:val="21"/>
                <w:szCs w:val="21"/>
                <w:highlight w:val="none"/>
              </w:rPr>
              <w:t>7</w:t>
            </w:r>
            <w:r>
              <w:rPr>
                <w:rFonts w:hint="default" w:ascii="Times New Roman" w:hAnsi="Times New Roman" w:eastAsia="宋体" w:cs="Times New Roman"/>
                <w:spacing w:val="7"/>
                <w:sz w:val="21"/>
                <w:szCs w:val="21"/>
                <w:highlight w:val="none"/>
              </w:rPr>
              <w:t>）</w:t>
            </w:r>
            <w:r>
              <w:rPr>
                <w:rFonts w:hint="default" w:ascii="Times New Roman" w:hAnsi="Times New Roman" w:eastAsia="Times New Roman" w:cs="Times New Roman"/>
                <w:spacing w:val="7"/>
                <w:sz w:val="21"/>
                <w:szCs w:val="21"/>
                <w:highlight w:val="none"/>
              </w:rPr>
              <w:t>Ⅲ</w:t>
            </w:r>
            <w:r>
              <w:rPr>
                <w:rFonts w:hint="default" w:ascii="Times New Roman" w:hAnsi="Times New Roman" w:eastAsia="宋体" w:cs="Times New Roman"/>
                <w:spacing w:val="7"/>
                <w:sz w:val="21"/>
                <w:szCs w:val="21"/>
                <w:highlight w:val="none"/>
              </w:rPr>
              <w:t>类水质</w:t>
            </w:r>
          </w:p>
        </w:tc>
      </w:tr>
    </w:tbl>
    <w:p>
      <w:pPr>
        <w:spacing w:before="50" w:line="221" w:lineRule="auto"/>
        <w:ind w:left="116"/>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pP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注：厂址为坐标原点（</w:t>
      </w:r>
      <w:r>
        <w:rPr>
          <w:rFonts w:hint="default" w:ascii="Times New Roman" w:hAnsi="Times New Roman" w:eastAsia="Times New Roman" w:cs="Times New Roman"/>
          <w:b/>
          <w:bCs/>
          <w:spacing w:val="7"/>
          <w:sz w:val="20"/>
          <w:szCs w:val="20"/>
        </w:rPr>
        <w:t>0</w:t>
      </w:r>
      <w:r>
        <w:rPr>
          <w:rFonts w:hint="default" w:ascii="Times New Roman" w:hAnsi="Times New Roman" w:eastAsia="Times New Roman" w:cs="Times New Roman"/>
          <w:b/>
          <w:bCs/>
          <w:spacing w:val="-25"/>
          <w:sz w:val="20"/>
          <w:szCs w:val="20"/>
        </w:rPr>
        <w:t xml:space="preserve"> </w:t>
      </w: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w:t>
      </w:r>
      <w:r>
        <w:rPr>
          <w:rFonts w:hint="default" w:ascii="Times New Roman" w:hAnsi="Times New Roman" w:eastAsia="Times New Roman" w:cs="Times New Roman"/>
          <w:b/>
          <w:bCs/>
          <w:spacing w:val="7"/>
          <w:sz w:val="20"/>
          <w:szCs w:val="20"/>
        </w:rPr>
        <w:t>0</w:t>
      </w:r>
      <w:r>
        <w:rPr>
          <w:rFonts w:hint="default" w:ascii="Times New Roman" w:hAnsi="Times New Roman" w:eastAsia="宋体" w:cs="Times New Roman"/>
          <w:spacing w:val="21"/>
          <w:sz w:val="20"/>
          <w:szCs w:val="20"/>
          <w14:textOutline w14:w="3795" w14:cap="sq" w14:cmpd="sng">
            <w14:solidFill>
              <w14:srgbClr w14:val="000000"/>
            </w14:solidFill>
            <w14:prstDash w14:val="solid"/>
            <w14:bevel/>
          </w14:textOutline>
        </w:rPr>
        <w:t>），</w:t>
      </w: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西东方向为</w:t>
      </w:r>
      <w:r>
        <w:rPr>
          <w:rFonts w:hint="default" w:ascii="Times New Roman" w:hAnsi="Times New Roman" w:eastAsia="宋体" w:cs="Times New Roman"/>
          <w:spacing w:val="-40"/>
          <w:sz w:val="20"/>
          <w:szCs w:val="20"/>
        </w:rPr>
        <w:t xml:space="preserve"> </w:t>
      </w:r>
      <w:r>
        <w:rPr>
          <w:rFonts w:hint="default" w:ascii="Times New Roman" w:hAnsi="Times New Roman" w:eastAsia="Times New Roman" w:cs="Times New Roman"/>
          <w:b/>
          <w:bCs/>
          <w:spacing w:val="7"/>
          <w:sz w:val="20"/>
          <w:szCs w:val="20"/>
        </w:rPr>
        <w:t xml:space="preserve">x </w:t>
      </w: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轴，南北方向为</w:t>
      </w:r>
      <w:r>
        <w:rPr>
          <w:rFonts w:hint="default" w:ascii="Times New Roman" w:hAnsi="Times New Roman" w:eastAsia="宋体" w:cs="Times New Roman"/>
          <w:spacing w:val="-43"/>
          <w:sz w:val="20"/>
          <w:szCs w:val="20"/>
        </w:rPr>
        <w:t xml:space="preserve"> </w:t>
      </w:r>
      <w:r>
        <w:rPr>
          <w:rFonts w:hint="default" w:ascii="Times New Roman" w:hAnsi="Times New Roman" w:eastAsia="Times New Roman" w:cs="Times New Roman"/>
          <w:b/>
          <w:bCs/>
          <w:spacing w:val="7"/>
          <w:sz w:val="20"/>
          <w:szCs w:val="20"/>
        </w:rPr>
        <w:t>y</w:t>
      </w: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轴。</w:t>
      </w:r>
    </w:p>
    <w:p>
      <w:pPr>
        <w:pStyle w:val="6"/>
        <w:spacing w:line="244" w:lineRule="auto"/>
        <w:rPr>
          <w:rFonts w:hint="default" w:ascii="Times New Roman" w:hAnsi="Times New Roman" w:cs="Times New Roman"/>
        </w:rPr>
        <w:sectPr>
          <w:headerReference r:id="rId7" w:type="default"/>
          <w:footerReference r:id="rId8" w:type="default"/>
          <w:pgSz w:w="11906" w:h="16839"/>
          <w:pgMar w:top="1416" w:right="1157" w:bottom="1417" w:left="1118" w:header="878" w:footer="992" w:gutter="0"/>
          <w:pgBorders>
            <w:top w:val="none" w:sz="0" w:space="0"/>
            <w:left w:val="none" w:sz="0" w:space="0"/>
            <w:bottom w:val="none" w:sz="0" w:space="0"/>
            <w:right w:val="none" w:sz="0" w:space="0"/>
          </w:pgBorders>
          <w:pgNumType w:fmt="decimal"/>
          <w:cols w:space="720" w:num="1"/>
        </w:sectPr>
      </w:pPr>
    </w:p>
    <w:p>
      <w:pPr>
        <w:spacing w:before="65" w:line="199" w:lineRule="auto"/>
        <w:jc w:val="center"/>
        <w:rPr>
          <w:rFonts w:hint="default" w:ascii="Times New Roman" w:hAnsi="Times New Roman" w:cs="Times New Roman"/>
        </w:rPr>
      </w:pPr>
      <w:r>
        <w:rPr>
          <w:rFonts w:hint="default" w:ascii="Times New Roman" w:hAnsi="Times New Roman" w:cs="Times New Roman"/>
          <w:color w:val="auto"/>
          <w:sz w:val="24"/>
        </w:rPr>
        <mc:AlternateContent>
          <mc:Choice Requires="wps">
            <w:drawing>
              <wp:anchor distT="0" distB="0" distL="114300" distR="114300" simplePos="0" relativeHeight="251792384" behindDoc="0" locked="0" layoutInCell="1" allowOverlap="1">
                <wp:simplePos x="0" y="0"/>
                <wp:positionH relativeFrom="column">
                  <wp:posOffset>6970395</wp:posOffset>
                </wp:positionH>
                <wp:positionV relativeFrom="paragraph">
                  <wp:posOffset>4540885</wp:posOffset>
                </wp:positionV>
                <wp:extent cx="1474470" cy="962025"/>
                <wp:effectExtent l="4445" t="4445" r="6985" b="5080"/>
                <wp:wrapNone/>
                <wp:docPr id="315" name="文本框 584"/>
                <wp:cNvGraphicFramePr/>
                <a:graphic xmlns:a="http://schemas.openxmlformats.org/drawingml/2006/main">
                  <a:graphicData uri="http://schemas.microsoft.com/office/word/2010/wordprocessingShape">
                    <wps:wsp>
                      <wps:cNvSpPr txBox="1"/>
                      <wps:spPr>
                        <a:xfrm>
                          <a:off x="0" y="0"/>
                          <a:ext cx="1474470" cy="9620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360" w:lineRule="auto"/>
                              <w:ind w:left="0" w:firstLine="840" w:firstLineChars="400"/>
                              <w:textAlignment w:val="auto"/>
                              <w:rPr>
                                <w:rFonts w:hint="eastAsia"/>
                                <w:b/>
                                <w:bCs/>
                                <w:sz w:val="21"/>
                                <w:szCs w:val="21"/>
                                <w:lang w:val="en-US" w:eastAsia="zh-CN"/>
                              </w:rPr>
                            </w:pPr>
                            <w:r>
                              <w:rPr>
                                <w:rFonts w:hint="eastAsia"/>
                                <w:b/>
                                <w:bCs/>
                                <w:sz w:val="21"/>
                                <w:szCs w:val="21"/>
                                <w:lang w:val="en-US" w:eastAsia="zh-CN"/>
                              </w:rPr>
                              <w:t>图例</w:t>
                            </w:r>
                          </w:p>
                          <w:p>
                            <w:pPr>
                              <w:pStyle w:val="20"/>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b/>
                                <w:bCs/>
                                <w:sz w:val="21"/>
                                <w:szCs w:val="21"/>
                                <w:lang w:val="en-US" w:eastAsia="zh-CN"/>
                              </w:rPr>
                            </w:pPr>
                            <w:r>
                              <w:rPr>
                                <w:rFonts w:hint="eastAsia"/>
                                <w:b/>
                                <w:bCs/>
                                <w:sz w:val="21"/>
                                <w:szCs w:val="21"/>
                                <w:lang w:val="en-US" w:eastAsia="zh-CN"/>
                              </w:rPr>
                              <w:t>项目位置</w:t>
                            </w:r>
                          </w:p>
                          <w:p>
                            <w:pPr>
                              <w:ind w:firstLine="630" w:firstLineChars="300"/>
                              <w:rPr>
                                <w:rFonts w:hint="default"/>
                                <w:lang w:val="en-US" w:eastAsia="zh-CN"/>
                              </w:rPr>
                            </w:pPr>
                            <w:r>
                              <w:rPr>
                                <w:rFonts w:hint="eastAsia"/>
                                <w:b/>
                                <w:bCs/>
                                <w:lang w:val="en-US" w:eastAsia="zh-CN"/>
                              </w:rPr>
                              <w:t>保护目标范围</w:t>
                            </w:r>
                          </w:p>
                        </w:txbxContent>
                      </wps:txbx>
                      <wps:bodyPr upright="1"/>
                    </wps:wsp>
                  </a:graphicData>
                </a:graphic>
              </wp:anchor>
            </w:drawing>
          </mc:Choice>
          <mc:Fallback>
            <w:pict>
              <v:shape id="文本框 584" o:spid="_x0000_s1026" o:spt="202" type="#_x0000_t202" style="position:absolute;left:0pt;margin-left:548.85pt;margin-top:357.55pt;height:75.75pt;width:116.1pt;z-index:251792384;mso-width-relative:page;mso-height-relative:page;" fillcolor="#FFFFFF" filled="t" stroked="t" coordsize="21600,21600" o:gfxdata="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VLRdrdsAAAANAQAADwAAAAAAAAAB&#10;ACAAAAAiAAAAZHJzL2Rvd25yZXYueG1sUEsBAhQAFAAAAAgAh07iQKYripsNAgAAOgQAAA4AAAAA&#10;AAAAAQAgAAAAKgEAAGRycy9lMm9Eb2MueG1sUEsFBgAAAAAGAAYAWQEAAKkFA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60" w:lineRule="auto"/>
                        <w:ind w:left="0" w:firstLine="840" w:firstLineChars="400"/>
                        <w:textAlignment w:val="auto"/>
                        <w:rPr>
                          <w:rFonts w:hint="eastAsia"/>
                          <w:b/>
                          <w:bCs/>
                          <w:sz w:val="21"/>
                          <w:szCs w:val="21"/>
                          <w:lang w:val="en-US" w:eastAsia="zh-CN"/>
                        </w:rPr>
                      </w:pPr>
                      <w:r>
                        <w:rPr>
                          <w:rFonts w:hint="eastAsia"/>
                          <w:b/>
                          <w:bCs/>
                          <w:sz w:val="21"/>
                          <w:szCs w:val="21"/>
                          <w:lang w:val="en-US" w:eastAsia="zh-CN"/>
                        </w:rPr>
                        <w:t>图例</w:t>
                      </w:r>
                    </w:p>
                    <w:p>
                      <w:pPr>
                        <w:pStyle w:val="20"/>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b/>
                          <w:bCs/>
                          <w:sz w:val="21"/>
                          <w:szCs w:val="21"/>
                          <w:lang w:val="en-US" w:eastAsia="zh-CN"/>
                        </w:rPr>
                      </w:pPr>
                      <w:r>
                        <w:rPr>
                          <w:rFonts w:hint="eastAsia"/>
                          <w:b/>
                          <w:bCs/>
                          <w:sz w:val="21"/>
                          <w:szCs w:val="21"/>
                          <w:lang w:val="en-US" w:eastAsia="zh-CN"/>
                        </w:rPr>
                        <w:t>项目位置</w:t>
                      </w:r>
                    </w:p>
                    <w:p>
                      <w:pPr>
                        <w:ind w:firstLine="630" w:firstLineChars="300"/>
                        <w:rPr>
                          <w:rFonts w:hint="default"/>
                          <w:lang w:val="en-US" w:eastAsia="zh-CN"/>
                        </w:rPr>
                      </w:pPr>
                      <w:r>
                        <w:rPr>
                          <w:rFonts w:hint="eastAsia"/>
                          <w:b/>
                          <w:bCs/>
                          <w:lang w:val="en-US" w:eastAsia="zh-CN"/>
                        </w:rPr>
                        <w:t>保护目标范围</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94432" behindDoc="0" locked="0" layoutInCell="1" allowOverlap="1">
                <wp:simplePos x="0" y="0"/>
                <wp:positionH relativeFrom="column">
                  <wp:posOffset>7053580</wp:posOffset>
                </wp:positionH>
                <wp:positionV relativeFrom="paragraph">
                  <wp:posOffset>5122545</wp:posOffset>
                </wp:positionV>
                <wp:extent cx="228600" cy="142875"/>
                <wp:effectExtent l="9525" t="9525" r="9525" b="19050"/>
                <wp:wrapNone/>
                <wp:docPr id="144" name="矩形 144"/>
                <wp:cNvGraphicFramePr/>
                <a:graphic xmlns:a="http://schemas.openxmlformats.org/drawingml/2006/main">
                  <a:graphicData uri="http://schemas.microsoft.com/office/word/2010/wordprocessingShape">
                    <wps:wsp>
                      <wps:cNvSpPr/>
                      <wps:spPr>
                        <a:xfrm>
                          <a:off x="0" y="0"/>
                          <a:ext cx="228600" cy="142875"/>
                        </a:xfrm>
                        <a:prstGeom prst="rect">
                          <a:avLst/>
                        </a:prstGeom>
                        <a:noFill/>
                        <a:ln w="19050"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55.4pt;margin-top:403.35pt;height:11.25pt;width:18pt;z-index:251794432;mso-width-relative:page;mso-height-relative:page;" filled="f" stroked="t" coordsize="21600,21600" o:gfxdata="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xtMpT2QAAAA0BAAAPAAAAAAAAAAEAIAAAACIAAABkcnMvZG93bnJldi54&#10;bWxQSwECFAAUAAAACACHTuJA3w3gvvkBAAD5AwAADgAAAAAAAAABACAAAAAoAQAAZHJzL2Uyb0Rv&#10;Yy54bWxQSwUGAAAAAAYABgBZAQAAkwUAAAAA&#10;">
                <v:fill on="f" focussize="0,0"/>
                <v:stroke weight="1.5pt" color="#FF0000" joinstyle="miter"/>
                <v:imagedata o:title=""/>
                <o:lock v:ext="edit" aspectratio="f"/>
              </v:rect>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93408" behindDoc="0" locked="0" layoutInCell="1" allowOverlap="1">
                <wp:simplePos x="0" y="0"/>
                <wp:positionH relativeFrom="column">
                  <wp:posOffset>7040880</wp:posOffset>
                </wp:positionH>
                <wp:positionV relativeFrom="paragraph">
                  <wp:posOffset>4805045</wp:posOffset>
                </wp:positionV>
                <wp:extent cx="228600" cy="142875"/>
                <wp:effectExtent l="9525" t="9525" r="9525" b="19050"/>
                <wp:wrapNone/>
                <wp:docPr id="314" name="矩形 314"/>
                <wp:cNvGraphicFramePr/>
                <a:graphic xmlns:a="http://schemas.openxmlformats.org/drawingml/2006/main">
                  <a:graphicData uri="http://schemas.microsoft.com/office/word/2010/wordprocessingShape">
                    <wps:wsp>
                      <wps:cNvSpPr/>
                      <wps:spPr>
                        <a:xfrm>
                          <a:off x="0" y="0"/>
                          <a:ext cx="228600" cy="142875"/>
                        </a:xfrm>
                        <a:prstGeom prst="rect">
                          <a:avLst/>
                        </a:prstGeom>
                        <a:solidFill>
                          <a:srgbClr val="FFFF00"/>
                        </a:solidFill>
                        <a:ln w="19050" cap="flat" cmpd="sng">
                          <a:solidFill>
                            <a:srgbClr val="FFFF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54.4pt;margin-top:378.35pt;height:11.25pt;width:18pt;z-index:251793408;mso-width-relative:page;mso-height-relative:page;" fillcolor="#FFFF00" filled="t" stroked="t" coordsize="21600,21600" o:gfxdata="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XRrOw2AAAAA0BAAAPAAAAAAAAAAEAIAAAACIAAABkcnMvZG93bnJldi54&#10;bWxQSwECFAAUAAAACACHTuJA/KnCJvoBAAAiBAAADgAAAAAAAAABACAAAAAnAQAAZHJzL2Uyb0Rv&#10;Yy54bWxQSwUGAAAAAAYABgBZAQAAkwUAAAAA&#10;">
                <v:fill on="t" focussize="0,0"/>
                <v:stroke weight="1.5pt" color="#FFFF00" joinstyle="miter"/>
                <v:imagedata o:title=""/>
                <o:lock v:ext="edit" aspectratio="f"/>
              </v:rect>
            </w:pict>
          </mc:Fallback>
        </mc:AlternateContent>
      </w:r>
      <w:r>
        <w:rPr>
          <w:rFonts w:hint="default" w:ascii="Times New Roman" w:hAnsi="Times New Roman" w:cs="Times New Roman"/>
        </w:rPr>
        <w:drawing>
          <wp:inline distT="0" distB="0" distL="114300" distR="114300">
            <wp:extent cx="7968615" cy="5467985"/>
            <wp:effectExtent l="0" t="0" r="13335" b="18415"/>
            <wp:docPr id="3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16"/>
                    <pic:cNvPicPr>
                      <a:picLocks noChangeAspect="1"/>
                    </pic:cNvPicPr>
                  </pic:nvPicPr>
                  <pic:blipFill>
                    <a:blip r:embed="rId30"/>
                    <a:stretch>
                      <a:fillRect/>
                    </a:stretch>
                  </pic:blipFill>
                  <pic:spPr>
                    <a:xfrm>
                      <a:off x="0" y="0"/>
                      <a:ext cx="7968615" cy="5467985"/>
                    </a:xfrm>
                    <a:prstGeom prst="rect">
                      <a:avLst/>
                    </a:prstGeom>
                    <a:noFill/>
                    <a:ln>
                      <a:noFill/>
                    </a:ln>
                  </pic:spPr>
                </pic:pic>
              </a:graphicData>
            </a:graphic>
          </wp:inline>
        </w:drawing>
      </w:r>
    </w:p>
    <w:p>
      <w:pPr>
        <w:spacing w:before="120" w:line="228" w:lineRule="auto"/>
        <w:jc w:val="cente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pPr>
      <w: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t xml:space="preserve">图 </w:t>
      </w:r>
      <w:r>
        <w:rPr>
          <w:rFonts w:hint="default" w:ascii="Times New Roman" w:hAnsi="Times New Roman" w:eastAsia="宋体" w:cs="Times New Roman"/>
          <w:spacing w:val="5"/>
          <w:sz w:val="20"/>
          <w:szCs w:val="20"/>
          <w:highlight w:val="none"/>
          <w:lang w:val="en-US" w:eastAsia="zh-CN"/>
          <w14:textOutline w14:w="3795" w14:cap="sq" w14:cmpd="sng">
            <w14:solidFill>
              <w14:srgbClr w14:val="000000"/>
            </w14:solidFill>
            <w14:prstDash w14:val="solid"/>
            <w14:bevel/>
          </w14:textOutline>
        </w:rPr>
        <w:t>2-7-1</w:t>
      </w:r>
      <w: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t xml:space="preserve">   项目环境保护目标图</w:t>
      </w:r>
    </w:p>
    <w:p>
      <w:pPr>
        <w:pStyle w:val="31"/>
        <w:rPr>
          <w:rFonts w:hint="default" w:ascii="Times New Roman" w:hAnsi="Times New Roman" w:cs="Times New Roman"/>
          <w:highlight w:val="magenta"/>
        </w:rPr>
        <w:sectPr>
          <w:pgSz w:w="16839" w:h="11906" w:orient="landscape"/>
          <w:pgMar w:top="1118" w:right="1416" w:bottom="1157" w:left="1417" w:header="878" w:footer="992" w:gutter="0"/>
          <w:pgBorders>
            <w:top w:val="none" w:sz="0" w:space="0"/>
            <w:left w:val="none" w:sz="0" w:space="0"/>
            <w:bottom w:val="none" w:sz="0" w:space="0"/>
            <w:right w:val="none" w:sz="0" w:space="0"/>
          </w:pgBorders>
          <w:pgNumType w:fmt="decimal"/>
          <w:cols w:space="720" w:num="1"/>
        </w:sectPr>
      </w:pPr>
    </w:p>
    <w:p>
      <w:pPr>
        <w:spacing w:before="65" w:line="199" w:lineRule="auto"/>
        <w:jc w:val="both"/>
        <w:rPr>
          <w:rFonts w:hint="default" w:ascii="Times New Roman" w:hAnsi="Times New Roman" w:eastAsia="黑体" w:cs="Times New Roman"/>
          <w:sz w:val="20"/>
          <w:szCs w:val="20"/>
        </w:rPr>
      </w:pPr>
      <w:r>
        <w:rPr>
          <w:rFonts w:hint="default" w:ascii="Times New Roman" w:hAnsi="Times New Roman" w:cs="Times New Roman"/>
          <w:color w:val="auto"/>
          <w:sz w:val="24"/>
        </w:rPr>
        <mc:AlternateContent>
          <mc:Choice Requires="wps">
            <w:drawing>
              <wp:anchor distT="0" distB="0" distL="114300" distR="114300" simplePos="0" relativeHeight="251791360" behindDoc="0" locked="0" layoutInCell="1" allowOverlap="1">
                <wp:simplePos x="0" y="0"/>
                <wp:positionH relativeFrom="column">
                  <wp:posOffset>7053580</wp:posOffset>
                </wp:positionH>
                <wp:positionV relativeFrom="paragraph">
                  <wp:posOffset>5122545</wp:posOffset>
                </wp:positionV>
                <wp:extent cx="228600" cy="142875"/>
                <wp:effectExtent l="9525" t="9525" r="9525" b="19050"/>
                <wp:wrapNone/>
                <wp:docPr id="96" name="矩形 96"/>
                <wp:cNvGraphicFramePr/>
                <a:graphic xmlns:a="http://schemas.openxmlformats.org/drawingml/2006/main">
                  <a:graphicData uri="http://schemas.microsoft.com/office/word/2010/wordprocessingShape">
                    <wps:wsp>
                      <wps:cNvSpPr/>
                      <wps:spPr>
                        <a:xfrm>
                          <a:off x="0" y="0"/>
                          <a:ext cx="228600" cy="142875"/>
                        </a:xfrm>
                        <a:prstGeom prst="rect">
                          <a:avLst/>
                        </a:prstGeom>
                        <a:noFill/>
                        <a:ln w="19050"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55.4pt;margin-top:403.35pt;height:11.25pt;width:18pt;z-index:251791360;mso-width-relative:page;mso-height-relative:page;" filled="f" stroked="t" coordsize="21600,21600" o:gfxdata="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xtMpT2QAAAA0BAAAPAAAAAAAAAAEAIAAAACIAAABkcnMvZG93bnJldi54&#10;bWxQSwECFAAUAAAACACHTuJAjPSA6vkBAAD3AwAADgAAAAAAAAABACAAAAAoAQAAZHJzL2Uyb0Rv&#10;Yy54bWxQSwUGAAAAAAYABgBZAQAAkwUAAAAA&#10;">
                <v:fill on="f" focussize="0,0"/>
                <v:stroke weight="1.5pt" color="#FF0000" joinstyle="miter"/>
                <v:imagedata o:title=""/>
                <o:lock v:ext="edit" aspectratio="f"/>
              </v:rect>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90336" behindDoc="0" locked="0" layoutInCell="1" allowOverlap="1">
                <wp:simplePos x="0" y="0"/>
                <wp:positionH relativeFrom="column">
                  <wp:posOffset>7040880</wp:posOffset>
                </wp:positionH>
                <wp:positionV relativeFrom="paragraph">
                  <wp:posOffset>4805045</wp:posOffset>
                </wp:positionV>
                <wp:extent cx="228600" cy="142875"/>
                <wp:effectExtent l="9525" t="9525" r="9525" b="19050"/>
                <wp:wrapNone/>
                <wp:docPr id="70" name="矩形 70"/>
                <wp:cNvGraphicFramePr/>
                <a:graphic xmlns:a="http://schemas.openxmlformats.org/drawingml/2006/main">
                  <a:graphicData uri="http://schemas.microsoft.com/office/word/2010/wordprocessingShape">
                    <wps:wsp>
                      <wps:cNvSpPr/>
                      <wps:spPr>
                        <a:xfrm>
                          <a:off x="0" y="0"/>
                          <a:ext cx="228600" cy="142875"/>
                        </a:xfrm>
                        <a:prstGeom prst="rect">
                          <a:avLst/>
                        </a:prstGeom>
                        <a:solidFill>
                          <a:srgbClr val="FFFF00"/>
                        </a:solidFill>
                        <a:ln w="19050" cap="flat" cmpd="sng">
                          <a:solidFill>
                            <a:srgbClr val="FFFF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54.4pt;margin-top:378.35pt;height:11.25pt;width:18pt;z-index:251790336;mso-width-relative:page;mso-height-relative:page;" fillcolor="#FFFF00" filled="t" stroked="t" coordsize="21600,21600" o:gfxdata="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XRrOw2AAAAA0BAAAPAAAAAAAAAAEAIAAAACIAAABkcnMvZG93bnJldi54bWxQ&#10;SwECFAAUAAAACACHTuJAy9DEZvcBAAAgBAAADgAAAAAAAAABACAAAAAnAQAAZHJzL2Uyb0RvYy54&#10;bWxQSwUGAAAAAAYABgBZAQAAkAUAAAAA&#10;">
                <v:fill on="t" focussize="0,0"/>
                <v:stroke weight="1.5pt" color="#FFFF00" joinstyle="miter"/>
                <v:imagedata o:title=""/>
                <o:lock v:ext="edit" aspectratio="f"/>
              </v:rect>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89312" behindDoc="0" locked="0" layoutInCell="1" allowOverlap="1">
                <wp:simplePos x="0" y="0"/>
                <wp:positionH relativeFrom="column">
                  <wp:posOffset>6957060</wp:posOffset>
                </wp:positionH>
                <wp:positionV relativeFrom="paragraph">
                  <wp:posOffset>4486910</wp:posOffset>
                </wp:positionV>
                <wp:extent cx="1474470" cy="962025"/>
                <wp:effectExtent l="4445" t="4445" r="6985" b="5080"/>
                <wp:wrapNone/>
                <wp:docPr id="58" name="文本框 584"/>
                <wp:cNvGraphicFramePr/>
                <a:graphic xmlns:a="http://schemas.openxmlformats.org/drawingml/2006/main">
                  <a:graphicData uri="http://schemas.microsoft.com/office/word/2010/wordprocessingShape">
                    <wps:wsp>
                      <wps:cNvSpPr txBox="1"/>
                      <wps:spPr>
                        <a:xfrm>
                          <a:off x="0" y="0"/>
                          <a:ext cx="1474470" cy="9620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360" w:lineRule="auto"/>
                              <w:ind w:left="0" w:firstLine="840" w:firstLineChars="400"/>
                              <w:textAlignment w:val="auto"/>
                              <w:rPr>
                                <w:rFonts w:hint="eastAsia"/>
                                <w:b/>
                                <w:bCs/>
                                <w:sz w:val="21"/>
                                <w:szCs w:val="21"/>
                                <w:lang w:val="en-US" w:eastAsia="zh-CN"/>
                              </w:rPr>
                            </w:pPr>
                            <w:r>
                              <w:rPr>
                                <w:rFonts w:hint="eastAsia"/>
                                <w:b/>
                                <w:bCs/>
                                <w:sz w:val="21"/>
                                <w:szCs w:val="21"/>
                                <w:lang w:val="en-US" w:eastAsia="zh-CN"/>
                              </w:rPr>
                              <w:t>图例</w:t>
                            </w:r>
                          </w:p>
                          <w:p>
                            <w:pPr>
                              <w:pStyle w:val="20"/>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b/>
                                <w:bCs/>
                                <w:sz w:val="21"/>
                                <w:szCs w:val="21"/>
                                <w:lang w:val="en-US" w:eastAsia="zh-CN"/>
                              </w:rPr>
                            </w:pPr>
                            <w:r>
                              <w:rPr>
                                <w:rFonts w:hint="eastAsia"/>
                                <w:b/>
                                <w:bCs/>
                                <w:sz w:val="21"/>
                                <w:szCs w:val="21"/>
                                <w:lang w:val="en-US" w:eastAsia="zh-CN"/>
                              </w:rPr>
                              <w:t>项目位置</w:t>
                            </w:r>
                          </w:p>
                          <w:p>
                            <w:pPr>
                              <w:ind w:firstLine="630" w:firstLineChars="300"/>
                              <w:rPr>
                                <w:rFonts w:hint="default"/>
                                <w:lang w:val="en-US" w:eastAsia="zh-CN"/>
                              </w:rPr>
                            </w:pPr>
                            <w:r>
                              <w:rPr>
                                <w:rFonts w:hint="eastAsia"/>
                                <w:b/>
                                <w:bCs/>
                                <w:lang w:val="en-US" w:eastAsia="zh-CN"/>
                              </w:rPr>
                              <w:t>保护目标范围</w:t>
                            </w:r>
                          </w:p>
                        </w:txbxContent>
                      </wps:txbx>
                      <wps:bodyPr upright="1"/>
                    </wps:wsp>
                  </a:graphicData>
                </a:graphic>
              </wp:anchor>
            </w:drawing>
          </mc:Choice>
          <mc:Fallback>
            <w:pict>
              <v:shape id="文本框 584" o:spid="_x0000_s1026" o:spt="202" type="#_x0000_t202" style="position:absolute;left:0pt;margin-left:547.8pt;margin-top:353.3pt;height:75.75pt;width:116.1pt;z-index:251789312;mso-width-relative:page;mso-height-relative:page;" fillcolor="#FFFFFF" filled="t" stroked="t" coordsize="21600,21600" o:gfxdata="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8L8Qw9oAAAANAQAADwAAAAAAAAABACAA&#10;AAAiAAAAZHJzL2Rvd25yZXYueG1sUEsBAhQAFAAAAAgAh07iQN8ns4ELAgAAOQQAAA4AAAAAAAAA&#10;AQAgAAAAKQEAAGRycy9lMm9Eb2MueG1sUEsFBgAAAAAGAAYAWQEAAKYFA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60" w:lineRule="auto"/>
                        <w:ind w:left="0" w:firstLine="840" w:firstLineChars="400"/>
                        <w:textAlignment w:val="auto"/>
                        <w:rPr>
                          <w:rFonts w:hint="eastAsia"/>
                          <w:b/>
                          <w:bCs/>
                          <w:sz w:val="21"/>
                          <w:szCs w:val="21"/>
                          <w:lang w:val="en-US" w:eastAsia="zh-CN"/>
                        </w:rPr>
                      </w:pPr>
                      <w:r>
                        <w:rPr>
                          <w:rFonts w:hint="eastAsia"/>
                          <w:b/>
                          <w:bCs/>
                          <w:sz w:val="21"/>
                          <w:szCs w:val="21"/>
                          <w:lang w:val="en-US" w:eastAsia="zh-CN"/>
                        </w:rPr>
                        <w:t>图例</w:t>
                      </w:r>
                    </w:p>
                    <w:p>
                      <w:pPr>
                        <w:pStyle w:val="20"/>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b/>
                          <w:bCs/>
                          <w:sz w:val="21"/>
                          <w:szCs w:val="21"/>
                          <w:lang w:val="en-US" w:eastAsia="zh-CN"/>
                        </w:rPr>
                      </w:pPr>
                      <w:r>
                        <w:rPr>
                          <w:rFonts w:hint="eastAsia"/>
                          <w:b/>
                          <w:bCs/>
                          <w:sz w:val="21"/>
                          <w:szCs w:val="21"/>
                          <w:lang w:val="en-US" w:eastAsia="zh-CN"/>
                        </w:rPr>
                        <w:t>项目位置</w:t>
                      </w:r>
                    </w:p>
                    <w:p>
                      <w:pPr>
                        <w:ind w:firstLine="630" w:firstLineChars="300"/>
                        <w:rPr>
                          <w:rFonts w:hint="default"/>
                          <w:lang w:val="en-US" w:eastAsia="zh-CN"/>
                        </w:rPr>
                      </w:pPr>
                      <w:r>
                        <w:rPr>
                          <w:rFonts w:hint="eastAsia"/>
                          <w:b/>
                          <w:bCs/>
                          <w:lang w:val="en-US" w:eastAsia="zh-CN"/>
                        </w:rPr>
                        <w:t>保护目标范围</w:t>
                      </w:r>
                    </w:p>
                  </w:txbxContent>
                </v:textbox>
              </v:shape>
            </w:pict>
          </mc:Fallback>
        </mc:AlternateContent>
      </w:r>
    </w:p>
    <w:p>
      <w:pPr>
        <w:widowControl/>
        <w:tabs>
          <w:tab w:val="left" w:leader="middleDot" w:pos="7371"/>
        </w:tabs>
        <w:kinsoku/>
        <w:autoSpaceDE/>
        <w:autoSpaceDN/>
        <w:adjustRightInd/>
        <w:snapToGrid/>
        <w:spacing w:line="360" w:lineRule="auto"/>
        <w:jc w:val="left"/>
        <w:textAlignment w:val="auto"/>
        <w:outlineLvl w:val="0"/>
        <w:rPr>
          <w:rFonts w:hint="default" w:ascii="Times New Roman" w:hAnsi="Times New Roman" w:eastAsia="宋体" w:cs="Times New Roman"/>
          <w:b/>
          <w:snapToGrid/>
          <w:color w:val="auto"/>
          <w:kern w:val="0"/>
          <w:sz w:val="32"/>
          <w:szCs w:val="32"/>
          <w:lang w:val="en-US" w:eastAsia="zh-CN"/>
        </w:rPr>
      </w:pPr>
      <w:bookmarkStart w:id="70" w:name="_Toc7424"/>
      <w:r>
        <w:rPr>
          <w:rFonts w:hint="default" w:ascii="Times New Roman" w:hAnsi="Times New Roman" w:eastAsia="宋体" w:cs="Times New Roman"/>
          <w:b/>
          <w:snapToGrid/>
          <w:color w:val="auto"/>
          <w:kern w:val="0"/>
          <w:sz w:val="32"/>
          <w:szCs w:val="32"/>
          <w:lang w:val="en-US" w:eastAsia="zh-CN"/>
        </w:rPr>
        <w:t>3、工程概况及工程分析</w:t>
      </w:r>
      <w:bookmarkEnd w:id="70"/>
    </w:p>
    <w:p>
      <w:pPr>
        <w:widowControl w:val="0"/>
        <w:kinsoku/>
        <w:autoSpaceDE/>
        <w:autoSpaceDN/>
        <w:adjustRightInd/>
        <w:snapToGrid/>
        <w:spacing w:line="360" w:lineRule="auto"/>
        <w:jc w:val="left"/>
        <w:textAlignment w:val="auto"/>
        <w:outlineLvl w:val="1"/>
        <w:rPr>
          <w:rFonts w:hint="default" w:ascii="Times New Roman" w:hAnsi="Times New Roman" w:eastAsia="宋体" w:cs="Times New Roman"/>
          <w:b/>
          <w:bCs/>
          <w:snapToGrid/>
          <w:color w:val="auto"/>
          <w:kern w:val="44"/>
          <w:sz w:val="30"/>
          <w:szCs w:val="30"/>
          <w:lang w:val="en-US" w:eastAsia="zh-CN"/>
        </w:rPr>
      </w:pPr>
      <w:bookmarkStart w:id="71" w:name="_Toc1634"/>
      <w:r>
        <w:rPr>
          <w:rFonts w:hint="default" w:ascii="Times New Roman" w:hAnsi="Times New Roman" w:eastAsia="宋体" w:cs="Times New Roman"/>
          <w:b/>
          <w:bCs/>
          <w:snapToGrid/>
          <w:color w:val="auto"/>
          <w:kern w:val="44"/>
          <w:sz w:val="30"/>
          <w:szCs w:val="30"/>
          <w:lang w:val="en-US" w:eastAsia="zh-CN"/>
        </w:rPr>
        <w:t>3. 1 现有工程概况</w:t>
      </w:r>
      <w:bookmarkEnd w:id="71"/>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3.1.1  现有工程环保手续履行情况</w:t>
      </w:r>
    </w:p>
    <w:p>
      <w:pPr>
        <w:pStyle w:val="29"/>
        <w:keepNext w:val="0"/>
        <w:keepLines w:val="0"/>
        <w:pageBreakBefore w:val="0"/>
        <w:widowControl/>
        <w:kinsoku w:val="0"/>
        <w:wordWrap/>
        <w:overflowPunct/>
        <w:topLinePunct w:val="0"/>
        <w:autoSpaceDE w:val="0"/>
        <w:autoSpaceDN w:val="0"/>
        <w:bidi w:val="0"/>
        <w:adjustRightInd w:val="0"/>
        <w:snapToGrid w:val="0"/>
        <w:jc w:val="both"/>
        <w:textAlignment w:val="baseline"/>
        <w:rPr>
          <w:rFonts w:hint="eastAsia" w:ascii="Times New Roman" w:hAnsi="Times New Roman" w:eastAsia="宋体" w:cs="Times New Roman"/>
          <w:spacing w:val="-6"/>
          <w:sz w:val="24"/>
          <w:szCs w:val="24"/>
          <w:highlight w:val="magenta"/>
          <w:lang w:val="en-US" w:eastAsia="zh-CN"/>
        </w:rPr>
      </w:pPr>
      <w:r>
        <w:rPr>
          <w:rFonts w:hint="default" w:ascii="Times New Roman" w:hAnsi="Times New Roman" w:eastAsia="宋体" w:cs="Times New Roman"/>
          <w:spacing w:val="-6"/>
          <w:sz w:val="24"/>
          <w:szCs w:val="24"/>
          <w:lang w:eastAsia="zh-CN"/>
        </w:rPr>
        <w:t>巴彦县利民禽畜加工冷冻厂</w:t>
      </w:r>
      <w:r>
        <w:rPr>
          <w:rFonts w:hint="default" w:ascii="Times New Roman" w:hAnsi="Times New Roman" w:eastAsia="宋体" w:cs="Times New Roman"/>
          <w:spacing w:val="-6"/>
          <w:sz w:val="24"/>
          <w:szCs w:val="24"/>
        </w:rPr>
        <w:t>于200</w:t>
      </w:r>
      <w:r>
        <w:rPr>
          <w:rFonts w:hint="default" w:ascii="Times New Roman" w:hAnsi="Times New Roman" w:eastAsia="宋体" w:cs="Times New Roman"/>
          <w:spacing w:val="-6"/>
          <w:sz w:val="24"/>
          <w:szCs w:val="24"/>
          <w:lang w:val="en-US" w:eastAsia="zh-CN"/>
        </w:rPr>
        <w:t>6</w:t>
      </w:r>
      <w:r>
        <w:rPr>
          <w:rFonts w:hint="default" w:ascii="Times New Roman" w:hAnsi="Times New Roman" w:eastAsia="宋体" w:cs="Times New Roman"/>
          <w:spacing w:val="-6"/>
          <w:sz w:val="24"/>
          <w:szCs w:val="24"/>
        </w:rPr>
        <w:t>年</w:t>
      </w:r>
      <w:r>
        <w:rPr>
          <w:rFonts w:hint="default" w:ascii="Times New Roman" w:hAnsi="Times New Roman" w:eastAsia="宋体" w:cs="Times New Roman"/>
          <w:spacing w:val="-6"/>
          <w:sz w:val="24"/>
          <w:szCs w:val="24"/>
          <w:lang w:val="en-US" w:eastAsia="zh-CN"/>
        </w:rPr>
        <w:t>6</w:t>
      </w:r>
      <w:r>
        <w:rPr>
          <w:rFonts w:hint="default" w:ascii="Times New Roman" w:hAnsi="Times New Roman" w:eastAsia="宋体" w:cs="Times New Roman"/>
          <w:spacing w:val="-6"/>
          <w:sz w:val="24"/>
          <w:szCs w:val="24"/>
        </w:rPr>
        <w:t>月委托</w:t>
      </w:r>
      <w:r>
        <w:rPr>
          <w:rFonts w:hint="default" w:ascii="Times New Roman" w:hAnsi="Times New Roman" w:eastAsia="宋体" w:cs="Times New Roman"/>
          <w:spacing w:val="-6"/>
          <w:sz w:val="24"/>
          <w:szCs w:val="24"/>
          <w:lang w:val="en-US" w:eastAsia="zh-CN"/>
        </w:rPr>
        <w:t>哈尔滨工业大学市政环境工程学院</w:t>
      </w:r>
      <w:r>
        <w:rPr>
          <w:rFonts w:hint="default" w:ascii="Times New Roman" w:hAnsi="Times New Roman" w:eastAsia="宋体" w:cs="Times New Roman"/>
          <w:spacing w:val="-6"/>
          <w:sz w:val="24"/>
          <w:szCs w:val="24"/>
        </w:rPr>
        <w:t>承担“</w:t>
      </w:r>
      <w:r>
        <w:rPr>
          <w:rFonts w:hint="default" w:ascii="Times New Roman" w:hAnsi="Times New Roman" w:eastAsia="宋体" w:cs="Times New Roman"/>
          <w:spacing w:val="-6"/>
          <w:sz w:val="24"/>
          <w:szCs w:val="24"/>
          <w:lang w:val="en-US" w:eastAsia="zh-CN"/>
        </w:rPr>
        <w:t>哈尔滨市巴彦县利民禽畜加工冷冻厂工程</w:t>
      </w:r>
      <w:r>
        <w:rPr>
          <w:rFonts w:hint="default" w:ascii="Times New Roman" w:hAnsi="Times New Roman" w:eastAsia="宋体" w:cs="Times New Roman"/>
          <w:spacing w:val="-6"/>
          <w:sz w:val="24"/>
          <w:szCs w:val="24"/>
        </w:rPr>
        <w:t>”的环境影响评价工作，该项目于200</w:t>
      </w:r>
      <w:r>
        <w:rPr>
          <w:rFonts w:hint="default" w:ascii="Times New Roman" w:hAnsi="Times New Roman" w:eastAsia="宋体" w:cs="Times New Roman"/>
          <w:spacing w:val="-6"/>
          <w:sz w:val="24"/>
          <w:szCs w:val="24"/>
          <w:lang w:val="en-US" w:eastAsia="zh-CN"/>
        </w:rPr>
        <w:t>6</w:t>
      </w:r>
      <w:r>
        <w:rPr>
          <w:rFonts w:hint="default" w:ascii="Times New Roman" w:hAnsi="Times New Roman" w:eastAsia="宋体" w:cs="Times New Roman"/>
          <w:spacing w:val="-6"/>
          <w:sz w:val="24"/>
          <w:szCs w:val="24"/>
        </w:rPr>
        <w:t>年</w:t>
      </w:r>
      <w:r>
        <w:rPr>
          <w:rFonts w:hint="default" w:ascii="Times New Roman" w:hAnsi="Times New Roman" w:eastAsia="宋体" w:cs="Times New Roman"/>
          <w:spacing w:val="-6"/>
          <w:sz w:val="24"/>
          <w:szCs w:val="24"/>
          <w:lang w:val="en-US" w:eastAsia="zh-CN"/>
        </w:rPr>
        <w:t>12</w:t>
      </w:r>
      <w:r>
        <w:rPr>
          <w:rFonts w:hint="default" w:ascii="Times New Roman" w:hAnsi="Times New Roman" w:eastAsia="宋体" w:cs="Times New Roman"/>
          <w:spacing w:val="-6"/>
          <w:sz w:val="24"/>
          <w:szCs w:val="24"/>
        </w:rPr>
        <w:t>月</w:t>
      </w:r>
      <w:r>
        <w:rPr>
          <w:rFonts w:hint="default" w:ascii="Times New Roman" w:hAnsi="Times New Roman" w:eastAsia="宋体" w:cs="Times New Roman"/>
          <w:spacing w:val="-6"/>
          <w:sz w:val="24"/>
          <w:szCs w:val="24"/>
          <w:lang w:val="en-US" w:eastAsia="zh-CN"/>
        </w:rPr>
        <w:t>8日</w:t>
      </w:r>
      <w:r>
        <w:rPr>
          <w:rFonts w:hint="default" w:ascii="Times New Roman" w:hAnsi="Times New Roman" w:eastAsia="宋体" w:cs="Times New Roman"/>
          <w:spacing w:val="-6"/>
          <w:sz w:val="24"/>
          <w:szCs w:val="24"/>
        </w:rPr>
        <w:t>取得《关于</w:t>
      </w:r>
      <w:r>
        <w:rPr>
          <w:rFonts w:hint="default" w:ascii="Times New Roman" w:hAnsi="Times New Roman" w:eastAsia="宋体" w:cs="Times New Roman"/>
          <w:spacing w:val="-6"/>
          <w:sz w:val="24"/>
          <w:szCs w:val="24"/>
          <w:lang w:eastAsia="zh-CN"/>
        </w:rPr>
        <w:t>巴彦县利民禽畜加工冷冻厂新建畜禽加工冷冻工程项目</w:t>
      </w:r>
      <w:r>
        <w:rPr>
          <w:rFonts w:hint="default" w:ascii="Times New Roman" w:hAnsi="Times New Roman" w:eastAsia="宋体" w:cs="Times New Roman"/>
          <w:spacing w:val="-6"/>
          <w:sz w:val="24"/>
          <w:szCs w:val="24"/>
        </w:rPr>
        <w:t>环境影响报告表</w:t>
      </w:r>
      <w:r>
        <w:rPr>
          <w:rFonts w:hint="default" w:ascii="Times New Roman" w:hAnsi="Times New Roman" w:eastAsia="宋体" w:cs="Times New Roman"/>
          <w:spacing w:val="-6"/>
          <w:sz w:val="24"/>
          <w:szCs w:val="24"/>
          <w:lang w:val="en-US" w:eastAsia="zh-CN"/>
        </w:rPr>
        <w:t>审批意见</w:t>
      </w:r>
      <w:r>
        <w:rPr>
          <w:rFonts w:hint="default" w:ascii="Times New Roman" w:hAnsi="Times New Roman" w:eastAsia="宋体" w:cs="Times New Roman"/>
          <w:spacing w:val="-6"/>
          <w:sz w:val="24"/>
          <w:szCs w:val="24"/>
        </w:rPr>
        <w:t>》（</w:t>
      </w:r>
      <w:r>
        <w:rPr>
          <w:rFonts w:hint="default" w:ascii="Times New Roman" w:hAnsi="Times New Roman" w:eastAsia="宋体" w:cs="Times New Roman"/>
          <w:spacing w:val="-6"/>
          <w:sz w:val="24"/>
          <w:szCs w:val="24"/>
          <w:lang w:val="en-US" w:eastAsia="zh-CN"/>
        </w:rPr>
        <w:t>巴环</w:t>
      </w:r>
      <w:r>
        <w:rPr>
          <w:rFonts w:hint="default" w:ascii="Times New Roman" w:hAnsi="Times New Roman" w:eastAsia="宋体" w:cs="Times New Roman"/>
          <w:spacing w:val="-6"/>
          <w:sz w:val="24"/>
          <w:szCs w:val="24"/>
        </w:rPr>
        <w:t>建字[200</w:t>
      </w:r>
      <w:r>
        <w:rPr>
          <w:rFonts w:hint="default" w:ascii="Times New Roman" w:hAnsi="Times New Roman" w:eastAsia="宋体" w:cs="Times New Roman"/>
          <w:spacing w:val="-6"/>
          <w:sz w:val="24"/>
          <w:szCs w:val="24"/>
          <w:lang w:val="en-US" w:eastAsia="zh-CN"/>
        </w:rPr>
        <w:t>6</w:t>
      </w:r>
      <w:r>
        <w:rPr>
          <w:rFonts w:hint="default" w:ascii="Times New Roman" w:hAnsi="Times New Roman" w:eastAsia="宋体" w:cs="Times New Roman"/>
          <w:spacing w:val="-6"/>
          <w:sz w:val="24"/>
          <w:szCs w:val="24"/>
        </w:rPr>
        <w:t>]</w:t>
      </w:r>
      <w:r>
        <w:rPr>
          <w:rFonts w:hint="default" w:ascii="Times New Roman" w:hAnsi="Times New Roman" w:eastAsia="宋体" w:cs="Times New Roman"/>
          <w:spacing w:val="-6"/>
          <w:sz w:val="24"/>
          <w:szCs w:val="24"/>
          <w:lang w:val="en-US" w:eastAsia="zh-CN"/>
        </w:rPr>
        <w:t>4</w:t>
      </w:r>
      <w:r>
        <w:rPr>
          <w:rFonts w:hint="default" w:ascii="Times New Roman" w:hAnsi="Times New Roman" w:eastAsia="宋体" w:cs="Times New Roman"/>
          <w:spacing w:val="-6"/>
          <w:sz w:val="24"/>
          <w:szCs w:val="24"/>
        </w:rPr>
        <w:t>号）</w:t>
      </w:r>
      <w:r>
        <w:rPr>
          <w:rFonts w:hint="eastAsia" w:ascii="Times New Roman" w:hAnsi="Times New Roman" w:eastAsia="宋体" w:cs="Times New Roman"/>
          <w:spacing w:val="-6"/>
          <w:sz w:val="24"/>
          <w:szCs w:val="24"/>
          <w:highlight w:val="none"/>
          <w:lang w:eastAsia="zh-CN"/>
        </w:rPr>
        <w:t>（</w:t>
      </w:r>
      <w:r>
        <w:rPr>
          <w:rFonts w:hint="eastAsia" w:ascii="Times New Roman" w:hAnsi="Times New Roman" w:eastAsia="宋体" w:cs="Times New Roman"/>
          <w:spacing w:val="-6"/>
          <w:sz w:val="24"/>
          <w:szCs w:val="24"/>
          <w:highlight w:val="none"/>
          <w:lang w:val="en-US" w:eastAsia="zh-CN"/>
        </w:rPr>
        <w:t>附件5</w:t>
      </w:r>
      <w:r>
        <w:rPr>
          <w:rFonts w:hint="eastAsia" w:ascii="Times New Roman" w:hAnsi="Times New Roman" w:eastAsia="宋体" w:cs="Times New Roman"/>
          <w:spacing w:val="-6"/>
          <w:sz w:val="24"/>
          <w:szCs w:val="24"/>
          <w:highlight w:val="none"/>
          <w:lang w:eastAsia="zh-CN"/>
        </w:rPr>
        <w:t>）</w:t>
      </w:r>
      <w:r>
        <w:rPr>
          <w:rFonts w:hint="eastAsia" w:ascii="Times New Roman" w:hAnsi="Times New Roman" w:eastAsia="宋体" w:cs="Times New Roman"/>
          <w:spacing w:val="-6"/>
          <w:sz w:val="24"/>
          <w:szCs w:val="24"/>
          <w:lang w:eastAsia="zh-CN"/>
        </w:rPr>
        <w:t>，</w:t>
      </w:r>
      <w:r>
        <w:rPr>
          <w:rFonts w:hint="eastAsia" w:ascii="Times New Roman" w:hAnsi="Times New Roman" w:eastAsia="宋体" w:cs="Times New Roman"/>
          <w:spacing w:val="-6"/>
          <w:sz w:val="24"/>
          <w:szCs w:val="24"/>
          <w:lang w:val="en-US" w:eastAsia="zh-CN"/>
        </w:rPr>
        <w:t>企业</w:t>
      </w:r>
      <w:r>
        <w:rPr>
          <w:rFonts w:hint="default" w:ascii="Times New Roman" w:hAnsi="Times New Roman" w:eastAsia="宋体" w:cs="Times New Roman"/>
          <w:spacing w:val="-6"/>
          <w:sz w:val="24"/>
          <w:szCs w:val="24"/>
          <w:lang w:val="en-US" w:eastAsia="zh-CN"/>
        </w:rPr>
        <w:t>于2007年9月7日更名为哈尔滨华康肉制品加工有限责任公司。于</w:t>
      </w:r>
      <w:r>
        <w:rPr>
          <w:rFonts w:hint="default" w:ascii="Times New Roman" w:hAnsi="Times New Roman" w:eastAsia="宋体" w:cs="Times New Roman"/>
          <w:spacing w:val="-6"/>
          <w:sz w:val="24"/>
          <w:szCs w:val="24"/>
        </w:rPr>
        <w:t>20</w:t>
      </w:r>
      <w:r>
        <w:rPr>
          <w:rFonts w:hint="default" w:ascii="Times New Roman" w:hAnsi="Times New Roman" w:eastAsia="宋体" w:cs="Times New Roman"/>
          <w:spacing w:val="-6"/>
          <w:sz w:val="24"/>
          <w:szCs w:val="24"/>
          <w:lang w:val="en-US" w:eastAsia="zh-CN"/>
        </w:rPr>
        <w:t>08</w:t>
      </w:r>
      <w:r>
        <w:rPr>
          <w:rFonts w:hint="default" w:ascii="Times New Roman" w:hAnsi="Times New Roman" w:eastAsia="宋体" w:cs="Times New Roman"/>
          <w:spacing w:val="-6"/>
          <w:sz w:val="24"/>
          <w:szCs w:val="24"/>
        </w:rPr>
        <w:t>年</w:t>
      </w:r>
      <w:r>
        <w:rPr>
          <w:rFonts w:hint="default" w:ascii="Times New Roman" w:hAnsi="Times New Roman" w:eastAsia="宋体" w:cs="Times New Roman"/>
          <w:spacing w:val="-6"/>
          <w:sz w:val="24"/>
          <w:szCs w:val="24"/>
          <w:lang w:val="en-US" w:eastAsia="zh-CN"/>
        </w:rPr>
        <w:t>1</w:t>
      </w:r>
      <w:r>
        <w:rPr>
          <w:rFonts w:hint="default" w:ascii="Times New Roman" w:hAnsi="Times New Roman" w:eastAsia="宋体" w:cs="Times New Roman"/>
          <w:spacing w:val="-6"/>
          <w:sz w:val="24"/>
          <w:szCs w:val="24"/>
        </w:rPr>
        <w:t>月企业取得</w:t>
      </w:r>
      <w:r>
        <w:rPr>
          <w:rFonts w:hint="default" w:ascii="Times New Roman" w:hAnsi="Times New Roman" w:eastAsia="宋体" w:cs="Times New Roman"/>
          <w:spacing w:val="-6"/>
          <w:sz w:val="24"/>
          <w:szCs w:val="24"/>
          <w:lang w:val="en-US" w:eastAsia="zh-CN"/>
        </w:rPr>
        <w:t>巴彦县</w:t>
      </w:r>
      <w:r>
        <w:rPr>
          <w:rFonts w:hint="default" w:ascii="Times New Roman" w:hAnsi="Times New Roman" w:eastAsia="宋体" w:cs="Times New Roman"/>
          <w:spacing w:val="-6"/>
          <w:sz w:val="24"/>
          <w:szCs w:val="24"/>
        </w:rPr>
        <w:t>环境保护局《</w:t>
      </w:r>
      <w:r>
        <w:rPr>
          <w:rFonts w:hint="default" w:ascii="Times New Roman" w:hAnsi="Times New Roman" w:eastAsia="宋体" w:cs="Times New Roman"/>
          <w:spacing w:val="-6"/>
          <w:sz w:val="24"/>
          <w:szCs w:val="24"/>
          <w:lang w:eastAsia="zh-CN"/>
        </w:rPr>
        <w:t>哈尔滨华康肉制品加工有限责任公司</w:t>
      </w:r>
      <w:r>
        <w:rPr>
          <w:rFonts w:hint="default" w:ascii="Times New Roman" w:hAnsi="Times New Roman" w:eastAsia="宋体" w:cs="Times New Roman"/>
          <w:spacing w:val="-6"/>
          <w:sz w:val="24"/>
          <w:szCs w:val="24"/>
          <w:lang w:val="en-US" w:eastAsia="zh-CN"/>
        </w:rPr>
        <w:t>工程</w:t>
      </w:r>
      <w:r>
        <w:rPr>
          <w:rFonts w:hint="default" w:ascii="Times New Roman" w:hAnsi="Times New Roman" w:eastAsia="宋体" w:cs="Times New Roman"/>
          <w:spacing w:val="-6"/>
          <w:sz w:val="24"/>
          <w:szCs w:val="24"/>
        </w:rPr>
        <w:t>》</w:t>
      </w:r>
      <w:r>
        <w:rPr>
          <w:rFonts w:hint="default" w:ascii="Times New Roman" w:hAnsi="Times New Roman" w:eastAsia="宋体" w:cs="Times New Roman"/>
          <w:spacing w:val="-6"/>
          <w:sz w:val="24"/>
          <w:szCs w:val="24"/>
          <w:lang w:val="en-US" w:eastAsia="zh-CN"/>
        </w:rPr>
        <w:t>环保验收</w:t>
      </w:r>
      <w:r>
        <w:rPr>
          <w:rFonts w:hint="eastAsia" w:ascii="Times New Roman" w:hAnsi="Times New Roman" w:eastAsia="宋体" w:cs="Times New Roman"/>
          <w:spacing w:val="-6"/>
          <w:sz w:val="24"/>
          <w:szCs w:val="24"/>
          <w:lang w:val="en-US" w:eastAsia="zh-CN"/>
        </w:rPr>
        <w:t>批文</w:t>
      </w:r>
      <w:r>
        <w:rPr>
          <w:rFonts w:hint="eastAsia" w:ascii="Times New Roman" w:hAnsi="Times New Roman" w:eastAsia="宋体" w:cs="Times New Roman"/>
          <w:spacing w:val="-6"/>
          <w:sz w:val="24"/>
          <w:szCs w:val="24"/>
          <w:highlight w:val="none"/>
          <w:lang w:eastAsia="zh-CN"/>
        </w:rPr>
        <w:t>（</w:t>
      </w:r>
      <w:r>
        <w:rPr>
          <w:rFonts w:hint="eastAsia" w:ascii="Times New Roman" w:hAnsi="Times New Roman" w:eastAsia="宋体" w:cs="Times New Roman"/>
          <w:spacing w:val="-6"/>
          <w:sz w:val="24"/>
          <w:szCs w:val="24"/>
          <w:highlight w:val="none"/>
          <w:lang w:val="en-US" w:eastAsia="zh-CN"/>
        </w:rPr>
        <w:t>附件6</w:t>
      </w:r>
      <w:r>
        <w:rPr>
          <w:rFonts w:hint="eastAsia" w:ascii="Times New Roman" w:hAnsi="Times New Roman" w:eastAsia="宋体" w:cs="Times New Roman"/>
          <w:spacing w:val="-6"/>
          <w:sz w:val="24"/>
          <w:szCs w:val="24"/>
          <w:highlight w:val="none"/>
          <w:lang w:eastAsia="zh-CN"/>
        </w:rPr>
        <w:t>）</w:t>
      </w:r>
      <w:r>
        <w:rPr>
          <w:rFonts w:hint="default" w:ascii="Times New Roman" w:hAnsi="Times New Roman" w:eastAsia="宋体" w:cs="Times New Roman"/>
          <w:spacing w:val="-6"/>
          <w:sz w:val="24"/>
          <w:szCs w:val="24"/>
        </w:rPr>
        <w:t>。</w:t>
      </w:r>
      <w:r>
        <w:rPr>
          <w:rFonts w:hint="default" w:ascii="Times New Roman" w:hAnsi="Times New Roman" w:eastAsia="宋体" w:cs="Times New Roman"/>
          <w:spacing w:val="-6"/>
          <w:sz w:val="24"/>
          <w:szCs w:val="24"/>
          <w:lang w:val="en-US" w:eastAsia="zh-CN"/>
        </w:rPr>
        <w:t>于2023年9月4日取得固定污染源排污登记回执，登记编号：9123012666565472XE002W。</w:t>
      </w: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由于企业污水处理站设备</w:t>
      </w:r>
      <w:r>
        <w:rPr>
          <w:rFonts w:hint="eastAsia"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老化</w:t>
      </w: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，污染物不能稳定达标排放，</w:t>
      </w:r>
      <w:r>
        <w:rPr>
          <w:rFonts w:hint="eastAsia"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企业</w:t>
      </w: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于</w:t>
      </w:r>
      <w:r>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2023</w:t>
      </w: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 xml:space="preserve"> 年</w:t>
      </w:r>
      <w:r>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9</w:t>
      </w: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月</w:t>
      </w:r>
      <w:r>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25日完成《哈尔滨华康肉制品加工有限责任公司污水处理站扩建项目》环境影响登记表</w:t>
      </w:r>
      <w:r>
        <w:rPr>
          <w:rFonts w:hint="eastAsia"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备案（附件7）</w:t>
      </w:r>
      <w:r>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w:t>
      </w:r>
      <w:r>
        <w:rPr>
          <w:rFonts w:hint="default" w:ascii="Times New Roman" w:hAnsi="Times New Roman" w:eastAsia="宋体" w:cs="Times New Roman"/>
          <w:spacing w:val="-6"/>
          <w:sz w:val="24"/>
          <w:szCs w:val="24"/>
          <w:highlight w:val="none"/>
        </w:rPr>
        <w:t>企业</w:t>
      </w:r>
      <w:r>
        <w:rPr>
          <w:rFonts w:hint="eastAsia" w:ascii="Times New Roman" w:hAnsi="Times New Roman" w:eastAsia="宋体" w:cs="Times New Roman"/>
          <w:spacing w:val="-6"/>
          <w:sz w:val="24"/>
          <w:szCs w:val="24"/>
          <w:highlight w:val="none"/>
          <w:lang w:val="en-US" w:eastAsia="zh-CN"/>
        </w:rPr>
        <w:t>已</w:t>
      </w:r>
      <w:r>
        <w:rPr>
          <w:rFonts w:hint="default" w:ascii="Times New Roman" w:hAnsi="Times New Roman" w:eastAsia="宋体" w:cs="Times New Roman"/>
          <w:spacing w:val="-6"/>
          <w:sz w:val="24"/>
          <w:szCs w:val="24"/>
          <w:highlight w:val="none"/>
        </w:rPr>
        <w:t>对原有污水处理</w:t>
      </w:r>
      <w:r>
        <w:rPr>
          <w:rFonts w:hint="eastAsia" w:ascii="Times New Roman" w:hAnsi="Times New Roman" w:eastAsia="宋体" w:cs="Times New Roman"/>
          <w:spacing w:val="-6"/>
          <w:sz w:val="24"/>
          <w:szCs w:val="24"/>
          <w:highlight w:val="none"/>
          <w:lang w:val="en-US" w:eastAsia="zh-CN"/>
        </w:rPr>
        <w:t>站</w:t>
      </w:r>
      <w:r>
        <w:rPr>
          <w:rFonts w:hint="default" w:ascii="Times New Roman" w:hAnsi="Times New Roman" w:eastAsia="宋体" w:cs="Times New Roman"/>
          <w:spacing w:val="-6"/>
          <w:sz w:val="24"/>
          <w:szCs w:val="24"/>
          <w:highlight w:val="none"/>
        </w:rPr>
        <w:t>进行技术改造，</w:t>
      </w:r>
      <w:r>
        <w:rPr>
          <w:rFonts w:hint="eastAsia" w:ascii="Times New Roman" w:hAnsi="Times New Roman" w:eastAsia="宋体" w:cs="Times New Roman"/>
          <w:spacing w:val="-6"/>
          <w:sz w:val="24"/>
          <w:szCs w:val="24"/>
          <w:highlight w:val="none"/>
          <w:lang w:val="en-US" w:eastAsia="zh-CN"/>
        </w:rPr>
        <w:t>已</w:t>
      </w:r>
      <w:r>
        <w:rPr>
          <w:rFonts w:hint="default" w:ascii="Times New Roman" w:hAnsi="Times New Roman" w:eastAsia="宋体" w:cs="Times New Roman"/>
          <w:spacing w:val="-6"/>
          <w:sz w:val="24"/>
          <w:szCs w:val="24"/>
          <w:highlight w:val="none"/>
          <w:lang w:val="en-US" w:eastAsia="zh-CN"/>
        </w:rPr>
        <w:t>新建一座</w:t>
      </w:r>
      <w:r>
        <w:rPr>
          <w:rFonts w:hint="default" w:ascii="Times New Roman" w:hAnsi="Times New Roman" w:eastAsia="宋体" w:cs="Times New Roman"/>
          <w:spacing w:val="-6"/>
          <w:sz w:val="24"/>
          <w:szCs w:val="24"/>
          <w:highlight w:val="none"/>
        </w:rPr>
        <w:t>日处理废水能力</w:t>
      </w:r>
      <w:r>
        <w:rPr>
          <w:rFonts w:hint="default" w:ascii="Times New Roman" w:hAnsi="Times New Roman" w:eastAsia="宋体" w:cs="Times New Roman"/>
          <w:spacing w:val="-6"/>
          <w:sz w:val="24"/>
          <w:szCs w:val="24"/>
          <w:highlight w:val="none"/>
          <w:lang w:val="en-US" w:eastAsia="zh-CN"/>
        </w:rPr>
        <w:t>300m</w:t>
      </w:r>
      <w:r>
        <w:rPr>
          <w:rFonts w:hint="default" w:ascii="Times New Roman" w:hAnsi="Times New Roman" w:eastAsia="宋体" w:cs="Times New Roman"/>
          <w:spacing w:val="-6"/>
          <w:sz w:val="24"/>
          <w:szCs w:val="24"/>
          <w:highlight w:val="none"/>
          <w:vertAlign w:val="superscript"/>
          <w:lang w:val="en-US" w:eastAsia="zh-CN"/>
        </w:rPr>
        <w:t>3</w:t>
      </w:r>
      <w:r>
        <w:rPr>
          <w:rFonts w:hint="default" w:ascii="Times New Roman" w:hAnsi="Times New Roman" w:eastAsia="宋体" w:cs="Times New Roman"/>
          <w:spacing w:val="-6"/>
          <w:sz w:val="24"/>
          <w:szCs w:val="24"/>
          <w:highlight w:val="none"/>
          <w:lang w:val="en-US" w:eastAsia="zh-CN"/>
        </w:rPr>
        <w:t>/d</w:t>
      </w:r>
      <w:r>
        <w:rPr>
          <w:rFonts w:hint="default" w:ascii="Times New Roman" w:hAnsi="Times New Roman" w:eastAsia="宋体" w:cs="Times New Roman"/>
          <w:spacing w:val="-6"/>
          <w:sz w:val="24"/>
          <w:szCs w:val="24"/>
          <w:highlight w:val="none"/>
        </w:rPr>
        <w:t xml:space="preserve"> 的污水处理站</w:t>
      </w:r>
      <w:r>
        <w:rPr>
          <w:rFonts w:hint="eastAsia" w:ascii="Times New Roman" w:hAnsi="Times New Roman" w:eastAsia="宋体" w:cs="Times New Roman"/>
          <w:spacing w:val="-6"/>
          <w:sz w:val="24"/>
          <w:szCs w:val="24"/>
          <w:highlight w:val="none"/>
          <w:lang w:eastAsia="zh-CN"/>
        </w:rPr>
        <w:t>。</w:t>
      </w:r>
    </w:p>
    <w:p>
      <w:pPr>
        <w:spacing w:before="120" w:line="228" w:lineRule="auto"/>
        <w:jc w:val="center"/>
        <w:rPr>
          <w:rFonts w:hint="eastAsia" w:ascii="Times New Roman" w:hAnsi="Times New Roman" w:eastAsia="宋体" w:cs="Times New Roman"/>
          <w:spacing w:val="5"/>
          <w:sz w:val="20"/>
          <w:szCs w:val="20"/>
          <w:highlight w:val="magenta"/>
          <w:lang w:eastAsia="zh-CN"/>
          <w14:textOutline w14:w="3795" w14:cap="sq" w14:cmpd="sng">
            <w14:solidFill>
              <w14:srgbClr w14:val="000000"/>
            </w14:solidFill>
            <w14:prstDash w14:val="solid"/>
            <w14:bevel/>
          </w14:textOutline>
        </w:rPr>
      </w:pPr>
      <w: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t xml:space="preserve">表 </w:t>
      </w:r>
      <w:r>
        <w:rPr>
          <w:rFonts w:hint="default" w:ascii="Times New Roman" w:hAnsi="Times New Roman" w:eastAsia="宋体" w:cs="Times New Roman"/>
          <w:spacing w:val="5"/>
          <w:sz w:val="20"/>
          <w:szCs w:val="20"/>
          <w:highlight w:val="none"/>
          <w:lang w:val="en-US" w:eastAsia="zh-CN"/>
          <w14:textOutline w14:w="3795" w14:cap="sq" w14:cmpd="sng">
            <w14:solidFill>
              <w14:srgbClr w14:val="000000"/>
            </w14:solidFill>
            <w14:prstDash w14:val="solid"/>
            <w14:bevel/>
          </w14:textOutline>
        </w:rPr>
        <w:t>3-</w:t>
      </w:r>
      <w: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t>1-1  环保手续履行情况一览表</w:t>
      </w:r>
    </w:p>
    <w:p>
      <w:pPr>
        <w:spacing w:line="143" w:lineRule="auto"/>
        <w:rPr>
          <w:rFonts w:hint="default" w:ascii="Times New Roman" w:hAnsi="Times New Roman" w:cs="Times New Roman"/>
          <w:sz w:val="2"/>
          <w:highlight w:val="none"/>
        </w:rPr>
      </w:pPr>
    </w:p>
    <w:tbl>
      <w:tblPr>
        <w:tblStyle w:val="34"/>
        <w:tblW w:w="928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20"/>
        <w:gridCol w:w="1213"/>
        <w:gridCol w:w="1398"/>
        <w:gridCol w:w="595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720" w:type="dxa"/>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序号</w:t>
            </w:r>
          </w:p>
        </w:tc>
        <w:tc>
          <w:tcPr>
            <w:tcW w:w="1213" w:type="dxa"/>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项目类型</w:t>
            </w:r>
          </w:p>
        </w:tc>
        <w:tc>
          <w:tcPr>
            <w:tcW w:w="1398" w:type="dxa"/>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1"/>
                <w:sz w:val="20"/>
                <w:szCs w:val="20"/>
                <w:highlight w:val="none"/>
              </w:rPr>
              <w:t>时间</w:t>
            </w:r>
          </w:p>
        </w:tc>
        <w:tc>
          <w:tcPr>
            <w:tcW w:w="5954" w:type="dxa"/>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批复情况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0" w:hRule="atLeast"/>
        </w:trPr>
        <w:tc>
          <w:tcPr>
            <w:tcW w:w="7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color w:val="auto"/>
                <w:spacing w:val="0"/>
                <w:sz w:val="21"/>
                <w:szCs w:val="21"/>
                <w:lang w:val="en-US" w:eastAsia="zh-CN"/>
              </w:rPr>
              <w:t>1</w:t>
            </w:r>
          </w:p>
        </w:tc>
        <w:tc>
          <w:tcPr>
            <w:tcW w:w="121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rPr>
            </w:pPr>
            <w:r>
              <w:rPr>
                <w:rFonts w:hint="default" w:ascii="Times New Roman" w:hAnsi="Times New Roman" w:eastAsia="宋体" w:cs="Times New Roman"/>
                <w:color w:val="auto"/>
                <w:spacing w:val="0"/>
                <w:sz w:val="21"/>
                <w:szCs w:val="21"/>
                <w:lang w:val="en-US" w:eastAsia="zh-CN"/>
              </w:rPr>
              <w:t>环评</w:t>
            </w:r>
          </w:p>
        </w:tc>
        <w:tc>
          <w:tcPr>
            <w:tcW w:w="139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lang w:val="en-US"/>
              </w:rPr>
            </w:pPr>
            <w:r>
              <w:rPr>
                <w:rFonts w:hint="default" w:ascii="Times New Roman" w:hAnsi="Times New Roman" w:eastAsia="宋体" w:cs="Times New Roman"/>
                <w:color w:val="auto"/>
                <w:spacing w:val="0"/>
                <w:sz w:val="21"/>
                <w:szCs w:val="21"/>
                <w:lang w:val="en-US" w:eastAsia="zh-CN"/>
              </w:rPr>
              <w:t>2006.06</w:t>
            </w:r>
          </w:p>
        </w:tc>
        <w:tc>
          <w:tcPr>
            <w:tcW w:w="5954" w:type="dxa"/>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9"/>
                <w:sz w:val="20"/>
                <w:szCs w:val="20"/>
                <w:highlight w:val="none"/>
              </w:rPr>
              <w:t>取得</w:t>
            </w:r>
            <w:r>
              <w:rPr>
                <w:rFonts w:hint="eastAsia" w:ascii="Times New Roman" w:hAnsi="Times New Roman" w:eastAsia="宋体" w:cs="Times New Roman"/>
                <w:spacing w:val="9"/>
                <w:sz w:val="20"/>
                <w:szCs w:val="20"/>
                <w:highlight w:val="none"/>
                <w:lang w:eastAsia="zh-CN"/>
              </w:rPr>
              <w:t>《</w:t>
            </w:r>
            <w:r>
              <w:rPr>
                <w:rFonts w:hint="default" w:ascii="Times New Roman" w:hAnsi="Times New Roman" w:eastAsia="宋体" w:cs="Times New Roman"/>
                <w:spacing w:val="9"/>
                <w:sz w:val="20"/>
                <w:szCs w:val="20"/>
                <w:highlight w:val="none"/>
                <w:lang w:val="en-US" w:eastAsia="zh-CN"/>
              </w:rPr>
              <w:t>巴彦县</w:t>
            </w:r>
            <w:r>
              <w:rPr>
                <w:rFonts w:hint="default" w:ascii="Times New Roman" w:hAnsi="Times New Roman" w:eastAsia="宋体" w:cs="Times New Roman"/>
                <w:spacing w:val="9"/>
                <w:sz w:val="20"/>
                <w:szCs w:val="20"/>
                <w:highlight w:val="none"/>
              </w:rPr>
              <w:t>环境保护局关于</w:t>
            </w:r>
            <w:r>
              <w:rPr>
                <w:rFonts w:hint="default" w:ascii="Times New Roman" w:hAnsi="Times New Roman" w:eastAsia="宋体" w:cs="Times New Roman"/>
                <w:spacing w:val="9"/>
                <w:sz w:val="20"/>
                <w:szCs w:val="20"/>
                <w:highlight w:val="none"/>
                <w:lang w:eastAsia="zh-CN"/>
              </w:rPr>
              <w:t>巴彦县利民禽畜加工冷冻厂新建畜禽加工冷冻工程项目</w:t>
            </w:r>
            <w:r>
              <w:rPr>
                <w:rFonts w:hint="default" w:ascii="Times New Roman" w:hAnsi="Times New Roman" w:eastAsia="宋体" w:cs="Times New Roman"/>
                <w:spacing w:val="9"/>
                <w:sz w:val="20"/>
                <w:szCs w:val="20"/>
                <w:highlight w:val="none"/>
              </w:rPr>
              <w:t>环境影响报告表</w:t>
            </w:r>
            <w:r>
              <w:rPr>
                <w:rFonts w:hint="default" w:ascii="Times New Roman" w:hAnsi="Times New Roman" w:eastAsia="宋体" w:cs="Times New Roman"/>
                <w:spacing w:val="9"/>
                <w:sz w:val="20"/>
                <w:szCs w:val="20"/>
                <w:highlight w:val="none"/>
                <w:lang w:val="en-US" w:eastAsia="zh-CN"/>
              </w:rPr>
              <w:t>审批意见</w:t>
            </w:r>
            <w:r>
              <w:rPr>
                <w:rFonts w:hint="default" w:ascii="Times New Roman" w:hAnsi="Times New Roman" w:eastAsia="宋体" w:cs="Times New Roman"/>
                <w:spacing w:val="9"/>
                <w:sz w:val="20"/>
                <w:szCs w:val="20"/>
                <w:highlight w:val="none"/>
              </w:rPr>
              <w:t>》（</w:t>
            </w:r>
            <w:r>
              <w:rPr>
                <w:rFonts w:hint="default" w:ascii="Times New Roman" w:hAnsi="Times New Roman" w:eastAsia="宋体" w:cs="Times New Roman"/>
                <w:spacing w:val="9"/>
                <w:sz w:val="20"/>
                <w:szCs w:val="20"/>
                <w:highlight w:val="none"/>
                <w:lang w:val="en-US" w:eastAsia="zh-CN"/>
              </w:rPr>
              <w:t>巴环</w:t>
            </w:r>
            <w:r>
              <w:rPr>
                <w:rFonts w:hint="default" w:ascii="Times New Roman" w:hAnsi="Times New Roman" w:eastAsia="宋体" w:cs="Times New Roman"/>
                <w:spacing w:val="9"/>
                <w:sz w:val="20"/>
                <w:szCs w:val="20"/>
                <w:highlight w:val="none"/>
              </w:rPr>
              <w:t>建字[200</w:t>
            </w:r>
            <w:r>
              <w:rPr>
                <w:rFonts w:hint="default" w:ascii="Times New Roman" w:hAnsi="Times New Roman" w:eastAsia="宋体" w:cs="Times New Roman"/>
                <w:spacing w:val="9"/>
                <w:sz w:val="20"/>
                <w:szCs w:val="20"/>
                <w:highlight w:val="none"/>
                <w:lang w:val="en-US" w:eastAsia="zh-CN"/>
              </w:rPr>
              <w:t>6</w:t>
            </w:r>
            <w:r>
              <w:rPr>
                <w:rFonts w:hint="default" w:ascii="Times New Roman" w:hAnsi="Times New Roman" w:eastAsia="宋体" w:cs="Times New Roman"/>
                <w:spacing w:val="9"/>
                <w:sz w:val="20"/>
                <w:szCs w:val="20"/>
                <w:highlight w:val="none"/>
              </w:rPr>
              <w:t>]</w:t>
            </w:r>
            <w:r>
              <w:rPr>
                <w:rFonts w:hint="default" w:ascii="Times New Roman" w:hAnsi="Times New Roman" w:eastAsia="宋体" w:cs="Times New Roman"/>
                <w:spacing w:val="9"/>
                <w:sz w:val="20"/>
                <w:szCs w:val="20"/>
                <w:highlight w:val="none"/>
                <w:lang w:val="en-US" w:eastAsia="zh-CN"/>
              </w:rPr>
              <w:t>4</w:t>
            </w:r>
            <w:r>
              <w:rPr>
                <w:rFonts w:hint="default" w:ascii="Times New Roman" w:hAnsi="Times New Roman" w:eastAsia="宋体" w:cs="Times New Roman"/>
                <w:spacing w:val="9"/>
                <w:sz w:val="20"/>
                <w:szCs w:val="20"/>
                <w:highlight w:val="none"/>
              </w:rPr>
              <w:t>号）</w:t>
            </w:r>
            <w:r>
              <w:rPr>
                <w:rFonts w:hint="default" w:ascii="Times New Roman" w:hAnsi="Times New Roman" w:eastAsia="宋体" w:cs="Times New Roman"/>
                <w:spacing w:val="12"/>
                <w:sz w:val="20"/>
                <w:szCs w:val="20"/>
                <w:highlight w:val="none"/>
              </w:rPr>
              <w:t>；</w:t>
            </w:r>
            <w:r>
              <w:rPr>
                <w:rFonts w:hint="default" w:ascii="Times New Roman" w:hAnsi="Times New Roman" w:eastAsia="宋体" w:cs="Times New Roman"/>
                <w:spacing w:val="6"/>
                <w:sz w:val="20"/>
                <w:szCs w:val="20"/>
                <w:highlight w:val="none"/>
              </w:rPr>
              <w:t>年</w:t>
            </w:r>
            <w:r>
              <w:rPr>
                <w:rFonts w:hint="default" w:ascii="Times New Roman" w:hAnsi="Times New Roman" w:eastAsia="宋体" w:cs="Times New Roman"/>
                <w:spacing w:val="5"/>
                <w:sz w:val="20"/>
                <w:szCs w:val="20"/>
                <w:highlight w:val="none"/>
              </w:rPr>
              <w:t>屠宰生猪</w:t>
            </w:r>
            <w:r>
              <w:rPr>
                <w:rFonts w:hint="default" w:ascii="Times New Roman" w:hAnsi="Times New Roman" w:eastAsia="宋体" w:cs="Times New Roman"/>
                <w:spacing w:val="-38"/>
                <w:sz w:val="20"/>
                <w:szCs w:val="20"/>
                <w:highlight w:val="none"/>
              </w:rPr>
              <w:t xml:space="preserve"> </w:t>
            </w:r>
            <w:r>
              <w:rPr>
                <w:rFonts w:hint="default" w:ascii="Times New Roman" w:hAnsi="Times New Roman" w:eastAsia="宋体" w:cs="Times New Roman"/>
                <w:spacing w:val="5"/>
                <w:sz w:val="20"/>
                <w:szCs w:val="20"/>
                <w:highlight w:val="none"/>
                <w:lang w:val="en-US" w:eastAsia="zh-CN"/>
              </w:rPr>
              <w:t>9000</w:t>
            </w:r>
            <w:r>
              <w:rPr>
                <w:rFonts w:hint="default" w:ascii="Times New Roman" w:hAnsi="Times New Roman" w:eastAsia="宋体" w:cs="Times New Roman"/>
                <w:spacing w:val="5"/>
                <w:sz w:val="20"/>
                <w:szCs w:val="20"/>
                <w:highlight w:val="none"/>
              </w:rPr>
              <w:t>头</w:t>
            </w:r>
            <w:r>
              <w:rPr>
                <w:rFonts w:hint="default" w:ascii="Times New Roman" w:hAnsi="Times New Roman" w:eastAsia="宋体" w:cs="Times New Roman"/>
                <w:spacing w:val="5"/>
                <w:sz w:val="20"/>
                <w:szCs w:val="20"/>
                <w:highlight w:val="none"/>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5" w:hRule="atLeast"/>
        </w:trPr>
        <w:tc>
          <w:tcPr>
            <w:tcW w:w="7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color w:val="auto"/>
                <w:spacing w:val="0"/>
                <w:sz w:val="21"/>
                <w:szCs w:val="21"/>
                <w:lang w:val="en-US" w:eastAsia="zh-CN"/>
              </w:rPr>
              <w:t>2</w:t>
            </w:r>
          </w:p>
        </w:tc>
        <w:tc>
          <w:tcPr>
            <w:tcW w:w="121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rPr>
            </w:pPr>
            <w:r>
              <w:rPr>
                <w:rFonts w:hint="default" w:ascii="Times New Roman" w:hAnsi="Times New Roman" w:eastAsia="宋体" w:cs="Times New Roman"/>
                <w:color w:val="auto"/>
                <w:spacing w:val="0"/>
                <w:sz w:val="21"/>
                <w:szCs w:val="21"/>
                <w:lang w:val="en-US" w:eastAsia="zh-CN"/>
              </w:rPr>
              <w:t>验收</w:t>
            </w:r>
          </w:p>
        </w:tc>
        <w:tc>
          <w:tcPr>
            <w:tcW w:w="139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lang w:val="en-US"/>
              </w:rPr>
            </w:pPr>
            <w:r>
              <w:rPr>
                <w:rFonts w:hint="default" w:ascii="Times New Roman" w:hAnsi="Times New Roman" w:eastAsia="宋体" w:cs="Times New Roman"/>
                <w:color w:val="auto"/>
                <w:spacing w:val="0"/>
                <w:sz w:val="21"/>
                <w:szCs w:val="21"/>
                <w:lang w:val="en-US" w:eastAsia="zh-CN"/>
              </w:rPr>
              <w:t>2008.01</w:t>
            </w:r>
          </w:p>
        </w:tc>
        <w:tc>
          <w:tcPr>
            <w:tcW w:w="5954" w:type="dxa"/>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0"/>
                <w:szCs w:val="20"/>
                <w:highlight w:val="none"/>
                <w:lang w:val="en-US"/>
              </w:rPr>
            </w:pPr>
            <w:r>
              <w:rPr>
                <w:rFonts w:hint="default" w:ascii="Times New Roman" w:hAnsi="Times New Roman" w:eastAsia="宋体" w:cs="Times New Roman"/>
                <w:sz w:val="20"/>
                <w:szCs w:val="20"/>
                <w:highlight w:val="none"/>
              </w:rPr>
              <w:t>取得</w:t>
            </w:r>
            <w:r>
              <w:rPr>
                <w:rFonts w:hint="default" w:ascii="Times New Roman" w:hAnsi="Times New Roman" w:eastAsia="宋体" w:cs="Times New Roman"/>
                <w:sz w:val="20"/>
                <w:szCs w:val="20"/>
                <w:highlight w:val="none"/>
                <w:lang w:val="en-US" w:eastAsia="zh-CN"/>
              </w:rPr>
              <w:t>巴彦县</w:t>
            </w:r>
            <w:r>
              <w:rPr>
                <w:rFonts w:hint="default" w:ascii="Times New Roman" w:hAnsi="Times New Roman" w:eastAsia="宋体" w:cs="Times New Roman"/>
                <w:sz w:val="20"/>
                <w:szCs w:val="20"/>
                <w:highlight w:val="none"/>
              </w:rPr>
              <w:t>环境保护局《</w:t>
            </w:r>
            <w:r>
              <w:rPr>
                <w:rFonts w:hint="default" w:ascii="Times New Roman" w:hAnsi="Times New Roman" w:eastAsia="宋体" w:cs="Times New Roman"/>
                <w:sz w:val="20"/>
                <w:szCs w:val="20"/>
                <w:highlight w:val="none"/>
                <w:lang w:eastAsia="zh-CN"/>
              </w:rPr>
              <w:t>哈尔滨华康肉制品加工有限责任公司</w:t>
            </w:r>
            <w:r>
              <w:rPr>
                <w:rFonts w:hint="default" w:ascii="Times New Roman" w:hAnsi="Times New Roman" w:eastAsia="宋体" w:cs="Times New Roman"/>
                <w:sz w:val="20"/>
                <w:szCs w:val="20"/>
                <w:highlight w:val="none"/>
                <w:lang w:val="en-US" w:eastAsia="zh-CN"/>
              </w:rPr>
              <w:t>工程</w:t>
            </w:r>
            <w:r>
              <w:rPr>
                <w:rFonts w:hint="default" w:ascii="Times New Roman" w:hAnsi="Times New Roman" w:eastAsia="宋体" w:cs="Times New Roman"/>
                <w:sz w:val="20"/>
                <w:szCs w:val="20"/>
                <w:highlight w:val="none"/>
              </w:rPr>
              <w:t>》</w:t>
            </w:r>
            <w:r>
              <w:rPr>
                <w:rFonts w:hint="default" w:ascii="Times New Roman" w:hAnsi="Times New Roman" w:eastAsia="宋体" w:cs="Times New Roman"/>
                <w:sz w:val="20"/>
                <w:szCs w:val="20"/>
                <w:highlight w:val="none"/>
                <w:lang w:val="en-US" w:eastAsia="zh-CN"/>
              </w:rPr>
              <w:t>环保验收。</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5" w:hRule="atLeast"/>
        </w:trPr>
        <w:tc>
          <w:tcPr>
            <w:tcW w:w="7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color w:val="auto"/>
                <w:spacing w:val="0"/>
                <w:sz w:val="21"/>
                <w:szCs w:val="21"/>
                <w:lang w:val="en-US" w:eastAsia="zh-CN"/>
              </w:rPr>
              <w:t>3</w:t>
            </w:r>
          </w:p>
        </w:tc>
        <w:tc>
          <w:tcPr>
            <w:tcW w:w="121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z w:val="20"/>
                <w:szCs w:val="20"/>
                <w:highlight w:val="none"/>
                <w:lang w:val="en-US" w:eastAsia="zh-CN"/>
              </w:rPr>
              <w:t>排污许可</w:t>
            </w:r>
          </w:p>
        </w:tc>
        <w:tc>
          <w:tcPr>
            <w:tcW w:w="139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lang w:val="en-US"/>
              </w:rPr>
            </w:pPr>
            <w:r>
              <w:rPr>
                <w:rFonts w:hint="default" w:ascii="Times New Roman" w:hAnsi="Times New Roman" w:eastAsia="宋体" w:cs="Times New Roman"/>
                <w:color w:val="auto"/>
                <w:spacing w:val="0"/>
                <w:sz w:val="21"/>
                <w:szCs w:val="21"/>
                <w:lang w:val="en-US" w:eastAsia="zh-CN"/>
              </w:rPr>
              <w:t>2023.09</w:t>
            </w:r>
          </w:p>
        </w:tc>
        <w:tc>
          <w:tcPr>
            <w:tcW w:w="5954" w:type="dxa"/>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0"/>
                <w:szCs w:val="20"/>
                <w:highlight w:val="none"/>
              </w:rPr>
            </w:pPr>
            <w:r>
              <w:rPr>
                <w:rFonts w:hint="default" w:ascii="Times New Roman" w:hAnsi="Times New Roman" w:eastAsia="宋体" w:cs="Times New Roman"/>
                <w:sz w:val="20"/>
                <w:szCs w:val="20"/>
                <w:highlight w:val="none"/>
                <w:lang w:val="en-US" w:eastAsia="zh-CN"/>
              </w:rPr>
              <w:t>取得固定污染源排污登记回执，登记编号：9123012666565472XE002W。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5" w:hRule="atLeast"/>
        </w:trPr>
        <w:tc>
          <w:tcPr>
            <w:tcW w:w="7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color w:val="auto"/>
                <w:spacing w:val="0"/>
                <w:sz w:val="21"/>
                <w:szCs w:val="21"/>
                <w:lang w:val="en-US" w:eastAsia="zh-CN"/>
              </w:rPr>
              <w:t>4</w:t>
            </w:r>
          </w:p>
        </w:tc>
        <w:tc>
          <w:tcPr>
            <w:tcW w:w="121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rPr>
            </w:pPr>
            <w:r>
              <w:rPr>
                <w:rFonts w:hint="default" w:ascii="Times New Roman" w:hAnsi="Times New Roman" w:eastAsia="宋体" w:cs="Times New Roman"/>
                <w:color w:val="auto"/>
                <w:spacing w:val="0"/>
                <w:sz w:val="21"/>
                <w:szCs w:val="21"/>
                <w:lang w:val="en-US" w:eastAsia="zh-CN"/>
              </w:rPr>
              <w:t>环评</w:t>
            </w:r>
          </w:p>
        </w:tc>
        <w:tc>
          <w:tcPr>
            <w:tcW w:w="139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lang w:val="en-US"/>
              </w:rPr>
            </w:pPr>
            <w:r>
              <w:rPr>
                <w:rFonts w:hint="default" w:ascii="Times New Roman" w:hAnsi="Times New Roman" w:eastAsia="宋体" w:cs="Times New Roman"/>
                <w:color w:val="auto"/>
                <w:spacing w:val="0"/>
                <w:sz w:val="21"/>
                <w:szCs w:val="21"/>
                <w:lang w:val="en-US" w:eastAsia="zh-CN"/>
              </w:rPr>
              <w:t>2023.09</w:t>
            </w:r>
          </w:p>
        </w:tc>
        <w:tc>
          <w:tcPr>
            <w:tcW w:w="5954" w:type="dxa"/>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sz w:val="20"/>
                <w:szCs w:val="20"/>
                <w:highlight w:val="none"/>
              </w:rPr>
            </w:pPr>
            <w:r>
              <w:rPr>
                <w:rFonts w:hint="default" w:ascii="Times New Roman" w:hAnsi="Times New Roman" w:eastAsia="宋体" w:cs="Times New Roman"/>
                <w:sz w:val="20"/>
                <w:szCs w:val="20"/>
                <w:highlight w:val="none"/>
                <w:lang w:val="en-US" w:eastAsia="zh-CN"/>
              </w:rPr>
              <w:t>《哈尔滨华康肉制品加工有限责任公司污水处理站扩建项目》环境影响登记表</w:t>
            </w:r>
            <w:r>
              <w:rPr>
                <w:rFonts w:hint="eastAsia" w:ascii="Times New Roman" w:hAnsi="Times New Roman" w:eastAsia="宋体" w:cs="Times New Roman"/>
                <w:sz w:val="20"/>
                <w:szCs w:val="20"/>
                <w:highlight w:val="none"/>
                <w:lang w:val="en-US" w:eastAsia="zh-CN"/>
              </w:rPr>
              <w:t>备案</w:t>
            </w:r>
            <w:r>
              <w:rPr>
                <w:rFonts w:hint="default" w:ascii="Times New Roman" w:hAnsi="Times New Roman" w:eastAsia="宋体" w:cs="Times New Roman"/>
                <w:sz w:val="20"/>
                <w:szCs w:val="20"/>
                <w:highlight w:val="none"/>
                <w:lang w:val="en-US" w:eastAsia="zh-CN"/>
              </w:rPr>
              <w:t>。</w:t>
            </w:r>
          </w:p>
        </w:tc>
      </w:tr>
    </w:tbl>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3.1.2  现有工程内容</w:t>
      </w:r>
    </w:p>
    <w:p>
      <w:pPr>
        <w:pStyle w:val="29"/>
        <w:keepNext w:val="0"/>
        <w:keepLines w:val="0"/>
        <w:pageBreakBefore w:val="0"/>
        <w:widowControl/>
        <w:kinsoku w:val="0"/>
        <w:wordWrap/>
        <w:overflowPunct/>
        <w:topLinePunct w:val="0"/>
        <w:autoSpaceDE w:val="0"/>
        <w:autoSpaceDN w:val="0"/>
        <w:bidi w:val="0"/>
        <w:adjustRightInd w:val="0"/>
        <w:snapToGrid w:val="0"/>
        <w:jc w:val="both"/>
        <w:textAlignment w:val="baseline"/>
        <w:rPr>
          <w:rFonts w:hint="default" w:ascii="Times New Roman" w:hAnsi="Times New Roman" w:eastAsia="宋体" w:cs="Times New Roman"/>
          <w:spacing w:val="-6"/>
          <w:sz w:val="24"/>
          <w:szCs w:val="24"/>
          <w:lang w:val="en-US" w:eastAsia="zh-CN"/>
        </w:rPr>
      </w:pPr>
      <w:r>
        <w:rPr>
          <w:rFonts w:hint="default" w:ascii="Times New Roman" w:hAnsi="Times New Roman" w:eastAsia="宋体" w:cs="Times New Roman"/>
          <w:spacing w:val="-6"/>
          <w:sz w:val="24"/>
          <w:szCs w:val="24"/>
          <w:lang w:val="en-US" w:eastAsia="zh-CN"/>
        </w:rPr>
        <w:t>工作时间：全年工作 340  天、每天工作 12小时；</w:t>
      </w:r>
    </w:p>
    <w:p>
      <w:pPr>
        <w:pStyle w:val="29"/>
        <w:keepNext w:val="0"/>
        <w:keepLines w:val="0"/>
        <w:pageBreakBefore w:val="0"/>
        <w:widowControl/>
        <w:kinsoku w:val="0"/>
        <w:wordWrap/>
        <w:overflowPunct/>
        <w:topLinePunct w:val="0"/>
        <w:autoSpaceDE w:val="0"/>
        <w:autoSpaceDN w:val="0"/>
        <w:bidi w:val="0"/>
        <w:adjustRightInd w:val="0"/>
        <w:snapToGrid w:val="0"/>
        <w:jc w:val="both"/>
        <w:textAlignment w:val="baseline"/>
        <w:rPr>
          <w:rFonts w:hint="default" w:ascii="Times New Roman" w:hAnsi="Times New Roman" w:eastAsia="宋体" w:cs="Times New Roman"/>
          <w:spacing w:val="-6"/>
          <w:sz w:val="24"/>
          <w:szCs w:val="24"/>
          <w:lang w:val="en-US" w:eastAsia="zh-CN"/>
        </w:rPr>
      </w:pPr>
      <w:r>
        <w:rPr>
          <w:rFonts w:hint="default" w:ascii="Times New Roman" w:hAnsi="Times New Roman" w:eastAsia="宋体" w:cs="Times New Roman"/>
          <w:spacing w:val="-6"/>
          <w:sz w:val="24"/>
          <w:szCs w:val="24"/>
          <w:lang w:val="en-US" w:eastAsia="zh-CN"/>
        </w:rPr>
        <w:t>工作人员：现有职工40人。</w:t>
      </w:r>
    </w:p>
    <w:p>
      <w:pPr>
        <w:pStyle w:val="29"/>
        <w:keepNext w:val="0"/>
        <w:keepLines w:val="0"/>
        <w:pageBreakBefore w:val="0"/>
        <w:widowControl/>
        <w:kinsoku w:val="0"/>
        <w:wordWrap/>
        <w:overflowPunct/>
        <w:topLinePunct w:val="0"/>
        <w:autoSpaceDE w:val="0"/>
        <w:autoSpaceDN w:val="0"/>
        <w:bidi w:val="0"/>
        <w:adjustRightInd w:val="0"/>
        <w:snapToGrid w:val="0"/>
        <w:jc w:val="both"/>
        <w:textAlignment w:val="baseline"/>
        <w:rPr>
          <w:rFonts w:hint="default" w:ascii="Times New Roman" w:hAnsi="Times New Roman" w:eastAsia="宋体" w:cs="Times New Roman"/>
          <w:spacing w:val="-6"/>
          <w:sz w:val="24"/>
          <w:szCs w:val="24"/>
          <w:lang w:val="en-US" w:eastAsia="zh-CN"/>
        </w:rPr>
      </w:pPr>
      <w:r>
        <w:rPr>
          <w:rFonts w:hint="default" w:ascii="Times New Roman" w:hAnsi="Times New Roman" w:eastAsia="宋体" w:cs="Times New Roman"/>
          <w:spacing w:val="-6"/>
          <w:sz w:val="24"/>
          <w:szCs w:val="24"/>
          <w:lang w:val="en-US" w:eastAsia="zh-CN"/>
        </w:rPr>
        <w:t>企业现有工程内容详见下表。</w:t>
      </w:r>
    </w:p>
    <w:p>
      <w:pPr>
        <w:spacing w:before="120" w:line="228" w:lineRule="auto"/>
        <w:jc w:val="cente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pPr>
      <w: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5"/>
          <w:sz w:val="20"/>
          <w:szCs w:val="20"/>
          <w:highlight w:val="none"/>
          <w:lang w:val="en-US" w:eastAsia="zh-CN"/>
          <w14:textOutline w14:w="3795" w14:cap="sq" w14:cmpd="sng">
            <w14:solidFill>
              <w14:srgbClr w14:val="000000"/>
            </w14:solidFill>
            <w14:prstDash w14:val="solid"/>
            <w14:bevel/>
          </w14:textOutline>
        </w:rPr>
        <w:t>3-</w:t>
      </w:r>
      <w: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t>1-2    现有工程</w:t>
      </w:r>
      <w:r>
        <w:rPr>
          <w:rFonts w:hint="default" w:ascii="Times New Roman" w:hAnsi="Times New Roman" w:eastAsia="宋体" w:cs="Times New Roman"/>
          <w:spacing w:val="5"/>
          <w:sz w:val="20"/>
          <w:szCs w:val="20"/>
          <w:highlight w:val="none"/>
          <w:lang w:val="en-US" w:eastAsia="zh-CN"/>
          <w14:textOutline w14:w="3795" w14:cap="sq" w14:cmpd="sng">
            <w14:solidFill>
              <w14:srgbClr w14:val="000000"/>
            </w14:solidFill>
            <w14:prstDash w14:val="solid"/>
            <w14:bevel/>
          </w14:textOutline>
        </w:rPr>
        <w:t>组成</w:t>
      </w:r>
      <w: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t>一览表</w:t>
      </w:r>
    </w:p>
    <w:p>
      <w:pPr>
        <w:spacing w:line="14" w:lineRule="exact"/>
        <w:rPr>
          <w:rFonts w:hint="default" w:ascii="Times New Roman" w:hAnsi="Times New Roman" w:cs="Times New Roman"/>
        </w:rPr>
      </w:pPr>
    </w:p>
    <w:tbl>
      <w:tblPr>
        <w:tblStyle w:val="34"/>
        <w:tblW w:w="505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79"/>
        <w:gridCol w:w="351"/>
        <w:gridCol w:w="1172"/>
        <w:gridCol w:w="683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7" w:hRule="atLeast"/>
        </w:trPr>
        <w:tc>
          <w:tcPr>
            <w:tcW w:w="476" w:type="pct"/>
            <w:vAlign w:val="top"/>
          </w:tcPr>
          <w:p>
            <w:pPr>
              <w:spacing w:before="60" w:line="317" w:lineRule="exact"/>
              <w:ind w:left="155"/>
              <w:rPr>
                <w:rFonts w:hint="default" w:ascii="Times New Roman" w:hAnsi="Times New Roman" w:eastAsia="宋体" w:cs="Times New Roman"/>
                <w:sz w:val="21"/>
                <w:szCs w:val="21"/>
              </w:rPr>
            </w:pPr>
            <w:r>
              <w:rPr>
                <w:rFonts w:hint="default" w:ascii="Times New Roman" w:hAnsi="Times New Roman" w:eastAsia="宋体" w:cs="Times New Roman"/>
                <w:spacing w:val="3"/>
                <w:position w:val="8"/>
                <w:sz w:val="21"/>
                <w:szCs w:val="21"/>
              </w:rPr>
              <w:t>工程</w:t>
            </w:r>
          </w:p>
          <w:p>
            <w:pPr>
              <w:spacing w:line="227" w:lineRule="auto"/>
              <w:ind w:left="152"/>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类别</w:t>
            </w:r>
          </w:p>
        </w:tc>
        <w:tc>
          <w:tcPr>
            <w:tcW w:w="824" w:type="pct"/>
            <w:gridSpan w:val="2"/>
            <w:vAlign w:val="top"/>
          </w:tcPr>
          <w:p>
            <w:pPr>
              <w:spacing w:before="219" w:line="228" w:lineRule="auto"/>
              <w:ind w:left="196"/>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rPr>
              <w:t>工程名称</w:t>
            </w:r>
          </w:p>
        </w:tc>
        <w:tc>
          <w:tcPr>
            <w:tcW w:w="3698" w:type="pct"/>
            <w:vAlign w:val="top"/>
          </w:tcPr>
          <w:p>
            <w:pPr>
              <w:spacing w:before="218" w:line="227"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9"/>
                <w:sz w:val="21"/>
                <w:szCs w:val="21"/>
              </w:rPr>
              <w:t>工程内容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14" w:hRule="atLeast"/>
        </w:trPr>
        <w:tc>
          <w:tcPr>
            <w:tcW w:w="47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主体</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auto"/>
                <w:spacing w:val="0"/>
                <w:sz w:val="21"/>
                <w:szCs w:val="21"/>
                <w:lang w:val="en-US" w:eastAsia="zh-CN"/>
              </w:rPr>
              <w:t>工程</w:t>
            </w: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6"/>
                <w:sz w:val="21"/>
                <w:szCs w:val="21"/>
              </w:rPr>
            </w:pPr>
            <w:r>
              <w:rPr>
                <w:rFonts w:hint="eastAsia" w:ascii="Times New Roman" w:hAnsi="Times New Roman" w:eastAsia="宋体" w:cs="Times New Roman"/>
                <w:color w:val="auto"/>
                <w:spacing w:val="0"/>
                <w:sz w:val="21"/>
                <w:szCs w:val="21"/>
                <w:highlight w:val="none"/>
                <w:lang w:val="en-US" w:eastAsia="zh-CN"/>
              </w:rPr>
              <w:t>屠宰</w:t>
            </w:r>
            <w:r>
              <w:rPr>
                <w:rFonts w:hint="default" w:ascii="Times New Roman" w:hAnsi="Times New Roman" w:eastAsia="宋体" w:cs="Times New Roman"/>
                <w:color w:val="auto"/>
                <w:spacing w:val="0"/>
                <w:sz w:val="21"/>
                <w:szCs w:val="21"/>
                <w:lang w:val="en-US" w:eastAsia="zh-CN"/>
              </w:rPr>
              <w:t>加工车间</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highlight w:val="none"/>
              </w:rPr>
            </w:pPr>
            <w:r>
              <w:rPr>
                <w:rFonts w:hint="default" w:ascii="Times New Roman" w:hAnsi="Times New Roman" w:eastAsia="宋体" w:cs="Times New Roman"/>
                <w:spacing w:val="4"/>
                <w:sz w:val="21"/>
                <w:szCs w:val="21"/>
                <w:highlight w:val="none"/>
              </w:rPr>
              <w:t>建筑面积</w:t>
            </w:r>
            <w:r>
              <w:rPr>
                <w:rFonts w:hint="default" w:ascii="Times New Roman" w:hAnsi="Times New Roman" w:eastAsia="宋体" w:cs="Times New Roman"/>
                <w:spacing w:val="4"/>
                <w:sz w:val="21"/>
                <w:szCs w:val="21"/>
                <w:highlight w:val="none"/>
                <w:lang w:val="en-US" w:eastAsia="zh-CN"/>
              </w:rPr>
              <w:t>900m</w:t>
            </w:r>
            <w:r>
              <w:rPr>
                <w:rFonts w:hint="default" w:ascii="Times New Roman" w:hAnsi="Times New Roman" w:eastAsia="宋体" w:cs="Times New Roman"/>
                <w:spacing w:val="4"/>
                <w:sz w:val="21"/>
                <w:szCs w:val="21"/>
                <w:highlight w:val="none"/>
                <w:vertAlign w:val="superscript"/>
                <w:lang w:val="en-US" w:eastAsia="zh-CN"/>
              </w:rPr>
              <w:t>2</w:t>
            </w:r>
            <w:r>
              <w:rPr>
                <w:rFonts w:hint="default" w:ascii="Times New Roman" w:hAnsi="Times New Roman" w:eastAsia="宋体" w:cs="Times New Roman"/>
                <w:spacing w:val="4"/>
                <w:sz w:val="21"/>
                <w:szCs w:val="21"/>
                <w:highlight w:val="none"/>
                <w:lang w:val="en-US" w:eastAsia="zh-CN"/>
              </w:rPr>
              <w:t>，二层建筑，</w:t>
            </w:r>
            <w:r>
              <w:rPr>
                <w:rFonts w:hint="eastAsia" w:ascii="Times New Roman" w:hAnsi="Times New Roman" w:eastAsia="宋体" w:cs="Times New Roman"/>
                <w:spacing w:val="4"/>
                <w:sz w:val="21"/>
                <w:szCs w:val="21"/>
                <w:highlight w:val="none"/>
                <w:lang w:val="en-US" w:eastAsia="zh-CN"/>
              </w:rPr>
              <w:t>高度约4.6米。</w:t>
            </w:r>
            <w:r>
              <w:rPr>
                <w:rFonts w:hint="default" w:ascii="Times New Roman" w:hAnsi="Times New Roman" w:eastAsia="宋体" w:cs="Times New Roman"/>
                <w:spacing w:val="4"/>
                <w:sz w:val="21"/>
                <w:szCs w:val="21"/>
                <w:highlight w:val="none"/>
              </w:rPr>
              <w:t>砖构厂房，</w:t>
            </w:r>
            <w:r>
              <w:rPr>
                <w:rFonts w:hint="default" w:ascii="Times New Roman" w:hAnsi="Times New Roman" w:eastAsia="宋体" w:cs="Times New Roman"/>
                <w:spacing w:val="4"/>
                <w:sz w:val="21"/>
                <w:szCs w:val="21"/>
                <w:highlight w:val="none"/>
                <w:lang w:val="en-US" w:eastAsia="zh-CN"/>
              </w:rPr>
              <w:t>屠宰车间位于1层</w:t>
            </w:r>
            <w:r>
              <w:rPr>
                <w:rFonts w:hint="default" w:ascii="Times New Roman" w:hAnsi="Times New Roman" w:eastAsia="宋体" w:cs="Times New Roman"/>
                <w:spacing w:val="4"/>
                <w:sz w:val="21"/>
                <w:szCs w:val="21"/>
                <w:highlight w:val="none"/>
              </w:rPr>
              <w:t>，用于生猪屠宰</w:t>
            </w:r>
            <w:r>
              <w:rPr>
                <w:rFonts w:hint="default" w:ascii="Times New Roman" w:hAnsi="Times New Roman" w:eastAsia="宋体" w:cs="Times New Roman"/>
                <w:spacing w:val="4"/>
                <w:sz w:val="21"/>
                <w:szCs w:val="21"/>
                <w:highlight w:val="none"/>
                <w:lang w:eastAsia="zh-CN"/>
              </w:rPr>
              <w:t>，</w:t>
            </w:r>
            <w:r>
              <w:rPr>
                <w:rFonts w:hint="default" w:ascii="Times New Roman" w:hAnsi="Times New Roman" w:eastAsia="宋体" w:cs="Times New Roman"/>
                <w:spacing w:val="4"/>
                <w:sz w:val="21"/>
                <w:szCs w:val="21"/>
                <w:highlight w:val="none"/>
                <w:lang w:val="en-US" w:eastAsia="zh-CN"/>
              </w:rPr>
              <w:t>车间内设置</w:t>
            </w:r>
            <w:r>
              <w:rPr>
                <w:rFonts w:hint="default" w:ascii="Times New Roman" w:hAnsi="Times New Roman" w:eastAsia="宋体" w:cs="Times New Roman"/>
                <w:spacing w:val="4"/>
                <w:sz w:val="21"/>
                <w:szCs w:val="21"/>
                <w:highlight w:val="none"/>
              </w:rPr>
              <w:t>倒脏间、血池，用于内脏的分类及猪血的收集，年屠宰生猪</w:t>
            </w:r>
            <w:r>
              <w:rPr>
                <w:rFonts w:hint="default" w:ascii="Times New Roman" w:hAnsi="Times New Roman" w:eastAsia="宋体" w:cs="Times New Roman"/>
                <w:spacing w:val="4"/>
                <w:sz w:val="21"/>
                <w:szCs w:val="21"/>
                <w:highlight w:val="none"/>
                <w:lang w:val="en-US" w:eastAsia="zh-CN"/>
              </w:rPr>
              <w:t>9000</w:t>
            </w:r>
            <w:r>
              <w:rPr>
                <w:rFonts w:hint="default" w:ascii="Times New Roman" w:hAnsi="Times New Roman" w:eastAsia="宋体" w:cs="Times New Roman"/>
                <w:spacing w:val="4"/>
                <w:sz w:val="21"/>
                <w:szCs w:val="21"/>
                <w:highlight w:val="none"/>
              </w:rPr>
              <w:t>头</w:t>
            </w:r>
            <w:r>
              <w:rPr>
                <w:rFonts w:hint="default" w:ascii="Times New Roman" w:hAnsi="Times New Roman" w:eastAsia="宋体" w:cs="Times New Roman"/>
                <w:spacing w:val="4"/>
                <w:sz w:val="21"/>
                <w:szCs w:val="21"/>
                <w:highlight w:val="none"/>
                <w:lang w:eastAsia="zh-CN"/>
              </w:rPr>
              <w:t>。</w:t>
            </w:r>
          </w:p>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lang w:eastAsia="zh-CN"/>
              </w:rPr>
            </w:pPr>
            <w:r>
              <w:rPr>
                <w:rFonts w:hint="eastAsia" w:ascii="Times New Roman" w:hAnsi="Times New Roman" w:eastAsia="宋体" w:cs="Times New Roman"/>
                <w:spacing w:val="4"/>
                <w:sz w:val="21"/>
                <w:szCs w:val="21"/>
                <w:highlight w:val="none"/>
                <w:lang w:val="en-US" w:eastAsia="zh-CN"/>
              </w:rPr>
              <w:t>加工</w:t>
            </w:r>
            <w:r>
              <w:rPr>
                <w:rFonts w:hint="default" w:ascii="Times New Roman" w:hAnsi="Times New Roman" w:eastAsia="宋体" w:cs="Times New Roman"/>
                <w:spacing w:val="4"/>
                <w:sz w:val="21"/>
                <w:szCs w:val="21"/>
                <w:highlight w:val="none"/>
                <w:lang w:val="en-US" w:eastAsia="zh-CN"/>
              </w:rPr>
              <w:t>车间位于2层，</w:t>
            </w:r>
            <w:r>
              <w:rPr>
                <w:rFonts w:hint="default" w:ascii="Times New Roman" w:hAnsi="Times New Roman" w:eastAsia="宋体" w:cs="Times New Roman"/>
                <w:spacing w:val="4"/>
                <w:sz w:val="21"/>
                <w:szCs w:val="21"/>
                <w:highlight w:val="none"/>
              </w:rPr>
              <w:t>用于整理分离内脏、</w:t>
            </w:r>
            <w:r>
              <w:rPr>
                <w:rFonts w:hint="default" w:ascii="Times New Roman" w:hAnsi="Times New Roman" w:eastAsia="宋体" w:cs="Times New Roman"/>
                <w:spacing w:val="4"/>
                <w:sz w:val="21"/>
                <w:szCs w:val="21"/>
                <w:highlight w:val="none"/>
                <w:lang w:val="en-US" w:eastAsia="zh-CN"/>
              </w:rPr>
              <w:t>胴体、</w:t>
            </w:r>
            <w:r>
              <w:rPr>
                <w:rFonts w:hint="default" w:ascii="Times New Roman" w:hAnsi="Times New Roman" w:eastAsia="宋体" w:cs="Times New Roman"/>
                <w:spacing w:val="4"/>
                <w:sz w:val="21"/>
                <w:szCs w:val="21"/>
                <w:highlight w:val="none"/>
              </w:rPr>
              <w:t>头蹄尾</w:t>
            </w:r>
            <w:r>
              <w:rPr>
                <w:rFonts w:hint="default" w:ascii="Times New Roman" w:hAnsi="Times New Roman" w:eastAsia="宋体" w:cs="Times New Roman"/>
                <w:spacing w:val="4"/>
                <w:sz w:val="21"/>
                <w:szCs w:val="21"/>
                <w:highlight w:val="none"/>
                <w:lang w:eastAsia="zh-CN"/>
              </w:rPr>
              <w:t>、</w:t>
            </w:r>
            <w:r>
              <w:rPr>
                <w:rFonts w:hint="default" w:ascii="Times New Roman" w:hAnsi="Times New Roman" w:eastAsia="宋体" w:cs="Times New Roman"/>
                <w:spacing w:val="4"/>
                <w:sz w:val="21"/>
                <w:szCs w:val="21"/>
                <w:highlight w:val="none"/>
              </w:rPr>
              <w:t>板油和不可食用内脏等</w:t>
            </w:r>
            <w:r>
              <w:rPr>
                <w:rFonts w:hint="default" w:ascii="Times New Roman" w:hAnsi="Times New Roman" w:eastAsia="宋体" w:cs="Times New Roman"/>
                <w:spacing w:val="4"/>
                <w:sz w:val="21"/>
                <w:szCs w:val="21"/>
                <w:highlight w:val="none"/>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9"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待宰圈</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color w:val="auto"/>
                <w:spacing w:val="0"/>
                <w:sz w:val="21"/>
                <w:szCs w:val="21"/>
              </w:rPr>
              <w:t>建筑面积</w:t>
            </w:r>
            <w:r>
              <w:rPr>
                <w:rFonts w:hint="default" w:ascii="Times New Roman" w:hAnsi="Times New Roman" w:eastAsia="宋体" w:cs="Times New Roman"/>
                <w:color w:val="auto"/>
                <w:spacing w:val="0"/>
                <w:sz w:val="21"/>
                <w:szCs w:val="21"/>
                <w:lang w:val="en-US" w:eastAsia="zh-CN"/>
              </w:rPr>
              <w:t>500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w:t>
            </w:r>
            <w:r>
              <w:rPr>
                <w:rFonts w:hint="default" w:ascii="Times New Roman" w:hAnsi="Times New Roman" w:eastAsia="宋体" w:cs="Times New Roman"/>
                <w:color w:val="auto"/>
                <w:spacing w:val="0"/>
                <w:sz w:val="21"/>
                <w:szCs w:val="21"/>
                <w:lang w:val="en-US" w:eastAsia="zh-CN"/>
              </w:rPr>
              <w:t>单层建筑</w:t>
            </w:r>
            <w:r>
              <w:rPr>
                <w:rFonts w:hint="eastAsia" w:ascii="Times New Roman" w:hAnsi="Times New Roman" w:eastAsia="宋体" w:cs="Times New Roman"/>
                <w:color w:val="auto"/>
                <w:spacing w:val="0"/>
                <w:sz w:val="21"/>
                <w:szCs w:val="21"/>
                <w:lang w:val="en-US" w:eastAsia="zh-CN"/>
              </w:rPr>
              <w:t>，高度约2.9米</w:t>
            </w:r>
            <w:r>
              <w:rPr>
                <w:rFonts w:hint="default" w:ascii="Times New Roman" w:hAnsi="Times New Roman" w:eastAsia="宋体" w:cs="Times New Roman"/>
                <w:color w:val="auto"/>
                <w:spacing w:val="0"/>
                <w:sz w:val="21"/>
                <w:szCs w:val="21"/>
                <w:lang w:eastAsia="zh-CN"/>
              </w:rPr>
              <w:t>。</w:t>
            </w:r>
            <w:r>
              <w:rPr>
                <w:rFonts w:hint="default" w:ascii="Times New Roman" w:hAnsi="Times New Roman" w:eastAsia="宋体" w:cs="Times New Roman"/>
                <w:color w:val="auto"/>
                <w:spacing w:val="0"/>
                <w:sz w:val="21"/>
                <w:szCs w:val="21"/>
                <w:lang w:val="en-US" w:eastAsia="zh-CN"/>
              </w:rPr>
              <w:t>待宰圈内</w:t>
            </w:r>
            <w:r>
              <w:rPr>
                <w:rFonts w:hint="default" w:ascii="Times New Roman" w:hAnsi="Times New Roman" w:eastAsia="宋体" w:cs="Times New Roman"/>
                <w:color w:val="auto"/>
                <w:spacing w:val="0"/>
                <w:sz w:val="21"/>
                <w:szCs w:val="21"/>
              </w:rPr>
              <w:t>建设观察栏和隔离栏</w:t>
            </w:r>
            <w:r>
              <w:rPr>
                <w:rFonts w:hint="default" w:ascii="Times New Roman" w:hAnsi="Times New Roman" w:eastAsia="宋体" w:cs="Times New Roman"/>
                <w:color w:val="auto"/>
                <w:spacing w:val="0"/>
                <w:sz w:val="21"/>
                <w:szCs w:val="21"/>
                <w:lang w:eastAsia="zh-CN"/>
              </w:rPr>
              <w:t>，</w:t>
            </w:r>
            <w:r>
              <w:rPr>
                <w:rFonts w:hint="default" w:ascii="Times New Roman" w:hAnsi="Times New Roman" w:eastAsia="宋体" w:cs="Times New Roman"/>
                <w:color w:val="auto"/>
                <w:spacing w:val="0"/>
                <w:sz w:val="21"/>
                <w:szCs w:val="21"/>
              </w:rPr>
              <w:t>同时在存猪栏部分建设检疫室，用于生猪检疫</w:t>
            </w:r>
            <w:r>
              <w:rPr>
                <w:rFonts w:hint="default" w:ascii="Times New Roman" w:hAnsi="Times New Roman" w:eastAsia="宋体" w:cs="Times New Roman"/>
                <w:color w:val="auto"/>
                <w:spacing w:val="0"/>
                <w:sz w:val="21"/>
                <w:szCs w:val="21"/>
                <w:highlight w:val="none"/>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6"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急宰间</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急宰间位于待宰圈东侧，建筑面积20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lang w:val="en-US" w:eastAsia="zh-CN"/>
              </w:rPr>
              <w:t>，单</w:t>
            </w:r>
            <w:r>
              <w:rPr>
                <w:rFonts w:hint="default" w:ascii="Times New Roman" w:hAnsi="Times New Roman" w:eastAsia="宋体" w:cs="Times New Roman"/>
                <w:color w:val="auto"/>
                <w:spacing w:val="0"/>
                <w:sz w:val="21"/>
                <w:szCs w:val="21"/>
              </w:rPr>
              <w:t>层</w:t>
            </w:r>
            <w:r>
              <w:rPr>
                <w:rFonts w:hint="default" w:ascii="Times New Roman" w:hAnsi="Times New Roman" w:eastAsia="宋体" w:cs="Times New Roman"/>
                <w:color w:val="auto"/>
                <w:spacing w:val="0"/>
                <w:sz w:val="21"/>
                <w:szCs w:val="21"/>
                <w:lang w:val="en-US" w:eastAsia="zh-CN"/>
              </w:rPr>
              <w:t>建筑</w:t>
            </w:r>
            <w:r>
              <w:rPr>
                <w:rFonts w:hint="default" w:ascii="Times New Roman" w:hAnsi="Times New Roman" w:eastAsia="宋体" w:cs="Times New Roman"/>
                <w:color w:val="auto"/>
                <w:spacing w:val="0"/>
                <w:sz w:val="21"/>
                <w:szCs w:val="21"/>
              </w:rPr>
              <w:t>，</w:t>
            </w:r>
            <w:r>
              <w:rPr>
                <w:rFonts w:hint="eastAsia" w:ascii="Times New Roman" w:hAnsi="Times New Roman" w:eastAsia="宋体" w:cs="Times New Roman"/>
                <w:color w:val="auto"/>
                <w:spacing w:val="0"/>
                <w:sz w:val="21"/>
                <w:szCs w:val="21"/>
                <w:lang w:val="en-US" w:eastAsia="zh-CN"/>
              </w:rPr>
              <w:t>高度约3米。</w:t>
            </w:r>
            <w:r>
              <w:rPr>
                <w:rFonts w:hint="default" w:ascii="Times New Roman" w:hAnsi="Times New Roman" w:eastAsia="宋体" w:cs="Times New Roman"/>
                <w:color w:val="auto"/>
                <w:spacing w:val="0"/>
                <w:sz w:val="21"/>
                <w:szCs w:val="21"/>
                <w:lang w:val="en-US" w:eastAsia="zh-CN"/>
              </w:rPr>
              <w:t>全封闭设置</w:t>
            </w:r>
            <w:r>
              <w:rPr>
                <w:rFonts w:hint="eastAsia" w:ascii="Times New Roman" w:hAnsi="Times New Roman" w:eastAsia="宋体" w:cs="Times New Roman"/>
                <w:color w:val="auto"/>
                <w:spacing w:val="0"/>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47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储运</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工程</w:t>
            </w: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冷库系统</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lang w:val="en-US"/>
              </w:rPr>
            </w:pPr>
            <w:r>
              <w:rPr>
                <w:rFonts w:hint="default" w:ascii="Times New Roman" w:hAnsi="Times New Roman" w:eastAsia="宋体" w:cs="Times New Roman"/>
                <w:color w:val="auto"/>
                <w:spacing w:val="0"/>
                <w:sz w:val="21"/>
                <w:szCs w:val="21"/>
              </w:rPr>
              <w:t>冷库位于屠宰车间</w:t>
            </w:r>
            <w:r>
              <w:rPr>
                <w:rFonts w:hint="default" w:ascii="Times New Roman" w:hAnsi="Times New Roman" w:eastAsia="宋体" w:cs="Times New Roman"/>
                <w:color w:val="auto"/>
                <w:spacing w:val="0"/>
                <w:sz w:val="21"/>
                <w:szCs w:val="21"/>
                <w:lang w:val="en-US" w:eastAsia="zh-CN"/>
              </w:rPr>
              <w:t>南</w:t>
            </w:r>
            <w:r>
              <w:rPr>
                <w:rFonts w:hint="default" w:ascii="Times New Roman" w:hAnsi="Times New Roman" w:eastAsia="宋体" w:cs="Times New Roman"/>
                <w:color w:val="auto"/>
                <w:spacing w:val="0"/>
                <w:sz w:val="21"/>
                <w:szCs w:val="21"/>
              </w:rPr>
              <w:t>侧，</w:t>
            </w:r>
            <w:r>
              <w:rPr>
                <w:rFonts w:hint="eastAsia" w:ascii="Times New Roman" w:hAnsi="Times New Roman" w:eastAsia="宋体" w:cs="Times New Roman"/>
                <w:color w:val="auto"/>
                <w:spacing w:val="0"/>
                <w:sz w:val="21"/>
                <w:szCs w:val="21"/>
                <w:lang w:val="en-US" w:eastAsia="zh-CN"/>
              </w:rPr>
              <w:t>高度约5.3米。</w:t>
            </w:r>
            <w:r>
              <w:rPr>
                <w:rFonts w:hint="default" w:ascii="Times New Roman" w:hAnsi="Times New Roman" w:eastAsia="宋体" w:cs="Times New Roman"/>
                <w:color w:val="auto"/>
                <w:spacing w:val="0"/>
                <w:sz w:val="21"/>
                <w:szCs w:val="21"/>
              </w:rPr>
              <w:t>冷库尺寸：长20米宽18米高度4</w:t>
            </w:r>
            <w:r>
              <w:rPr>
                <w:rFonts w:hint="default" w:ascii="Times New Roman" w:hAnsi="Times New Roman" w:eastAsia="宋体" w:cs="Times New Roman"/>
                <w:color w:val="auto"/>
                <w:spacing w:val="0"/>
                <w:sz w:val="21"/>
                <w:szCs w:val="21"/>
                <w:lang w:val="en-US" w:eastAsia="zh-CN"/>
              </w:rPr>
              <w:t>.0</w:t>
            </w:r>
            <w:r>
              <w:rPr>
                <w:rFonts w:hint="default" w:ascii="Times New Roman" w:hAnsi="Times New Roman" w:eastAsia="宋体" w:cs="Times New Roman"/>
                <w:color w:val="auto"/>
                <w:spacing w:val="0"/>
                <w:sz w:val="21"/>
                <w:szCs w:val="21"/>
              </w:rPr>
              <w:t>米，采</w:t>
            </w:r>
            <w:r>
              <w:rPr>
                <w:rFonts w:hint="default" w:ascii="Times New Roman" w:hAnsi="Times New Roman" w:eastAsia="宋体" w:cs="Times New Roman"/>
                <w:color w:val="auto"/>
                <w:spacing w:val="0"/>
                <w:sz w:val="21"/>
                <w:szCs w:val="21"/>
                <w:lang w:eastAsia="zh-CN"/>
              </w:rPr>
              <w:t>用</w:t>
            </w:r>
            <w:r>
              <w:rPr>
                <w:rFonts w:hint="default" w:ascii="Times New Roman" w:hAnsi="Times New Roman" w:eastAsia="宋体" w:cs="Times New Roman"/>
                <w:color w:val="auto"/>
                <w:spacing w:val="0"/>
                <w:sz w:val="21"/>
                <w:szCs w:val="21"/>
                <w:highlight w:val="none"/>
                <w:lang w:val="en-US" w:eastAsia="zh-CN"/>
              </w:rPr>
              <w:t>R404A</w:t>
            </w:r>
            <w:r>
              <w:rPr>
                <w:rFonts w:hint="default" w:ascii="Times New Roman" w:hAnsi="Times New Roman" w:eastAsia="宋体" w:cs="Times New Roman"/>
                <w:color w:val="auto"/>
                <w:spacing w:val="0"/>
                <w:sz w:val="21"/>
                <w:szCs w:val="21"/>
                <w:highlight w:val="none"/>
                <w:lang w:eastAsia="zh-CN"/>
              </w:rPr>
              <w:t>制冷剂</w:t>
            </w:r>
            <w:r>
              <w:rPr>
                <w:rFonts w:hint="default" w:ascii="Times New Roman" w:hAnsi="Times New Roman" w:eastAsia="宋体" w:cs="Times New Roman"/>
                <w:color w:val="auto"/>
                <w:spacing w:val="0"/>
                <w:sz w:val="21"/>
                <w:szCs w:val="21"/>
                <w:highlight w:val="none"/>
              </w:rPr>
              <w:t>制冷</w:t>
            </w:r>
            <w:r>
              <w:rPr>
                <w:rFonts w:hint="default" w:ascii="Times New Roman" w:hAnsi="Times New Roman" w:eastAsia="宋体" w:cs="Times New Roman"/>
                <w:color w:val="auto"/>
                <w:spacing w:val="0"/>
                <w:sz w:val="21"/>
                <w:szCs w:val="21"/>
              </w:rPr>
              <w:t>，</w:t>
            </w:r>
            <w:r>
              <w:rPr>
                <w:rFonts w:hint="default" w:ascii="Times New Roman" w:hAnsi="Times New Roman" w:eastAsia="宋体" w:cs="Times New Roman"/>
                <w:color w:val="auto"/>
                <w:spacing w:val="0"/>
                <w:sz w:val="21"/>
                <w:szCs w:val="21"/>
                <w:lang w:val="en-US" w:eastAsia="zh-CN"/>
              </w:rPr>
              <w:t>30</w:t>
            </w:r>
            <w:r>
              <w:rPr>
                <w:rFonts w:hint="default" w:ascii="Times New Roman" w:hAnsi="Times New Roman" w:eastAsia="宋体" w:cs="Times New Roman"/>
                <w:color w:val="auto"/>
                <w:spacing w:val="0"/>
                <w:sz w:val="21"/>
                <w:szCs w:val="21"/>
              </w:rPr>
              <w:t>kg/</w:t>
            </w:r>
            <w:r>
              <w:rPr>
                <w:rFonts w:hint="default" w:ascii="Times New Roman" w:hAnsi="Times New Roman" w:eastAsia="宋体" w:cs="Times New Roman"/>
                <w:color w:val="auto"/>
                <w:spacing w:val="0"/>
                <w:sz w:val="21"/>
                <w:szCs w:val="21"/>
                <w:lang w:eastAsia="zh-CN"/>
              </w:rPr>
              <w:t>瓶</w:t>
            </w:r>
            <w:r>
              <w:rPr>
                <w:rFonts w:hint="default" w:ascii="Times New Roman" w:hAnsi="Times New Roman" w:eastAsia="宋体" w:cs="Times New Roman"/>
                <w:color w:val="auto"/>
                <w:spacing w:val="0"/>
                <w:sz w:val="21"/>
                <w:szCs w:val="21"/>
              </w:rPr>
              <w:t>，6瓶/a</w:t>
            </w:r>
            <w:r>
              <w:rPr>
                <w:rFonts w:hint="default" w:ascii="Times New Roman" w:hAnsi="Times New Roman" w:eastAsia="宋体" w:cs="Times New Roman"/>
                <w:color w:val="auto"/>
                <w:spacing w:val="0"/>
                <w:sz w:val="21"/>
                <w:szCs w:val="21"/>
                <w:lang w:eastAsia="zh-CN"/>
              </w:rPr>
              <w:t>，制冷剂定期补充，即用即买，厂区不储存。</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储罐</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锅炉房东侧设有一座</w:t>
            </w:r>
            <w:r>
              <w:rPr>
                <w:rFonts w:hint="default" w:ascii="Times New Roman" w:hAnsi="Times New Roman" w:eastAsia="宋体" w:cs="Times New Roman"/>
                <w:color w:val="auto"/>
                <w:spacing w:val="0"/>
                <w:sz w:val="21"/>
                <w:szCs w:val="21"/>
                <w:highlight w:val="none"/>
                <w:lang w:val="en-US" w:eastAsia="zh-CN"/>
              </w:rPr>
              <w:t>1.5</w:t>
            </w:r>
            <w:r>
              <w:rPr>
                <w:rFonts w:hint="eastAsia" w:ascii="Times New Roman" w:hAnsi="Times New Roman" w:eastAsia="宋体" w:cs="Times New Roman"/>
                <w:color w:val="auto"/>
                <w:spacing w:val="0"/>
                <w:sz w:val="21"/>
                <w:szCs w:val="21"/>
                <w:highlight w:val="none"/>
                <w:lang w:val="en-US" w:eastAsia="zh-CN"/>
              </w:rPr>
              <w:t>4</w:t>
            </w:r>
            <w:r>
              <w:rPr>
                <w:rFonts w:hint="default" w:ascii="Times New Roman" w:hAnsi="Times New Roman" w:eastAsia="宋体" w:cs="Times New Roman"/>
                <w:color w:val="auto"/>
                <w:spacing w:val="0"/>
                <w:sz w:val="21"/>
                <w:szCs w:val="21"/>
                <w:highlight w:val="none"/>
                <w:lang w:val="en-US" w:eastAsia="zh-CN"/>
              </w:rPr>
              <w:t>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vertAlign w:val="baseline"/>
                <w:lang w:val="en-US" w:eastAsia="zh-CN"/>
              </w:rPr>
              <w:t>柴油储罐，罐体直径1.</w:t>
            </w:r>
            <w:r>
              <w:rPr>
                <w:rFonts w:hint="eastAsia" w:ascii="Times New Roman" w:hAnsi="Times New Roman" w:eastAsia="宋体" w:cs="Times New Roman"/>
                <w:color w:val="auto"/>
                <w:spacing w:val="0"/>
                <w:sz w:val="21"/>
                <w:szCs w:val="21"/>
                <w:highlight w:val="none"/>
                <w:vertAlign w:val="baseline"/>
                <w:lang w:val="en-US" w:eastAsia="zh-CN"/>
              </w:rPr>
              <w:t>4</w:t>
            </w:r>
            <w:r>
              <w:rPr>
                <w:rFonts w:hint="default" w:ascii="Times New Roman" w:hAnsi="Times New Roman" w:eastAsia="宋体" w:cs="Times New Roman"/>
                <w:color w:val="auto"/>
                <w:spacing w:val="0"/>
                <w:sz w:val="21"/>
                <w:szCs w:val="21"/>
                <w:highlight w:val="none"/>
                <w:vertAlign w:val="baseline"/>
                <w:lang w:val="en-US" w:eastAsia="zh-CN"/>
              </w:rPr>
              <w:t>m，长度1m，最大存储柴油1.</w:t>
            </w:r>
            <w:r>
              <w:rPr>
                <w:rFonts w:hint="eastAsia" w:ascii="Times New Roman" w:hAnsi="Times New Roman" w:eastAsia="宋体" w:cs="Times New Roman"/>
                <w:color w:val="auto"/>
                <w:spacing w:val="0"/>
                <w:sz w:val="21"/>
                <w:szCs w:val="21"/>
                <w:highlight w:val="none"/>
                <w:vertAlign w:val="baseline"/>
                <w:lang w:val="en-US" w:eastAsia="zh-CN"/>
              </w:rPr>
              <w:t>2</w:t>
            </w:r>
            <w:r>
              <w:rPr>
                <w:rFonts w:hint="default" w:ascii="Times New Roman" w:hAnsi="Times New Roman" w:eastAsia="宋体" w:cs="Times New Roman"/>
                <w:color w:val="auto"/>
                <w:spacing w:val="0"/>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一般</w:t>
            </w:r>
            <w:r>
              <w:rPr>
                <w:rFonts w:hint="default" w:ascii="Times New Roman" w:hAnsi="Times New Roman" w:eastAsia="宋体" w:cs="Times New Roman"/>
                <w:color w:val="auto"/>
                <w:spacing w:val="0"/>
                <w:sz w:val="21"/>
                <w:szCs w:val="21"/>
              </w:rPr>
              <w:t>固废暂存间</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lang w:val="en-US"/>
              </w:rPr>
            </w:pPr>
            <w:r>
              <w:rPr>
                <w:rFonts w:hint="default" w:ascii="Times New Roman" w:hAnsi="Times New Roman" w:eastAsia="宋体" w:cs="Times New Roman"/>
                <w:color w:val="auto"/>
                <w:spacing w:val="0"/>
                <w:sz w:val="21"/>
                <w:szCs w:val="21"/>
              </w:rPr>
              <w:t>建筑面积为</w:t>
            </w:r>
            <w:r>
              <w:rPr>
                <w:rFonts w:hint="default" w:ascii="Times New Roman" w:hAnsi="Times New Roman" w:eastAsia="宋体" w:cs="Times New Roman"/>
                <w:color w:val="auto"/>
                <w:spacing w:val="0"/>
                <w:sz w:val="21"/>
                <w:szCs w:val="21"/>
                <w:lang w:val="en-US" w:eastAsia="zh-CN"/>
              </w:rPr>
              <w:t>20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，用于</w:t>
            </w:r>
            <w:r>
              <w:rPr>
                <w:rFonts w:hint="eastAsia" w:ascii="Times New Roman" w:hAnsi="Times New Roman" w:eastAsia="宋体" w:cs="Times New Roman"/>
                <w:color w:val="auto"/>
                <w:spacing w:val="0"/>
                <w:sz w:val="21"/>
                <w:szCs w:val="21"/>
                <w:lang w:val="en-US" w:eastAsia="zh-CN"/>
              </w:rPr>
              <w:t>临时</w:t>
            </w:r>
            <w:r>
              <w:rPr>
                <w:rFonts w:hint="default" w:ascii="Times New Roman" w:hAnsi="Times New Roman" w:eastAsia="宋体" w:cs="Times New Roman"/>
                <w:color w:val="auto"/>
                <w:spacing w:val="0"/>
                <w:sz w:val="21"/>
                <w:szCs w:val="21"/>
              </w:rPr>
              <w:t>暂存项目产生的一般固体废物</w:t>
            </w:r>
            <w:r>
              <w:rPr>
                <w:rFonts w:hint="default" w:ascii="Times New Roman" w:hAnsi="Times New Roman" w:eastAsia="宋体" w:cs="Times New Roman"/>
                <w:color w:val="auto"/>
                <w:spacing w:val="0"/>
                <w:sz w:val="21"/>
                <w:szCs w:val="21"/>
                <w:lang w:eastAsia="zh-CN"/>
              </w:rPr>
              <w:t>，最大贮存能力</w:t>
            </w:r>
            <w:r>
              <w:rPr>
                <w:rFonts w:hint="default" w:ascii="Times New Roman" w:hAnsi="Times New Roman" w:eastAsia="宋体" w:cs="Times New Roman"/>
                <w:color w:val="auto"/>
                <w:spacing w:val="0"/>
                <w:sz w:val="21"/>
                <w:szCs w:val="21"/>
                <w:lang w:val="en-US" w:eastAsia="zh-CN"/>
              </w:rPr>
              <w:t>5t。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危险废物贮存</w:t>
            </w:r>
            <w:r>
              <w:rPr>
                <w:rFonts w:hint="eastAsia" w:ascii="Times New Roman" w:hAnsi="Times New Roman" w:eastAsia="宋体" w:cs="Times New Roman"/>
                <w:color w:val="auto"/>
                <w:spacing w:val="0"/>
                <w:sz w:val="21"/>
                <w:szCs w:val="21"/>
                <w:lang w:val="en-US" w:eastAsia="zh-CN"/>
              </w:rPr>
              <w:t>点</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建筑面积为</w:t>
            </w:r>
            <w:r>
              <w:rPr>
                <w:rFonts w:hint="default" w:ascii="Times New Roman" w:hAnsi="Times New Roman" w:eastAsia="宋体" w:cs="Times New Roman"/>
                <w:color w:val="auto"/>
                <w:spacing w:val="0"/>
                <w:sz w:val="21"/>
                <w:szCs w:val="21"/>
                <w:lang w:val="en-US" w:eastAsia="zh-CN"/>
              </w:rPr>
              <w:t>20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，用于暂存项目产生的</w:t>
            </w:r>
            <w:r>
              <w:rPr>
                <w:rFonts w:hint="default" w:ascii="Times New Roman" w:hAnsi="Times New Roman" w:eastAsia="宋体" w:cs="Times New Roman"/>
                <w:color w:val="auto"/>
                <w:spacing w:val="0"/>
                <w:sz w:val="21"/>
                <w:szCs w:val="21"/>
                <w:lang w:val="en-US" w:eastAsia="zh-CN"/>
              </w:rPr>
              <w:t>危险</w:t>
            </w:r>
            <w:r>
              <w:rPr>
                <w:rFonts w:hint="default" w:ascii="Times New Roman" w:hAnsi="Times New Roman" w:eastAsia="宋体" w:cs="Times New Roman"/>
                <w:color w:val="auto"/>
                <w:spacing w:val="0"/>
                <w:sz w:val="21"/>
                <w:szCs w:val="21"/>
              </w:rPr>
              <w:t>废物</w:t>
            </w:r>
            <w:r>
              <w:rPr>
                <w:rFonts w:hint="default" w:ascii="Times New Roman" w:hAnsi="Times New Roman" w:eastAsia="宋体" w:cs="Times New Roman"/>
                <w:color w:val="auto"/>
                <w:spacing w:val="0"/>
                <w:sz w:val="21"/>
                <w:szCs w:val="21"/>
                <w:lang w:eastAsia="zh-CN"/>
              </w:rPr>
              <w:t>，最大贮存能力</w:t>
            </w:r>
            <w:r>
              <w:rPr>
                <w:rFonts w:hint="default" w:ascii="Times New Roman" w:hAnsi="Times New Roman" w:eastAsia="宋体" w:cs="Times New Roman"/>
                <w:color w:val="auto"/>
                <w:spacing w:val="0"/>
                <w:sz w:val="21"/>
                <w:szCs w:val="21"/>
                <w:lang w:val="en-US" w:eastAsia="zh-CN"/>
              </w:rPr>
              <w:t>5t。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6" w:hRule="atLeast"/>
        </w:trPr>
        <w:tc>
          <w:tcPr>
            <w:tcW w:w="47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公用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工程</w:t>
            </w: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供热系统</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pacing w:val="4"/>
                <w:sz w:val="21"/>
                <w:szCs w:val="21"/>
                <w:lang w:val="en-US"/>
              </w:rPr>
            </w:pPr>
            <w:r>
              <w:rPr>
                <w:rFonts w:hint="default" w:ascii="Times New Roman" w:hAnsi="Times New Roman" w:eastAsia="宋体" w:cs="Times New Roman"/>
                <w:color w:val="auto"/>
                <w:spacing w:val="0"/>
                <w:sz w:val="21"/>
                <w:szCs w:val="21"/>
                <w:lang w:val="en-US" w:eastAsia="zh-CN"/>
              </w:rPr>
              <w:t>厂区生产热源由一台1t/h燃油蒸汽锅炉提供，锅炉房内配备软化水制备装置。冬季生活供暖采取电采暖。</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 w:hRule="atLeast"/>
        </w:trPr>
        <w:tc>
          <w:tcPr>
            <w:tcW w:w="47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给水系统</w:t>
            </w:r>
          </w:p>
        </w:tc>
        <w:tc>
          <w:tcPr>
            <w:tcW w:w="3698"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spacing w:val="4"/>
                <w:sz w:val="21"/>
                <w:szCs w:val="21"/>
              </w:rPr>
              <w:t>市政供水</w:t>
            </w:r>
            <w:r>
              <w:rPr>
                <w:rFonts w:hint="default" w:ascii="Times New Roman" w:hAnsi="Times New Roman" w:eastAsia="宋体" w:cs="Times New Roman"/>
                <w:spacing w:val="4"/>
                <w:sz w:val="21"/>
                <w:szCs w:val="21"/>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 w:hRule="atLeast"/>
        </w:trPr>
        <w:tc>
          <w:tcPr>
            <w:tcW w:w="47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排水系统</w:t>
            </w:r>
          </w:p>
        </w:tc>
        <w:tc>
          <w:tcPr>
            <w:tcW w:w="3698"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both"/>
              <w:textAlignment w:val="baseline"/>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厂区实行</w:t>
            </w:r>
            <w:r>
              <w:rPr>
                <w:rFonts w:hint="default" w:ascii="Times New Roman" w:hAnsi="Times New Roman" w:eastAsia="宋体" w:cs="Times New Roman"/>
                <w:color w:val="auto"/>
                <w:spacing w:val="0"/>
                <w:sz w:val="21"/>
                <w:szCs w:val="21"/>
              </w:rPr>
              <w:t>雨污分流</w:t>
            </w:r>
            <w:r>
              <w:rPr>
                <w:rFonts w:hint="default" w:ascii="Times New Roman" w:hAnsi="Times New Roman" w:eastAsia="宋体" w:cs="Times New Roman"/>
                <w:color w:val="auto"/>
                <w:spacing w:val="0"/>
                <w:sz w:val="21"/>
                <w:szCs w:val="21"/>
                <w:lang w:val="en-US" w:eastAsia="zh-CN"/>
              </w:rPr>
              <w:t>制</w:t>
            </w:r>
            <w:r>
              <w:rPr>
                <w:rFonts w:hint="default" w:ascii="Times New Roman" w:hAnsi="Times New Roman" w:eastAsia="宋体" w:cs="Times New Roman"/>
                <w:color w:val="auto"/>
                <w:spacing w:val="0"/>
                <w:sz w:val="21"/>
                <w:szCs w:val="21"/>
              </w:rPr>
              <w:t>，</w:t>
            </w:r>
            <w:r>
              <w:rPr>
                <w:rFonts w:hint="default" w:ascii="Times New Roman" w:hAnsi="Times New Roman" w:eastAsia="宋体" w:cs="Times New Roman"/>
                <w:spacing w:val="4"/>
                <w:sz w:val="21"/>
                <w:szCs w:val="21"/>
              </w:rPr>
              <w:t>雨水进入雨水管道，屠宰废水与职工生活</w:t>
            </w:r>
            <w:r>
              <w:rPr>
                <w:rFonts w:hint="default" w:ascii="Times New Roman" w:hAnsi="Times New Roman" w:eastAsia="宋体" w:cs="Times New Roman"/>
                <w:spacing w:val="4"/>
                <w:sz w:val="21"/>
                <w:szCs w:val="21"/>
                <w:lang w:val="en-US" w:eastAsia="zh-CN"/>
              </w:rPr>
              <w:t>污水</w:t>
            </w:r>
            <w:r>
              <w:rPr>
                <w:rFonts w:hint="default" w:ascii="Times New Roman" w:hAnsi="Times New Roman" w:eastAsia="宋体" w:cs="Times New Roman"/>
                <w:spacing w:val="4"/>
                <w:sz w:val="21"/>
                <w:szCs w:val="21"/>
              </w:rPr>
              <w:t>进入污水处理站处理</w:t>
            </w:r>
            <w:r>
              <w:rPr>
                <w:rFonts w:hint="default" w:ascii="Times New Roman" w:hAnsi="Times New Roman" w:eastAsia="宋体" w:cs="Times New Roman"/>
                <w:spacing w:val="4"/>
                <w:sz w:val="21"/>
                <w:szCs w:val="21"/>
                <w:lang w:val="en-US" w:eastAsia="zh-CN"/>
              </w:rPr>
              <w:t>后排入</w:t>
            </w:r>
            <w:r>
              <w:rPr>
                <w:rFonts w:hint="default" w:ascii="Times New Roman" w:hAnsi="Times New Roman" w:eastAsia="宋体" w:cs="Times New Roman"/>
                <w:spacing w:val="4"/>
                <w:sz w:val="21"/>
                <w:szCs w:val="21"/>
              </w:rPr>
              <w:t>市政管网，排入</w:t>
            </w:r>
            <w:r>
              <w:rPr>
                <w:rFonts w:hint="default" w:ascii="Times New Roman" w:hAnsi="Times New Roman" w:eastAsia="宋体" w:cs="Times New Roman"/>
                <w:spacing w:val="4"/>
                <w:sz w:val="21"/>
                <w:szCs w:val="21"/>
                <w:lang w:eastAsia="zh-CN"/>
              </w:rPr>
              <w:t>兴隆镇</w:t>
            </w:r>
            <w:r>
              <w:rPr>
                <w:rFonts w:hint="default" w:ascii="Times New Roman" w:hAnsi="Times New Roman" w:eastAsia="宋体" w:cs="Times New Roman"/>
                <w:spacing w:val="4"/>
                <w:sz w:val="21"/>
                <w:szCs w:val="21"/>
              </w:rPr>
              <w:t>污水处理厂处理，</w:t>
            </w:r>
            <w:r>
              <w:rPr>
                <w:rFonts w:hint="eastAsia" w:ascii="Times New Roman" w:hAnsi="Times New Roman" w:eastAsia="宋体" w:cs="Times New Roman"/>
                <w:spacing w:val="4"/>
                <w:sz w:val="21"/>
                <w:szCs w:val="21"/>
                <w:lang w:eastAsia="zh-CN"/>
              </w:rPr>
              <w:t>排入泥河</w:t>
            </w:r>
            <w:r>
              <w:rPr>
                <w:rFonts w:hint="default" w:ascii="Times New Roman" w:hAnsi="Times New Roman" w:eastAsia="宋体" w:cs="Times New Roman"/>
                <w:spacing w:val="4"/>
                <w:sz w:val="21"/>
                <w:szCs w:val="21"/>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3" w:hRule="atLeast"/>
        </w:trPr>
        <w:tc>
          <w:tcPr>
            <w:tcW w:w="47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供电系统</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color w:val="auto"/>
                <w:spacing w:val="0"/>
                <w:sz w:val="21"/>
                <w:szCs w:val="21"/>
                <w:lang w:val="en-US" w:eastAsia="zh-CN"/>
              </w:rPr>
              <w:t>市政供电。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0" w:hRule="atLeast"/>
        </w:trPr>
        <w:tc>
          <w:tcPr>
            <w:tcW w:w="476" w:type="pct"/>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辅助</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工程</w:t>
            </w: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宿舍</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lang w:eastAsia="zh-CN"/>
              </w:rPr>
            </w:pPr>
            <w:r>
              <w:rPr>
                <w:rFonts w:hint="default" w:ascii="Times New Roman" w:hAnsi="Times New Roman" w:eastAsia="宋体" w:cs="Times New Roman"/>
                <w:color w:val="auto"/>
                <w:spacing w:val="0"/>
                <w:sz w:val="21"/>
                <w:szCs w:val="21"/>
                <w:lang w:val="en-US" w:eastAsia="zh-CN"/>
              </w:rPr>
              <w:t>1</w:t>
            </w:r>
            <w:r>
              <w:rPr>
                <w:rFonts w:hint="default" w:ascii="Times New Roman" w:hAnsi="Times New Roman" w:eastAsia="宋体" w:cs="Times New Roman"/>
                <w:color w:val="auto"/>
                <w:spacing w:val="0"/>
                <w:sz w:val="21"/>
                <w:szCs w:val="21"/>
              </w:rPr>
              <w:t>栋，</w:t>
            </w:r>
            <w:r>
              <w:rPr>
                <w:rFonts w:hint="default" w:ascii="Times New Roman" w:hAnsi="Times New Roman" w:eastAsia="宋体" w:cs="Times New Roman"/>
                <w:color w:val="auto"/>
                <w:spacing w:val="0"/>
                <w:sz w:val="21"/>
                <w:szCs w:val="21"/>
                <w:lang w:val="en-US" w:eastAsia="zh-CN"/>
              </w:rPr>
              <w:t>单层建筑</w:t>
            </w:r>
            <w:r>
              <w:rPr>
                <w:rFonts w:hint="default" w:ascii="Times New Roman" w:hAnsi="Times New Roman" w:eastAsia="宋体" w:cs="Times New Roman"/>
                <w:color w:val="auto"/>
                <w:spacing w:val="0"/>
                <w:sz w:val="21"/>
                <w:szCs w:val="21"/>
              </w:rPr>
              <w:t>，建筑面积约为</w:t>
            </w:r>
            <w:r>
              <w:rPr>
                <w:rFonts w:hint="default" w:ascii="Times New Roman" w:hAnsi="Times New Roman" w:eastAsia="宋体" w:cs="Times New Roman"/>
                <w:color w:val="auto"/>
                <w:spacing w:val="0"/>
                <w:sz w:val="21"/>
                <w:szCs w:val="21"/>
                <w:lang w:val="en-US" w:eastAsia="zh-CN"/>
              </w:rPr>
              <w:t>300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，位于厂区</w:t>
            </w:r>
            <w:r>
              <w:rPr>
                <w:rFonts w:hint="default" w:ascii="Times New Roman" w:hAnsi="Times New Roman" w:eastAsia="宋体" w:cs="Times New Roman"/>
                <w:color w:val="auto"/>
                <w:spacing w:val="0"/>
                <w:sz w:val="21"/>
                <w:szCs w:val="21"/>
                <w:lang w:val="en-US" w:eastAsia="zh-CN"/>
              </w:rPr>
              <w:t>东南</w:t>
            </w:r>
            <w:r>
              <w:rPr>
                <w:rFonts w:hint="default" w:ascii="Times New Roman" w:hAnsi="Times New Roman" w:eastAsia="宋体" w:cs="Times New Roman"/>
                <w:color w:val="auto"/>
                <w:spacing w:val="0"/>
                <w:sz w:val="21"/>
                <w:szCs w:val="21"/>
              </w:rPr>
              <w:t>侧</w:t>
            </w:r>
            <w:r>
              <w:rPr>
                <w:rFonts w:hint="default" w:ascii="Times New Roman" w:hAnsi="Times New Roman" w:eastAsia="宋体" w:cs="Times New Roman"/>
                <w:color w:val="auto"/>
                <w:spacing w:val="0"/>
                <w:sz w:val="21"/>
                <w:szCs w:val="21"/>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476" w:type="pct"/>
            <w:vMerge w:val="continue"/>
            <w:tcBorders>
              <w:top w:val="nil"/>
              <w:bottom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lang w:eastAsia="zh-CN"/>
              </w:rPr>
            </w:pPr>
            <w:r>
              <w:rPr>
                <w:rFonts w:hint="default" w:ascii="Times New Roman" w:hAnsi="Times New Roman" w:eastAsia="宋体" w:cs="Times New Roman"/>
                <w:color w:val="auto"/>
                <w:spacing w:val="0"/>
                <w:sz w:val="21"/>
                <w:szCs w:val="21"/>
                <w:lang w:val="en-US" w:eastAsia="zh-CN"/>
              </w:rPr>
              <w:t>办公室</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lang w:val="en-US"/>
              </w:rPr>
            </w:pPr>
            <w:r>
              <w:rPr>
                <w:rFonts w:hint="default" w:ascii="Times New Roman" w:hAnsi="Times New Roman" w:eastAsia="宋体" w:cs="Times New Roman"/>
                <w:color w:val="auto"/>
                <w:spacing w:val="0"/>
                <w:sz w:val="21"/>
                <w:szCs w:val="21"/>
                <w:lang w:val="en-US" w:eastAsia="zh-CN"/>
              </w:rPr>
              <w:t>1栋</w:t>
            </w:r>
            <w:r>
              <w:rPr>
                <w:rFonts w:hint="default" w:ascii="Times New Roman" w:hAnsi="Times New Roman" w:eastAsia="宋体" w:cs="Times New Roman"/>
                <w:color w:val="auto"/>
                <w:spacing w:val="0"/>
                <w:sz w:val="21"/>
                <w:szCs w:val="21"/>
              </w:rPr>
              <w:t>，</w:t>
            </w:r>
            <w:r>
              <w:rPr>
                <w:rFonts w:hint="default" w:ascii="Times New Roman" w:hAnsi="Times New Roman" w:eastAsia="宋体" w:cs="Times New Roman"/>
                <w:color w:val="auto"/>
                <w:spacing w:val="0"/>
                <w:sz w:val="21"/>
                <w:szCs w:val="21"/>
                <w:lang w:val="en-US" w:eastAsia="zh-CN"/>
              </w:rPr>
              <w:t>二层建筑，</w:t>
            </w:r>
            <w:r>
              <w:rPr>
                <w:rFonts w:hint="default" w:ascii="Times New Roman" w:hAnsi="Times New Roman" w:eastAsia="宋体" w:cs="Times New Roman"/>
                <w:color w:val="auto"/>
                <w:spacing w:val="0"/>
                <w:sz w:val="21"/>
                <w:szCs w:val="21"/>
              </w:rPr>
              <w:t>建筑面积约为</w:t>
            </w:r>
            <w:r>
              <w:rPr>
                <w:rFonts w:hint="default" w:ascii="Times New Roman" w:hAnsi="Times New Roman" w:eastAsia="宋体" w:cs="Times New Roman"/>
                <w:color w:val="auto"/>
                <w:spacing w:val="0"/>
                <w:sz w:val="21"/>
                <w:szCs w:val="21"/>
                <w:lang w:val="en-US" w:eastAsia="zh-CN"/>
              </w:rPr>
              <w:t>500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w:t>
            </w:r>
            <w:r>
              <w:rPr>
                <w:rFonts w:hint="eastAsia" w:ascii="Times New Roman" w:hAnsi="Times New Roman" w:eastAsia="宋体" w:cs="Times New Roman"/>
                <w:color w:val="auto"/>
                <w:spacing w:val="0"/>
                <w:sz w:val="21"/>
                <w:szCs w:val="21"/>
                <w:lang w:val="en-US" w:eastAsia="zh-CN"/>
              </w:rPr>
              <w:t>高度约6米。</w:t>
            </w:r>
            <w:r>
              <w:rPr>
                <w:rFonts w:hint="default" w:ascii="Times New Roman" w:hAnsi="Times New Roman" w:eastAsia="宋体" w:cs="Times New Roman"/>
                <w:color w:val="auto"/>
                <w:spacing w:val="0"/>
                <w:sz w:val="21"/>
                <w:szCs w:val="21"/>
                <w:lang w:val="en-US" w:eastAsia="zh-CN"/>
              </w:rPr>
              <w:t>位于厂区中部。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476" w:type="pct"/>
            <w:vMerge w:val="continue"/>
            <w:tcBorders>
              <w:top w:val="nil"/>
              <w:bottom w:val="single" w:color="000000" w:sz="2" w:space="0"/>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eastAsia" w:ascii="Times New Roman" w:hAnsi="Times New Roman" w:eastAsia="宋体" w:cs="Times New Roman"/>
                <w:color w:val="auto"/>
                <w:spacing w:val="0"/>
                <w:sz w:val="21"/>
                <w:szCs w:val="21"/>
                <w:lang w:val="en-US" w:eastAsia="zh-CN"/>
              </w:rPr>
              <w:t>检疫</w:t>
            </w:r>
            <w:r>
              <w:rPr>
                <w:rFonts w:hint="default" w:ascii="Times New Roman" w:hAnsi="Times New Roman" w:eastAsia="宋体" w:cs="Times New Roman"/>
                <w:color w:val="auto"/>
                <w:spacing w:val="0"/>
                <w:sz w:val="21"/>
                <w:szCs w:val="21"/>
                <w:lang w:eastAsia="zh-CN"/>
              </w:rPr>
              <w:t>室</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位于屠宰车间内，建筑面积10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vertAlign w:val="baseline"/>
                <w:lang w:eastAsia="zh-CN"/>
              </w:rPr>
              <w:t>，用于生猪产品质量化验。</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6" w:hRule="atLeast"/>
        </w:trPr>
        <w:tc>
          <w:tcPr>
            <w:tcW w:w="476" w:type="pct"/>
            <w:vMerge w:val="restart"/>
            <w:tcBorders>
              <w:top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环保</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工程</w:t>
            </w: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rPr>
              <w:t>废水处理</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highlight w:val="none"/>
                <w:lang w:val="en-US" w:eastAsia="zh-CN"/>
              </w:rPr>
              <w:t>已对原有污水处理站进行技术改造，已新建一座日处理废水能力300m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lang w:val="en-US" w:eastAsia="zh-CN"/>
              </w:rPr>
              <w:t>/d 的污水处理站。项目废水</w:t>
            </w:r>
            <w:r>
              <w:rPr>
                <w:rFonts w:hint="default" w:ascii="Times New Roman" w:hAnsi="Times New Roman" w:eastAsia="宋体" w:cs="Times New Roman"/>
                <w:color w:val="auto"/>
                <w:sz w:val="21"/>
                <w:szCs w:val="21"/>
                <w:highlight w:val="none"/>
              </w:rPr>
              <w:t>经厂区污水处理站处理后达到《肉类加工工业水污染物排放标准》（GB13457-92）表3三级畜类屠宰加工</w:t>
            </w:r>
            <w:r>
              <w:rPr>
                <w:rFonts w:hint="default" w:ascii="Times New Roman" w:hAnsi="Times New Roman" w:eastAsia="宋体" w:cs="Times New Roman"/>
                <w:color w:val="auto"/>
                <w:sz w:val="21"/>
                <w:szCs w:val="21"/>
                <w:highlight w:val="none"/>
                <w:lang w:val="en-US" w:eastAsia="zh-CN"/>
              </w:rPr>
              <w:t>三级</w:t>
            </w:r>
            <w:r>
              <w:rPr>
                <w:rFonts w:hint="default" w:ascii="Times New Roman" w:hAnsi="Times New Roman" w:eastAsia="宋体" w:cs="Times New Roman"/>
                <w:color w:val="auto"/>
                <w:sz w:val="21"/>
                <w:szCs w:val="21"/>
                <w:highlight w:val="none"/>
              </w:rPr>
              <w:t>标准限值及</w:t>
            </w:r>
            <w:r>
              <w:rPr>
                <w:rFonts w:hint="default" w:ascii="Times New Roman" w:hAnsi="Times New Roman" w:eastAsia="宋体" w:cs="Times New Roman"/>
                <w:color w:val="auto"/>
                <w:sz w:val="21"/>
                <w:szCs w:val="21"/>
                <w:highlight w:val="none"/>
                <w:lang w:val="en-US" w:eastAsia="zh-CN"/>
              </w:rPr>
              <w:t>兴隆镇</w:t>
            </w:r>
            <w:r>
              <w:rPr>
                <w:rFonts w:hint="default" w:ascii="Times New Roman" w:hAnsi="Times New Roman" w:eastAsia="宋体" w:cs="Times New Roman"/>
                <w:color w:val="auto"/>
                <w:sz w:val="21"/>
                <w:szCs w:val="21"/>
                <w:highlight w:val="none"/>
              </w:rPr>
              <w:t>污水处理厂进水指标</w:t>
            </w:r>
            <w:r>
              <w:rPr>
                <w:rFonts w:hint="default" w:ascii="Times New Roman" w:hAnsi="Times New Roman" w:eastAsia="宋体" w:cs="Times New Roman"/>
                <w:color w:val="auto"/>
                <w:sz w:val="21"/>
                <w:szCs w:val="21"/>
                <w:highlight w:val="none"/>
                <w:lang w:val="en-US" w:eastAsia="zh-CN"/>
              </w:rPr>
              <w:t>后，排入兴隆镇污水处理厂，</w:t>
            </w:r>
            <w:r>
              <w:rPr>
                <w:rFonts w:hint="eastAsia" w:ascii="Times New Roman" w:hAnsi="Times New Roman" w:eastAsia="宋体" w:cs="Times New Roman"/>
                <w:spacing w:val="4"/>
                <w:sz w:val="21"/>
                <w:szCs w:val="21"/>
                <w:highlight w:val="none"/>
                <w:lang w:eastAsia="zh-CN"/>
              </w:rPr>
              <w:t>排入泥河</w:t>
            </w:r>
            <w:r>
              <w:rPr>
                <w:rFonts w:hint="default" w:ascii="Times New Roman" w:hAnsi="Times New Roman" w:eastAsia="宋体" w:cs="Times New Roman"/>
                <w:spacing w:val="4"/>
                <w:sz w:val="21"/>
                <w:szCs w:val="21"/>
                <w:highlight w:val="none"/>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2"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824" w:type="pct"/>
            <w:gridSpan w:val="2"/>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rPr>
              <w:t>废气治理</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rPr>
            </w:pPr>
            <w:r>
              <w:rPr>
                <w:rFonts w:hint="default" w:ascii="Times New Roman" w:hAnsi="Times New Roman" w:eastAsia="宋体" w:cs="Times New Roman"/>
                <w:color w:val="auto"/>
                <w:spacing w:val="0"/>
                <w:sz w:val="21"/>
                <w:szCs w:val="21"/>
                <w:highlight w:val="none"/>
                <w:lang w:eastAsia="zh-CN"/>
              </w:rPr>
              <w:t>燃</w:t>
            </w:r>
            <w:r>
              <w:rPr>
                <w:rFonts w:hint="default" w:ascii="Times New Roman" w:hAnsi="Times New Roman" w:eastAsia="宋体" w:cs="Times New Roman"/>
                <w:color w:val="auto"/>
                <w:spacing w:val="0"/>
                <w:sz w:val="21"/>
                <w:szCs w:val="21"/>
                <w:highlight w:val="none"/>
                <w:lang w:val="en-US" w:eastAsia="zh-CN"/>
              </w:rPr>
              <w:t>油</w:t>
            </w:r>
            <w:r>
              <w:rPr>
                <w:rFonts w:hint="default" w:ascii="Times New Roman" w:hAnsi="Times New Roman" w:eastAsia="宋体" w:cs="Times New Roman"/>
                <w:color w:val="auto"/>
                <w:spacing w:val="0"/>
                <w:sz w:val="21"/>
                <w:szCs w:val="21"/>
                <w:highlight w:val="none"/>
              </w:rPr>
              <w:t>锅炉</w:t>
            </w:r>
            <w:r>
              <w:rPr>
                <w:rFonts w:hint="default" w:ascii="Times New Roman" w:hAnsi="Times New Roman" w:eastAsia="宋体" w:cs="Times New Roman"/>
                <w:color w:val="auto"/>
                <w:spacing w:val="0"/>
                <w:sz w:val="21"/>
                <w:szCs w:val="21"/>
                <w:highlight w:val="none"/>
                <w:lang w:eastAsia="zh-CN"/>
              </w:rPr>
              <w:t>采取低氮燃烧技术，</w:t>
            </w:r>
            <w:r>
              <w:rPr>
                <w:rFonts w:hint="default" w:ascii="Times New Roman" w:hAnsi="Times New Roman" w:eastAsia="宋体" w:cs="Times New Roman"/>
                <w:color w:val="auto"/>
                <w:spacing w:val="0"/>
                <w:sz w:val="21"/>
                <w:szCs w:val="21"/>
                <w:highlight w:val="none"/>
              </w:rPr>
              <w:t>废气经</w:t>
            </w:r>
            <w:r>
              <w:rPr>
                <w:rFonts w:hint="default" w:ascii="Times New Roman" w:hAnsi="Times New Roman" w:eastAsia="宋体" w:cs="Times New Roman"/>
                <w:color w:val="auto"/>
                <w:spacing w:val="0"/>
                <w:sz w:val="21"/>
                <w:szCs w:val="21"/>
                <w:highlight w:val="none"/>
                <w:lang w:val="en-US" w:eastAsia="zh-CN"/>
              </w:rPr>
              <w:t>12m</w:t>
            </w:r>
            <w:r>
              <w:rPr>
                <w:rFonts w:hint="default" w:ascii="Times New Roman" w:hAnsi="Times New Roman" w:eastAsia="宋体" w:cs="Times New Roman"/>
                <w:color w:val="auto"/>
                <w:spacing w:val="0"/>
                <w:sz w:val="21"/>
                <w:szCs w:val="21"/>
                <w:highlight w:val="none"/>
              </w:rPr>
              <w:t>高烟囱排放</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lang w:val="en-US" w:eastAsia="zh-CN"/>
              </w:rPr>
              <w:t>燃油锅炉排气筒最低要求8m，高于周围建筑物3m，周围最高建筑为8m，故本项目</w:t>
            </w:r>
            <w:r>
              <w:rPr>
                <w:rFonts w:hint="eastAsia" w:ascii="Times New Roman" w:hAnsi="Times New Roman" w:eastAsia="宋体" w:cs="Times New Roman"/>
                <w:color w:val="auto"/>
                <w:spacing w:val="0"/>
                <w:sz w:val="21"/>
                <w:szCs w:val="21"/>
                <w:highlight w:val="none"/>
                <w:lang w:val="en-US" w:eastAsia="zh-CN"/>
              </w:rPr>
              <w:t>12m高烟囱</w:t>
            </w:r>
            <w:r>
              <w:rPr>
                <w:rFonts w:hint="default" w:ascii="Times New Roman" w:hAnsi="Times New Roman" w:eastAsia="宋体" w:cs="Times New Roman"/>
                <w:color w:val="auto"/>
                <w:spacing w:val="0"/>
                <w:sz w:val="21"/>
                <w:szCs w:val="21"/>
                <w:highlight w:val="none"/>
                <w:lang w:val="en-US" w:eastAsia="zh-CN"/>
              </w:rPr>
              <w:t>合理</w:t>
            </w:r>
            <w:r>
              <w:rPr>
                <w:rFonts w:hint="default" w:ascii="Times New Roman" w:hAnsi="Times New Roman" w:eastAsia="宋体" w:cs="Times New Roman"/>
                <w:color w:val="auto"/>
                <w:spacing w:val="0"/>
                <w:sz w:val="21"/>
                <w:szCs w:val="21"/>
                <w:highlight w:val="none"/>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824"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eastAsia="zh-CN"/>
              </w:rPr>
            </w:pP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napToGrid w:val="0"/>
                <w:color w:val="auto"/>
                <w:spacing w:val="0"/>
                <w:kern w:val="0"/>
                <w:sz w:val="21"/>
                <w:szCs w:val="21"/>
                <w:lang w:val="en-US" w:eastAsia="zh-CN" w:bidi="ar-SA"/>
              </w:rPr>
            </w:pPr>
            <w:r>
              <w:rPr>
                <w:rFonts w:hint="default" w:ascii="Times New Roman" w:hAnsi="Times New Roman" w:eastAsia="宋体" w:cs="Times New Roman"/>
                <w:color w:val="auto"/>
                <w:spacing w:val="0"/>
                <w:sz w:val="21"/>
                <w:szCs w:val="21"/>
                <w:lang w:eastAsia="zh-CN"/>
              </w:rPr>
              <w:t>待宰</w:t>
            </w:r>
            <w:r>
              <w:rPr>
                <w:rFonts w:hint="default" w:ascii="Times New Roman" w:hAnsi="Times New Roman" w:eastAsia="宋体" w:cs="Times New Roman"/>
                <w:color w:val="auto"/>
                <w:spacing w:val="0"/>
                <w:sz w:val="21"/>
                <w:szCs w:val="21"/>
                <w:lang w:val="en-US" w:eastAsia="zh-CN"/>
              </w:rPr>
              <w:t>圈</w:t>
            </w:r>
            <w:r>
              <w:rPr>
                <w:rFonts w:hint="default" w:ascii="Times New Roman" w:hAnsi="Times New Roman" w:eastAsia="宋体" w:cs="Times New Roman"/>
                <w:color w:val="auto"/>
                <w:spacing w:val="0"/>
                <w:sz w:val="21"/>
                <w:szCs w:val="21"/>
              </w:rPr>
              <w:t>产生的无组织恶臭通过及时清扫猪粪，喷洒除臭剂，并将猪粪及时外运综合利用，减少恶臭源的散发</w:t>
            </w:r>
            <w:r>
              <w:rPr>
                <w:rFonts w:hint="default" w:ascii="Times New Roman" w:hAnsi="Times New Roman" w:eastAsia="宋体" w:cs="Times New Roman"/>
                <w:color w:val="auto"/>
                <w:spacing w:val="0"/>
                <w:sz w:val="21"/>
                <w:szCs w:val="21"/>
                <w:lang w:eastAsia="zh-CN"/>
              </w:rPr>
              <w:t>；</w:t>
            </w:r>
            <w:r>
              <w:rPr>
                <w:rFonts w:hint="default" w:ascii="Times New Roman" w:hAnsi="Times New Roman" w:eastAsia="宋体" w:cs="Times New Roman"/>
                <w:color w:val="auto"/>
                <w:spacing w:val="0"/>
                <w:sz w:val="21"/>
                <w:szCs w:val="21"/>
              </w:rPr>
              <w:t>污水处理站</w:t>
            </w:r>
            <w:r>
              <w:rPr>
                <w:rFonts w:hint="default" w:ascii="Times New Roman" w:hAnsi="Times New Roman" w:eastAsia="宋体" w:cs="Times New Roman"/>
                <w:color w:val="auto"/>
                <w:spacing w:val="0"/>
                <w:sz w:val="21"/>
                <w:szCs w:val="21"/>
                <w:lang w:eastAsia="zh-CN"/>
              </w:rPr>
              <w:t>、</w:t>
            </w:r>
            <w:r>
              <w:rPr>
                <w:rFonts w:hint="default" w:ascii="Times New Roman" w:hAnsi="Times New Roman" w:eastAsia="宋体" w:cs="Times New Roman"/>
                <w:color w:val="auto"/>
                <w:spacing w:val="0"/>
                <w:sz w:val="21"/>
                <w:szCs w:val="21"/>
              </w:rPr>
              <w:t>屠宰车间产生的无组织恶臭通过喷洒除臭剂</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pacing w:val="0"/>
                <w:sz w:val="21"/>
                <w:szCs w:val="21"/>
              </w:rPr>
              <w:t>减少恶臭源的散发</w:t>
            </w:r>
            <w:r>
              <w:rPr>
                <w:rFonts w:hint="default" w:ascii="Times New Roman" w:hAnsi="Times New Roman" w:eastAsia="宋体" w:cs="Times New Roman"/>
                <w:color w:val="auto"/>
                <w:spacing w:val="0"/>
                <w:sz w:val="21"/>
                <w:szCs w:val="21"/>
                <w:lang w:eastAsia="zh-CN"/>
              </w:rPr>
              <w:t>；固废暂存间全密闭，日产日清，喷洒生物除臭剂，除臭效率</w:t>
            </w:r>
            <w:r>
              <w:rPr>
                <w:rFonts w:hint="default" w:ascii="Times New Roman" w:hAnsi="Times New Roman" w:eastAsia="宋体" w:cs="Times New Roman"/>
                <w:color w:val="auto"/>
                <w:spacing w:val="0"/>
                <w:sz w:val="21"/>
                <w:szCs w:val="21"/>
                <w:lang w:val="en-US" w:eastAsia="zh-CN"/>
              </w:rPr>
              <w:t>50%，增加通风次数，</w:t>
            </w:r>
            <w:r>
              <w:rPr>
                <w:rFonts w:hint="default" w:ascii="Times New Roman" w:hAnsi="Times New Roman" w:eastAsia="宋体" w:cs="Times New Roman"/>
                <w:color w:val="auto"/>
                <w:spacing w:val="0"/>
                <w:sz w:val="21"/>
                <w:szCs w:val="21"/>
                <w:lang w:eastAsia="zh-CN"/>
              </w:rPr>
              <w:t>加强恶臭气体的扩散；</w:t>
            </w:r>
            <w:r>
              <w:rPr>
                <w:rFonts w:hint="default" w:ascii="Times New Roman" w:hAnsi="Times New Roman" w:eastAsia="宋体" w:cs="Times New Roman"/>
                <w:color w:val="auto"/>
                <w:spacing w:val="0"/>
                <w:sz w:val="21"/>
                <w:szCs w:val="21"/>
                <w:highlight w:val="none"/>
                <w:lang w:eastAsia="zh-CN"/>
              </w:rPr>
              <w:t>猪粪防渗池密闭加盖贮存于待宰圈内；肠胃内</w:t>
            </w:r>
            <w:r>
              <w:rPr>
                <w:rFonts w:hint="default" w:ascii="Times New Roman" w:hAnsi="Times New Roman" w:eastAsia="宋体" w:cs="Times New Roman"/>
                <w:color w:val="auto"/>
                <w:spacing w:val="0"/>
                <w:sz w:val="21"/>
                <w:szCs w:val="21"/>
                <w:highlight w:val="none"/>
              </w:rPr>
              <w:t>容物</w:t>
            </w:r>
            <w:r>
              <w:rPr>
                <w:rFonts w:hint="default" w:ascii="Times New Roman" w:hAnsi="Times New Roman" w:eastAsia="宋体" w:cs="Times New Roman"/>
                <w:color w:val="auto"/>
                <w:spacing w:val="0"/>
                <w:sz w:val="21"/>
                <w:szCs w:val="21"/>
                <w:highlight w:val="none"/>
                <w:lang w:eastAsia="zh-CN"/>
              </w:rPr>
              <w:t>通过</w:t>
            </w:r>
            <w:r>
              <w:rPr>
                <w:rFonts w:hint="default" w:ascii="Times New Roman" w:hAnsi="Times New Roman" w:eastAsia="宋体" w:cs="Times New Roman"/>
                <w:color w:val="auto"/>
                <w:spacing w:val="0"/>
                <w:sz w:val="21"/>
                <w:szCs w:val="21"/>
                <w:highlight w:val="none"/>
              </w:rPr>
              <w:t>风送设备排至肠内物收集池</w:t>
            </w:r>
            <w:r>
              <w:rPr>
                <w:rFonts w:hint="default" w:ascii="Times New Roman" w:hAnsi="Times New Roman" w:eastAsia="宋体" w:cs="Times New Roman"/>
                <w:color w:val="auto"/>
                <w:spacing w:val="0"/>
                <w:sz w:val="21"/>
                <w:szCs w:val="21"/>
                <w:highlight w:val="none"/>
                <w:lang w:eastAsia="zh-CN"/>
              </w:rPr>
              <w:t>封闭贮存；</w:t>
            </w:r>
            <w:r>
              <w:rPr>
                <w:rFonts w:hint="default" w:ascii="Times New Roman" w:hAnsi="Times New Roman" w:eastAsia="宋体" w:cs="Times New Roman"/>
                <w:color w:val="auto"/>
                <w:sz w:val="21"/>
                <w:szCs w:val="21"/>
                <w:highlight w:val="none"/>
                <w:lang w:val="en-US" w:eastAsia="zh-CN"/>
              </w:rPr>
              <w:t>污水处理站污泥和栅渣经无害化处理后，暂存于污泥暂存池内，密闭存储</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highlight w:val="none"/>
                <w:lang w:val="en-US" w:eastAsia="zh-CN"/>
              </w:rPr>
              <w:t>柴油储罐配套一根气相平衡管，卸油时产生非甲烷总烃经管线排入加油车中，油气回收效率90%</w:t>
            </w:r>
            <w:r>
              <w:rPr>
                <w:rFonts w:hint="eastAsia" w:ascii="Times New Roman" w:hAnsi="Times New Roman" w:eastAsia="宋体" w:cs="Times New Roman"/>
                <w:color w:val="auto"/>
                <w:sz w:val="21"/>
                <w:szCs w:val="21"/>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噪声治理</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rPr>
              <w:t>噪声源采取隔声减振等消声、降噪处理措施</w:t>
            </w:r>
            <w:r>
              <w:rPr>
                <w:rFonts w:hint="default" w:ascii="Times New Roman" w:hAnsi="Times New Roman" w:eastAsia="宋体" w:cs="Times New Roman"/>
                <w:color w:val="auto"/>
                <w:spacing w:val="0"/>
                <w:sz w:val="21"/>
                <w:szCs w:val="21"/>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19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固体废物</w:t>
            </w: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猪粪便</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z w:val="21"/>
                <w:szCs w:val="21"/>
                <w:lang w:val="en-US" w:eastAsia="zh-CN"/>
              </w:rPr>
              <w:t>猪粪便在待宰圈防渗池内临时贮存，每天清运一次，外售有机肥厂进行堆肥处理</w:t>
            </w:r>
            <w:r>
              <w:rPr>
                <w:rFonts w:hint="eastAsia" w:ascii="Times New Roman" w:hAnsi="Times New Roman" w:eastAsia="宋体" w:cs="Times New Roman"/>
                <w:color w:val="auto"/>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19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检疫废物</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eastAsia" w:hAnsi="Times New Roman"/>
                <w:color w:val="auto"/>
              </w:rPr>
              <w:t>检疫废物属于危险废</w:t>
            </w:r>
            <w:r>
              <w:rPr>
                <w:rFonts w:hint="default" w:ascii="Times New Roman" w:hAnsi="Times New Roman" w:cs="Times New Roman"/>
                <w:color w:val="auto"/>
              </w:rPr>
              <w:t>物（</w:t>
            </w:r>
            <w:r>
              <w:rPr>
                <w:rFonts w:hint="default" w:ascii="Times New Roman" w:hAnsi="Times New Roman" w:cs="Times New Roman"/>
                <w:color w:val="auto"/>
                <w:highlight w:val="none"/>
              </w:rPr>
              <w:t>类别HW01，代码841-005-01），单独收集，用有明显标识的塑料袋盛装，暂存于</w:t>
            </w:r>
            <w:r>
              <w:rPr>
                <w:rFonts w:hint="default" w:ascii="Times New Roman" w:hAnsi="Times New Roman" w:cs="Times New Roman"/>
                <w:color w:val="auto"/>
                <w:highlight w:val="none"/>
                <w:lang w:eastAsia="zh-CN"/>
              </w:rPr>
              <w:t>危险废物贮存点</w:t>
            </w:r>
            <w:r>
              <w:rPr>
                <w:rFonts w:hint="default" w:ascii="Times New Roman" w:hAnsi="Times New Roman" w:cs="Times New Roman"/>
                <w:color w:val="auto"/>
                <w:highlight w:val="none"/>
              </w:rPr>
              <w:t>，交由</w:t>
            </w:r>
            <w:r>
              <w:rPr>
                <w:rFonts w:hint="default" w:ascii="Times New Roman" w:hAnsi="Times New Roman" w:eastAsia="宋体" w:cs="Times New Roman"/>
                <w:color w:val="auto"/>
                <w:sz w:val="21"/>
                <w:szCs w:val="21"/>
                <w:highlight w:val="none"/>
                <w:lang w:val="en-US" w:eastAsia="zh-CN"/>
              </w:rPr>
              <w:t>哈尔滨国环医疗固体废物无害化集中处置中心有限公司</w:t>
            </w:r>
            <w:r>
              <w:rPr>
                <w:rFonts w:hint="default" w:ascii="Times New Roman" w:hAnsi="Times New Roman" w:cs="Times New Roman"/>
                <w:color w:val="auto"/>
              </w:rPr>
              <w:t>进行处置。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19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猪毛</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屠宰加工车间产生的猪毛在专用容器内储存，外售至毛刷厂</w:t>
            </w:r>
            <w:r>
              <w:rPr>
                <w:rFonts w:hint="eastAsia" w:ascii="Times New Roman" w:hAnsi="Times New Roman" w:eastAsia="宋体" w:cs="Times New Roman"/>
                <w:color w:val="auto"/>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19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病变内脏、腺体</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送至巴彦县燊缘无害化处理有限公司处理</w:t>
            </w:r>
            <w:r>
              <w:rPr>
                <w:rFonts w:hint="eastAsia" w:ascii="Times New Roman" w:hAnsi="Times New Roman" w:eastAsia="宋体" w:cs="Times New Roman"/>
                <w:color w:val="auto"/>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19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废弃脂肪</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修整过程</w:t>
            </w:r>
            <w:r>
              <w:rPr>
                <w:rFonts w:hint="eastAsia" w:ascii="Times New Roman" w:hAnsi="Times New Roman" w:eastAsia="宋体" w:cs="Times New Roman"/>
                <w:color w:val="auto"/>
                <w:sz w:val="21"/>
                <w:szCs w:val="21"/>
                <w:lang w:val="en-US" w:eastAsia="zh-CN"/>
              </w:rPr>
              <w:t>中</w:t>
            </w:r>
            <w:r>
              <w:rPr>
                <w:rFonts w:hint="default" w:ascii="Times New Roman" w:hAnsi="Times New Roman" w:eastAsia="宋体" w:cs="Times New Roman"/>
                <w:color w:val="auto"/>
                <w:sz w:val="21"/>
                <w:szCs w:val="21"/>
                <w:lang w:val="en-US" w:eastAsia="zh-CN"/>
              </w:rPr>
              <w:t>产生的脂肪进行外售</w:t>
            </w:r>
            <w:r>
              <w:rPr>
                <w:rFonts w:hint="eastAsia" w:ascii="Times New Roman" w:hAnsi="Times New Roman" w:eastAsia="宋体" w:cs="Times New Roman"/>
                <w:color w:val="auto"/>
                <w:sz w:val="21"/>
                <w:szCs w:val="21"/>
                <w:lang w:val="en-US" w:eastAsia="zh-CN"/>
              </w:rPr>
              <w:t>处理。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19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肠胃内容物</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肠胃内容物</w:t>
            </w:r>
            <w:r>
              <w:rPr>
                <w:rFonts w:hint="default" w:ascii="Times New Roman" w:hAnsi="Times New Roman" w:eastAsia="宋体" w:cs="Times New Roman"/>
                <w:color w:val="auto"/>
                <w:spacing w:val="0"/>
                <w:sz w:val="21"/>
                <w:szCs w:val="21"/>
                <w:lang w:eastAsia="zh-CN"/>
              </w:rPr>
              <w:t>通过</w:t>
            </w:r>
            <w:r>
              <w:rPr>
                <w:rFonts w:hint="default" w:ascii="Times New Roman" w:hAnsi="Times New Roman" w:eastAsia="宋体" w:cs="Times New Roman"/>
                <w:color w:val="auto"/>
                <w:spacing w:val="0"/>
                <w:sz w:val="21"/>
                <w:szCs w:val="21"/>
              </w:rPr>
              <w:t>风送设备排至肠内物收集池</w:t>
            </w:r>
            <w:r>
              <w:rPr>
                <w:rFonts w:hint="default" w:ascii="Times New Roman" w:hAnsi="Times New Roman" w:eastAsia="宋体" w:cs="Times New Roman"/>
                <w:color w:val="auto"/>
                <w:spacing w:val="0"/>
                <w:sz w:val="21"/>
                <w:szCs w:val="21"/>
                <w:lang w:eastAsia="zh-CN"/>
              </w:rPr>
              <w:t>封闭贮存，</w:t>
            </w:r>
            <w:r>
              <w:rPr>
                <w:rFonts w:hint="default" w:ascii="Times New Roman" w:hAnsi="Times New Roman" w:eastAsia="宋体" w:cs="Times New Roman"/>
                <w:color w:val="auto"/>
                <w:sz w:val="21"/>
                <w:szCs w:val="21"/>
                <w:lang w:val="en-US" w:eastAsia="zh-CN"/>
              </w:rPr>
              <w:t>外运堆肥处理</w:t>
            </w:r>
            <w:r>
              <w:rPr>
                <w:rFonts w:hint="eastAsia" w:ascii="Times New Roman" w:hAnsi="Times New Roman" w:eastAsia="宋体" w:cs="Times New Roman"/>
                <w:color w:val="auto"/>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19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z w:val="21"/>
                <w:szCs w:val="21"/>
                <w:lang w:val="en-US" w:eastAsia="zh-CN"/>
              </w:rPr>
              <w:t>污水处理站污泥和栅渣</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污水处理站污泥和栅渣</w:t>
            </w:r>
            <w:r>
              <w:rPr>
                <w:rFonts w:hint="default" w:ascii="Times New Roman" w:hAnsi="Times New Roman" w:cs="Times New Roman"/>
                <w:color w:val="auto"/>
                <w:sz w:val="21"/>
                <w:szCs w:val="21"/>
                <w:highlight w:val="none"/>
              </w:rPr>
              <w:t>(HW01)经离心式脱水机脱水、</w:t>
            </w:r>
            <w:r>
              <w:rPr>
                <w:rFonts w:hint="eastAsia" w:ascii="Times New Roman" w:hAnsi="Times New Roman" w:eastAsia="宋体" w:cs="Times New Roman"/>
                <w:color w:val="auto"/>
                <w:sz w:val="21"/>
                <w:szCs w:val="21"/>
                <w:highlight w:val="none"/>
                <w:lang w:val="en-US" w:eastAsia="zh-CN"/>
              </w:rPr>
              <w:t>送至生活垃圾填埋场</w:t>
            </w:r>
            <w:r>
              <w:rPr>
                <w:rFonts w:hint="default" w:ascii="Times New Roman" w:hAnsi="Times New Roman" w:cs="Times New Roman"/>
                <w:color w:val="auto"/>
                <w:sz w:val="21"/>
                <w:szCs w:val="21"/>
                <w:highlight w:val="none"/>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19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z w:val="21"/>
                <w:szCs w:val="21"/>
                <w:lang w:val="en-US" w:eastAsia="zh-CN"/>
              </w:rPr>
              <w:t>废油脂和落地油</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隔油工段废油脂和落地油委托</w:t>
            </w:r>
            <w:r>
              <w:rPr>
                <w:rFonts w:hint="eastAsia" w:ascii="Times New Roman" w:hAnsi="Times New Roman" w:eastAsia="宋体" w:cs="Times New Roman"/>
                <w:color w:val="auto"/>
                <w:sz w:val="21"/>
                <w:szCs w:val="21"/>
                <w:highlight w:val="none"/>
                <w:lang w:val="en-US" w:eastAsia="zh-CN"/>
              </w:rPr>
              <w:t>巴彦县燊缘无害化处理有限公司</w:t>
            </w:r>
            <w:r>
              <w:rPr>
                <w:rFonts w:hint="default" w:ascii="Times New Roman" w:hAnsi="Times New Roman" w:eastAsia="宋体" w:cs="Times New Roman"/>
                <w:color w:val="auto"/>
                <w:sz w:val="21"/>
                <w:szCs w:val="21"/>
                <w:lang w:val="en-US" w:eastAsia="zh-CN"/>
              </w:rPr>
              <w:t>进行处置</w:t>
            </w:r>
            <w:r>
              <w:rPr>
                <w:rFonts w:hint="eastAsia" w:ascii="Times New Roman" w:hAnsi="Times New Roman" w:eastAsia="宋体" w:cs="Times New Roman"/>
                <w:color w:val="auto"/>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19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生活垃圾</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生活垃圾交由环卫部门处置</w:t>
            </w:r>
            <w:r>
              <w:rPr>
                <w:rFonts w:hint="eastAsia" w:ascii="Times New Roman" w:hAnsi="Times New Roman" w:eastAsia="宋体" w:cs="Times New Roman"/>
                <w:color w:val="auto"/>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19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废离子交换树脂</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锅炉房产生的废离子交换树脂由厂家回收</w:t>
            </w:r>
            <w:r>
              <w:rPr>
                <w:rFonts w:hint="eastAsia" w:ascii="Times New Roman" w:hAnsi="Times New Roman" w:eastAsia="宋体" w:cs="Times New Roman"/>
                <w:color w:val="auto"/>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19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c>
          <w:tcPr>
            <w:tcW w:w="6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非正常工况下病猪</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非正常工况下对发现的病猪进行急宰；送至</w:t>
            </w:r>
            <w:r>
              <w:rPr>
                <w:rFonts w:hint="eastAsia" w:ascii="Times New Roman" w:hAnsi="Times New Roman" w:eastAsia="宋体" w:cs="Times New Roman"/>
                <w:color w:val="auto"/>
                <w:sz w:val="21"/>
                <w:szCs w:val="21"/>
                <w:lang w:val="en-US" w:eastAsia="zh-CN"/>
              </w:rPr>
              <w:t>巴彦县燊缘无害化处理有限公司</w:t>
            </w:r>
            <w:r>
              <w:rPr>
                <w:rFonts w:hint="default" w:ascii="Times New Roman" w:hAnsi="Times New Roman" w:eastAsia="宋体" w:cs="Times New Roman"/>
                <w:color w:val="auto"/>
                <w:sz w:val="21"/>
                <w:szCs w:val="21"/>
                <w:lang w:val="en-US" w:eastAsia="zh-CN"/>
              </w:rPr>
              <w:t>处理。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47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spacing w:val="0"/>
                <w:kern w:val="0"/>
                <w:sz w:val="21"/>
                <w:szCs w:val="21"/>
                <w:lang w:val="en-US" w:eastAsia="zh-CN" w:bidi="ar-SA"/>
              </w:rPr>
            </w:pPr>
            <w:r>
              <w:rPr>
                <w:rFonts w:hint="default" w:ascii="Times New Roman" w:hAnsi="Times New Roman" w:eastAsia="宋体" w:cs="Times New Roman"/>
                <w:color w:val="auto"/>
                <w:spacing w:val="0"/>
                <w:sz w:val="21"/>
                <w:szCs w:val="21"/>
              </w:rPr>
              <w:t>地下水防渗措施</w:t>
            </w:r>
          </w:p>
        </w:tc>
        <w:tc>
          <w:tcPr>
            <w:tcW w:w="3698" w:type="pct"/>
            <w:vAlign w:val="center"/>
          </w:tcPr>
          <w:p>
            <w:pPr>
              <w:pStyle w:val="36"/>
              <w:jc w:val="left"/>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现已做防渗设施，主要包括：</w:t>
            </w:r>
          </w:p>
          <w:p>
            <w:pPr>
              <w:pStyle w:val="36"/>
              <w:jc w:val="left"/>
              <w:rPr>
                <w:rFonts w:hint="default" w:ascii="Times New Roman" w:hAnsi="Times New Roman" w:cs="Times New Roman"/>
                <w:color w:val="auto"/>
                <w:lang w:val="en-GB"/>
              </w:rPr>
            </w:pPr>
            <w:r>
              <w:rPr>
                <w:rFonts w:hint="default" w:ascii="Times New Roman" w:hAnsi="Times New Roman" w:eastAsia="宋体" w:cs="Times New Roman"/>
                <w:color w:val="auto"/>
                <w:spacing w:val="0"/>
                <w:sz w:val="21"/>
                <w:szCs w:val="21"/>
                <w:lang w:val="en-US" w:eastAsia="zh-CN"/>
              </w:rPr>
              <w:t>①</w:t>
            </w:r>
            <w:r>
              <w:rPr>
                <w:rFonts w:hint="default" w:ascii="Times New Roman" w:hAnsi="Times New Roman" w:eastAsia="宋体" w:cs="Times New Roman"/>
                <w:color w:val="auto"/>
                <w:spacing w:val="0"/>
                <w:sz w:val="21"/>
                <w:szCs w:val="21"/>
              </w:rPr>
              <w:t>一般防渗区：待宰</w:t>
            </w:r>
            <w:r>
              <w:rPr>
                <w:rFonts w:hint="default" w:ascii="Times New Roman" w:hAnsi="Times New Roman" w:eastAsia="宋体" w:cs="Times New Roman"/>
                <w:color w:val="auto"/>
                <w:spacing w:val="0"/>
                <w:sz w:val="21"/>
                <w:szCs w:val="21"/>
                <w:lang w:val="en-US" w:eastAsia="zh-CN"/>
              </w:rPr>
              <w:t>圈</w:t>
            </w:r>
            <w:r>
              <w:rPr>
                <w:rFonts w:hint="default" w:ascii="Times New Roman" w:hAnsi="Times New Roman" w:eastAsia="宋体" w:cs="Times New Roman"/>
                <w:color w:val="auto"/>
                <w:spacing w:val="0"/>
                <w:sz w:val="21"/>
                <w:szCs w:val="21"/>
              </w:rPr>
              <w:t>、</w:t>
            </w:r>
            <w:r>
              <w:rPr>
                <w:rFonts w:hint="default" w:ascii="Times New Roman" w:hAnsi="Times New Roman" w:eastAsia="宋体" w:cs="Times New Roman"/>
                <w:color w:val="auto"/>
                <w:spacing w:val="0"/>
                <w:sz w:val="21"/>
                <w:szCs w:val="21"/>
                <w:highlight w:val="none"/>
              </w:rPr>
              <w:t>屠宰</w:t>
            </w:r>
            <w:r>
              <w:rPr>
                <w:rFonts w:hint="default" w:ascii="Times New Roman" w:hAnsi="Times New Roman" w:eastAsia="宋体" w:cs="Times New Roman"/>
                <w:color w:val="auto"/>
                <w:spacing w:val="0"/>
                <w:sz w:val="21"/>
                <w:szCs w:val="21"/>
                <w:highlight w:val="none"/>
                <w:lang w:val="en-US" w:eastAsia="zh-CN"/>
              </w:rPr>
              <w:t>加工</w:t>
            </w:r>
            <w:r>
              <w:rPr>
                <w:rFonts w:hint="default" w:ascii="Times New Roman" w:hAnsi="Times New Roman" w:eastAsia="宋体" w:cs="Times New Roman"/>
                <w:color w:val="auto"/>
                <w:spacing w:val="0"/>
                <w:sz w:val="21"/>
                <w:szCs w:val="21"/>
                <w:highlight w:val="none"/>
              </w:rPr>
              <w:t>车间</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lang w:val="en-US" w:eastAsia="zh-CN"/>
              </w:rPr>
              <w:t>急宰间、冷库、污水处理站、一般固废暂存间做</w:t>
            </w:r>
            <w:r>
              <w:rPr>
                <w:rFonts w:hint="default" w:ascii="Times New Roman" w:hAnsi="Times New Roman" w:cs="Times New Roman"/>
                <w:color w:val="auto"/>
                <w:lang w:val="en-GB"/>
              </w:rPr>
              <w:t>基础防渗，防渗层为2mm厚高密度聚乙烯，满足等效黏土防渗层Mb≥1.5m，K≤1×10</w:t>
            </w:r>
            <w:r>
              <w:rPr>
                <w:rFonts w:hint="default" w:ascii="Times New Roman" w:hAnsi="Times New Roman" w:cs="Times New Roman"/>
                <w:color w:val="auto"/>
                <w:vertAlign w:val="superscript"/>
                <w:lang w:val="en-GB"/>
              </w:rPr>
              <w:t>-7</w:t>
            </w:r>
            <w:r>
              <w:rPr>
                <w:rFonts w:hint="default" w:ascii="Times New Roman" w:hAnsi="Times New Roman" w:cs="Times New Roman"/>
                <w:color w:val="auto"/>
                <w:lang w:val="en-GB"/>
              </w:rPr>
              <w:t>cm/s的要求；</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0"/>
                <w:sz w:val="21"/>
                <w:szCs w:val="21"/>
                <w:lang w:val="en-US" w:eastAsia="zh-CN"/>
              </w:rPr>
              <w:t>②</w:t>
            </w:r>
            <w:r>
              <w:rPr>
                <w:rFonts w:hint="default" w:ascii="Times New Roman" w:hAnsi="Times New Roman" w:eastAsia="宋体" w:cs="Times New Roman"/>
                <w:color w:val="auto"/>
                <w:spacing w:val="0"/>
                <w:sz w:val="21"/>
                <w:szCs w:val="21"/>
              </w:rPr>
              <w:t>简单防渗区：</w:t>
            </w:r>
            <w:r>
              <w:rPr>
                <w:rFonts w:hint="default" w:ascii="Times New Roman" w:hAnsi="Times New Roman" w:eastAsia="宋体" w:cs="Times New Roman"/>
                <w:color w:val="auto"/>
                <w:sz w:val="21"/>
                <w:szCs w:val="21"/>
                <w:lang w:val="en-US" w:eastAsia="zh-CN"/>
              </w:rPr>
              <w:t>办公楼、宿舍及</w:t>
            </w:r>
            <w:r>
              <w:rPr>
                <w:rFonts w:hint="default" w:ascii="Times New Roman" w:hAnsi="Times New Roman" w:eastAsia="宋体" w:cs="Times New Roman"/>
                <w:color w:val="auto"/>
                <w:spacing w:val="0"/>
                <w:sz w:val="21"/>
                <w:szCs w:val="21"/>
              </w:rPr>
              <w:t>厂区地面，水泥</w:t>
            </w:r>
            <w:r>
              <w:rPr>
                <w:rFonts w:hint="default" w:ascii="Times New Roman" w:hAnsi="Times New Roman" w:eastAsia="宋体" w:cs="Times New Roman"/>
                <w:color w:val="auto"/>
                <w:spacing w:val="0"/>
                <w:sz w:val="21"/>
                <w:szCs w:val="21"/>
                <w:lang w:eastAsia="zh-CN"/>
              </w:rPr>
              <w:t>地面</w:t>
            </w:r>
            <w:r>
              <w:rPr>
                <w:rFonts w:hint="default" w:ascii="Times New Roman" w:hAnsi="Times New Roman" w:eastAsia="宋体" w:cs="Times New Roman"/>
                <w:color w:val="auto"/>
                <w:spacing w:val="0"/>
                <w:sz w:val="21"/>
                <w:szCs w:val="21"/>
              </w:rPr>
              <w:t>硬化；</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47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依托</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color w:val="auto"/>
                <w:spacing w:val="0"/>
                <w:sz w:val="21"/>
                <w:szCs w:val="21"/>
              </w:rPr>
              <w:t>工程</w:t>
            </w:r>
          </w:p>
        </w:tc>
        <w:tc>
          <w:tcPr>
            <w:tcW w:w="824"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en-US"/>
              </w:rPr>
            </w:pPr>
            <w:r>
              <w:rPr>
                <w:rFonts w:hint="default" w:ascii="Times New Roman" w:hAnsi="Times New Roman" w:eastAsia="宋体" w:cs="Times New Roman"/>
                <w:color w:val="auto"/>
                <w:spacing w:val="0"/>
                <w:sz w:val="21"/>
                <w:szCs w:val="21"/>
                <w:lang w:val="en-US" w:eastAsia="zh-CN"/>
              </w:rPr>
              <w:t>兴隆镇</w:t>
            </w:r>
            <w:r>
              <w:rPr>
                <w:rFonts w:hint="default" w:ascii="Times New Roman" w:hAnsi="Times New Roman" w:eastAsia="宋体" w:cs="Times New Roman"/>
                <w:color w:val="auto"/>
                <w:spacing w:val="0"/>
                <w:sz w:val="21"/>
                <w:szCs w:val="21"/>
              </w:rPr>
              <w:t>污水处理厂</w:t>
            </w:r>
          </w:p>
        </w:tc>
        <w:tc>
          <w:tcPr>
            <w:tcW w:w="369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兴隆镇污水厂设计处理规模1万m</w:t>
            </w:r>
            <w:r>
              <w:rPr>
                <w:rFonts w:hint="default" w:ascii="Times New Roman" w:hAnsi="Times New Roman" w:eastAsia="宋体" w:cs="Times New Roman"/>
                <w:color w:val="auto"/>
                <w:spacing w:val="0"/>
                <w:sz w:val="21"/>
                <w:szCs w:val="21"/>
                <w:vertAlign w:val="superscript"/>
                <w:lang w:val="en-US" w:eastAsia="zh-CN"/>
              </w:rPr>
              <w:t>3</w:t>
            </w:r>
            <w:r>
              <w:rPr>
                <w:rFonts w:hint="default" w:ascii="Times New Roman" w:hAnsi="Times New Roman" w:eastAsia="宋体" w:cs="Times New Roman"/>
                <w:color w:val="auto"/>
                <w:spacing w:val="0"/>
                <w:sz w:val="21"/>
                <w:szCs w:val="21"/>
                <w:lang w:val="en-US" w:eastAsia="zh-CN"/>
              </w:rPr>
              <w:t>/d，污水处理工艺采用预处理+倒置 A</w:t>
            </w:r>
            <w:r>
              <w:rPr>
                <w:rFonts w:hint="default" w:ascii="Times New Roman" w:hAnsi="Times New Roman" w:eastAsia="宋体" w:cs="Times New Roman"/>
                <w:color w:val="auto"/>
                <w:spacing w:val="0"/>
                <w:sz w:val="21"/>
                <w:szCs w:val="21"/>
                <w:vertAlign w:val="superscript"/>
                <w:lang w:val="en-US" w:eastAsia="zh-CN"/>
              </w:rPr>
              <w:t>2</w:t>
            </w:r>
            <w:r>
              <w:rPr>
                <w:rFonts w:hint="default" w:ascii="Times New Roman" w:hAnsi="Times New Roman" w:eastAsia="宋体" w:cs="Times New Roman"/>
                <w:color w:val="auto"/>
                <w:spacing w:val="0"/>
                <w:sz w:val="21"/>
                <w:szCs w:val="21"/>
                <w:lang w:val="en-US" w:eastAsia="zh-CN"/>
              </w:rPr>
              <w:t xml:space="preserve"> /O+二沉池+混凝沉淀+过滤+ 紫外线消毒工艺，污水排放标准执行《城镇污水处理厂污染物排放标准》（GB18918-2002）中一级 A 排放标准后经龙须沟汇入泥河。现有工程排入兴隆镇污水处理厂水量为</w:t>
            </w:r>
            <w:r>
              <w:rPr>
                <w:rFonts w:hint="default" w:ascii="Times New Roman" w:hAnsi="Times New Roman" w:eastAsia="宋体" w:cs="Times New Roman"/>
                <w:color w:val="auto"/>
                <w:spacing w:val="0"/>
                <w:sz w:val="21"/>
                <w:szCs w:val="21"/>
                <w:highlight w:val="none"/>
                <w:lang w:val="en-US" w:eastAsia="zh-CN"/>
              </w:rPr>
              <w:t>12.3</w:t>
            </w:r>
            <w:r>
              <w:rPr>
                <w:rFonts w:hint="default" w:ascii="Times New Roman" w:hAnsi="Times New Roman" w:eastAsia="宋体" w:cs="Times New Roman"/>
                <w:color w:val="auto"/>
                <w:spacing w:val="0"/>
                <w:sz w:val="21"/>
                <w:szCs w:val="21"/>
                <w:lang w:val="en-US" w:eastAsia="zh-CN"/>
              </w:rPr>
              <w:t>m</w:t>
            </w:r>
            <w:r>
              <w:rPr>
                <w:rFonts w:hint="default" w:ascii="Times New Roman" w:hAnsi="Times New Roman" w:eastAsia="宋体" w:cs="Times New Roman"/>
                <w:color w:val="auto"/>
                <w:spacing w:val="0"/>
                <w:sz w:val="21"/>
                <w:szCs w:val="21"/>
                <w:vertAlign w:val="superscript"/>
                <w:lang w:val="en-US" w:eastAsia="zh-CN"/>
              </w:rPr>
              <w:t>3</w:t>
            </w:r>
            <w:r>
              <w:rPr>
                <w:rFonts w:hint="default" w:ascii="Times New Roman" w:hAnsi="Times New Roman" w:eastAsia="宋体" w:cs="Times New Roman"/>
                <w:color w:val="auto"/>
                <w:spacing w:val="0"/>
                <w:sz w:val="21"/>
                <w:szCs w:val="21"/>
                <w:lang w:val="en-US" w:eastAsia="zh-CN"/>
              </w:rPr>
              <w:t>/d，污水厂现有余量5000m</w:t>
            </w:r>
            <w:r>
              <w:rPr>
                <w:rFonts w:hint="default" w:ascii="Times New Roman" w:hAnsi="Times New Roman" w:eastAsia="宋体" w:cs="Times New Roman"/>
                <w:color w:val="auto"/>
                <w:spacing w:val="0"/>
                <w:sz w:val="21"/>
                <w:szCs w:val="21"/>
                <w:vertAlign w:val="superscript"/>
                <w:lang w:val="en-US" w:eastAsia="zh-CN"/>
              </w:rPr>
              <w:t>3</w:t>
            </w:r>
            <w:r>
              <w:rPr>
                <w:rFonts w:hint="default" w:ascii="Times New Roman" w:hAnsi="Times New Roman" w:eastAsia="宋体" w:cs="Times New Roman"/>
                <w:color w:val="auto"/>
                <w:spacing w:val="0"/>
                <w:sz w:val="21"/>
                <w:szCs w:val="21"/>
                <w:lang w:val="en-US" w:eastAsia="zh-CN"/>
              </w:rPr>
              <w:t>/d，有能力接纳本项目废水，能够满足本项目废水排放要求。</w:t>
            </w:r>
          </w:p>
        </w:tc>
      </w:tr>
    </w:tbl>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3.1.3  现有工程产品方案及设备</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6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w:t>
      </w:r>
      <w:r>
        <w:rPr>
          <w:rFonts w:hint="default" w:ascii="Times New Roman" w:hAnsi="Times New Roman" w:eastAsia="Times New Roman" w:cs="Times New Roman"/>
          <w:spacing w:val="-3"/>
          <w:sz w:val="24"/>
          <w:szCs w:val="24"/>
        </w:rPr>
        <w:t>1</w:t>
      </w:r>
      <w:r>
        <w:rPr>
          <w:rFonts w:hint="default" w:ascii="Times New Roman" w:hAnsi="Times New Roman" w:eastAsia="宋体" w:cs="Times New Roman"/>
          <w:spacing w:val="-3"/>
          <w:sz w:val="24"/>
          <w:szCs w:val="24"/>
        </w:rPr>
        <w:t>）产品方案</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jc w:val="both"/>
        <w:textAlignment w:val="baseline"/>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现有工程产品方案如下表</w:t>
      </w:r>
      <w:r>
        <w:rPr>
          <w:rFonts w:hint="default" w:ascii="Times New Roman" w:hAnsi="Times New Roman" w:eastAsia="宋体" w:cs="Times New Roman"/>
          <w:spacing w:val="-40"/>
          <w:sz w:val="24"/>
          <w:szCs w:val="24"/>
        </w:rPr>
        <w:t xml:space="preserve"> </w:t>
      </w:r>
      <w:r>
        <w:rPr>
          <w:rFonts w:hint="default" w:ascii="Times New Roman" w:hAnsi="Times New Roman" w:eastAsia="宋体" w:cs="Times New Roman"/>
          <w:spacing w:val="-2"/>
          <w:sz w:val="24"/>
          <w:szCs w:val="24"/>
          <w:lang w:val="en-US" w:eastAsia="zh-CN"/>
        </w:rPr>
        <w:t>3-</w:t>
      </w:r>
      <w:r>
        <w:rPr>
          <w:rFonts w:hint="default" w:ascii="Times New Roman" w:hAnsi="Times New Roman" w:eastAsia="Times New Roman" w:cs="Times New Roman"/>
          <w:spacing w:val="-2"/>
          <w:sz w:val="24"/>
          <w:szCs w:val="24"/>
        </w:rPr>
        <w:t>1-3</w:t>
      </w:r>
      <w:r>
        <w:rPr>
          <w:rFonts w:hint="default" w:ascii="Times New Roman" w:hAnsi="Times New Roman" w:eastAsia="宋体" w:cs="Times New Roman"/>
          <w:spacing w:val="-2"/>
          <w:sz w:val="24"/>
          <w:szCs w:val="24"/>
        </w:rPr>
        <w:t>。</w:t>
      </w:r>
    </w:p>
    <w:p>
      <w:pPr>
        <w:spacing w:before="120" w:line="228" w:lineRule="auto"/>
        <w:jc w:val="center"/>
        <w:rPr>
          <w:rFonts w:hint="eastAsia" w:ascii="Times New Roman" w:hAnsi="Times New Roman" w:eastAsia="宋体" w:cs="Times New Roman"/>
          <w:spacing w:val="5"/>
          <w:sz w:val="20"/>
          <w:szCs w:val="20"/>
          <w:highlight w:val="none"/>
          <w:lang w:eastAsia="zh-CN"/>
          <w14:textOutline w14:w="3795" w14:cap="sq" w14:cmpd="sng">
            <w14:solidFill>
              <w14:srgbClr w14:val="000000"/>
            </w14:solidFill>
            <w14:prstDash w14:val="solid"/>
            <w14:bevel/>
          </w14:textOutline>
        </w:rPr>
      </w:pPr>
      <w: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t xml:space="preserve">表 </w:t>
      </w:r>
      <w:r>
        <w:rPr>
          <w:rFonts w:hint="default" w:ascii="Times New Roman" w:hAnsi="Times New Roman" w:eastAsia="宋体" w:cs="Times New Roman"/>
          <w:spacing w:val="5"/>
          <w:sz w:val="20"/>
          <w:szCs w:val="20"/>
          <w:highlight w:val="none"/>
          <w:lang w:val="en-US" w:eastAsia="zh-CN"/>
          <w14:textOutline w14:w="3795" w14:cap="sq" w14:cmpd="sng">
            <w14:solidFill>
              <w14:srgbClr w14:val="000000"/>
            </w14:solidFill>
            <w14:prstDash w14:val="solid"/>
            <w14:bevel/>
          </w14:textOutline>
        </w:rPr>
        <w:t>3-</w:t>
      </w:r>
      <w: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t>1-3    现有工程产品方案一览表</w:t>
      </w:r>
    </w:p>
    <w:p>
      <w:pPr>
        <w:spacing w:line="14" w:lineRule="exact"/>
        <w:rPr>
          <w:rFonts w:hint="default" w:ascii="Times New Roman" w:hAnsi="Times New Roman" w:cs="Times New Roman"/>
        </w:rPr>
      </w:pPr>
    </w:p>
    <w:tbl>
      <w:tblPr>
        <w:tblStyle w:val="34"/>
        <w:tblW w:w="928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14"/>
        <w:gridCol w:w="3677"/>
        <w:gridCol w:w="309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81" w:hRule="atLeast"/>
        </w:trPr>
        <w:tc>
          <w:tcPr>
            <w:tcW w:w="2514" w:type="dxa"/>
            <w:vAlign w:val="top"/>
          </w:tcPr>
          <w:p>
            <w:pPr>
              <w:spacing w:before="35" w:line="217" w:lineRule="auto"/>
              <w:ind w:left="1051"/>
              <w:rPr>
                <w:rFonts w:hint="default" w:ascii="Times New Roman" w:hAnsi="Times New Roman" w:eastAsia="宋体" w:cs="Times New Roman"/>
                <w:sz w:val="20"/>
                <w:szCs w:val="20"/>
              </w:rPr>
            </w:pPr>
            <w:r>
              <w:rPr>
                <w:rFonts w:hint="default" w:ascii="Times New Roman" w:hAnsi="Times New Roman" w:eastAsia="宋体" w:cs="Times New Roman"/>
                <w:spacing w:val="5"/>
                <w:sz w:val="20"/>
                <w:szCs w:val="20"/>
              </w:rPr>
              <w:t>序号</w:t>
            </w:r>
          </w:p>
        </w:tc>
        <w:tc>
          <w:tcPr>
            <w:tcW w:w="3677" w:type="dxa"/>
            <w:vAlign w:val="top"/>
          </w:tcPr>
          <w:p>
            <w:pPr>
              <w:spacing w:before="35" w:line="217" w:lineRule="auto"/>
              <w:ind w:left="1440"/>
              <w:rPr>
                <w:rFonts w:hint="default" w:ascii="Times New Roman" w:hAnsi="Times New Roman" w:eastAsia="宋体" w:cs="Times New Roman"/>
                <w:spacing w:val="3"/>
                <w:sz w:val="20"/>
                <w:szCs w:val="20"/>
              </w:rPr>
            </w:pPr>
            <w:r>
              <w:rPr>
                <w:rFonts w:hint="default" w:ascii="Times New Roman" w:hAnsi="Times New Roman" w:eastAsia="宋体" w:cs="Times New Roman"/>
                <w:spacing w:val="3"/>
                <w:sz w:val="20"/>
                <w:szCs w:val="20"/>
              </w:rPr>
              <w:t>品种名称</w:t>
            </w:r>
          </w:p>
        </w:tc>
        <w:tc>
          <w:tcPr>
            <w:tcW w:w="3094" w:type="dxa"/>
            <w:vAlign w:val="top"/>
          </w:tcPr>
          <w:p>
            <w:pPr>
              <w:spacing w:before="35" w:line="217" w:lineRule="auto"/>
              <w:ind w:left="1440"/>
              <w:rPr>
                <w:rFonts w:hint="default" w:ascii="Times New Roman" w:hAnsi="Times New Roman" w:eastAsia="宋体" w:cs="Times New Roman"/>
                <w:spacing w:val="3"/>
                <w:sz w:val="20"/>
                <w:szCs w:val="20"/>
              </w:rPr>
            </w:pPr>
            <w:r>
              <w:rPr>
                <w:rFonts w:hint="default" w:ascii="Times New Roman" w:hAnsi="Times New Roman" w:eastAsia="宋体" w:cs="Times New Roman"/>
                <w:spacing w:val="3"/>
                <w:sz w:val="20"/>
                <w:szCs w:val="20"/>
              </w:rPr>
              <w:t>数量</w:t>
            </w:r>
            <w:r>
              <w:rPr>
                <w:rFonts w:hint="eastAsia" w:ascii="Times New Roman" w:hAnsi="Times New Roman" w:eastAsia="宋体" w:cs="Times New Roman"/>
                <w:spacing w:val="3"/>
                <w:sz w:val="20"/>
                <w:szCs w:val="20"/>
                <w:lang w:eastAsia="zh-CN"/>
              </w:rPr>
              <w:t>（</w:t>
            </w:r>
            <w:r>
              <w:rPr>
                <w:rFonts w:hint="default" w:ascii="Times New Roman" w:hAnsi="Times New Roman" w:eastAsia="宋体" w:cs="Times New Roman"/>
                <w:spacing w:val="3"/>
                <w:sz w:val="20"/>
                <w:szCs w:val="20"/>
              </w:rPr>
              <w:t>t/a</w:t>
            </w:r>
            <w:r>
              <w:rPr>
                <w:rFonts w:hint="eastAsia" w:ascii="Times New Roman" w:hAnsi="Times New Roman" w:eastAsia="宋体" w:cs="Times New Roman"/>
                <w:spacing w:val="3"/>
                <w:sz w:val="20"/>
                <w:szCs w:val="20"/>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514" w:type="dxa"/>
            <w:vAlign w:val="top"/>
          </w:tcPr>
          <w:p>
            <w:pPr>
              <w:spacing w:before="52" w:line="195" w:lineRule="auto"/>
              <w:ind w:left="1227"/>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1</w:t>
            </w:r>
          </w:p>
        </w:tc>
        <w:tc>
          <w:tcPr>
            <w:tcW w:w="3677" w:type="dxa"/>
            <w:vAlign w:val="top"/>
          </w:tcPr>
          <w:p>
            <w:pPr>
              <w:spacing w:before="63" w:line="228" w:lineRule="auto"/>
              <w:jc w:val="center"/>
              <w:rPr>
                <w:rFonts w:hint="default" w:ascii="Times New Roman" w:hAnsi="Times New Roman" w:eastAsia="宋体" w:cs="Times New Roman"/>
                <w:sz w:val="20"/>
                <w:szCs w:val="20"/>
              </w:rPr>
            </w:pPr>
            <w:r>
              <w:rPr>
                <w:rFonts w:hint="default" w:ascii="Times New Roman" w:hAnsi="Times New Roman" w:eastAsia="宋体" w:cs="Times New Roman"/>
                <w:spacing w:val="-4"/>
                <w:sz w:val="21"/>
                <w:szCs w:val="21"/>
                <w:highlight w:val="none"/>
              </w:rPr>
              <w:t>白条肉</w:t>
            </w:r>
          </w:p>
        </w:tc>
        <w:tc>
          <w:tcPr>
            <w:tcW w:w="3094" w:type="dxa"/>
            <w:vAlign w:val="top"/>
          </w:tcPr>
          <w:p>
            <w:pPr>
              <w:spacing w:before="102" w:line="195" w:lineRule="auto"/>
              <w:jc w:val="center"/>
              <w:rPr>
                <w:rFonts w:hint="default" w:ascii="Times New Roman" w:hAnsi="Times New Roman" w:eastAsia="Times New Roman" w:cs="Times New Roman"/>
                <w:sz w:val="20"/>
                <w:szCs w:val="20"/>
              </w:rPr>
            </w:pPr>
            <w:r>
              <w:rPr>
                <w:rFonts w:hint="default" w:ascii="Times New Roman" w:hAnsi="Times New Roman" w:eastAsia="宋体" w:cs="Times New Roman"/>
                <w:spacing w:val="3"/>
                <w:sz w:val="21"/>
                <w:szCs w:val="21"/>
                <w:highlight w:val="none"/>
                <w:lang w:val="en-US" w:eastAsia="zh-CN"/>
              </w:rPr>
              <w:t>723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514" w:type="dxa"/>
            <w:vAlign w:val="top"/>
          </w:tcPr>
          <w:p>
            <w:pPr>
              <w:spacing w:before="53" w:line="195" w:lineRule="auto"/>
              <w:ind w:left="1207"/>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2</w:t>
            </w:r>
          </w:p>
        </w:tc>
        <w:tc>
          <w:tcPr>
            <w:tcW w:w="3677" w:type="dxa"/>
            <w:vAlign w:val="top"/>
          </w:tcPr>
          <w:p>
            <w:pPr>
              <w:spacing w:before="66" w:line="228" w:lineRule="auto"/>
              <w:jc w:val="center"/>
              <w:rPr>
                <w:rFonts w:hint="default" w:ascii="Times New Roman" w:hAnsi="Times New Roman" w:eastAsia="宋体" w:cs="Times New Roman"/>
                <w:sz w:val="20"/>
                <w:szCs w:val="20"/>
              </w:rPr>
            </w:pPr>
            <w:r>
              <w:rPr>
                <w:rFonts w:hint="default" w:ascii="Times New Roman" w:hAnsi="Times New Roman" w:eastAsia="宋体" w:cs="Times New Roman"/>
                <w:spacing w:val="4"/>
                <w:sz w:val="21"/>
                <w:szCs w:val="21"/>
                <w:highlight w:val="none"/>
                <w:lang w:val="en-US" w:eastAsia="zh-CN"/>
              </w:rPr>
              <w:t>可食用内脏</w:t>
            </w:r>
          </w:p>
        </w:tc>
        <w:tc>
          <w:tcPr>
            <w:tcW w:w="3094" w:type="dxa"/>
            <w:vAlign w:val="top"/>
          </w:tcPr>
          <w:p>
            <w:pPr>
              <w:spacing w:before="103" w:line="195" w:lineRule="auto"/>
              <w:jc w:val="center"/>
              <w:rPr>
                <w:rFonts w:hint="default" w:ascii="Times New Roman" w:hAnsi="Times New Roman" w:eastAsia="Times New Roman" w:cs="Times New Roman"/>
                <w:sz w:val="20"/>
                <w:szCs w:val="20"/>
              </w:rPr>
            </w:pPr>
            <w:r>
              <w:rPr>
                <w:rFonts w:hint="default" w:ascii="Times New Roman" w:hAnsi="Times New Roman" w:eastAsia="宋体" w:cs="Times New Roman"/>
                <w:spacing w:val="2"/>
                <w:sz w:val="21"/>
                <w:szCs w:val="21"/>
                <w:highlight w:val="none"/>
                <w:lang w:val="en-US" w:eastAsia="zh-CN"/>
              </w:rPr>
              <w:t>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514" w:type="dxa"/>
            <w:vAlign w:val="top"/>
          </w:tcPr>
          <w:p>
            <w:pPr>
              <w:spacing w:before="55" w:line="195" w:lineRule="auto"/>
              <w:ind w:left="1211"/>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3</w:t>
            </w:r>
          </w:p>
        </w:tc>
        <w:tc>
          <w:tcPr>
            <w:tcW w:w="3677" w:type="dxa"/>
            <w:vAlign w:val="top"/>
          </w:tcPr>
          <w:p>
            <w:pPr>
              <w:spacing w:before="57" w:line="228" w:lineRule="auto"/>
              <w:jc w:val="center"/>
              <w:rPr>
                <w:rFonts w:hint="default" w:ascii="Times New Roman" w:hAnsi="Times New Roman" w:eastAsia="宋体" w:cs="Times New Roman"/>
                <w:sz w:val="20"/>
                <w:szCs w:val="20"/>
              </w:rPr>
            </w:pPr>
            <w:r>
              <w:rPr>
                <w:rFonts w:hint="default" w:ascii="Times New Roman" w:hAnsi="Times New Roman" w:eastAsia="宋体" w:cs="Times New Roman"/>
                <w:spacing w:val="4"/>
                <w:sz w:val="21"/>
                <w:szCs w:val="21"/>
                <w:highlight w:val="none"/>
              </w:rPr>
              <w:t>猪血</w:t>
            </w:r>
          </w:p>
        </w:tc>
        <w:tc>
          <w:tcPr>
            <w:tcW w:w="3094" w:type="dxa"/>
            <w:vAlign w:val="top"/>
          </w:tcPr>
          <w:p>
            <w:pPr>
              <w:spacing w:before="93" w:line="195" w:lineRule="auto"/>
              <w:jc w:val="center"/>
              <w:rPr>
                <w:rFonts w:hint="default" w:ascii="Times New Roman" w:hAnsi="Times New Roman" w:eastAsia="Times New Roman" w:cs="Times New Roman"/>
                <w:sz w:val="20"/>
                <w:szCs w:val="20"/>
              </w:rPr>
            </w:pPr>
            <w:r>
              <w:rPr>
                <w:rFonts w:hint="default" w:ascii="Times New Roman" w:hAnsi="Times New Roman" w:eastAsia="宋体" w:cs="Times New Roman"/>
                <w:spacing w:val="3"/>
                <w:sz w:val="21"/>
                <w:szCs w:val="21"/>
                <w:highlight w:val="none"/>
                <w:lang w:val="en-US" w:eastAsia="zh-CN"/>
              </w:rPr>
              <w:t>15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514" w:type="dxa"/>
            <w:vAlign w:val="top"/>
          </w:tcPr>
          <w:p>
            <w:pPr>
              <w:spacing w:before="54" w:line="195" w:lineRule="auto"/>
              <w:ind w:left="1206"/>
              <w:rPr>
                <w:rFonts w:hint="default" w:ascii="Times New Roman" w:hAnsi="Times New Roman" w:eastAsia="Times New Roman" w:cs="Times New Roman"/>
                <w:sz w:val="20"/>
                <w:szCs w:val="20"/>
              </w:rPr>
            </w:pPr>
            <w:r>
              <w:rPr>
                <w:rFonts w:hint="default" w:ascii="Times New Roman" w:hAnsi="Times New Roman" w:eastAsia="Times New Roman" w:cs="Times New Roman"/>
                <w:spacing w:val="1"/>
                <w:sz w:val="20"/>
                <w:szCs w:val="20"/>
              </w:rPr>
              <w:t>4</w:t>
            </w:r>
          </w:p>
        </w:tc>
        <w:tc>
          <w:tcPr>
            <w:tcW w:w="3677" w:type="dxa"/>
            <w:vAlign w:val="top"/>
          </w:tcPr>
          <w:p>
            <w:pPr>
              <w:spacing w:before="67" w:line="228" w:lineRule="auto"/>
              <w:jc w:val="center"/>
              <w:rPr>
                <w:rFonts w:hint="default" w:ascii="Times New Roman" w:hAnsi="Times New Roman" w:eastAsia="宋体" w:cs="Times New Roman"/>
                <w:sz w:val="20"/>
                <w:szCs w:val="20"/>
              </w:rPr>
            </w:pPr>
            <w:r>
              <w:rPr>
                <w:rFonts w:hint="default" w:ascii="Times New Roman" w:hAnsi="Times New Roman" w:eastAsia="宋体" w:cs="Times New Roman"/>
                <w:spacing w:val="7"/>
                <w:sz w:val="21"/>
                <w:szCs w:val="21"/>
                <w:lang w:val="en-US" w:eastAsia="zh-CN"/>
              </w:rPr>
              <w:t>头、蹄、尾</w:t>
            </w:r>
          </w:p>
        </w:tc>
        <w:tc>
          <w:tcPr>
            <w:tcW w:w="3094" w:type="dxa"/>
            <w:vAlign w:val="top"/>
          </w:tcPr>
          <w:p>
            <w:pPr>
              <w:spacing w:before="105" w:line="195" w:lineRule="auto"/>
              <w:jc w:val="center"/>
              <w:rPr>
                <w:rFonts w:hint="default" w:ascii="Times New Roman" w:hAnsi="Times New Roman" w:eastAsia="Times New Roman" w:cs="Times New Roman"/>
                <w:sz w:val="20"/>
                <w:szCs w:val="20"/>
              </w:rPr>
            </w:pPr>
            <w:r>
              <w:rPr>
                <w:rFonts w:hint="default" w:ascii="Times New Roman" w:hAnsi="Times New Roman" w:eastAsia="宋体" w:cs="Times New Roman"/>
                <w:spacing w:val="1"/>
                <w:sz w:val="21"/>
                <w:szCs w:val="21"/>
                <w:lang w:val="en-US" w:eastAsia="zh-CN"/>
              </w:rPr>
              <w:t>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514" w:type="dxa"/>
            <w:vAlign w:val="top"/>
          </w:tcPr>
          <w:p>
            <w:pPr>
              <w:spacing w:before="58" w:line="192" w:lineRule="auto"/>
              <w:ind w:left="1213"/>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5</w:t>
            </w:r>
          </w:p>
        </w:tc>
        <w:tc>
          <w:tcPr>
            <w:tcW w:w="3677" w:type="dxa"/>
            <w:vAlign w:val="top"/>
          </w:tcPr>
          <w:p>
            <w:pPr>
              <w:spacing w:before="68" w:line="228" w:lineRule="auto"/>
              <w:jc w:val="center"/>
              <w:rPr>
                <w:rFonts w:hint="default" w:ascii="Times New Roman" w:hAnsi="Times New Roman" w:eastAsia="宋体" w:cs="Times New Roman"/>
                <w:sz w:val="20"/>
                <w:szCs w:val="20"/>
              </w:rPr>
            </w:pPr>
            <w:r>
              <w:rPr>
                <w:rFonts w:hint="default" w:ascii="Times New Roman" w:hAnsi="Times New Roman" w:eastAsia="宋体" w:cs="Times New Roman"/>
                <w:sz w:val="21"/>
                <w:szCs w:val="21"/>
                <w:lang w:val="en-US" w:eastAsia="zh-CN"/>
              </w:rPr>
              <w:t>板油</w:t>
            </w:r>
          </w:p>
        </w:tc>
        <w:tc>
          <w:tcPr>
            <w:tcW w:w="3094" w:type="dxa"/>
            <w:vAlign w:val="top"/>
          </w:tcPr>
          <w:p>
            <w:pPr>
              <w:spacing w:before="104" w:line="195" w:lineRule="auto"/>
              <w:jc w:val="center"/>
              <w:rPr>
                <w:rFonts w:hint="default" w:ascii="Times New Roman" w:hAnsi="Times New Roman" w:eastAsia="Times New Roman" w:cs="Times New Roman"/>
                <w:sz w:val="20"/>
                <w:szCs w:val="20"/>
              </w:rPr>
            </w:pPr>
            <w:r>
              <w:rPr>
                <w:rFonts w:hint="default" w:ascii="Times New Roman" w:hAnsi="Times New Roman" w:eastAsia="宋体" w:cs="Times New Roman"/>
                <w:spacing w:val="4"/>
                <w:sz w:val="21"/>
                <w:szCs w:val="21"/>
                <w:lang w:val="en-US" w:eastAsia="zh-CN"/>
              </w:rPr>
              <w:t>20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6191" w:type="dxa"/>
            <w:gridSpan w:val="2"/>
            <w:vAlign w:val="top"/>
          </w:tcPr>
          <w:p>
            <w:pPr>
              <w:spacing w:before="36" w:line="216" w:lineRule="auto"/>
              <w:ind w:left="2894"/>
              <w:rPr>
                <w:rFonts w:hint="default" w:ascii="Times New Roman" w:hAnsi="Times New Roman" w:eastAsia="宋体" w:cs="Times New Roman"/>
                <w:sz w:val="20"/>
                <w:szCs w:val="20"/>
              </w:rPr>
            </w:pPr>
            <w:r>
              <w:rPr>
                <w:rFonts w:hint="default" w:ascii="Times New Roman" w:hAnsi="Times New Roman" w:eastAsia="宋体" w:cs="Times New Roman"/>
                <w:spacing w:val="4"/>
                <w:sz w:val="20"/>
                <w:szCs w:val="20"/>
              </w:rPr>
              <w:t>合计</w:t>
            </w:r>
          </w:p>
        </w:tc>
        <w:tc>
          <w:tcPr>
            <w:tcW w:w="3094" w:type="dxa"/>
            <w:vAlign w:val="top"/>
          </w:tcPr>
          <w:p>
            <w:pPr>
              <w:spacing w:before="72" w:line="195" w:lineRule="auto"/>
              <w:jc w:val="center"/>
              <w:rPr>
                <w:rFonts w:hint="default" w:ascii="Times New Roman" w:hAnsi="Times New Roman" w:eastAsia="宋体" w:cs="Times New Roman"/>
                <w:sz w:val="20"/>
                <w:szCs w:val="20"/>
                <w:lang w:val="en-US" w:eastAsia="zh-CN"/>
              </w:rPr>
            </w:pPr>
            <w:r>
              <w:rPr>
                <w:rFonts w:hint="default" w:ascii="Times New Roman" w:hAnsi="Times New Roman" w:eastAsia="宋体" w:cs="Times New Roman"/>
                <w:spacing w:val="3"/>
                <w:sz w:val="20"/>
                <w:szCs w:val="20"/>
                <w:lang w:val="en-US" w:eastAsia="zh-CN"/>
              </w:rPr>
              <w:t>868</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6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5"/>
          <w:sz w:val="24"/>
          <w:szCs w:val="24"/>
        </w:rPr>
        <w:t>（</w:t>
      </w:r>
      <w:r>
        <w:rPr>
          <w:rFonts w:hint="default" w:ascii="Times New Roman" w:hAnsi="Times New Roman" w:eastAsia="Times New Roman" w:cs="Times New Roman"/>
          <w:spacing w:val="-5"/>
          <w:sz w:val="24"/>
          <w:szCs w:val="24"/>
        </w:rPr>
        <w:t>2</w:t>
      </w:r>
      <w:r>
        <w:rPr>
          <w:rFonts w:hint="default" w:ascii="Times New Roman" w:hAnsi="Times New Roman" w:eastAsia="宋体" w:cs="Times New Roman"/>
          <w:spacing w:val="-5"/>
          <w:sz w:val="24"/>
          <w:szCs w:val="24"/>
        </w:rPr>
        <w:t>）</w:t>
      </w:r>
      <w:r>
        <w:rPr>
          <w:rFonts w:hint="default" w:ascii="Times New Roman" w:hAnsi="Times New Roman" w:eastAsia="宋体" w:cs="Times New Roman"/>
          <w:spacing w:val="-5"/>
          <w:sz w:val="24"/>
          <w:szCs w:val="24"/>
          <w:lang w:val="en-US" w:eastAsia="zh-CN"/>
        </w:rPr>
        <w:t>现有</w:t>
      </w:r>
      <w:r>
        <w:rPr>
          <w:rFonts w:hint="default" w:ascii="Times New Roman" w:hAnsi="Times New Roman" w:eastAsia="宋体" w:cs="Times New Roman"/>
          <w:spacing w:val="-5"/>
          <w:sz w:val="24"/>
          <w:szCs w:val="24"/>
        </w:rPr>
        <w:t>设备</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jc w:val="both"/>
        <w:textAlignment w:val="baseline"/>
        <w:rPr>
          <w:rFonts w:hint="default" w:ascii="Times New Roman" w:hAnsi="Times New Roman" w:eastAsia="宋体" w:cs="Times New Roman"/>
          <w:lang w:val="en-US" w:eastAsia="zh-CN"/>
        </w:rPr>
      </w:pPr>
      <w:r>
        <w:rPr>
          <w:rFonts w:hint="default" w:ascii="Times New Roman" w:hAnsi="Times New Roman" w:eastAsia="宋体" w:cs="Times New Roman"/>
          <w:spacing w:val="-2"/>
          <w:sz w:val="24"/>
          <w:szCs w:val="24"/>
        </w:rPr>
        <w:t>现有生产设备如下表</w:t>
      </w:r>
      <w:r>
        <w:rPr>
          <w:rFonts w:hint="default" w:ascii="Times New Roman" w:hAnsi="Times New Roman" w:eastAsia="宋体" w:cs="Times New Roman"/>
          <w:spacing w:val="-44"/>
          <w:sz w:val="24"/>
          <w:szCs w:val="24"/>
        </w:rPr>
        <w:t xml:space="preserve"> </w:t>
      </w:r>
      <w:r>
        <w:rPr>
          <w:rFonts w:hint="default" w:ascii="Times New Roman" w:hAnsi="Times New Roman" w:eastAsia="宋体" w:cs="Times New Roman"/>
          <w:spacing w:val="-2"/>
          <w:sz w:val="24"/>
          <w:szCs w:val="24"/>
          <w:lang w:val="en-US" w:eastAsia="zh-CN"/>
        </w:rPr>
        <w:t>3-</w:t>
      </w:r>
      <w:r>
        <w:rPr>
          <w:rFonts w:hint="default" w:ascii="Times New Roman" w:hAnsi="Times New Roman" w:eastAsia="Times New Roman" w:cs="Times New Roman"/>
          <w:spacing w:val="-2"/>
          <w:sz w:val="24"/>
          <w:szCs w:val="24"/>
        </w:rPr>
        <w:t>1-4</w:t>
      </w:r>
      <w:r>
        <w:rPr>
          <w:rFonts w:hint="default" w:ascii="Times New Roman" w:hAnsi="Times New Roman" w:eastAsia="宋体" w:cs="Times New Roman"/>
          <w:spacing w:val="-2"/>
          <w:sz w:val="24"/>
          <w:szCs w:val="24"/>
        </w:rPr>
        <w:t>。</w:t>
      </w:r>
    </w:p>
    <w:p>
      <w:pPr>
        <w:spacing w:before="120" w:line="228" w:lineRule="auto"/>
        <w:ind w:left="3300"/>
        <w:rPr>
          <w:rFonts w:hint="default" w:ascii="Times New Roman" w:hAnsi="Times New Roman" w:eastAsia="宋体" w:cs="Times New Roman"/>
          <w:sz w:val="20"/>
          <w:szCs w:val="20"/>
        </w:rPr>
      </w:pP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27"/>
          <w:sz w:val="20"/>
          <w:szCs w:val="20"/>
        </w:rPr>
        <w:t xml:space="preserve"> </w:t>
      </w:r>
      <w:r>
        <w:rPr>
          <w:rFonts w:hint="default" w:ascii="Times New Roman" w:hAnsi="Times New Roman" w:eastAsia="宋体" w:cs="Times New Roman"/>
          <w:b/>
          <w:bCs/>
          <w:spacing w:val="6"/>
          <w:sz w:val="20"/>
          <w:szCs w:val="20"/>
          <w:lang w:val="en-US" w:eastAsia="zh-CN"/>
        </w:rPr>
        <w:t>3-</w:t>
      </w:r>
      <w:r>
        <w:rPr>
          <w:rFonts w:hint="default" w:ascii="Times New Roman" w:hAnsi="Times New Roman" w:eastAsia="Times New Roman" w:cs="Times New Roman"/>
          <w:b/>
          <w:bCs/>
          <w:spacing w:val="6"/>
          <w:sz w:val="20"/>
          <w:szCs w:val="20"/>
        </w:rPr>
        <w:t xml:space="preserve">1-4  </w:t>
      </w: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现有生产设备一览表</w:t>
      </w:r>
    </w:p>
    <w:p>
      <w:pPr>
        <w:spacing w:line="143" w:lineRule="auto"/>
        <w:rPr>
          <w:rFonts w:hint="default" w:ascii="Times New Roman" w:hAnsi="Times New Roman" w:cs="Times New Roman"/>
          <w:sz w:val="2"/>
        </w:rPr>
      </w:pPr>
    </w:p>
    <w:tbl>
      <w:tblPr>
        <w:tblStyle w:val="34"/>
        <w:tblW w:w="5001"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02"/>
        <w:gridCol w:w="1001"/>
        <w:gridCol w:w="1001"/>
        <w:gridCol w:w="964"/>
        <w:gridCol w:w="527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493" w:type="pct"/>
            <w:vAlign w:val="top"/>
          </w:tcPr>
          <w:p>
            <w:pPr>
              <w:spacing w:before="51" w:line="229" w:lineRule="auto"/>
              <w:ind w:left="119"/>
              <w:jc w:val="center"/>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序号</w:t>
            </w:r>
          </w:p>
        </w:tc>
        <w:tc>
          <w:tcPr>
            <w:tcW w:w="547" w:type="pct"/>
            <w:vAlign w:val="top"/>
          </w:tcPr>
          <w:p>
            <w:pPr>
              <w:spacing w:before="50" w:line="228" w:lineRule="auto"/>
              <w:jc w:val="center"/>
              <w:rPr>
                <w:rFonts w:hint="eastAsia" w:ascii="Times New Roman" w:hAnsi="Times New Roman" w:eastAsia="宋体" w:cs="Times New Roman"/>
                <w:spacing w:val="7"/>
                <w:sz w:val="21"/>
                <w:szCs w:val="21"/>
                <w:lang w:val="en-US" w:eastAsia="zh-CN"/>
              </w:rPr>
            </w:pPr>
            <w:r>
              <w:rPr>
                <w:rFonts w:hint="eastAsia" w:ascii="Times New Roman" w:hAnsi="Times New Roman" w:eastAsia="宋体" w:cs="Times New Roman"/>
                <w:spacing w:val="7"/>
                <w:sz w:val="21"/>
                <w:szCs w:val="21"/>
                <w:lang w:val="en-US" w:eastAsia="zh-CN"/>
              </w:rPr>
              <w:t>设备名称</w:t>
            </w:r>
          </w:p>
        </w:tc>
        <w:tc>
          <w:tcPr>
            <w:tcW w:w="547" w:type="pct"/>
            <w:vAlign w:val="top"/>
          </w:tcPr>
          <w:p>
            <w:pPr>
              <w:spacing w:before="50"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数量</w:t>
            </w:r>
          </w:p>
        </w:tc>
        <w:tc>
          <w:tcPr>
            <w:tcW w:w="527" w:type="pct"/>
            <w:vAlign w:val="top"/>
          </w:tcPr>
          <w:p>
            <w:pPr>
              <w:spacing w:before="51"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单位</w:t>
            </w:r>
          </w:p>
        </w:tc>
        <w:tc>
          <w:tcPr>
            <w:tcW w:w="2884" w:type="pct"/>
            <w:vAlign w:val="top"/>
          </w:tcPr>
          <w:p>
            <w:pPr>
              <w:spacing w:before="51" w:line="22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93" w:type="pct"/>
            <w:vAlign w:val="top"/>
          </w:tcPr>
          <w:p>
            <w:pPr>
              <w:spacing w:before="83"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547" w:type="pct"/>
            <w:vAlign w:val="top"/>
          </w:tcPr>
          <w:p>
            <w:pPr>
              <w:spacing w:before="46" w:line="228" w:lineRule="auto"/>
              <w:jc w:val="center"/>
              <w:rPr>
                <w:rFonts w:hint="default" w:ascii="Times New Roman" w:hAnsi="Times New Roman" w:eastAsia="宋体" w:cs="Times New Roman"/>
                <w:spacing w:val="7"/>
                <w:sz w:val="21"/>
                <w:szCs w:val="21"/>
                <w:lang w:val="en-US" w:eastAsia="zh-CN"/>
              </w:rPr>
            </w:pPr>
            <w:r>
              <w:rPr>
                <w:rFonts w:hint="eastAsia" w:ascii="Times New Roman" w:hAnsi="Times New Roman" w:eastAsia="宋体" w:cs="Times New Roman"/>
                <w:spacing w:val="7"/>
                <w:sz w:val="21"/>
                <w:szCs w:val="21"/>
                <w:lang w:val="en-US" w:eastAsia="zh-CN"/>
              </w:rPr>
              <w:t>活挂机</w:t>
            </w:r>
          </w:p>
        </w:tc>
        <w:tc>
          <w:tcPr>
            <w:tcW w:w="547" w:type="pct"/>
            <w:vAlign w:val="top"/>
          </w:tcPr>
          <w:p>
            <w:pPr>
              <w:spacing w:before="83" w:line="195" w:lineRule="auto"/>
              <w:jc w:val="center"/>
              <w:rPr>
                <w:rFonts w:hint="default"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2</w:t>
            </w:r>
          </w:p>
        </w:tc>
        <w:tc>
          <w:tcPr>
            <w:tcW w:w="527" w:type="pct"/>
            <w:vAlign w:val="top"/>
          </w:tcPr>
          <w:p>
            <w:pPr>
              <w:spacing w:before="47" w:line="23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台</w:t>
            </w:r>
          </w:p>
        </w:tc>
        <w:tc>
          <w:tcPr>
            <w:tcW w:w="2884" w:type="pct"/>
            <w:vAlign w:val="top"/>
          </w:tcPr>
          <w:p>
            <w:pPr>
              <w:spacing w:before="46" w:line="231"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493" w:type="pct"/>
            <w:vAlign w:val="top"/>
          </w:tcPr>
          <w:p>
            <w:pPr>
              <w:spacing w:before="83"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547" w:type="pct"/>
            <w:vAlign w:val="top"/>
          </w:tcPr>
          <w:p>
            <w:pPr>
              <w:spacing w:before="47" w:line="228"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放血线</w:t>
            </w:r>
          </w:p>
        </w:tc>
        <w:tc>
          <w:tcPr>
            <w:tcW w:w="547" w:type="pct"/>
            <w:vAlign w:val="top"/>
          </w:tcPr>
          <w:p>
            <w:pPr>
              <w:spacing w:before="83" w:line="195"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527" w:type="pct"/>
            <w:vAlign w:val="top"/>
          </w:tcPr>
          <w:p>
            <w:pPr>
              <w:spacing w:before="47" w:line="230"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条</w:t>
            </w:r>
          </w:p>
        </w:tc>
        <w:tc>
          <w:tcPr>
            <w:tcW w:w="2884" w:type="pct"/>
            <w:vAlign w:val="top"/>
          </w:tcPr>
          <w:p>
            <w:pPr>
              <w:spacing w:before="46" w:line="231"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6" w:hRule="atLeast"/>
        </w:trPr>
        <w:tc>
          <w:tcPr>
            <w:tcW w:w="493" w:type="pct"/>
            <w:vAlign w:val="top"/>
          </w:tcPr>
          <w:p>
            <w:pPr>
              <w:spacing w:before="83"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547" w:type="pct"/>
            <w:vAlign w:val="top"/>
          </w:tcPr>
          <w:p>
            <w:pPr>
              <w:spacing w:before="47" w:line="227" w:lineRule="auto"/>
              <w:jc w:val="center"/>
              <w:rPr>
                <w:rFonts w:hint="eastAsia" w:ascii="Times New Roman" w:hAnsi="Times New Roman" w:eastAsia="宋体" w:cs="Times New Roman"/>
                <w:spacing w:val="7"/>
                <w:sz w:val="21"/>
                <w:szCs w:val="21"/>
                <w:lang w:val="en-US" w:eastAsia="zh-CN"/>
              </w:rPr>
            </w:pPr>
            <w:r>
              <w:rPr>
                <w:rFonts w:hint="eastAsia" w:ascii="Times New Roman" w:hAnsi="Times New Roman" w:eastAsia="宋体" w:cs="Times New Roman"/>
                <w:spacing w:val="7"/>
                <w:sz w:val="21"/>
                <w:szCs w:val="21"/>
                <w:lang w:val="en-US" w:eastAsia="zh-CN"/>
              </w:rPr>
              <w:t>驱动装置</w:t>
            </w:r>
          </w:p>
        </w:tc>
        <w:tc>
          <w:tcPr>
            <w:tcW w:w="547" w:type="pct"/>
            <w:vAlign w:val="top"/>
          </w:tcPr>
          <w:p>
            <w:pPr>
              <w:spacing w:before="83" w:line="195"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c>
          <w:tcPr>
            <w:tcW w:w="527" w:type="pct"/>
            <w:vAlign w:val="top"/>
          </w:tcPr>
          <w:p>
            <w:pPr>
              <w:spacing w:before="47" w:line="230" w:lineRule="auto"/>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套</w:t>
            </w:r>
          </w:p>
        </w:tc>
        <w:tc>
          <w:tcPr>
            <w:tcW w:w="5278" w:type="dxa"/>
            <w:vAlign w:val="top"/>
          </w:tcPr>
          <w:p>
            <w:pPr>
              <w:spacing w:before="46" w:line="231"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93" w:type="pct"/>
            <w:vAlign w:val="center"/>
          </w:tcPr>
          <w:p>
            <w:pPr>
              <w:spacing w:line="360" w:lineRule="exact"/>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Cs w:val="21"/>
                <w:lang w:val="en-US" w:eastAsia="zh-CN"/>
              </w:rPr>
              <w:t>4</w:t>
            </w:r>
          </w:p>
        </w:tc>
        <w:tc>
          <w:tcPr>
            <w:tcW w:w="547" w:type="pct"/>
            <w:vAlign w:val="center"/>
          </w:tcPr>
          <w:p>
            <w:pPr>
              <w:spacing w:line="360" w:lineRule="exac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张紧装置</w:t>
            </w:r>
          </w:p>
        </w:tc>
        <w:tc>
          <w:tcPr>
            <w:tcW w:w="547" w:type="pct"/>
            <w:vAlign w:val="center"/>
          </w:tcPr>
          <w:p>
            <w:pPr>
              <w:spacing w:line="360" w:lineRule="exact"/>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c>
          <w:tcPr>
            <w:tcW w:w="527" w:type="pct"/>
            <w:vAlign w:val="center"/>
          </w:tcPr>
          <w:p>
            <w:pPr>
              <w:spacing w:line="360" w:lineRule="exact"/>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auto"/>
                <w:szCs w:val="21"/>
                <w:lang w:val="en-US" w:eastAsia="zh-CN"/>
              </w:rPr>
              <w:t>套</w:t>
            </w:r>
          </w:p>
        </w:tc>
        <w:tc>
          <w:tcPr>
            <w:tcW w:w="5278" w:type="dxa"/>
            <w:vAlign w:val="top"/>
          </w:tcPr>
          <w:p>
            <w:pPr>
              <w:spacing w:before="46" w:line="231"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93" w:type="pct"/>
            <w:vAlign w:val="top"/>
          </w:tcPr>
          <w:p>
            <w:pPr>
              <w:spacing w:before="86" w:line="192"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547" w:type="pct"/>
            <w:vAlign w:val="top"/>
          </w:tcPr>
          <w:p>
            <w:pPr>
              <w:spacing w:before="47" w:line="228"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回转轮</w:t>
            </w:r>
          </w:p>
        </w:tc>
        <w:tc>
          <w:tcPr>
            <w:tcW w:w="547" w:type="pct"/>
            <w:vAlign w:val="top"/>
          </w:tcPr>
          <w:p>
            <w:pPr>
              <w:spacing w:before="83" w:line="195"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527" w:type="pct"/>
            <w:vAlign w:val="top"/>
          </w:tcPr>
          <w:p>
            <w:pPr>
              <w:spacing w:before="47" w:line="230"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个</w:t>
            </w:r>
          </w:p>
        </w:tc>
        <w:tc>
          <w:tcPr>
            <w:tcW w:w="5278" w:type="dxa"/>
            <w:vAlign w:val="top"/>
          </w:tcPr>
          <w:p>
            <w:pPr>
              <w:spacing w:before="46" w:line="231"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93" w:type="pct"/>
            <w:vAlign w:val="top"/>
          </w:tcPr>
          <w:p>
            <w:pPr>
              <w:spacing w:before="85"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547" w:type="pct"/>
            <w:vAlign w:val="top"/>
          </w:tcPr>
          <w:p>
            <w:pPr>
              <w:spacing w:before="49" w:line="227" w:lineRule="auto"/>
              <w:jc w:val="center"/>
              <w:rPr>
                <w:rFonts w:hint="default" w:ascii="Times New Roman" w:hAnsi="Times New Roman" w:eastAsia="宋体" w:cs="Times New Roman"/>
                <w:spacing w:val="8"/>
                <w:sz w:val="21"/>
                <w:szCs w:val="21"/>
                <w:lang w:val="en-US" w:eastAsia="zh-CN"/>
              </w:rPr>
            </w:pPr>
            <w:r>
              <w:rPr>
                <w:rFonts w:hint="eastAsia" w:ascii="Times New Roman" w:hAnsi="Times New Roman" w:eastAsia="宋体" w:cs="Times New Roman"/>
                <w:spacing w:val="8"/>
                <w:sz w:val="21"/>
                <w:szCs w:val="21"/>
                <w:lang w:val="en-US" w:eastAsia="zh-CN"/>
              </w:rPr>
              <w:t>400型刨毛机</w:t>
            </w:r>
          </w:p>
        </w:tc>
        <w:tc>
          <w:tcPr>
            <w:tcW w:w="547" w:type="pct"/>
            <w:vAlign w:val="top"/>
          </w:tcPr>
          <w:p>
            <w:pPr>
              <w:spacing w:before="85" w:line="195"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c>
          <w:tcPr>
            <w:tcW w:w="527" w:type="pct"/>
            <w:vAlign w:val="top"/>
          </w:tcPr>
          <w:p>
            <w:pPr>
              <w:spacing w:before="50" w:line="228"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个</w:t>
            </w:r>
          </w:p>
        </w:tc>
        <w:tc>
          <w:tcPr>
            <w:tcW w:w="5278" w:type="dxa"/>
            <w:vAlign w:val="top"/>
          </w:tcPr>
          <w:p>
            <w:pPr>
              <w:spacing w:before="46" w:line="231"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0" w:hRule="atLeast"/>
        </w:trPr>
        <w:tc>
          <w:tcPr>
            <w:tcW w:w="493" w:type="pct"/>
            <w:vAlign w:val="top"/>
          </w:tcPr>
          <w:p>
            <w:pPr>
              <w:spacing w:before="88" w:line="192"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547" w:type="pct"/>
            <w:vAlign w:val="top"/>
          </w:tcPr>
          <w:p>
            <w:pPr>
              <w:spacing w:before="49" w:line="229" w:lineRule="auto"/>
              <w:jc w:val="center"/>
              <w:rPr>
                <w:rFonts w:hint="eastAsia" w:ascii="Times New Roman" w:hAnsi="Times New Roman" w:eastAsia="宋体" w:cs="Times New Roman"/>
                <w:spacing w:val="3"/>
                <w:sz w:val="21"/>
                <w:szCs w:val="21"/>
                <w:lang w:val="en-US" w:eastAsia="zh-CN"/>
              </w:rPr>
            </w:pPr>
            <w:r>
              <w:rPr>
                <w:rFonts w:hint="eastAsia" w:ascii="Times New Roman" w:hAnsi="Times New Roman" w:eastAsia="宋体" w:cs="Times New Roman"/>
                <w:spacing w:val="3"/>
                <w:sz w:val="21"/>
                <w:szCs w:val="21"/>
                <w:lang w:val="en-US" w:eastAsia="zh-CN"/>
              </w:rPr>
              <w:t>烫池</w:t>
            </w:r>
          </w:p>
        </w:tc>
        <w:tc>
          <w:tcPr>
            <w:tcW w:w="547" w:type="pct"/>
            <w:vAlign w:val="top"/>
          </w:tcPr>
          <w:p>
            <w:pPr>
              <w:spacing w:before="85" w:line="195"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c>
          <w:tcPr>
            <w:tcW w:w="527" w:type="pct"/>
            <w:vAlign w:val="top"/>
          </w:tcPr>
          <w:p>
            <w:pPr>
              <w:spacing w:before="49" w:line="229"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个</w:t>
            </w:r>
          </w:p>
        </w:tc>
        <w:tc>
          <w:tcPr>
            <w:tcW w:w="5278" w:type="dxa"/>
            <w:vAlign w:val="top"/>
          </w:tcPr>
          <w:p>
            <w:pPr>
              <w:spacing w:before="46" w:line="231"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93" w:type="pct"/>
            <w:vAlign w:val="top"/>
          </w:tcPr>
          <w:p>
            <w:pPr>
              <w:spacing w:before="84"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547" w:type="pct"/>
            <w:vAlign w:val="top"/>
          </w:tcPr>
          <w:p>
            <w:pPr>
              <w:spacing w:before="49" w:line="228"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热水池</w:t>
            </w:r>
          </w:p>
        </w:tc>
        <w:tc>
          <w:tcPr>
            <w:tcW w:w="547" w:type="pct"/>
            <w:vAlign w:val="top"/>
          </w:tcPr>
          <w:p>
            <w:pPr>
              <w:spacing w:before="84" w:line="195"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c>
          <w:tcPr>
            <w:tcW w:w="527" w:type="pct"/>
            <w:vAlign w:val="top"/>
          </w:tcPr>
          <w:p>
            <w:pPr>
              <w:spacing w:before="48" w:line="229"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个</w:t>
            </w:r>
          </w:p>
        </w:tc>
        <w:tc>
          <w:tcPr>
            <w:tcW w:w="5278" w:type="dxa"/>
            <w:vAlign w:val="top"/>
          </w:tcPr>
          <w:p>
            <w:pPr>
              <w:spacing w:before="46" w:line="231"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93" w:type="pct"/>
            <w:vAlign w:val="top"/>
          </w:tcPr>
          <w:p>
            <w:pPr>
              <w:spacing w:before="84"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547" w:type="pct"/>
            <w:vAlign w:val="top"/>
          </w:tcPr>
          <w:p>
            <w:pPr>
              <w:spacing w:before="49" w:line="228" w:lineRule="auto"/>
              <w:jc w:val="center"/>
              <w:rPr>
                <w:rFonts w:hint="default" w:ascii="Times New Roman" w:hAnsi="Times New Roman" w:eastAsia="宋体" w:cs="Times New Roman"/>
                <w:spacing w:val="7"/>
                <w:sz w:val="21"/>
                <w:szCs w:val="21"/>
                <w:lang w:val="en-US" w:eastAsia="zh-CN"/>
              </w:rPr>
            </w:pPr>
            <w:r>
              <w:rPr>
                <w:rFonts w:hint="eastAsia" w:ascii="Times New Roman" w:hAnsi="Times New Roman" w:eastAsia="宋体" w:cs="Times New Roman"/>
                <w:spacing w:val="7"/>
                <w:sz w:val="21"/>
                <w:szCs w:val="21"/>
                <w:lang w:val="en-US" w:eastAsia="zh-CN"/>
              </w:rPr>
              <w:t>劈半锯</w:t>
            </w:r>
          </w:p>
        </w:tc>
        <w:tc>
          <w:tcPr>
            <w:tcW w:w="547" w:type="pct"/>
            <w:vAlign w:val="top"/>
          </w:tcPr>
          <w:p>
            <w:pPr>
              <w:spacing w:before="84"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527" w:type="pct"/>
            <w:vAlign w:val="top"/>
          </w:tcPr>
          <w:p>
            <w:pPr>
              <w:spacing w:before="48" w:line="22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台</w:t>
            </w:r>
          </w:p>
        </w:tc>
        <w:tc>
          <w:tcPr>
            <w:tcW w:w="5278" w:type="dxa"/>
            <w:vAlign w:val="top"/>
          </w:tcPr>
          <w:p>
            <w:pPr>
              <w:spacing w:before="46" w:line="231"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93" w:type="pct"/>
            <w:vAlign w:val="top"/>
          </w:tcPr>
          <w:p>
            <w:pPr>
              <w:spacing w:before="84"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10</w:t>
            </w:r>
          </w:p>
        </w:tc>
        <w:tc>
          <w:tcPr>
            <w:tcW w:w="547" w:type="pct"/>
            <w:vAlign w:val="top"/>
          </w:tcPr>
          <w:p>
            <w:pPr>
              <w:spacing w:before="48" w:line="228" w:lineRule="auto"/>
              <w:jc w:val="center"/>
              <w:rPr>
                <w:rFonts w:hint="default" w:ascii="Times New Roman" w:hAnsi="Times New Roman" w:eastAsia="宋体" w:cs="Times New Roman"/>
                <w:spacing w:val="8"/>
                <w:sz w:val="21"/>
                <w:szCs w:val="21"/>
              </w:rPr>
            </w:pPr>
            <w:r>
              <w:rPr>
                <w:rFonts w:hint="eastAsia" w:ascii="Times New Roman" w:hAnsi="Times New Roman" w:eastAsia="宋体" w:cs="Times New Roman"/>
                <w:spacing w:val="7"/>
                <w:sz w:val="21"/>
                <w:szCs w:val="21"/>
                <w:lang w:val="en-US" w:eastAsia="zh-CN"/>
              </w:rPr>
              <w:t>手推线</w:t>
            </w:r>
          </w:p>
        </w:tc>
        <w:tc>
          <w:tcPr>
            <w:tcW w:w="547" w:type="pct"/>
            <w:vAlign w:val="top"/>
          </w:tcPr>
          <w:p>
            <w:pPr>
              <w:spacing w:before="84"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527" w:type="pct"/>
            <w:vAlign w:val="top"/>
          </w:tcPr>
          <w:p>
            <w:pPr>
              <w:spacing w:before="49" w:line="228" w:lineRule="auto"/>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条</w:t>
            </w:r>
          </w:p>
        </w:tc>
        <w:tc>
          <w:tcPr>
            <w:tcW w:w="5278" w:type="dxa"/>
            <w:vAlign w:val="top"/>
          </w:tcPr>
          <w:p>
            <w:pPr>
              <w:spacing w:before="46" w:line="231"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93" w:type="pct"/>
            <w:vAlign w:val="top"/>
          </w:tcPr>
          <w:p>
            <w:pPr>
              <w:spacing w:before="84"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10"/>
                <w:sz w:val="21"/>
                <w:szCs w:val="21"/>
              </w:rPr>
              <w:t>11</w:t>
            </w:r>
          </w:p>
        </w:tc>
        <w:tc>
          <w:tcPr>
            <w:tcW w:w="547" w:type="pct"/>
            <w:vAlign w:val="top"/>
          </w:tcPr>
          <w:p>
            <w:pPr>
              <w:spacing w:before="49" w:line="228" w:lineRule="auto"/>
              <w:jc w:val="center"/>
              <w:rPr>
                <w:rFonts w:hint="eastAsia" w:ascii="Times New Roman" w:hAnsi="Times New Roman" w:eastAsia="宋体" w:cs="Times New Roman"/>
                <w:spacing w:val="7"/>
                <w:sz w:val="21"/>
                <w:szCs w:val="21"/>
                <w:lang w:val="en-US" w:eastAsia="zh-CN"/>
              </w:rPr>
            </w:pPr>
            <w:r>
              <w:rPr>
                <w:rFonts w:hint="eastAsia" w:ascii="Times New Roman" w:hAnsi="Times New Roman" w:eastAsia="宋体" w:cs="Times New Roman"/>
                <w:spacing w:val="7"/>
                <w:sz w:val="21"/>
                <w:szCs w:val="21"/>
                <w:lang w:val="en-US" w:eastAsia="zh-CN"/>
              </w:rPr>
              <w:t>左道叉</w:t>
            </w:r>
          </w:p>
        </w:tc>
        <w:tc>
          <w:tcPr>
            <w:tcW w:w="547" w:type="pct"/>
            <w:vAlign w:val="top"/>
          </w:tcPr>
          <w:p>
            <w:pPr>
              <w:spacing w:before="84"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527" w:type="pct"/>
            <w:vAlign w:val="top"/>
          </w:tcPr>
          <w:p>
            <w:pPr>
              <w:spacing w:before="49" w:line="228"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个</w:t>
            </w:r>
          </w:p>
        </w:tc>
        <w:tc>
          <w:tcPr>
            <w:tcW w:w="5278" w:type="dxa"/>
            <w:vAlign w:val="top"/>
          </w:tcPr>
          <w:p>
            <w:pPr>
              <w:spacing w:before="46" w:line="231"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93" w:type="pct"/>
            <w:vAlign w:val="top"/>
          </w:tcPr>
          <w:p>
            <w:pPr>
              <w:spacing w:before="87"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12</w:t>
            </w:r>
          </w:p>
        </w:tc>
        <w:tc>
          <w:tcPr>
            <w:tcW w:w="547" w:type="pct"/>
            <w:vAlign w:val="top"/>
          </w:tcPr>
          <w:p>
            <w:pPr>
              <w:spacing w:before="51" w:line="227" w:lineRule="auto"/>
              <w:jc w:val="center"/>
              <w:rPr>
                <w:rFonts w:hint="default" w:ascii="Times New Roman" w:hAnsi="Times New Roman" w:eastAsia="宋体" w:cs="Times New Roman"/>
                <w:spacing w:val="7"/>
                <w:sz w:val="21"/>
                <w:szCs w:val="21"/>
                <w:lang w:val="en-US" w:eastAsia="zh-CN"/>
              </w:rPr>
            </w:pPr>
            <w:r>
              <w:rPr>
                <w:rFonts w:hint="eastAsia" w:ascii="Times New Roman" w:hAnsi="Times New Roman" w:eastAsia="宋体" w:cs="Times New Roman"/>
                <w:spacing w:val="7"/>
                <w:sz w:val="21"/>
                <w:szCs w:val="21"/>
                <w:lang w:val="en-US" w:eastAsia="zh-CN"/>
              </w:rPr>
              <w:t>右道叉</w:t>
            </w:r>
          </w:p>
        </w:tc>
        <w:tc>
          <w:tcPr>
            <w:tcW w:w="547" w:type="pct"/>
            <w:vAlign w:val="top"/>
          </w:tcPr>
          <w:p>
            <w:pPr>
              <w:spacing w:before="87"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527" w:type="pct"/>
            <w:vAlign w:val="top"/>
          </w:tcPr>
          <w:p>
            <w:pPr>
              <w:spacing w:before="51" w:line="227"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个</w:t>
            </w:r>
          </w:p>
        </w:tc>
        <w:tc>
          <w:tcPr>
            <w:tcW w:w="5278" w:type="dxa"/>
            <w:vAlign w:val="top"/>
          </w:tcPr>
          <w:p>
            <w:pPr>
              <w:spacing w:before="46" w:line="231"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493" w:type="pct"/>
            <w:vAlign w:val="top"/>
          </w:tcPr>
          <w:p>
            <w:pPr>
              <w:spacing w:before="86"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13</w:t>
            </w:r>
          </w:p>
        </w:tc>
        <w:tc>
          <w:tcPr>
            <w:tcW w:w="547" w:type="pct"/>
            <w:vAlign w:val="top"/>
          </w:tcPr>
          <w:p>
            <w:pPr>
              <w:spacing w:before="50"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pacing w:val="7"/>
                <w:sz w:val="21"/>
                <w:szCs w:val="21"/>
                <w:lang w:val="en-US" w:eastAsia="zh-CN"/>
              </w:rPr>
              <w:t>弯轨</w:t>
            </w:r>
          </w:p>
        </w:tc>
        <w:tc>
          <w:tcPr>
            <w:tcW w:w="547" w:type="pct"/>
            <w:vAlign w:val="top"/>
          </w:tcPr>
          <w:p>
            <w:pPr>
              <w:spacing w:before="89" w:line="192"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3</w:t>
            </w:r>
          </w:p>
        </w:tc>
        <w:tc>
          <w:tcPr>
            <w:tcW w:w="527" w:type="pct"/>
            <w:vAlign w:val="top"/>
          </w:tcPr>
          <w:p>
            <w:pPr>
              <w:spacing w:before="50" w:line="228"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个</w:t>
            </w:r>
          </w:p>
        </w:tc>
        <w:tc>
          <w:tcPr>
            <w:tcW w:w="5278" w:type="dxa"/>
            <w:vAlign w:val="top"/>
          </w:tcPr>
          <w:p>
            <w:pPr>
              <w:spacing w:before="46" w:line="231"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93" w:type="pct"/>
            <w:vAlign w:val="top"/>
          </w:tcPr>
          <w:p>
            <w:pPr>
              <w:spacing w:before="86"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14</w:t>
            </w:r>
          </w:p>
        </w:tc>
        <w:tc>
          <w:tcPr>
            <w:tcW w:w="547" w:type="pct"/>
            <w:vAlign w:val="top"/>
          </w:tcPr>
          <w:p>
            <w:pPr>
              <w:spacing w:before="50" w:line="228" w:lineRule="auto"/>
              <w:jc w:val="center"/>
              <w:rPr>
                <w:rFonts w:hint="eastAsia" w:ascii="Times New Roman" w:hAnsi="Times New Roman" w:eastAsia="宋体" w:cs="Times New Roman"/>
                <w:spacing w:val="6"/>
                <w:sz w:val="21"/>
                <w:szCs w:val="21"/>
                <w:lang w:val="en-US" w:eastAsia="zh-CN"/>
              </w:rPr>
            </w:pPr>
            <w:r>
              <w:rPr>
                <w:rFonts w:hint="eastAsia" w:ascii="Times New Roman" w:hAnsi="Times New Roman" w:eastAsia="宋体" w:cs="Times New Roman"/>
                <w:spacing w:val="6"/>
                <w:sz w:val="21"/>
                <w:szCs w:val="21"/>
                <w:lang w:val="en-US" w:eastAsia="zh-CN"/>
              </w:rPr>
              <w:t>双滑轮</w:t>
            </w:r>
          </w:p>
        </w:tc>
        <w:tc>
          <w:tcPr>
            <w:tcW w:w="547" w:type="pct"/>
            <w:vAlign w:val="top"/>
          </w:tcPr>
          <w:p>
            <w:pPr>
              <w:spacing w:before="86"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527" w:type="pct"/>
            <w:vAlign w:val="top"/>
          </w:tcPr>
          <w:p>
            <w:pPr>
              <w:spacing w:before="50" w:line="228" w:lineRule="auto"/>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个</w:t>
            </w:r>
          </w:p>
        </w:tc>
        <w:tc>
          <w:tcPr>
            <w:tcW w:w="5278" w:type="dxa"/>
            <w:vAlign w:val="top"/>
          </w:tcPr>
          <w:p>
            <w:pPr>
              <w:spacing w:before="46" w:line="231"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93" w:type="pct"/>
            <w:vAlign w:val="top"/>
          </w:tcPr>
          <w:p>
            <w:pPr>
              <w:spacing w:before="85"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15</w:t>
            </w:r>
          </w:p>
        </w:tc>
        <w:tc>
          <w:tcPr>
            <w:tcW w:w="547" w:type="pct"/>
            <w:vAlign w:val="top"/>
          </w:tcPr>
          <w:p>
            <w:pPr>
              <w:spacing w:before="49" w:line="228" w:lineRule="auto"/>
              <w:jc w:val="center"/>
              <w:rPr>
                <w:rFonts w:hint="eastAsia" w:ascii="Times New Roman" w:hAnsi="Times New Roman" w:eastAsia="宋体" w:cs="Times New Roman"/>
                <w:spacing w:val="6"/>
                <w:sz w:val="21"/>
                <w:szCs w:val="21"/>
                <w:lang w:val="en-US" w:eastAsia="zh-CN"/>
              </w:rPr>
            </w:pPr>
            <w:r>
              <w:rPr>
                <w:rFonts w:hint="eastAsia" w:ascii="Times New Roman" w:hAnsi="Times New Roman" w:eastAsia="宋体" w:cs="Times New Roman"/>
                <w:spacing w:val="6"/>
                <w:sz w:val="21"/>
                <w:szCs w:val="21"/>
                <w:lang w:val="en-US" w:eastAsia="zh-CN"/>
              </w:rPr>
              <w:t>叉挡</w:t>
            </w:r>
          </w:p>
        </w:tc>
        <w:tc>
          <w:tcPr>
            <w:tcW w:w="547" w:type="pct"/>
            <w:vAlign w:val="top"/>
          </w:tcPr>
          <w:p>
            <w:pPr>
              <w:spacing w:before="86"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527" w:type="pct"/>
            <w:vAlign w:val="top"/>
          </w:tcPr>
          <w:p>
            <w:pPr>
              <w:spacing w:before="49" w:line="228"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个</w:t>
            </w:r>
          </w:p>
        </w:tc>
        <w:tc>
          <w:tcPr>
            <w:tcW w:w="5278" w:type="dxa"/>
            <w:vAlign w:val="top"/>
          </w:tcPr>
          <w:p>
            <w:pPr>
              <w:spacing w:before="46" w:line="231"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93" w:type="pct"/>
            <w:vAlign w:val="top"/>
          </w:tcPr>
          <w:p>
            <w:pPr>
              <w:spacing w:before="85"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16</w:t>
            </w:r>
          </w:p>
        </w:tc>
        <w:tc>
          <w:tcPr>
            <w:tcW w:w="547" w:type="pct"/>
            <w:vAlign w:val="top"/>
          </w:tcPr>
          <w:p>
            <w:pPr>
              <w:spacing w:before="49" w:line="228" w:lineRule="auto"/>
              <w:jc w:val="center"/>
              <w:rPr>
                <w:rFonts w:hint="eastAsia" w:ascii="Times New Roman" w:hAnsi="Times New Roman" w:eastAsia="宋体" w:cs="Times New Roman"/>
                <w:spacing w:val="5"/>
                <w:sz w:val="21"/>
                <w:szCs w:val="21"/>
                <w:lang w:val="en-US" w:eastAsia="zh-CN"/>
              </w:rPr>
            </w:pPr>
            <w:r>
              <w:rPr>
                <w:rFonts w:hint="eastAsia" w:ascii="Times New Roman" w:hAnsi="Times New Roman" w:eastAsia="宋体" w:cs="Times New Roman"/>
                <w:spacing w:val="5"/>
                <w:sz w:val="21"/>
                <w:szCs w:val="21"/>
                <w:lang w:val="en-US" w:eastAsia="zh-CN"/>
              </w:rPr>
              <w:t>赶猪电鞭</w:t>
            </w:r>
          </w:p>
        </w:tc>
        <w:tc>
          <w:tcPr>
            <w:tcW w:w="547" w:type="pct"/>
            <w:vAlign w:val="top"/>
          </w:tcPr>
          <w:p>
            <w:pPr>
              <w:spacing w:before="88" w:line="192"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w:t>
            </w:r>
          </w:p>
        </w:tc>
        <w:tc>
          <w:tcPr>
            <w:tcW w:w="527" w:type="pct"/>
            <w:vAlign w:val="top"/>
          </w:tcPr>
          <w:p>
            <w:pPr>
              <w:spacing w:before="49" w:line="228"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个</w:t>
            </w:r>
          </w:p>
        </w:tc>
        <w:tc>
          <w:tcPr>
            <w:tcW w:w="5278" w:type="dxa"/>
            <w:vAlign w:val="top"/>
          </w:tcPr>
          <w:p>
            <w:pPr>
              <w:spacing w:before="46" w:line="231"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93" w:type="pct"/>
            <w:vAlign w:val="top"/>
          </w:tcPr>
          <w:p>
            <w:pPr>
              <w:spacing w:before="85"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17</w:t>
            </w:r>
          </w:p>
        </w:tc>
        <w:tc>
          <w:tcPr>
            <w:tcW w:w="547" w:type="pct"/>
            <w:vAlign w:val="top"/>
          </w:tcPr>
          <w:p>
            <w:pPr>
              <w:spacing w:before="49" w:line="227" w:lineRule="auto"/>
              <w:jc w:val="center"/>
              <w:rPr>
                <w:rFonts w:hint="default" w:ascii="Times New Roman" w:hAnsi="Times New Roman" w:eastAsia="宋体" w:cs="Times New Roman"/>
                <w:spacing w:val="7"/>
                <w:sz w:val="21"/>
                <w:szCs w:val="21"/>
              </w:rPr>
            </w:pPr>
            <w:r>
              <w:rPr>
                <w:rFonts w:hint="eastAsia" w:ascii="Times New Roman" w:hAnsi="Times New Roman" w:eastAsia="宋体" w:cs="Times New Roman"/>
                <w:spacing w:val="5"/>
                <w:sz w:val="21"/>
                <w:szCs w:val="21"/>
                <w:highlight w:val="none"/>
                <w:lang w:val="en-US" w:eastAsia="zh-CN"/>
              </w:rPr>
              <w:t>三点式</w:t>
            </w:r>
            <w:r>
              <w:rPr>
                <w:rFonts w:hint="default" w:ascii="Times New Roman" w:hAnsi="Times New Roman" w:eastAsia="宋体" w:cs="Times New Roman"/>
                <w:spacing w:val="5"/>
                <w:sz w:val="21"/>
                <w:szCs w:val="21"/>
                <w:highlight w:val="none"/>
              </w:rPr>
              <w:t>自动电击晕机</w:t>
            </w:r>
          </w:p>
        </w:tc>
        <w:tc>
          <w:tcPr>
            <w:tcW w:w="547" w:type="pct"/>
            <w:vAlign w:val="top"/>
          </w:tcPr>
          <w:p>
            <w:pPr>
              <w:spacing w:before="85" w:line="195"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w:t>
            </w:r>
          </w:p>
        </w:tc>
        <w:tc>
          <w:tcPr>
            <w:tcW w:w="527" w:type="pct"/>
            <w:vAlign w:val="top"/>
          </w:tcPr>
          <w:p>
            <w:pPr>
              <w:spacing w:before="49" w:line="228"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个</w:t>
            </w:r>
          </w:p>
        </w:tc>
        <w:tc>
          <w:tcPr>
            <w:tcW w:w="5278" w:type="dxa"/>
            <w:vAlign w:val="top"/>
          </w:tcPr>
          <w:p>
            <w:pPr>
              <w:spacing w:before="46" w:line="231"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0" w:hRule="atLeast"/>
        </w:trPr>
        <w:tc>
          <w:tcPr>
            <w:tcW w:w="493" w:type="pct"/>
            <w:vAlign w:val="top"/>
          </w:tcPr>
          <w:p>
            <w:pPr>
              <w:spacing w:before="88"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18</w:t>
            </w:r>
          </w:p>
        </w:tc>
        <w:tc>
          <w:tcPr>
            <w:tcW w:w="547" w:type="pct"/>
            <w:vAlign w:val="top"/>
          </w:tcPr>
          <w:p>
            <w:pPr>
              <w:spacing w:before="52" w:line="228" w:lineRule="auto"/>
              <w:jc w:val="center"/>
              <w:rPr>
                <w:rFonts w:hint="default" w:ascii="Times New Roman" w:hAnsi="Times New Roman" w:eastAsia="宋体" w:cs="Times New Roman"/>
                <w:spacing w:val="5"/>
                <w:sz w:val="21"/>
                <w:szCs w:val="21"/>
              </w:rPr>
            </w:pPr>
            <w:r>
              <w:rPr>
                <w:rFonts w:hint="default" w:ascii="Times New Roman" w:hAnsi="Times New Roman" w:eastAsia="宋体" w:cs="Times New Roman"/>
                <w:spacing w:val="5"/>
                <w:sz w:val="21"/>
                <w:szCs w:val="21"/>
              </w:rPr>
              <w:t>内脏检疫线</w:t>
            </w:r>
          </w:p>
        </w:tc>
        <w:tc>
          <w:tcPr>
            <w:tcW w:w="547" w:type="pct"/>
            <w:vAlign w:val="top"/>
          </w:tcPr>
          <w:p>
            <w:pPr>
              <w:spacing w:before="88" w:line="195" w:lineRule="auto"/>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1</w:t>
            </w:r>
          </w:p>
        </w:tc>
        <w:tc>
          <w:tcPr>
            <w:tcW w:w="527" w:type="pct"/>
            <w:vAlign w:val="top"/>
          </w:tcPr>
          <w:p>
            <w:pPr>
              <w:spacing w:before="91" w:line="192"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条</w:t>
            </w:r>
          </w:p>
        </w:tc>
        <w:tc>
          <w:tcPr>
            <w:tcW w:w="5278" w:type="dxa"/>
            <w:vAlign w:val="top"/>
          </w:tcPr>
          <w:p>
            <w:pPr>
              <w:spacing w:before="46" w:line="231"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bl>
    <w:p>
      <w:pPr>
        <w:pStyle w:val="6"/>
        <w:rPr>
          <w:rFonts w:hint="default" w:ascii="Times New Roman" w:hAnsi="Times New Roman" w:cs="Times New Roman"/>
        </w:rPr>
      </w:pPr>
    </w:p>
    <w:p>
      <w:pPr>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宋体" w:cs="Times New Roman"/>
          <w:b/>
          <w:bCs/>
          <w:snapToGrid/>
          <w:color w:val="auto"/>
          <w:kern w:val="44"/>
          <w:sz w:val="30"/>
          <w:szCs w:val="30"/>
          <w:lang w:val="en-US" w:eastAsia="zh-CN"/>
        </w:rPr>
      </w:pPr>
      <w:bookmarkStart w:id="72" w:name="_Toc24205"/>
      <w:r>
        <w:rPr>
          <w:rFonts w:hint="default" w:ascii="Times New Roman" w:hAnsi="Times New Roman" w:eastAsia="宋体" w:cs="Times New Roman"/>
          <w:b/>
          <w:bCs/>
          <w:snapToGrid/>
          <w:color w:val="auto"/>
          <w:kern w:val="44"/>
          <w:sz w:val="30"/>
          <w:szCs w:val="30"/>
          <w:lang w:val="en-US" w:eastAsia="zh-CN"/>
        </w:rPr>
        <w:t>3.2 现有项目工程分析</w:t>
      </w:r>
      <w:bookmarkEnd w:id="72"/>
    </w:p>
    <w:p>
      <w:pPr>
        <w:pStyle w:val="11"/>
        <w:pageBreakBefore w:val="0"/>
        <w:widowControl w:val="0"/>
        <w:numPr>
          <w:ilvl w:val="2"/>
          <w:numId w:val="0"/>
        </w:numPr>
        <w:kinsoku/>
        <w:wordWrap/>
        <w:overflowPunct/>
        <w:topLinePunct w:val="0"/>
        <w:autoSpaceDE/>
        <w:autoSpaceDN/>
        <w:bidi w:val="0"/>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3.2.1  现有工程工艺流程</w:t>
      </w:r>
    </w:p>
    <w:p>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outlineLvl w:val="9"/>
        <w:rPr>
          <w:rFonts w:hint="default" w:ascii="Times New Roman" w:hAnsi="Times New Roman" w:eastAsia="宋体" w:cs="Times New Roman"/>
          <w:b/>
          <w:bCs w:val="0"/>
          <w:snapToGrid/>
          <w:color w:val="auto"/>
          <w:kern w:val="2"/>
          <w:sz w:val="24"/>
          <w:szCs w:val="24"/>
          <w:lang w:val="en-US" w:eastAsia="zh-CN" w:bidi="ar-SA"/>
        </w:rPr>
      </w:pPr>
      <w:r>
        <w:rPr>
          <w:rFonts w:hint="default" w:ascii="Times New Roman" w:hAnsi="Times New Roman" w:eastAsia="宋体" w:cs="Times New Roman"/>
          <w:b/>
          <w:bCs w:val="0"/>
          <w:snapToGrid/>
          <w:color w:val="auto"/>
          <w:kern w:val="2"/>
          <w:sz w:val="24"/>
          <w:szCs w:val="24"/>
          <w:lang w:val="en-US" w:eastAsia="zh-CN" w:bidi="ar-SA"/>
        </w:rPr>
        <w:t>3.2.1.1  屠宰工艺</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72" w:firstLineChars="200"/>
        <w:jc w:val="both"/>
        <w:textAlignment w:val="baseline"/>
        <w:outlineLvl w:val="9"/>
        <w:rPr>
          <w:rFonts w:hint="default" w:ascii="Times New Roman" w:hAnsi="Times New Roman" w:eastAsia="宋体" w:cs="Times New Roman"/>
          <w:spacing w:val="-2"/>
          <w:sz w:val="24"/>
          <w:szCs w:val="24"/>
          <w:highlight w:val="magenta"/>
        </w:rPr>
      </w:pPr>
      <w:r>
        <w:rPr>
          <w:rFonts w:hint="eastAsia" w:ascii="Times New Roman" w:hAnsi="Times New Roman" w:eastAsia="宋体" w:cs="Times New Roman"/>
          <w:spacing w:val="-2"/>
          <w:sz w:val="24"/>
          <w:szCs w:val="24"/>
          <w:lang w:eastAsia="zh-CN"/>
        </w:rPr>
        <w:t>（</w:t>
      </w:r>
      <w:r>
        <w:rPr>
          <w:rFonts w:hint="eastAsia" w:ascii="Times New Roman" w:hAnsi="Times New Roman" w:eastAsia="宋体" w:cs="Times New Roman"/>
          <w:spacing w:val="-2"/>
          <w:sz w:val="24"/>
          <w:szCs w:val="24"/>
          <w:lang w:val="en-US" w:eastAsia="zh-CN"/>
        </w:rPr>
        <w:t>1</w:t>
      </w:r>
      <w:r>
        <w:rPr>
          <w:rFonts w:hint="eastAsia" w:ascii="Times New Roman" w:hAnsi="Times New Roman" w:eastAsia="宋体" w:cs="Times New Roman"/>
          <w:spacing w:val="-2"/>
          <w:sz w:val="24"/>
          <w:szCs w:val="24"/>
          <w:lang w:eastAsia="zh-CN"/>
        </w:rPr>
        <w:t>）</w:t>
      </w:r>
      <w:r>
        <w:rPr>
          <w:rFonts w:hint="default" w:ascii="Times New Roman" w:hAnsi="Times New Roman" w:eastAsia="宋体" w:cs="Times New Roman"/>
          <w:spacing w:val="-2"/>
          <w:sz w:val="24"/>
          <w:szCs w:val="24"/>
        </w:rPr>
        <w:t>屠宰工艺流程图</w:t>
      </w:r>
    </w:p>
    <w:p>
      <w:pPr>
        <w:rPr>
          <w:rFonts w:hint="default"/>
        </w:rPr>
      </w:pPr>
    </w:p>
    <w:p>
      <w:pPr>
        <w:pStyle w:val="6"/>
        <w:rPr>
          <w:rFonts w:hint="default"/>
        </w:rPr>
      </w:pPr>
    </w:p>
    <w:p>
      <w:pPr>
        <w:pStyle w:val="30"/>
        <w:rPr>
          <w:rFonts w:hint="default"/>
        </w:rPr>
      </w:pPr>
    </w:p>
    <w:p>
      <w:pPr>
        <w:pStyle w:val="31"/>
        <w:rPr>
          <w:rFonts w:hint="default"/>
        </w:rPr>
      </w:pPr>
    </w:p>
    <w:p>
      <w:pPr>
        <w:rPr>
          <w:rFonts w:hint="default"/>
        </w:rPr>
      </w:pPr>
    </w:p>
    <w:p>
      <w:pPr>
        <w:pStyle w:val="6"/>
        <w:rPr>
          <w:rFonts w:hint="default"/>
        </w:rPr>
      </w:pPr>
    </w:p>
    <w:p>
      <w:pPr>
        <w:pStyle w:val="30"/>
        <w:rPr>
          <w:rFonts w:hint="default"/>
        </w:rPr>
      </w:pPr>
    </w:p>
    <w:p>
      <w:pPr>
        <w:pStyle w:val="31"/>
        <w:rPr>
          <w:rFonts w:hint="default"/>
        </w:rPr>
      </w:pPr>
    </w:p>
    <w:p>
      <w:pPr>
        <w:rPr>
          <w:rFonts w:hint="default"/>
        </w:rPr>
      </w:pPr>
    </w:p>
    <w:p>
      <w:pPr>
        <w:pStyle w:val="6"/>
        <w:rPr>
          <w:rFonts w:hint="default"/>
        </w:rPr>
      </w:pPr>
    </w:p>
    <w:p>
      <w:pPr>
        <w:pStyle w:val="30"/>
        <w:rPr>
          <w:rFonts w:hint="default"/>
        </w:rPr>
      </w:pPr>
    </w:p>
    <w:p>
      <w:pPr>
        <w:pStyle w:val="31"/>
        <w:rPr>
          <w:rFonts w:hint="default"/>
        </w:rPr>
      </w:pPr>
    </w:p>
    <w:p>
      <w:pPr>
        <w:rPr>
          <w:rFonts w:hint="default"/>
        </w:rPr>
      </w:pPr>
    </w:p>
    <w:p>
      <w:pPr>
        <w:pStyle w:val="6"/>
        <w:rPr>
          <w:rFonts w:hint="default"/>
        </w:rPr>
      </w:pPr>
    </w:p>
    <w:p>
      <w:pPr>
        <w:pStyle w:val="30"/>
        <w:rPr>
          <w:rFonts w:hint="default"/>
        </w:rPr>
      </w:pPr>
    </w:p>
    <w:p>
      <w:pPr>
        <w:pStyle w:val="31"/>
        <w:rPr>
          <w:rFonts w:hint="default"/>
        </w:rPr>
      </w:pPr>
    </w:p>
    <w:p>
      <w:pPr>
        <w:rPr>
          <w:rFonts w:hint="default"/>
        </w:rPr>
      </w:pPr>
    </w:p>
    <w:p>
      <w:pPr>
        <w:pStyle w:val="6"/>
        <w:rPr>
          <w:rFonts w:hint="default"/>
        </w:rPr>
      </w:pPr>
    </w:p>
    <w:p>
      <w:pPr>
        <w:pStyle w:val="30"/>
        <w:rPr>
          <w:rFonts w:hint="default"/>
        </w:rPr>
      </w:pPr>
    </w:p>
    <w:p>
      <w:pPr>
        <w:pStyle w:val="31"/>
        <w:rPr>
          <w:rFonts w:hint="default"/>
        </w:rPr>
      </w:pPr>
    </w:p>
    <w:p>
      <w:pPr>
        <w:rPr>
          <w:rFonts w:hint="default"/>
        </w:rPr>
      </w:pPr>
    </w:p>
    <w:p>
      <w:pPr>
        <w:pStyle w:val="6"/>
        <w:rPr>
          <w:rFonts w:hint="default"/>
        </w:rPr>
      </w:pPr>
    </w:p>
    <w:p>
      <w:pPr>
        <w:pStyle w:val="30"/>
        <w:rPr>
          <w:rFonts w:hint="default"/>
        </w:rPr>
      </w:pPr>
    </w:p>
    <w:p>
      <w:pPr>
        <w:pStyle w:val="31"/>
        <w:rPr>
          <w:rFonts w:hint="default"/>
        </w:rPr>
      </w:pPr>
    </w:p>
    <w:p>
      <w:pPr>
        <w:rPr>
          <w:rFonts w:hint="default"/>
        </w:rPr>
      </w:pPr>
    </w:p>
    <w:p>
      <w:pPr>
        <w:pStyle w:val="6"/>
        <w:rPr>
          <w:rFonts w:hint="default"/>
        </w:rPr>
      </w:pPr>
    </w:p>
    <w:p>
      <w:pPr>
        <w:rPr>
          <w:rFonts w:hint="default"/>
        </w:rPr>
      </w:pPr>
    </w:p>
    <w:p>
      <w:pPr>
        <w:pStyle w:val="29"/>
        <w:ind w:left="0" w:leftChars="0" w:firstLine="0" w:firstLineChars="0"/>
        <w:rPr>
          <w:rFonts w:hint="default"/>
        </w:rPr>
      </w:pPr>
    </w:p>
    <w:p>
      <w:pPr>
        <w:spacing w:line="480" w:lineRule="exact"/>
        <w:ind w:firstLine="400" w:firstLineChars="200"/>
        <w:rPr>
          <w:rFonts w:hint="default" w:ascii="Times New Roman" w:hAnsi="Times New Roman" w:cs="Times New Roman"/>
          <w:color w:val="auto"/>
        </w:rPr>
      </w:pPr>
      <w:r>
        <w:rPr>
          <w:rFonts w:hint="default" w:ascii="Times New Roman" w:hAnsi="Times New Roman" w:cs="Times New Roman"/>
          <w:color w:val="auto"/>
          <w:sz w:val="20"/>
        </w:rPr>
        <mc:AlternateContent>
          <mc:Choice Requires="wps">
            <w:drawing>
              <wp:anchor distT="0" distB="0" distL="114300" distR="114300" simplePos="0" relativeHeight="251841536" behindDoc="0" locked="0" layoutInCell="1" allowOverlap="1">
                <wp:simplePos x="0" y="0"/>
                <wp:positionH relativeFrom="column">
                  <wp:posOffset>2162175</wp:posOffset>
                </wp:positionH>
                <wp:positionV relativeFrom="paragraph">
                  <wp:posOffset>171450</wp:posOffset>
                </wp:positionV>
                <wp:extent cx="789940" cy="256540"/>
                <wp:effectExtent l="4445" t="4445" r="5715" b="5715"/>
                <wp:wrapNone/>
                <wp:docPr id="148" name="文本框 148"/>
                <wp:cNvGraphicFramePr/>
                <a:graphic xmlns:a="http://schemas.openxmlformats.org/drawingml/2006/main">
                  <a:graphicData uri="http://schemas.microsoft.com/office/word/2010/wordprocessingShape">
                    <wps:wsp>
                      <wps:cNvSpPr txBox="1"/>
                      <wps:spPr>
                        <a:xfrm>
                          <a:off x="0" y="0"/>
                          <a:ext cx="78994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eastAsia="黑体"/>
                                <w:sz w:val="21"/>
                                <w:szCs w:val="21"/>
                                <w:lang w:eastAsia="zh-CN"/>
                              </w:rPr>
                            </w:pPr>
                            <w:r>
                              <w:rPr>
                                <w:rFonts w:hint="eastAsia"/>
                                <w:sz w:val="21"/>
                                <w:szCs w:val="21"/>
                              </w:rPr>
                              <w:t>称重</w:t>
                            </w:r>
                            <w:r>
                              <w:rPr>
                                <w:rFonts w:hint="eastAsia"/>
                                <w:sz w:val="21"/>
                                <w:szCs w:val="21"/>
                                <w:lang w:eastAsia="zh-CN"/>
                              </w:rPr>
                              <w:t>、淋浴</w:t>
                            </w:r>
                          </w:p>
                        </w:txbxContent>
                      </wps:txbx>
                      <wps:bodyPr lIns="0" tIns="0" rIns="0" bIns="0" upright="1"/>
                    </wps:wsp>
                  </a:graphicData>
                </a:graphic>
              </wp:anchor>
            </w:drawing>
          </mc:Choice>
          <mc:Fallback>
            <w:pict>
              <v:shape id="_x0000_s1026" o:spid="_x0000_s1026" o:spt="202" type="#_x0000_t202" style="position:absolute;left:0pt;margin-left:170.25pt;margin-top:13.5pt;height:20.2pt;width:62.2pt;z-index:251841536;mso-width-relative:page;mso-height-relative:page;" fillcolor="#FFFFFF" filled="t" stroked="t" coordsize="21600,21600" o:gfxdata="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eJHEO2QAAAAkB&#10;AAAPAAAAAAAAAAEAIAAAACIAAABkcnMvZG93bnJldi54bWxQSwECFAAUAAAACACHTuJA7Abf/xoC&#10;AABdBAAADgAAAAAAAAABACAAAAAoAQAAZHJzL2Uyb0RvYy54bWxQSwUGAAAAAAYABgBZAQAAtAUA&#10;AAAA&#10;">
                <v:fill on="t" focussize="0,0"/>
                <v:stroke color="#000000" joinstyle="miter"/>
                <v:imagedata o:title=""/>
                <o:lock v:ext="edit" aspectratio="f"/>
                <v:textbox inset="0mm,0mm,0mm,0mm">
                  <w:txbxContent>
                    <w:p>
                      <w:pPr>
                        <w:pStyle w:val="15"/>
                        <w:snapToGrid w:val="0"/>
                        <w:spacing w:line="340" w:lineRule="exact"/>
                        <w:jc w:val="center"/>
                        <w:rPr>
                          <w:rFonts w:hint="eastAsia" w:eastAsia="黑体"/>
                          <w:sz w:val="21"/>
                          <w:szCs w:val="21"/>
                          <w:lang w:eastAsia="zh-CN"/>
                        </w:rPr>
                      </w:pPr>
                      <w:r>
                        <w:rPr>
                          <w:rFonts w:hint="eastAsia"/>
                          <w:sz w:val="21"/>
                          <w:szCs w:val="21"/>
                        </w:rPr>
                        <w:t>称重</w:t>
                      </w:r>
                      <w:r>
                        <w:rPr>
                          <w:rFonts w:hint="eastAsia"/>
                          <w:sz w:val="21"/>
                          <w:szCs w:val="21"/>
                          <w:lang w:eastAsia="zh-CN"/>
                        </w:rPr>
                        <w:t>、淋浴</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842560" behindDoc="0" locked="0" layoutInCell="1" allowOverlap="1">
                <wp:simplePos x="0" y="0"/>
                <wp:positionH relativeFrom="column">
                  <wp:posOffset>3277235</wp:posOffset>
                </wp:positionH>
                <wp:positionV relativeFrom="paragraph">
                  <wp:posOffset>179070</wp:posOffset>
                </wp:positionV>
                <wp:extent cx="789940" cy="256540"/>
                <wp:effectExtent l="4445" t="4445" r="5715" b="5715"/>
                <wp:wrapNone/>
                <wp:docPr id="149" name="文本框 149"/>
                <wp:cNvGraphicFramePr/>
                <a:graphic xmlns:a="http://schemas.openxmlformats.org/drawingml/2006/main">
                  <a:graphicData uri="http://schemas.microsoft.com/office/word/2010/wordprocessingShape">
                    <wps:wsp>
                      <wps:cNvSpPr txBox="1"/>
                      <wps:spPr>
                        <a:xfrm>
                          <a:off x="0" y="0"/>
                          <a:ext cx="78994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击晕</w:t>
                            </w:r>
                          </w:p>
                        </w:txbxContent>
                      </wps:txbx>
                      <wps:bodyPr lIns="0" tIns="0" rIns="0" bIns="0" upright="1"/>
                    </wps:wsp>
                  </a:graphicData>
                </a:graphic>
              </wp:anchor>
            </w:drawing>
          </mc:Choice>
          <mc:Fallback>
            <w:pict>
              <v:shape id="_x0000_s1026" o:spid="_x0000_s1026" o:spt="202" type="#_x0000_t202" style="position:absolute;left:0pt;margin-left:258.05pt;margin-top:14.1pt;height:20.2pt;width:62.2pt;z-index:251842560;mso-width-relative:page;mso-height-relative:page;" fillcolor="#FFFFFF" filled="t" stroked="t" coordsize="21600,21600" o:gfxdata="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E1ksk2AAAAAkB&#10;AAAPAAAAAAAAAAEAIAAAACIAAABkcnMvZG93bnJldi54bWxQSwECFAAUAAAACACHTuJAjR90ghsC&#10;AABdBAAADgAAAAAAAAABACAAAAAnAQAAZHJzL2Uyb0RvYy54bWxQSwUGAAAAAAYABgBZAQAAtAUA&#10;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击晕</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24128" behindDoc="0" locked="0" layoutInCell="1" allowOverlap="1">
                <wp:simplePos x="0" y="0"/>
                <wp:positionH relativeFrom="column">
                  <wp:posOffset>2958465</wp:posOffset>
                </wp:positionH>
                <wp:positionV relativeFrom="paragraph">
                  <wp:posOffset>300355</wp:posOffset>
                </wp:positionV>
                <wp:extent cx="323850" cy="0"/>
                <wp:effectExtent l="0" t="25400" r="0" b="31750"/>
                <wp:wrapNone/>
                <wp:docPr id="150" name="直接连接符 150"/>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32.95pt;margin-top:23.65pt;height:0pt;width:25.5pt;z-index:251824128;mso-width-relative:page;mso-height-relative:page;" filled="f" stroked="t" coordsize="21600,21600" o:gfxdata="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EVdJnVAAAACQEAAA8AAAAAAAAAAQAgAAAAIgAAAGRycy9kb3ducmV2&#10;LnhtbFBLAQIUABQAAAAIAIdO4kBJXu59/wEAAOgDAAAOAAAAAAAAAAEAIAAAACQBAABkcnMvZTJv&#10;RG9jLnhtbFBLBQYAAAAABgAGAFkBAACV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47680" behindDoc="0" locked="0" layoutInCell="1" allowOverlap="1">
                <wp:simplePos x="0" y="0"/>
                <wp:positionH relativeFrom="column">
                  <wp:posOffset>-114300</wp:posOffset>
                </wp:positionH>
                <wp:positionV relativeFrom="paragraph">
                  <wp:posOffset>2575560</wp:posOffset>
                </wp:positionV>
                <wp:extent cx="266700" cy="1581150"/>
                <wp:effectExtent l="4445" t="4445" r="14605" b="14605"/>
                <wp:wrapNone/>
                <wp:docPr id="166" name="文本框 166"/>
                <wp:cNvGraphicFramePr/>
                <a:graphic xmlns:a="http://schemas.openxmlformats.org/drawingml/2006/main">
                  <a:graphicData uri="http://schemas.microsoft.com/office/word/2010/wordprocessingShape">
                    <wps:wsp>
                      <wps:cNvSpPr txBox="1"/>
                      <wps:spPr>
                        <a:xfrm>
                          <a:off x="0" y="0"/>
                          <a:ext cx="266700" cy="15811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default" w:eastAsia="黑体"/>
                                <w:sz w:val="21"/>
                                <w:szCs w:val="21"/>
                                <w:lang w:val="en-US" w:eastAsia="zh-CN"/>
                              </w:rPr>
                            </w:pPr>
                            <w:r>
                              <w:rPr>
                                <w:rFonts w:hint="eastAsia"/>
                                <w:sz w:val="21"/>
                                <w:szCs w:val="21"/>
                                <w:lang w:val="en-US" w:eastAsia="zh-CN"/>
                              </w:rPr>
                              <w:t>巴彦县燊缘无害化处理有限公司</w:t>
                            </w:r>
                          </w:p>
                        </w:txbxContent>
                      </wps:txbx>
                      <wps:bodyPr lIns="0" tIns="0" rIns="0" bIns="0" upright="1"/>
                    </wps:wsp>
                  </a:graphicData>
                </a:graphic>
              </wp:anchor>
            </w:drawing>
          </mc:Choice>
          <mc:Fallback>
            <w:pict>
              <v:shape id="_x0000_s1026" o:spid="_x0000_s1026" o:spt="202" type="#_x0000_t202" style="position:absolute;left:0pt;margin-left:-9pt;margin-top:202.8pt;height:124.5pt;width:21pt;z-index:251847680;mso-width-relative:page;mso-height-relative:page;" fillcolor="#FFFFFF" filled="t" stroked="t" coordsize="21600,21600" o:gfxdata="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LYe7P/ZAAAA&#10;CgEAAA8AAAAAAAAAAQAgAAAAIgAAAGRycy9kb3ducmV2LnhtbFBLAQIUABQAAAAIAIdO4kCUJujH&#10;HAIAAF4EAAAOAAAAAAAAAAEAIAAAACg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default" w:eastAsia="黑体"/>
                          <w:sz w:val="21"/>
                          <w:szCs w:val="21"/>
                          <w:lang w:val="en-US" w:eastAsia="zh-CN"/>
                        </w:rPr>
                      </w:pPr>
                      <w:r>
                        <w:rPr>
                          <w:rFonts w:hint="eastAsia"/>
                          <w:sz w:val="21"/>
                          <w:szCs w:val="21"/>
                          <w:lang w:val="en-US" w:eastAsia="zh-CN"/>
                        </w:rPr>
                        <w:t>巴彦县燊缘无害化处理有限公司</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43584" behindDoc="0" locked="0" layoutInCell="1" allowOverlap="1">
                <wp:simplePos x="0" y="0"/>
                <wp:positionH relativeFrom="column">
                  <wp:posOffset>4381500</wp:posOffset>
                </wp:positionH>
                <wp:positionV relativeFrom="paragraph">
                  <wp:posOffset>169545</wp:posOffset>
                </wp:positionV>
                <wp:extent cx="571500" cy="256540"/>
                <wp:effectExtent l="4445" t="4445" r="14605" b="5715"/>
                <wp:wrapNone/>
                <wp:docPr id="167" name="文本框 167"/>
                <wp:cNvGraphicFramePr/>
                <a:graphic xmlns:a="http://schemas.openxmlformats.org/drawingml/2006/main">
                  <a:graphicData uri="http://schemas.microsoft.com/office/word/2010/wordprocessingShape">
                    <wps:wsp>
                      <wps:cNvSpPr txBox="1"/>
                      <wps:spPr>
                        <a:xfrm>
                          <a:off x="0" y="0"/>
                          <a:ext cx="5715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吊挂</w:t>
                            </w:r>
                          </w:p>
                        </w:txbxContent>
                      </wps:txbx>
                      <wps:bodyPr lIns="0" tIns="0" rIns="0" bIns="0" upright="1"/>
                    </wps:wsp>
                  </a:graphicData>
                </a:graphic>
              </wp:anchor>
            </w:drawing>
          </mc:Choice>
          <mc:Fallback>
            <w:pict>
              <v:shape id="_x0000_s1026" o:spid="_x0000_s1026" o:spt="202" type="#_x0000_t202" style="position:absolute;left:0pt;margin-left:345pt;margin-top:13.35pt;height:20.2pt;width:45pt;z-index:251843584;mso-width-relative:page;mso-height-relative:page;" fillcolor="#FFFFFF" filled="t" stroked="t" coordsize="21600,21600" o:gfxdata="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QTiq71wAAAAkB&#10;AAAPAAAAAAAAAAEAIAAAACIAAABkcnMvZG93bnJldi54bWxQSwECFAAUAAAACACHTuJAcJPX1RwC&#10;AABdBAAADgAAAAAAAAABACAAAAAmAQAAZHJzL2Uyb0RvYy54bWxQSwUGAAAAAAYABgBZAQAAtAUA&#10;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吊挂</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40512" behindDoc="0" locked="0" layoutInCell="1" allowOverlap="1">
                <wp:simplePos x="0" y="0"/>
                <wp:positionH relativeFrom="column">
                  <wp:posOffset>847725</wp:posOffset>
                </wp:positionH>
                <wp:positionV relativeFrom="paragraph">
                  <wp:posOffset>156210</wp:posOffset>
                </wp:positionV>
                <wp:extent cx="1000125" cy="256540"/>
                <wp:effectExtent l="4445" t="5080" r="5080" b="5080"/>
                <wp:wrapNone/>
                <wp:docPr id="168" name="文本框 168"/>
                <wp:cNvGraphicFramePr/>
                <a:graphic xmlns:a="http://schemas.openxmlformats.org/drawingml/2006/main">
                  <a:graphicData uri="http://schemas.microsoft.com/office/word/2010/wordprocessingShape">
                    <wps:wsp>
                      <wps:cNvSpPr txBox="1"/>
                      <wps:spPr>
                        <a:xfrm>
                          <a:off x="0" y="0"/>
                          <a:ext cx="100012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侯宰休息、检查</w:t>
                            </w:r>
                          </w:p>
                        </w:txbxContent>
                      </wps:txbx>
                      <wps:bodyPr lIns="0" tIns="0" rIns="0" bIns="0" upright="1"/>
                    </wps:wsp>
                  </a:graphicData>
                </a:graphic>
              </wp:anchor>
            </w:drawing>
          </mc:Choice>
          <mc:Fallback>
            <w:pict>
              <v:shape id="_x0000_s1026" o:spid="_x0000_s1026" o:spt="202" type="#_x0000_t202" style="position:absolute;left:0pt;margin-left:66.75pt;margin-top:12.3pt;height:20.2pt;width:78.75pt;z-index:251840512;mso-width-relative:page;mso-height-relative:page;" fillcolor="#FFFFFF" filled="t" stroked="t" coordsize="21600,21600" o:gfxdata="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GedaJ2AAAAAkB&#10;AAAPAAAAAAAAAAEAIAAAACIAAABkcnMvZG93bnJldi54bWxQSwECFAAUAAAACACHTuJASZUDnRsC&#10;AABeBAAADgAAAAAAAAABACAAAAAnAQAAZHJzL2Uyb0RvYy54bWxQSwUGAAAAAAYABgBZAQAAtAUA&#10;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侯宰休息、检查</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12864" behindDoc="0" locked="0" layoutInCell="1" allowOverlap="1">
                <wp:simplePos x="0" y="0"/>
                <wp:positionH relativeFrom="column">
                  <wp:posOffset>-201930</wp:posOffset>
                </wp:positionH>
                <wp:positionV relativeFrom="paragraph">
                  <wp:posOffset>139700</wp:posOffset>
                </wp:positionV>
                <wp:extent cx="754380" cy="256540"/>
                <wp:effectExtent l="4445" t="4445" r="22225" b="5715"/>
                <wp:wrapNone/>
                <wp:docPr id="170" name="文本框 170"/>
                <wp:cNvGraphicFramePr/>
                <a:graphic xmlns:a="http://schemas.openxmlformats.org/drawingml/2006/main">
                  <a:graphicData uri="http://schemas.microsoft.com/office/word/2010/wordprocessingShape">
                    <wps:wsp>
                      <wps:cNvSpPr txBox="1"/>
                      <wps:spPr>
                        <a:xfrm>
                          <a:off x="0" y="0"/>
                          <a:ext cx="75438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进厂检疫</w:t>
                            </w:r>
                          </w:p>
                        </w:txbxContent>
                      </wps:txbx>
                      <wps:bodyPr lIns="0" tIns="0" rIns="0" bIns="0" upright="1"/>
                    </wps:wsp>
                  </a:graphicData>
                </a:graphic>
              </wp:anchor>
            </w:drawing>
          </mc:Choice>
          <mc:Fallback>
            <w:pict>
              <v:shape id="_x0000_s1026" o:spid="_x0000_s1026" o:spt="202" type="#_x0000_t202" style="position:absolute;left:0pt;margin-left:-15.9pt;margin-top:11pt;height:20.2pt;width:59.4pt;z-index:251812864;mso-width-relative:page;mso-height-relative:page;" fillcolor="#FFFFFF" filled="t" stroked="t" coordsize="21600,21600" o:gfxdata="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NQE3jdgAAAAI&#10;AQAADwAAAAAAAAABACAAAAAiAAAAZHJzL2Rvd25yZXYueG1sUEsBAhQAFAAAAAgAh07iQHU8g8wc&#10;AgAAXQQAAA4AAAAAAAAAAQAgAAAAJw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进厂检疫</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36416" behindDoc="0" locked="0" layoutInCell="1" allowOverlap="1">
                <wp:simplePos x="0" y="0"/>
                <wp:positionH relativeFrom="column">
                  <wp:posOffset>4067175</wp:posOffset>
                </wp:positionH>
                <wp:positionV relativeFrom="paragraph">
                  <wp:posOffset>306705</wp:posOffset>
                </wp:positionV>
                <wp:extent cx="323850" cy="0"/>
                <wp:effectExtent l="0" t="25400" r="0" b="31750"/>
                <wp:wrapNone/>
                <wp:docPr id="172" name="直接连接符 172"/>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20.25pt;margin-top:24.15pt;height:0pt;width:25.5pt;z-index:251836416;mso-width-relative:page;mso-height-relative:page;" filled="f" stroked="t" coordsize="21600,21600" o:gfxdata="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9iWQP1QAAAAkBAAAPAAAAAAAAAAEAIAAAACIAAABkcnMvZG93bnJl&#10;di54bWxQSwECFAAUAAAACACHTuJA3ldk8gACAADoAwAADgAAAAAAAAABACAAAAAk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13888" behindDoc="0" locked="0" layoutInCell="1" allowOverlap="1">
                <wp:simplePos x="0" y="0"/>
                <wp:positionH relativeFrom="column">
                  <wp:posOffset>550545</wp:posOffset>
                </wp:positionH>
                <wp:positionV relativeFrom="paragraph">
                  <wp:posOffset>291465</wp:posOffset>
                </wp:positionV>
                <wp:extent cx="288290" cy="0"/>
                <wp:effectExtent l="0" t="25400" r="16510" b="31750"/>
                <wp:wrapNone/>
                <wp:docPr id="174" name="直接连接符 174"/>
                <wp:cNvGraphicFramePr/>
                <a:graphic xmlns:a="http://schemas.openxmlformats.org/drawingml/2006/main">
                  <a:graphicData uri="http://schemas.microsoft.com/office/word/2010/wordprocessingShape">
                    <wps:wsp>
                      <wps:cNvCnPr/>
                      <wps:spPr>
                        <a:xfrm>
                          <a:off x="0" y="0"/>
                          <a:ext cx="28829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43.35pt;margin-top:22.95pt;height:0pt;width:22.7pt;z-index:251813888;mso-width-relative:page;mso-height-relative:page;" filled="f" stroked="t" coordsize="21600,21600" o:gfxdata="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FhBPE1QAAAAgBAAAPAAAAAAAAAAEAIAAAACIAAABkcnMvZG93bnJl&#10;di54bWxQSwECFAAUAAAACACHTuJA+nuJrwACAADoAwAADgAAAAAAAAABACAAAAAk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20032" behindDoc="0" locked="0" layoutInCell="1" allowOverlap="1">
                <wp:simplePos x="0" y="0"/>
                <wp:positionH relativeFrom="column">
                  <wp:posOffset>1851660</wp:posOffset>
                </wp:positionH>
                <wp:positionV relativeFrom="paragraph">
                  <wp:posOffset>295910</wp:posOffset>
                </wp:positionV>
                <wp:extent cx="321310" cy="635"/>
                <wp:effectExtent l="0" t="24765" r="2540" b="31750"/>
                <wp:wrapNone/>
                <wp:docPr id="176" name="直接连接符 176"/>
                <wp:cNvGraphicFramePr/>
                <a:graphic xmlns:a="http://schemas.openxmlformats.org/drawingml/2006/main">
                  <a:graphicData uri="http://schemas.microsoft.com/office/word/2010/wordprocessingShape">
                    <wps:wsp>
                      <wps:cNvCnPr/>
                      <wps:spPr>
                        <a:xfrm>
                          <a:off x="0" y="0"/>
                          <a:ext cx="321310" cy="635"/>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45.8pt;margin-top:23.3pt;height:0.05pt;width:25.3pt;z-index:251820032;mso-width-relative:page;mso-height-relative:page;" filled="f" stroked="t" coordsize="21600,21600" o:gfxdata="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oaimDdYAAAAJAQAADwAAAAAAAAABACAAAAAiAAAAZHJzL2Rvd25y&#10;ZXYueG1sUEsBAhQAFAAAAAgAh07iQBCDIxIAAgAA6gMAAA4AAAAAAAAAAQAgAAAAJQ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32320" behindDoc="0" locked="0" layoutInCell="1" allowOverlap="1">
                <wp:simplePos x="0" y="0"/>
                <wp:positionH relativeFrom="column">
                  <wp:posOffset>4695825</wp:posOffset>
                </wp:positionH>
                <wp:positionV relativeFrom="paragraph">
                  <wp:posOffset>405765</wp:posOffset>
                </wp:positionV>
                <wp:extent cx="7620" cy="488950"/>
                <wp:effectExtent l="23495" t="0" r="26035" b="6350"/>
                <wp:wrapNone/>
                <wp:docPr id="178" name="直接连接符 178"/>
                <wp:cNvGraphicFramePr/>
                <a:graphic xmlns:a="http://schemas.openxmlformats.org/drawingml/2006/main">
                  <a:graphicData uri="http://schemas.microsoft.com/office/word/2010/wordprocessingShape">
                    <wps:wsp>
                      <wps:cNvCnPr/>
                      <wps:spPr>
                        <a:xfrm flipH="1">
                          <a:off x="0" y="0"/>
                          <a:ext cx="7620" cy="48895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flip:x;margin-left:369.75pt;margin-top:31.95pt;height:38.5pt;width:0.6pt;z-index:251832320;mso-width-relative:page;mso-height-relative:page;" filled="f" stroked="t" coordsize="21600,21600" o:gfxdata="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IFEag2gAAAAoBAAAPAAAAAAAAAAEA&#10;IAAAACIAAABkcnMvZG93bnJldi54bWxQSwECFAAUAAAACACHTuJAwyyJPA0CAAD1AwAADgAAAAAA&#10;AAABACAAAAApAQAAZHJzL2Uyb0RvYy54bWxQSwUGAAAAAAYABgBZAQAAqAUAAAAA&#10;">
                <v:fill on="f" focussize="0,0"/>
                <v:stroke color="#000000" joinstyle="round" endarrow="classic" endarrowwidth="narrow" endarrowlength="long"/>
                <v:imagedata o:title=""/>
                <o:lock v:ext="edit" aspectratio="f"/>
              </v:line>
            </w:pict>
          </mc:Fallback>
        </mc:AlternateContent>
      </w:r>
    </w:p>
    <w:p>
      <w:pPr>
        <w:ind w:firstLine="400" w:firstLineChars="200"/>
        <w:rPr>
          <w:rFonts w:hint="default" w:ascii="Times New Roman" w:hAnsi="Times New Roman" w:cs="Times New Roman"/>
          <w:color w:val="auto"/>
        </w:rPr>
      </w:pPr>
      <w:r>
        <w:rPr>
          <w:rFonts w:hint="default" w:ascii="Times New Roman" w:hAnsi="Times New Roman" w:cs="Times New Roman"/>
          <w:color w:val="auto"/>
          <w:sz w:val="20"/>
        </w:rPr>
        <mc:AlternateContent>
          <mc:Choice Requires="wps">
            <w:drawing>
              <wp:anchor distT="0" distB="0" distL="114300" distR="114300" simplePos="0" relativeHeight="251936768" behindDoc="0" locked="0" layoutInCell="1" allowOverlap="1">
                <wp:simplePos x="0" y="0"/>
                <wp:positionH relativeFrom="column">
                  <wp:posOffset>3705860</wp:posOffset>
                </wp:positionH>
                <wp:positionV relativeFrom="paragraph">
                  <wp:posOffset>127000</wp:posOffset>
                </wp:positionV>
                <wp:extent cx="635" cy="274320"/>
                <wp:effectExtent l="24765" t="0" r="31750" b="11430"/>
                <wp:wrapNone/>
                <wp:docPr id="180" name="直接连接符 180"/>
                <wp:cNvGraphicFramePr/>
                <a:graphic xmlns:a="http://schemas.openxmlformats.org/drawingml/2006/main">
                  <a:graphicData uri="http://schemas.microsoft.com/office/word/2010/wordprocessingShape">
                    <wps:wsp>
                      <wps:cNvCnPr/>
                      <wps:spPr>
                        <a:xfrm>
                          <a:off x="0" y="0"/>
                          <a:ext cx="635" cy="27432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91.8pt;margin-top:10pt;height:21.6pt;width:0.05pt;z-index:251936768;mso-width-relative:page;mso-height-relative:page;" filled="f" stroked="t" coordsize="21600,21600" o:gfxdata="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h5rJC1QAAAAkBAAAPAAAAAAAAAAEAIAAAACIAAABkcnMvZG93&#10;bnJldi54bWxQSwECFAAUAAAACACHTuJAM85hIwMCAADqAwAADgAAAAAAAAABACAAAAAkAQAAZHJz&#10;L2Uyb0RvYy54bWxQSwUGAAAAAAYABgBZAQAAmQ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14912" behindDoc="0" locked="0" layoutInCell="1" allowOverlap="1">
                <wp:simplePos x="0" y="0"/>
                <wp:positionH relativeFrom="column">
                  <wp:posOffset>2562860</wp:posOffset>
                </wp:positionH>
                <wp:positionV relativeFrom="paragraph">
                  <wp:posOffset>127000</wp:posOffset>
                </wp:positionV>
                <wp:extent cx="635" cy="274320"/>
                <wp:effectExtent l="24765" t="0" r="31750" b="11430"/>
                <wp:wrapNone/>
                <wp:docPr id="182" name="直接连接符 182"/>
                <wp:cNvGraphicFramePr/>
                <a:graphic xmlns:a="http://schemas.openxmlformats.org/drawingml/2006/main">
                  <a:graphicData uri="http://schemas.microsoft.com/office/word/2010/wordprocessingShape">
                    <wps:wsp>
                      <wps:cNvCnPr/>
                      <wps:spPr>
                        <a:xfrm>
                          <a:off x="0" y="0"/>
                          <a:ext cx="635" cy="27432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01.8pt;margin-top:10pt;height:21.6pt;width:0.05pt;z-index:251814912;mso-width-relative:page;mso-height-relative:page;" filled="f" stroked="t" coordsize="21600,21600" o:gfxdata="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NBvZ8dUAAAAJAQAADwAAAAAAAAABACAAAAAiAAAAZHJzL2Rv&#10;d25yZXYueG1sUEsBAhQAFAAAAAgAh07iQHBUwIsEAgAA6gMAAA4AAAAAAAAAAQAgAAAAJAEAAGRy&#10;cy9lMm9Eb2MueG1sUEsFBgAAAAAGAAYAWQEAAJo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27200" behindDoc="0" locked="0" layoutInCell="1" allowOverlap="1">
                <wp:simplePos x="0" y="0"/>
                <wp:positionH relativeFrom="column">
                  <wp:posOffset>85725</wp:posOffset>
                </wp:positionH>
                <wp:positionV relativeFrom="paragraph">
                  <wp:posOffset>91440</wp:posOffset>
                </wp:positionV>
                <wp:extent cx="0" cy="2179320"/>
                <wp:effectExtent l="25400" t="0" r="31750" b="11430"/>
                <wp:wrapNone/>
                <wp:docPr id="184" name="直接连接符 184"/>
                <wp:cNvGraphicFramePr/>
                <a:graphic xmlns:a="http://schemas.openxmlformats.org/drawingml/2006/main">
                  <a:graphicData uri="http://schemas.microsoft.com/office/word/2010/wordprocessingShape">
                    <wps:wsp>
                      <wps:cNvCnPr/>
                      <wps:spPr>
                        <a:xfrm>
                          <a:off x="0" y="0"/>
                          <a:ext cx="0" cy="217932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6.75pt;margin-top:7.2pt;height:171.6pt;width:0pt;z-index:251827200;mso-width-relative:page;mso-height-relative:page;" filled="f" stroked="t" coordsize="21600,21600" o:gfxdata="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uwtd3tQAAAAIAQAADwAAAAAAAAABACAAAAAiAAAAZHJzL2Rvd25y&#10;ZXYueG1sUEsBAhQAFAAAAAgAh07iQH6G4g4CAgAA6QMAAA4AAAAAAAAAAQAgAAAAIw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12192" behindDoc="0" locked="0" layoutInCell="1" allowOverlap="1">
                <wp:simplePos x="0" y="0"/>
                <wp:positionH relativeFrom="column">
                  <wp:posOffset>1295400</wp:posOffset>
                </wp:positionH>
                <wp:positionV relativeFrom="paragraph">
                  <wp:posOffset>130810</wp:posOffset>
                </wp:positionV>
                <wp:extent cx="0" cy="297180"/>
                <wp:effectExtent l="25400" t="0" r="31750" b="7620"/>
                <wp:wrapNone/>
                <wp:docPr id="186" name="直接连接符 186"/>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02pt;margin-top:10.3pt;height:23.4pt;width:0pt;z-index:251912192;mso-width-relative:page;mso-height-relative:page;" filled="f" stroked="t" coordsize="21600,21600" o:gfxdata="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UoohONUAAAAJAQAADwAAAAAAAAABACAAAAAiAAAAZHJzL2Rvd25y&#10;ZXYueG1sUEsBAhQAFAAAAAgAh07iQHM/nwg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p>
    <w:p>
      <w:pPr>
        <w:ind w:firstLine="400" w:firstLineChars="200"/>
        <w:rPr>
          <w:rFonts w:hint="default" w:ascii="Times New Roman" w:hAnsi="Times New Roman" w:cs="Times New Roman"/>
          <w:color w:val="auto"/>
        </w:rPr>
      </w:pPr>
      <w:r>
        <w:rPr>
          <w:rFonts w:hint="default" w:ascii="Times New Roman" w:hAnsi="Times New Roman" w:cs="Times New Roman"/>
          <w:color w:val="auto"/>
          <w:sz w:val="20"/>
        </w:rPr>
        <mc:AlternateContent>
          <mc:Choice Requires="wps">
            <w:drawing>
              <wp:anchor distT="0" distB="0" distL="114300" distR="114300" simplePos="0" relativeHeight="251937792" behindDoc="0" locked="0" layoutInCell="1" allowOverlap="1">
                <wp:simplePos x="0" y="0"/>
                <wp:positionH relativeFrom="column">
                  <wp:posOffset>3305175</wp:posOffset>
                </wp:positionH>
                <wp:positionV relativeFrom="paragraph">
                  <wp:posOffset>184785</wp:posOffset>
                </wp:positionV>
                <wp:extent cx="800100" cy="260350"/>
                <wp:effectExtent l="0" t="0" r="0" b="0"/>
                <wp:wrapNone/>
                <wp:docPr id="188" name="文本框 188"/>
                <wp:cNvGraphicFramePr/>
                <a:graphic xmlns:a="http://schemas.openxmlformats.org/drawingml/2006/main">
                  <a:graphicData uri="http://schemas.microsoft.com/office/word/2010/wordprocessingShape">
                    <wps:wsp>
                      <wps:cNvSpPr txBox="1"/>
                      <wps:spPr>
                        <a:xfrm>
                          <a:off x="0" y="0"/>
                          <a:ext cx="800100" cy="260350"/>
                        </a:xfrm>
                        <a:prstGeom prst="rect">
                          <a:avLst/>
                        </a:prstGeom>
                        <a:noFill/>
                        <a:ln>
                          <a:noFill/>
                        </a:ln>
                      </wps:spPr>
                      <wps:txbx>
                        <w:txbxContent>
                          <w:p>
                            <w:pPr>
                              <w:pStyle w:val="15"/>
                              <w:snapToGrid w:val="0"/>
                              <w:jc w:val="center"/>
                              <w:rPr>
                                <w:rFonts w:hint="eastAsia"/>
                              </w:rPr>
                            </w:pPr>
                            <w:r>
                              <w:rPr>
                                <w:rFonts w:hint="eastAsia" w:hAnsi="宋体" w:cs="Arial"/>
                              </w:rPr>
                              <w:t>N</w:t>
                            </w:r>
                            <w:r>
                              <w:rPr>
                                <w:rFonts w:hint="eastAsia"/>
                                <w:b/>
                                <w:i/>
                                <w:vertAlign w:val="subscript"/>
                              </w:rPr>
                              <w:t>1-1</w:t>
                            </w:r>
                          </w:p>
                        </w:txbxContent>
                      </wps:txbx>
                      <wps:bodyPr lIns="0" tIns="0" rIns="0" bIns="0" upright="1"/>
                    </wps:wsp>
                  </a:graphicData>
                </a:graphic>
              </wp:anchor>
            </w:drawing>
          </mc:Choice>
          <mc:Fallback>
            <w:pict>
              <v:shape id="_x0000_s1026" o:spid="_x0000_s1026" o:spt="202" type="#_x0000_t202" style="position:absolute;left:0pt;margin-left:260.25pt;margin-top:14.55pt;height:20.5pt;width:63pt;z-index:251937792;mso-width-relative:page;mso-height-relative:page;" filled="f" stroked="f" coordsize="21600,21600" o:gfxdata="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FO7nlnYAAAACQEAAA8AAAAAAAAAAQAgAAAAIgAAAGRycy9kb3ducmV2LnhtbFBLAQIU&#10;ABQAAAAIAIdO4kA9u38KugEAAHUDAAAOAAAAAAAAAAEAIAAAACcBAABkcnMvZTJvRG9jLnhtbFBL&#10;BQYAAAAABgAGAFkBAABTBQAAAAA=&#10;">
                <v:fill on="f" focussize="0,0"/>
                <v:stroke on="f"/>
                <v:imagedata o:title=""/>
                <o:lock v:ext="edit" aspectratio="f"/>
                <v:textbox inset="0mm,0mm,0mm,0mm">
                  <w:txbxContent>
                    <w:p>
                      <w:pPr>
                        <w:pStyle w:val="15"/>
                        <w:snapToGrid w:val="0"/>
                        <w:jc w:val="center"/>
                        <w:rPr>
                          <w:rFonts w:hint="eastAsia"/>
                        </w:rPr>
                      </w:pPr>
                      <w:r>
                        <w:rPr>
                          <w:rFonts w:hint="eastAsia" w:hAnsi="宋体" w:cs="Arial"/>
                        </w:rPr>
                        <w:t>N</w:t>
                      </w:r>
                      <w:r>
                        <w:rPr>
                          <w:rFonts w:hint="eastAsia"/>
                          <w:b/>
                          <w:i/>
                          <w:vertAlign w:val="subscript"/>
                        </w:rPr>
                        <w:t>1-1</w:t>
                      </w:r>
                    </w:p>
                  </w:txbxContent>
                </v:textbox>
              </v:shape>
            </w:pict>
          </mc:Fallback>
        </mc:AlternateContent>
      </w:r>
      <w:r>
        <w:rPr>
          <w:rFonts w:hint="default" w:ascii="Times New Roman" w:hAnsi="Times New Roman" w:cs="Times New Roman"/>
          <w:color w:val="auto"/>
          <w:sz w:val="20"/>
          <w:highlight w:val="magenta"/>
        </w:rPr>
        <mc:AlternateContent>
          <mc:Choice Requires="wps">
            <w:drawing>
              <wp:anchor distT="0" distB="0" distL="114300" distR="114300" simplePos="0" relativeHeight="251819008" behindDoc="0" locked="0" layoutInCell="1" allowOverlap="1">
                <wp:simplePos x="0" y="0"/>
                <wp:positionH relativeFrom="column">
                  <wp:posOffset>2352675</wp:posOffset>
                </wp:positionH>
                <wp:positionV relativeFrom="paragraph">
                  <wp:posOffset>156210</wp:posOffset>
                </wp:positionV>
                <wp:extent cx="466725" cy="327660"/>
                <wp:effectExtent l="0" t="0" r="0" b="0"/>
                <wp:wrapNone/>
                <wp:docPr id="190" name="文本框 190"/>
                <wp:cNvGraphicFramePr/>
                <a:graphic xmlns:a="http://schemas.openxmlformats.org/drawingml/2006/main">
                  <a:graphicData uri="http://schemas.microsoft.com/office/word/2010/wordprocessingShape">
                    <wps:wsp>
                      <wps:cNvSpPr txBox="1"/>
                      <wps:spPr>
                        <a:xfrm>
                          <a:off x="0" y="0"/>
                          <a:ext cx="466725" cy="327660"/>
                        </a:xfrm>
                        <a:prstGeom prst="rect">
                          <a:avLst/>
                        </a:prstGeom>
                        <a:noFill/>
                        <a:ln>
                          <a:noFill/>
                        </a:ln>
                      </wps:spPr>
                      <wps:txbx>
                        <w:txbxContent>
                          <w:p>
                            <w:pPr>
                              <w:pStyle w:val="15"/>
                              <w:snapToGrid w:val="0"/>
                              <w:jc w:val="center"/>
                              <w:rPr>
                                <w:rFonts w:hint="eastAsia"/>
                              </w:rPr>
                            </w:pPr>
                            <w:r>
                              <w:rPr>
                                <w:rFonts w:hint="eastAsia"/>
                              </w:rPr>
                              <w:t>W</w:t>
                            </w:r>
                            <w:r>
                              <w:rPr>
                                <w:rFonts w:hint="eastAsia"/>
                                <w:b/>
                                <w:i/>
                                <w:vertAlign w:val="subscript"/>
                              </w:rPr>
                              <w:t>1-2</w:t>
                            </w:r>
                          </w:p>
                        </w:txbxContent>
                      </wps:txbx>
                      <wps:bodyPr lIns="0" tIns="0" rIns="0" bIns="0" upright="1"/>
                    </wps:wsp>
                  </a:graphicData>
                </a:graphic>
              </wp:anchor>
            </w:drawing>
          </mc:Choice>
          <mc:Fallback>
            <w:pict>
              <v:shape id="_x0000_s1026" o:spid="_x0000_s1026" o:spt="202" type="#_x0000_t202" style="position:absolute;left:0pt;margin-left:185.25pt;margin-top:12.3pt;height:25.8pt;width:36.75pt;z-index:251819008;mso-width-relative:page;mso-height-relative:page;" filled="f" stroked="f" coordsize="21600,21600" o:gfxdata="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3Ak9kAAAAJAQAADwAAAAAAAAABACAAAAAiAAAAZHJzL2Rvd25yZXYueG1sUEsB&#10;AhQAFAAAAAgAh07iQHVQIe+7AQAAdQMAAA4AAAAAAAAAAQAgAAAAKAEAAGRycy9lMm9Eb2MueG1s&#10;UEsFBgAAAAAGAAYAWQEAAFUFAAAAAA==&#10;">
                <v:fill on="f" focussize="0,0"/>
                <v:stroke on="f"/>
                <v:imagedata o:title=""/>
                <o:lock v:ext="edit" aspectratio="f"/>
                <v:textbox inset="0mm,0mm,0mm,0mm">
                  <w:txbxContent>
                    <w:p>
                      <w:pPr>
                        <w:pStyle w:val="15"/>
                        <w:snapToGrid w:val="0"/>
                        <w:jc w:val="center"/>
                        <w:rPr>
                          <w:rFonts w:hint="eastAsia"/>
                        </w:rPr>
                      </w:pPr>
                      <w:r>
                        <w:rPr>
                          <w:rFonts w:hint="eastAsia"/>
                        </w:rPr>
                        <w:t>W</w:t>
                      </w:r>
                      <w:r>
                        <w:rPr>
                          <w:rFonts w:hint="eastAsia"/>
                          <w:b/>
                          <w:i/>
                          <w:vertAlign w:val="subscript"/>
                        </w:rPr>
                        <w:t>1-2</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22080" behindDoc="0" locked="0" layoutInCell="1" allowOverlap="1">
                <wp:simplePos x="0" y="0"/>
                <wp:positionH relativeFrom="column">
                  <wp:posOffset>816610</wp:posOffset>
                </wp:positionH>
                <wp:positionV relativeFrom="paragraph">
                  <wp:posOffset>160020</wp:posOffset>
                </wp:positionV>
                <wp:extent cx="993140" cy="329565"/>
                <wp:effectExtent l="0" t="0" r="0" b="0"/>
                <wp:wrapNone/>
                <wp:docPr id="192" name="文本框 192"/>
                <wp:cNvGraphicFramePr/>
                <a:graphic xmlns:a="http://schemas.openxmlformats.org/drawingml/2006/main">
                  <a:graphicData uri="http://schemas.microsoft.com/office/word/2010/wordprocessingShape">
                    <wps:wsp>
                      <wps:cNvSpPr txBox="1"/>
                      <wps:spPr>
                        <a:xfrm>
                          <a:off x="0" y="0"/>
                          <a:ext cx="993140" cy="329565"/>
                        </a:xfrm>
                        <a:prstGeom prst="rect">
                          <a:avLst/>
                        </a:prstGeom>
                        <a:noFill/>
                        <a:ln>
                          <a:noFill/>
                        </a:ln>
                      </wps:spPr>
                      <wps:txbx>
                        <w:txbxContent>
                          <w:p>
                            <w:pPr>
                              <w:pStyle w:val="15"/>
                              <w:snapToGrid w:val="0"/>
                              <w:jc w:val="center"/>
                              <w:rPr>
                                <w:rFonts w:hint="eastAsia"/>
                              </w:rPr>
                            </w:pPr>
                            <w:r>
                              <w:rPr>
                                <w:rFonts w:hint="eastAsia"/>
                              </w:rPr>
                              <w:t>G</w:t>
                            </w:r>
                            <w:r>
                              <w:rPr>
                                <w:rFonts w:hint="eastAsia"/>
                                <w:b/>
                                <w:i/>
                                <w:vertAlign w:val="subscript"/>
                              </w:rPr>
                              <w:t>1-1</w:t>
                            </w:r>
                            <w:r>
                              <w:rPr>
                                <w:rFonts w:hint="eastAsia"/>
                              </w:rPr>
                              <w:t>S</w:t>
                            </w:r>
                            <w:r>
                              <w:rPr>
                                <w:rFonts w:hint="eastAsia"/>
                                <w:b/>
                                <w:i/>
                                <w:vertAlign w:val="subscript"/>
                              </w:rPr>
                              <w:t>1-1</w:t>
                            </w:r>
                            <w:r>
                              <w:rPr>
                                <w:rFonts w:hint="eastAsia"/>
                              </w:rPr>
                              <w:t>W</w:t>
                            </w:r>
                            <w:r>
                              <w:rPr>
                                <w:rFonts w:hint="eastAsia"/>
                                <w:b/>
                                <w:i/>
                                <w:vertAlign w:val="subscript"/>
                              </w:rPr>
                              <w:t>1-1</w:t>
                            </w:r>
                          </w:p>
                        </w:txbxContent>
                      </wps:txbx>
                      <wps:bodyPr lIns="0" tIns="0" rIns="0" bIns="0" upright="1"/>
                    </wps:wsp>
                  </a:graphicData>
                </a:graphic>
              </wp:anchor>
            </w:drawing>
          </mc:Choice>
          <mc:Fallback>
            <w:pict>
              <v:shape id="_x0000_s1026" o:spid="_x0000_s1026" o:spt="202" type="#_x0000_t202" style="position:absolute;left:0pt;margin-left:64.3pt;margin-top:12.6pt;height:25.95pt;width:78.2pt;z-index:251822080;mso-width-relative:page;mso-height-relative:page;" filled="f" stroked="f" coordsize="21600,21600" o:gfxdata="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Fvz5nfXAAAACQEAAA8AAAAAAAAAAQAgAAAAIgAAAGRycy9kb3ducmV2LnhtbFBLAQIU&#10;ABQAAAAIAIdO4kDapHNWuwEAAHUDAAAOAAAAAAAAAAEAIAAAACYBAABkcnMvZTJvRG9jLnhtbFBL&#10;BQYAAAAABgAGAFkBAABTBQAAAAA=&#10;">
                <v:fill on="f" focussize="0,0"/>
                <v:stroke on="f"/>
                <v:imagedata o:title=""/>
                <o:lock v:ext="edit" aspectratio="f"/>
                <v:textbox inset="0mm,0mm,0mm,0mm">
                  <w:txbxContent>
                    <w:p>
                      <w:pPr>
                        <w:pStyle w:val="15"/>
                        <w:snapToGrid w:val="0"/>
                        <w:jc w:val="center"/>
                        <w:rPr>
                          <w:rFonts w:hint="eastAsia"/>
                        </w:rPr>
                      </w:pPr>
                      <w:r>
                        <w:rPr>
                          <w:rFonts w:hint="eastAsia"/>
                        </w:rPr>
                        <w:t>G</w:t>
                      </w:r>
                      <w:r>
                        <w:rPr>
                          <w:rFonts w:hint="eastAsia"/>
                          <w:b/>
                          <w:i/>
                          <w:vertAlign w:val="subscript"/>
                        </w:rPr>
                        <w:t>1-1</w:t>
                      </w:r>
                      <w:r>
                        <w:rPr>
                          <w:rFonts w:hint="eastAsia"/>
                        </w:rPr>
                        <w:t>S</w:t>
                      </w:r>
                      <w:r>
                        <w:rPr>
                          <w:rFonts w:hint="eastAsia"/>
                          <w:b/>
                          <w:i/>
                          <w:vertAlign w:val="subscript"/>
                        </w:rPr>
                        <w:t>1-1</w:t>
                      </w:r>
                      <w:r>
                        <w:rPr>
                          <w:rFonts w:hint="eastAsia"/>
                        </w:rPr>
                        <w:t>W</w:t>
                      </w:r>
                      <w:r>
                        <w:rPr>
                          <w:rFonts w:hint="eastAsia"/>
                          <w:b/>
                          <w:i/>
                          <w:vertAlign w:val="subscript"/>
                        </w:rPr>
                        <w:t>1-1</w:t>
                      </w:r>
                    </w:p>
                  </w:txbxContent>
                </v:textbox>
              </v:shape>
            </w:pict>
          </mc:Fallback>
        </mc:AlternateContent>
      </w:r>
    </w:p>
    <w:p>
      <w:pPr>
        <w:ind w:firstLine="400" w:firstLineChars="200"/>
        <w:rPr>
          <w:rFonts w:hint="default" w:ascii="Times New Roman" w:hAnsi="Times New Roman" w:cs="Times New Roman"/>
          <w:color w:val="auto"/>
        </w:rPr>
      </w:pPr>
      <w:r>
        <w:rPr>
          <w:rFonts w:hint="default" w:ascii="Times New Roman" w:hAnsi="Times New Roman" w:cs="Times New Roman"/>
          <w:color w:val="auto"/>
          <w:sz w:val="20"/>
        </w:rPr>
        <mc:AlternateContent>
          <mc:Choice Requires="wps">
            <w:drawing>
              <wp:anchor distT="0" distB="0" distL="114300" distR="114300" simplePos="0" relativeHeight="251932672" behindDoc="0" locked="0" layoutInCell="1" allowOverlap="1">
                <wp:simplePos x="0" y="0"/>
                <wp:positionH relativeFrom="column">
                  <wp:posOffset>-697865</wp:posOffset>
                </wp:positionH>
                <wp:positionV relativeFrom="paragraph">
                  <wp:posOffset>35560</wp:posOffset>
                </wp:positionV>
                <wp:extent cx="993140" cy="329565"/>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993140" cy="329565"/>
                        </a:xfrm>
                        <a:prstGeom prst="rect">
                          <a:avLst/>
                        </a:prstGeom>
                        <a:noFill/>
                        <a:ln>
                          <a:noFill/>
                        </a:ln>
                      </wps:spPr>
                      <wps:txbx>
                        <w:txbxContent>
                          <w:p>
                            <w:pPr>
                              <w:pStyle w:val="15"/>
                              <w:snapToGrid w:val="0"/>
                              <w:jc w:val="center"/>
                              <w:rPr>
                                <w:rFonts w:hint="default"/>
                                <w:lang w:val="en-US"/>
                              </w:rPr>
                            </w:pPr>
                            <w:r>
                              <w:rPr>
                                <w:rFonts w:hint="eastAsia"/>
                              </w:rPr>
                              <w:t>S</w:t>
                            </w:r>
                            <w:r>
                              <w:rPr>
                                <w:rFonts w:hint="eastAsia"/>
                                <w:b/>
                                <w:i/>
                                <w:vertAlign w:val="subscript"/>
                              </w:rPr>
                              <w:t>1-</w:t>
                            </w:r>
                            <w:r>
                              <w:rPr>
                                <w:rFonts w:hint="eastAsia"/>
                                <w:b/>
                                <w:i/>
                                <w:vertAlign w:val="subscript"/>
                                <w:lang w:val="en-US" w:eastAsia="zh-CN"/>
                              </w:rPr>
                              <w:t>8</w:t>
                            </w:r>
                          </w:p>
                        </w:txbxContent>
                      </wps:txbx>
                      <wps:bodyPr lIns="0" tIns="0" rIns="0" bIns="0" upright="1"/>
                    </wps:wsp>
                  </a:graphicData>
                </a:graphic>
              </wp:anchor>
            </w:drawing>
          </mc:Choice>
          <mc:Fallback>
            <w:pict>
              <v:shape id="_x0000_s1026" o:spid="_x0000_s1026" o:spt="202" type="#_x0000_t202" style="position:absolute;left:0pt;margin-left:-54.95pt;margin-top:2.8pt;height:25.95pt;width:78.2pt;z-index:251932672;mso-width-relative:page;mso-height-relative:page;" filled="f" stroked="f" coordsize="21600,21600" o:gfxdata="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UTYHi1wAAAAgBAAAPAAAAAAAAAAEAIAAAACIAAABkcnMvZG93bnJldi54bWxQSwEC&#10;FAAUAAAACACHTuJAPv/vqLwBAAB1AwAADgAAAAAAAAABACAAAAAmAQAAZHJzL2Uyb0RvYy54bWxQ&#10;SwUGAAAAAAYABgBZAQAAVAUAAAAA&#10;">
                <v:fill on="f" focussize="0,0"/>
                <v:stroke on="f"/>
                <v:imagedata o:title=""/>
                <o:lock v:ext="edit" aspectratio="f"/>
                <v:textbox inset="0mm,0mm,0mm,0mm">
                  <w:txbxContent>
                    <w:p>
                      <w:pPr>
                        <w:pStyle w:val="15"/>
                        <w:snapToGrid w:val="0"/>
                        <w:jc w:val="center"/>
                        <w:rPr>
                          <w:rFonts w:hint="default"/>
                          <w:lang w:val="en-US"/>
                        </w:rPr>
                      </w:pPr>
                      <w:r>
                        <w:rPr>
                          <w:rFonts w:hint="eastAsia"/>
                        </w:rPr>
                        <w:t>S</w:t>
                      </w:r>
                      <w:r>
                        <w:rPr>
                          <w:rFonts w:hint="eastAsia"/>
                          <w:b/>
                          <w:i/>
                          <w:vertAlign w:val="subscript"/>
                        </w:rPr>
                        <w:t>1-</w:t>
                      </w:r>
                      <w:r>
                        <w:rPr>
                          <w:rFonts w:hint="eastAsia"/>
                          <w:b/>
                          <w:i/>
                          <w:vertAlign w:val="subscript"/>
                          <w:lang w:val="en-US" w:eastAsia="zh-CN"/>
                        </w:rPr>
                        <w:t>8</w:t>
                      </w:r>
                    </w:p>
                  </w:txbxContent>
                </v:textbox>
              </v:shape>
            </w:pict>
          </mc:Fallback>
        </mc:AlternateContent>
      </w:r>
    </w:p>
    <w:p>
      <w:pPr>
        <w:ind w:firstLine="420" w:firstLineChars="200"/>
        <w:rPr>
          <w:rFonts w:hint="default" w:ascii="Times New Roman" w:hAnsi="Times New Roman" w:cs="Times New Roman"/>
          <w:color w:val="auto"/>
        </w:rPr>
      </w:pPr>
    </w:p>
    <w:p>
      <w:pPr>
        <w:ind w:firstLine="400" w:firstLineChars="200"/>
        <w:rPr>
          <w:rFonts w:hint="default" w:ascii="Times New Roman" w:hAnsi="Times New Roman" w:cs="Times New Roman"/>
          <w:color w:val="auto"/>
        </w:rPr>
      </w:pPr>
      <w:r>
        <w:rPr>
          <w:rFonts w:hint="default" w:ascii="Times New Roman" w:hAnsi="Times New Roman" w:cs="Times New Roman"/>
          <w:color w:val="auto"/>
          <w:sz w:val="20"/>
        </w:rPr>
        <mc:AlternateContent>
          <mc:Choice Requires="wps">
            <w:drawing>
              <wp:anchor distT="0" distB="0" distL="114300" distR="114300" simplePos="0" relativeHeight="251837440" behindDoc="0" locked="0" layoutInCell="1" allowOverlap="1">
                <wp:simplePos x="0" y="0"/>
                <wp:positionH relativeFrom="column">
                  <wp:posOffset>326390</wp:posOffset>
                </wp:positionH>
                <wp:positionV relativeFrom="paragraph">
                  <wp:posOffset>147320</wp:posOffset>
                </wp:positionV>
                <wp:extent cx="607695" cy="8890"/>
                <wp:effectExtent l="0" t="18415" r="1905" b="29845"/>
                <wp:wrapNone/>
                <wp:docPr id="194" name="直接连接符 194"/>
                <wp:cNvGraphicFramePr/>
                <a:graphic xmlns:a="http://schemas.openxmlformats.org/drawingml/2006/main">
                  <a:graphicData uri="http://schemas.microsoft.com/office/word/2010/wordprocessingShape">
                    <wps:wsp>
                      <wps:cNvCnPr>
                        <a:stCxn id="206" idx="1"/>
                      </wps:cNvCnPr>
                      <wps:spPr>
                        <a:xfrm flipH="1">
                          <a:off x="0" y="0"/>
                          <a:ext cx="607695" cy="889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flip:x;margin-left:25.7pt;margin-top:11.6pt;height:0.7pt;width:47.85pt;z-index:251837440;mso-width-relative:page;mso-height-relative:page;" filled="f" stroked="t" coordsize="21600,21600" o:gfxdata="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252OjNcAAAAIAQAA&#10;DwAAAAAAAAABACAAAAAiAAAAZHJzL2Rvd25yZXYueG1sUEsBAhQAFAAAAAgAh07iQMcOnFkaAgAA&#10;HQQAAA4AAAAAAAAAAQAgAAAAJgEAAGRycy9lMm9Eb2MueG1sUEsFBgAAAAAGAAYAWQEAALIFAAAA&#10;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860992" behindDoc="0" locked="0" layoutInCell="1" allowOverlap="1">
                <wp:simplePos x="0" y="0"/>
                <wp:positionH relativeFrom="column">
                  <wp:posOffset>4471670</wp:posOffset>
                </wp:positionH>
                <wp:positionV relativeFrom="paragraph">
                  <wp:posOffset>20955</wp:posOffset>
                </wp:positionV>
                <wp:extent cx="495300" cy="256540"/>
                <wp:effectExtent l="4445" t="4445" r="14605" b="5715"/>
                <wp:wrapNone/>
                <wp:docPr id="196" name="文本框 196"/>
                <wp:cNvGraphicFramePr/>
                <a:graphic xmlns:a="http://schemas.openxmlformats.org/drawingml/2006/main">
                  <a:graphicData uri="http://schemas.microsoft.com/office/word/2010/wordprocessingShape">
                    <wps:wsp>
                      <wps:cNvSpPr txBox="1"/>
                      <wps:spPr>
                        <a:xfrm>
                          <a:off x="0" y="0"/>
                          <a:ext cx="4953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放血</w:t>
                            </w:r>
                          </w:p>
                        </w:txbxContent>
                      </wps:txbx>
                      <wps:bodyPr lIns="0" tIns="0" rIns="0" bIns="0" upright="1"/>
                    </wps:wsp>
                  </a:graphicData>
                </a:graphic>
              </wp:anchor>
            </w:drawing>
          </mc:Choice>
          <mc:Fallback>
            <w:pict>
              <v:shape id="_x0000_s1026" o:spid="_x0000_s1026" o:spt="202" type="#_x0000_t202" style="position:absolute;left:0pt;margin-left:352.1pt;margin-top:1.65pt;height:20.2pt;width:39pt;z-index:251860992;mso-width-relative:page;mso-height-relative:page;" fillcolor="#FFFFFF" filled="t" stroked="t" coordsize="21600,21600" o:gfxdata="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UgX4l1wAAAAgB&#10;AAAPAAAAAAAAAAEAIAAAACIAAABkcnMvZG93bnJldi54bWxQSwECFAAUAAAACACHTuJAg2ufRhwC&#10;AABdBAAADgAAAAAAAAABACAAAAAmAQAAZHJzL2Uyb0RvYy54bWxQSwUGAAAAAAYABgBZAQAAtAUA&#10;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放血</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57920" behindDoc="0" locked="0" layoutInCell="1" allowOverlap="1">
                <wp:simplePos x="0" y="0"/>
                <wp:positionH relativeFrom="column">
                  <wp:posOffset>3609975</wp:posOffset>
                </wp:positionH>
                <wp:positionV relativeFrom="paragraph">
                  <wp:posOffset>17145</wp:posOffset>
                </wp:positionV>
                <wp:extent cx="533400" cy="256540"/>
                <wp:effectExtent l="4445" t="4445" r="14605" b="5715"/>
                <wp:wrapNone/>
                <wp:docPr id="198" name="文本框 198"/>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浸烫</w:t>
                            </w:r>
                          </w:p>
                        </w:txbxContent>
                      </wps:txbx>
                      <wps:bodyPr lIns="0" tIns="0" rIns="0" bIns="0" upright="1"/>
                    </wps:wsp>
                  </a:graphicData>
                </a:graphic>
              </wp:anchor>
            </w:drawing>
          </mc:Choice>
          <mc:Fallback>
            <w:pict>
              <v:shape id="_x0000_s1026" o:spid="_x0000_s1026" o:spt="202" type="#_x0000_t202" style="position:absolute;left:0pt;margin-left:284.25pt;margin-top:1.35pt;height:20.2pt;width:42pt;z-index:251857920;mso-width-relative:page;mso-height-relative:page;" fillcolor="#FFFFFF" filled="t" stroked="t" coordsize="21600,21600" o:gfxdata="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Yzad2NcAAAAI&#10;AQAADwAAAAAAAAABACAAAAAiAAAAZHJzL2Rvd25yZXYueG1sUEsBAhQAFAAAAAgAh07iQGXG1HEd&#10;AgAAXQQAAA4AAAAAAAAAAQAgAAAAJg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浸烫</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56896" behindDoc="0" locked="0" layoutInCell="1" allowOverlap="1">
                <wp:simplePos x="0" y="0"/>
                <wp:positionH relativeFrom="column">
                  <wp:posOffset>2797810</wp:posOffset>
                </wp:positionH>
                <wp:positionV relativeFrom="paragraph">
                  <wp:posOffset>20955</wp:posOffset>
                </wp:positionV>
                <wp:extent cx="495300" cy="256540"/>
                <wp:effectExtent l="4445" t="4445" r="14605" b="5715"/>
                <wp:wrapNone/>
                <wp:docPr id="200" name="文本框 200"/>
                <wp:cNvGraphicFramePr/>
                <a:graphic xmlns:a="http://schemas.openxmlformats.org/drawingml/2006/main">
                  <a:graphicData uri="http://schemas.microsoft.com/office/word/2010/wordprocessingShape">
                    <wps:wsp>
                      <wps:cNvSpPr txBox="1"/>
                      <wps:spPr>
                        <a:xfrm>
                          <a:off x="0" y="0"/>
                          <a:ext cx="4953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烫毛</w:t>
                            </w:r>
                          </w:p>
                        </w:txbxContent>
                      </wps:txbx>
                      <wps:bodyPr lIns="0" tIns="0" rIns="0" bIns="0" upright="1"/>
                    </wps:wsp>
                  </a:graphicData>
                </a:graphic>
              </wp:anchor>
            </w:drawing>
          </mc:Choice>
          <mc:Fallback>
            <w:pict>
              <v:shape id="_x0000_s1026" o:spid="_x0000_s1026" o:spt="202" type="#_x0000_t202" style="position:absolute;left:0pt;margin-left:220.3pt;margin-top:1.65pt;height:20.2pt;width:39pt;z-index:251856896;mso-width-relative:page;mso-height-relative:page;" fillcolor="#FFFFFF" filled="t" stroked="t" coordsize="21600,21600" o:gfxdata="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YZ7vPXAAAACAEA&#10;AA8AAAAAAAAAAQAgAAAAIgAAAGRycy9kb3ducmV2LnhtbFBLAQIUABQAAAAIAIdO4kA9gHyOGwIA&#10;AF0EAAAOAAAAAAAAAAEAIAAAACYBAABkcnMvZTJvRG9jLnhtbFBLBQYAAAAABgAGAFkBAACzBQAA&#10;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烫毛</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58944" behindDoc="0" locked="0" layoutInCell="1" allowOverlap="1">
                <wp:simplePos x="0" y="0"/>
                <wp:positionH relativeFrom="column">
                  <wp:posOffset>1771650</wp:posOffset>
                </wp:positionH>
                <wp:positionV relativeFrom="paragraph">
                  <wp:posOffset>26670</wp:posOffset>
                </wp:positionV>
                <wp:extent cx="676275" cy="256540"/>
                <wp:effectExtent l="4445" t="4445" r="5080" b="5715"/>
                <wp:wrapNone/>
                <wp:docPr id="202" name="文本框 202"/>
                <wp:cNvGraphicFramePr/>
                <a:graphic xmlns:a="http://schemas.openxmlformats.org/drawingml/2006/main">
                  <a:graphicData uri="http://schemas.microsoft.com/office/word/2010/wordprocessingShape">
                    <wps:wsp>
                      <wps:cNvSpPr txBox="1"/>
                      <wps:spPr>
                        <a:xfrm>
                          <a:off x="0" y="0"/>
                          <a:ext cx="67627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刨毛</w:t>
                            </w:r>
                          </w:p>
                        </w:txbxContent>
                      </wps:txbx>
                      <wps:bodyPr lIns="0" tIns="0" rIns="0" bIns="0" upright="1"/>
                    </wps:wsp>
                  </a:graphicData>
                </a:graphic>
              </wp:anchor>
            </w:drawing>
          </mc:Choice>
          <mc:Fallback>
            <w:pict>
              <v:shape id="_x0000_s1026" o:spid="_x0000_s1026" o:spt="202" type="#_x0000_t202" style="position:absolute;left:0pt;margin-left:139.5pt;margin-top:2.1pt;height:20.2pt;width:53.25pt;z-index:251858944;mso-width-relative:page;mso-height-relative:page;" fillcolor="#FFFFFF" filled="t" stroked="t" coordsize="21600,21600" o:gfxdata="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X0xJTYAAAA&#10;CAEAAA8AAAAAAAAAAQAgAAAAIgAAAGRycy9kb3ducmV2LnhtbFBLAQIUABQAAAAIAIdO4kD8kuwe&#10;HQIAAF0EAAAOAAAAAAAAAAEAIAAAACc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刨毛</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34368" behindDoc="0" locked="0" layoutInCell="1" allowOverlap="1">
                <wp:simplePos x="0" y="0"/>
                <wp:positionH relativeFrom="column">
                  <wp:posOffset>1432560</wp:posOffset>
                </wp:positionH>
                <wp:positionV relativeFrom="paragraph">
                  <wp:posOffset>147955</wp:posOffset>
                </wp:positionV>
                <wp:extent cx="312420" cy="0"/>
                <wp:effectExtent l="0" t="25400" r="11430" b="31750"/>
                <wp:wrapNone/>
                <wp:docPr id="204" name="直接连接符 204"/>
                <wp:cNvGraphicFramePr/>
                <a:graphic xmlns:a="http://schemas.openxmlformats.org/drawingml/2006/main">
                  <a:graphicData uri="http://schemas.microsoft.com/office/word/2010/wordprocessingShape">
                    <wps:wsp>
                      <wps:cNvCnPr/>
                      <wps:spPr>
                        <a:xfrm rot="10800000">
                          <a:off x="0" y="0"/>
                          <a:ext cx="31242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12.8pt;margin-top:11.65pt;height:0pt;width:24.6pt;rotation:11796480f;z-index:251834368;mso-width-relative:page;mso-height-relative:page;" filled="f" stroked="t" coordsize="21600,21600" o:gfxdata="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jBcuYdgAAAAJAQAADwAAAAAAAAABACAAAAAi&#10;AAAAZHJzL2Rvd25yZXYueG1sUEsBAhQAFAAAAAgAh07iQP86a6IKAgAA9wMAAA4AAAAAAAAAAQAg&#10;AAAAJwEAAGRycy9lMm9Eb2MueG1sUEsFBgAAAAAGAAYAWQEAAKM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59968" behindDoc="0" locked="0" layoutInCell="1" allowOverlap="1">
                <wp:simplePos x="0" y="0"/>
                <wp:positionH relativeFrom="column">
                  <wp:posOffset>934085</wp:posOffset>
                </wp:positionH>
                <wp:positionV relativeFrom="paragraph">
                  <wp:posOffset>19050</wp:posOffset>
                </wp:positionV>
                <wp:extent cx="513715" cy="256540"/>
                <wp:effectExtent l="4445" t="4445" r="15240" b="5715"/>
                <wp:wrapNone/>
                <wp:docPr id="206" name="文本框 206"/>
                <wp:cNvGraphicFramePr/>
                <a:graphic xmlns:a="http://schemas.openxmlformats.org/drawingml/2006/main">
                  <a:graphicData uri="http://schemas.microsoft.com/office/word/2010/wordprocessingShape">
                    <wps:wsp>
                      <wps:cNvSpPr txBox="1"/>
                      <wps:spPr>
                        <a:xfrm>
                          <a:off x="0" y="0"/>
                          <a:ext cx="51371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eastAsia="黑体"/>
                                <w:sz w:val="21"/>
                                <w:szCs w:val="21"/>
                                <w:lang w:eastAsia="zh-CN"/>
                              </w:rPr>
                            </w:pPr>
                            <w:r>
                              <w:rPr>
                                <w:rFonts w:hint="eastAsia"/>
                                <w:sz w:val="21"/>
                                <w:szCs w:val="21"/>
                              </w:rPr>
                              <w:t>修刮</w:t>
                            </w:r>
                          </w:p>
                        </w:txbxContent>
                      </wps:txbx>
                      <wps:bodyPr lIns="0" tIns="0" rIns="0" bIns="0" upright="1"/>
                    </wps:wsp>
                  </a:graphicData>
                </a:graphic>
              </wp:anchor>
            </w:drawing>
          </mc:Choice>
          <mc:Fallback>
            <w:pict>
              <v:shape id="_x0000_s1026" o:spid="_x0000_s1026" o:spt="202" type="#_x0000_t202" style="position:absolute;left:0pt;margin-left:73.55pt;margin-top:1.5pt;height:20.2pt;width:40.45pt;z-index:251859968;mso-width-relative:page;mso-height-relative:page;" fillcolor="#FFFFFF" filled="t" stroked="t" coordsize="21600,21600" o:gfxdata="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4udnG9cAAAAI&#10;AQAADwAAAAAAAAABACAAAAAiAAAAZHJzL2Rvd25yZXYueG1sUEsBAhQAFAAAAAgAh07iQG1Pgd8d&#10;AgAAXQQAAA4AAAAAAAAAAQAgAAAAJg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eastAsia" w:eastAsia="黑体"/>
                          <w:sz w:val="21"/>
                          <w:szCs w:val="21"/>
                          <w:lang w:eastAsia="zh-CN"/>
                        </w:rPr>
                      </w:pPr>
                      <w:r>
                        <w:rPr>
                          <w:rFonts w:hint="eastAsia"/>
                          <w:sz w:val="21"/>
                          <w:szCs w:val="21"/>
                        </w:rPr>
                        <w:t>修刮</w:t>
                      </w:r>
                    </w:p>
                  </w:txbxContent>
                </v:textbox>
              </v:shape>
            </w:pict>
          </mc:Fallback>
        </mc:AlternateContent>
      </w:r>
    </w:p>
    <w:p>
      <w:pPr>
        <w:ind w:firstLine="400" w:firstLineChars="200"/>
        <w:rPr>
          <w:rFonts w:hint="default" w:ascii="Times New Roman" w:hAnsi="Times New Roman" w:cs="Times New Roman"/>
          <w:color w:val="auto"/>
        </w:rPr>
      </w:pPr>
      <w:r>
        <w:rPr>
          <w:rFonts w:hint="default" w:ascii="Times New Roman" w:hAnsi="Times New Roman" w:cs="Times New Roman"/>
          <w:color w:val="auto"/>
          <w:sz w:val="20"/>
        </w:rPr>
        <mc:AlternateContent>
          <mc:Choice Requires="wps">
            <w:drawing>
              <wp:anchor distT="0" distB="0" distL="114300" distR="114300" simplePos="0" relativeHeight="251904000" behindDoc="0" locked="0" layoutInCell="1" allowOverlap="1">
                <wp:simplePos x="0" y="0"/>
                <wp:positionH relativeFrom="column">
                  <wp:posOffset>2981325</wp:posOffset>
                </wp:positionH>
                <wp:positionV relativeFrom="paragraph">
                  <wp:posOffset>145415</wp:posOffset>
                </wp:positionV>
                <wp:extent cx="1270" cy="236855"/>
                <wp:effectExtent l="24765" t="0" r="31115" b="10795"/>
                <wp:wrapNone/>
                <wp:docPr id="208" name="直接连接符 208"/>
                <wp:cNvGraphicFramePr/>
                <a:graphic xmlns:a="http://schemas.openxmlformats.org/drawingml/2006/main">
                  <a:graphicData uri="http://schemas.microsoft.com/office/word/2010/wordprocessingShape">
                    <wps:wsp>
                      <wps:cNvCnPr/>
                      <wps:spPr>
                        <a:xfrm>
                          <a:off x="0" y="0"/>
                          <a:ext cx="1270" cy="236855"/>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34.75pt;margin-top:11.45pt;height:18.65pt;width:0.1pt;z-index:251904000;mso-width-relative:page;mso-height-relative:page;" filled="f" stroked="t" coordsize="21600,21600" o:gfxdata="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ILJk9vWAAAACQEAAA8AAAAAAAAAAQAgAAAAIgAAAGRycy9kb3du&#10;cmV2LnhtbFBLAQIUABQAAAAIAIdO4kDs5JaPAQIAAOsDAAAOAAAAAAAAAAEAIAAAACUBAABkcnMv&#10;ZTJvRG9jLnhtbFBLBQYAAAAABgAGAFkBAACY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01952" behindDoc="0" locked="0" layoutInCell="1" allowOverlap="1">
                <wp:simplePos x="0" y="0"/>
                <wp:positionH relativeFrom="column">
                  <wp:posOffset>2162175</wp:posOffset>
                </wp:positionH>
                <wp:positionV relativeFrom="paragraph">
                  <wp:posOffset>151130</wp:posOffset>
                </wp:positionV>
                <wp:extent cx="635" cy="238760"/>
                <wp:effectExtent l="25400" t="0" r="31115" b="8890"/>
                <wp:wrapNone/>
                <wp:docPr id="210" name="直接连接符 210"/>
                <wp:cNvGraphicFramePr/>
                <a:graphic xmlns:a="http://schemas.openxmlformats.org/drawingml/2006/main">
                  <a:graphicData uri="http://schemas.microsoft.com/office/word/2010/wordprocessingShape">
                    <wps:wsp>
                      <wps:cNvCnPr/>
                      <wps:spPr>
                        <a:xfrm>
                          <a:off x="0" y="0"/>
                          <a:ext cx="635" cy="23876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70.25pt;margin-top:11.9pt;height:18.8pt;width:0.05pt;z-index:251901952;mso-width-relative:page;mso-height-relative:page;" filled="f" stroked="t" coordsize="21600,21600" o:gfxdata="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uV+6i1QAAAAkBAAAPAAAAAAAAAAEAIAAAACIAAABkcnMvZG93&#10;bnJldi54bWxQSwECFAAUAAAACACHTuJAkBigwQMCAADqAwAADgAAAAAAAAABACAAAAAkAQAAZHJz&#10;L2Uyb0RvYy54bWxQSwUGAAAAAAYABgBZAQAAmQ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02976" behindDoc="0" locked="0" layoutInCell="1" allowOverlap="1">
                <wp:simplePos x="0" y="0"/>
                <wp:positionH relativeFrom="column">
                  <wp:posOffset>1266825</wp:posOffset>
                </wp:positionH>
                <wp:positionV relativeFrom="paragraph">
                  <wp:posOffset>146050</wp:posOffset>
                </wp:positionV>
                <wp:extent cx="635" cy="224790"/>
                <wp:effectExtent l="25400" t="0" r="31115" b="3810"/>
                <wp:wrapNone/>
                <wp:docPr id="212" name="直接连接符 212"/>
                <wp:cNvGraphicFramePr/>
                <a:graphic xmlns:a="http://schemas.openxmlformats.org/drawingml/2006/main">
                  <a:graphicData uri="http://schemas.microsoft.com/office/word/2010/wordprocessingShape">
                    <wps:wsp>
                      <wps:cNvCnPr/>
                      <wps:spPr>
                        <a:xfrm>
                          <a:off x="0" y="0"/>
                          <a:ext cx="635" cy="22479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99.75pt;margin-top:11.5pt;height:17.7pt;width:0.05pt;z-index:251902976;mso-width-relative:page;mso-height-relative:page;" filled="f" stroked="t" coordsize="21600,21600" o:gfxdata="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BoMMHWAAAACQEAAA8AAAAAAAAAAQAgAAAAIgAAAGRycy9k&#10;b3ducmV2LnhtbFBLAQIUABQAAAAIAIdO4kCqarmyBAIAAOoDAAAOAAAAAAAAAAEAIAAAACUBAABk&#10;cnMvZTJvRG9jLnhtbFBLBQYAAAAABgAGAFkBAACb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67136" behindDoc="0" locked="0" layoutInCell="1" allowOverlap="1">
                <wp:simplePos x="0" y="0"/>
                <wp:positionH relativeFrom="column">
                  <wp:posOffset>364490</wp:posOffset>
                </wp:positionH>
                <wp:positionV relativeFrom="paragraph">
                  <wp:posOffset>-6985</wp:posOffset>
                </wp:positionV>
                <wp:extent cx="2540" cy="733425"/>
                <wp:effectExtent l="23495" t="0" r="31115" b="9525"/>
                <wp:wrapNone/>
                <wp:docPr id="214" name="直接连接符 214"/>
                <wp:cNvGraphicFramePr/>
                <a:graphic xmlns:a="http://schemas.openxmlformats.org/drawingml/2006/main">
                  <a:graphicData uri="http://schemas.microsoft.com/office/word/2010/wordprocessingShape">
                    <wps:wsp>
                      <wps:cNvCnPr/>
                      <wps:spPr>
                        <a:xfrm>
                          <a:off x="0" y="0"/>
                          <a:ext cx="2540" cy="733425"/>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8.7pt;margin-top:-0.55pt;height:57.75pt;width:0.2pt;z-index:251867136;mso-width-relative:page;mso-height-relative:page;" filled="f" stroked="t" coordsize="21600,21600" o:gfxdata="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EVAnWLVAAAACAEAAA8AAAAAAAAAAQAgAAAAIgAAAGRycy9kb3du&#10;cmV2LnhtbFBLAQIUABQAAAAIAIdO4kAlCTaQAgIAAOsDAAAOAAAAAAAAAAEAIAAAACQBAABkcnMv&#10;ZTJvRG9jLnhtbFBLBQYAAAAABgAGAFkBAACY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33344" behindDoc="0" locked="0" layoutInCell="1" allowOverlap="1">
                <wp:simplePos x="0" y="0"/>
                <wp:positionH relativeFrom="column">
                  <wp:posOffset>2442210</wp:posOffset>
                </wp:positionH>
                <wp:positionV relativeFrom="paragraph">
                  <wp:posOffset>1905</wp:posOffset>
                </wp:positionV>
                <wp:extent cx="313055" cy="0"/>
                <wp:effectExtent l="0" t="25400" r="10795" b="31750"/>
                <wp:wrapNone/>
                <wp:docPr id="216" name="直接连接符 216"/>
                <wp:cNvGraphicFramePr/>
                <a:graphic xmlns:a="http://schemas.openxmlformats.org/drawingml/2006/main">
                  <a:graphicData uri="http://schemas.microsoft.com/office/word/2010/wordprocessingShape">
                    <wps:wsp>
                      <wps:cNvCnPr/>
                      <wps:spPr>
                        <a:xfrm rot="10800000">
                          <a:off x="0" y="0"/>
                          <a:ext cx="313055"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92.3pt;margin-top:0.15pt;height:0pt;width:24.65pt;rotation:11796480f;z-index:251833344;mso-width-relative:page;mso-height-relative:page;" filled="f" stroked="t" coordsize="21600,21600" o:gfxdata="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kV9PM1AAAAAUBAAAPAAAAAAAAAAEAIAAAACIAAABk&#10;cnMvZG93bnJldi54bWxQSwECFAAUAAAACACHTuJAw09EJQoCAAD3AwAADgAAAAAAAAABACAAAAAj&#10;AQAAZHJzL2Uyb0RvYy54bWxQSwUGAAAAAAYABgBZAQAAnw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26176" behindDoc="0" locked="0" layoutInCell="1" allowOverlap="1">
                <wp:simplePos x="0" y="0"/>
                <wp:positionH relativeFrom="column">
                  <wp:posOffset>3305175</wp:posOffset>
                </wp:positionH>
                <wp:positionV relativeFrom="paragraph">
                  <wp:posOffset>6985</wp:posOffset>
                </wp:positionV>
                <wp:extent cx="288290" cy="0"/>
                <wp:effectExtent l="0" t="25400" r="16510" b="31750"/>
                <wp:wrapNone/>
                <wp:docPr id="217" name="直接连接符 217"/>
                <wp:cNvGraphicFramePr/>
                <a:graphic xmlns:a="http://schemas.openxmlformats.org/drawingml/2006/main">
                  <a:graphicData uri="http://schemas.microsoft.com/office/word/2010/wordprocessingShape">
                    <wps:wsp>
                      <wps:cNvCnPr/>
                      <wps:spPr>
                        <a:xfrm rot="10800000">
                          <a:off x="0" y="0"/>
                          <a:ext cx="28829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60.25pt;margin-top:0.55pt;height:0pt;width:22.7pt;rotation:11796480f;z-index:251826176;mso-width-relative:page;mso-height-relative:page;" filled="f" stroked="t" coordsize="21600,21600" o:gfxdata="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8YYHCNUAAAAHAQAADwAAAAAAAAABACAAAAAiAAAA&#10;ZHJzL2Rvd25yZXYueG1sUEsBAhQAFAAAAAgAh07iQLZp0pcKAgAA9wMAAA4AAAAAAAAAAQAgAAAA&#10;JAEAAGRycy9lMm9Eb2MueG1sUEsFBgAAAAAGAAYAWQEAAKA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35392" behindDoc="0" locked="0" layoutInCell="1" allowOverlap="1">
                <wp:simplePos x="0" y="0"/>
                <wp:positionH relativeFrom="column">
                  <wp:posOffset>4138930</wp:posOffset>
                </wp:positionH>
                <wp:positionV relativeFrom="paragraph">
                  <wp:posOffset>25400</wp:posOffset>
                </wp:positionV>
                <wp:extent cx="312420" cy="0"/>
                <wp:effectExtent l="0" t="25400" r="11430" b="31750"/>
                <wp:wrapNone/>
                <wp:docPr id="218" name="直接连接符 218"/>
                <wp:cNvGraphicFramePr/>
                <a:graphic xmlns:a="http://schemas.openxmlformats.org/drawingml/2006/main">
                  <a:graphicData uri="http://schemas.microsoft.com/office/word/2010/wordprocessingShape">
                    <wps:wsp>
                      <wps:cNvCnPr/>
                      <wps:spPr>
                        <a:xfrm rot="10800000">
                          <a:off x="0" y="0"/>
                          <a:ext cx="31242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25.9pt;margin-top:2pt;height:0pt;width:24.6pt;rotation:11796480f;z-index:251835392;mso-width-relative:page;mso-height-relative:page;" filled="f" stroked="t" coordsize="21600,21600" o:gfxdata="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aZwGnWAAAABwEAAA8AAAAAAAAAAQAgAAAAIgAA&#10;AGRycy9kb3ducmV2LnhtbFBLAQIUABQAAAAIAIdO4kA84Lk4CgIAAPcDAAAOAAAAAAAAAAEAIAAA&#10;ACUBAABkcnMvZTJvRG9jLnhtbFBLBQYAAAAABgAGAFkBAAChBQAAAAA=&#10;">
                <v:fill on="f" focussize="0,0"/>
                <v:stroke color="#000000" joinstyle="round" endarrow="classic" endarrowwidth="narrow" endarrowlength="long"/>
                <v:imagedata o:title=""/>
                <o:lock v:ext="edit" aspectratio="f"/>
              </v:line>
            </w:pict>
          </mc:Fallback>
        </mc:AlternateContent>
      </w:r>
    </w:p>
    <w:p>
      <w:pPr>
        <w:ind w:firstLine="400" w:firstLineChars="200"/>
        <w:rPr>
          <w:rFonts w:hint="default" w:ascii="Times New Roman" w:hAnsi="Times New Roman" w:cs="Times New Roman"/>
          <w:color w:val="auto"/>
        </w:rPr>
      </w:pPr>
      <w:r>
        <w:rPr>
          <w:rFonts w:hint="default" w:ascii="Times New Roman" w:hAnsi="Times New Roman" w:cs="Times New Roman"/>
          <w:color w:val="auto"/>
          <w:sz w:val="20"/>
        </w:rPr>
        <mc:AlternateContent>
          <mc:Choice Requires="wps">
            <w:drawing>
              <wp:anchor distT="0" distB="0" distL="114300" distR="114300" simplePos="0" relativeHeight="251905024" behindDoc="0" locked="0" layoutInCell="1" allowOverlap="1">
                <wp:simplePos x="0" y="0"/>
                <wp:positionH relativeFrom="column">
                  <wp:posOffset>3914775</wp:posOffset>
                </wp:positionH>
                <wp:positionV relativeFrom="paragraph">
                  <wp:posOffset>17145</wp:posOffset>
                </wp:positionV>
                <wp:extent cx="635" cy="200660"/>
                <wp:effectExtent l="25400" t="0" r="31115" b="8890"/>
                <wp:wrapNone/>
                <wp:docPr id="220" name="直接连接符 220"/>
                <wp:cNvGraphicFramePr/>
                <a:graphic xmlns:a="http://schemas.openxmlformats.org/drawingml/2006/main">
                  <a:graphicData uri="http://schemas.microsoft.com/office/word/2010/wordprocessingShape">
                    <wps:wsp>
                      <wps:cNvCnPr/>
                      <wps:spPr>
                        <a:xfrm>
                          <a:off x="0" y="0"/>
                          <a:ext cx="635" cy="20066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08.25pt;margin-top:1.35pt;height:15.8pt;width:0.05pt;z-index:251905024;mso-width-relative:page;mso-height-relative:page;" filled="f" stroked="t" coordsize="21600,21600" o:gfxdata="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PK2L3UAAAACAEAAA8AAAAAAAAAAQAgAAAAIgAAAGRycy9kb3ducmV2&#10;LnhtbFBLAQIUABQAAAAIAIdO4kDuzBNVAAIAAOoDAAAOAAAAAAAAAAEAIAAAACMBAABkcnMvZTJv&#10;RG9jLnhtbFBLBQYAAAAABgAGAFkBAACV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31296" behindDoc="0" locked="0" layoutInCell="1" allowOverlap="1">
                <wp:simplePos x="0" y="0"/>
                <wp:positionH relativeFrom="column">
                  <wp:posOffset>876935</wp:posOffset>
                </wp:positionH>
                <wp:positionV relativeFrom="paragraph">
                  <wp:posOffset>99060</wp:posOffset>
                </wp:positionV>
                <wp:extent cx="799465" cy="231775"/>
                <wp:effectExtent l="0" t="0" r="0" b="0"/>
                <wp:wrapNone/>
                <wp:docPr id="222" name="文本框 222"/>
                <wp:cNvGraphicFramePr/>
                <a:graphic xmlns:a="http://schemas.openxmlformats.org/drawingml/2006/main">
                  <a:graphicData uri="http://schemas.microsoft.com/office/word/2010/wordprocessingShape">
                    <wps:wsp>
                      <wps:cNvSpPr txBox="1"/>
                      <wps:spPr>
                        <a:xfrm>
                          <a:off x="0" y="0"/>
                          <a:ext cx="799465" cy="231775"/>
                        </a:xfrm>
                        <a:prstGeom prst="rect">
                          <a:avLst/>
                        </a:prstGeom>
                        <a:noFill/>
                        <a:ln>
                          <a:noFill/>
                        </a:ln>
                      </wps:spPr>
                      <wps:txbx>
                        <w:txbxContent>
                          <w:p>
                            <w:pPr>
                              <w:pStyle w:val="15"/>
                              <w:snapToGrid w:val="0"/>
                              <w:jc w:val="center"/>
                              <w:rPr>
                                <w:rFonts w:hint="default" w:eastAsia="黑体"/>
                                <w:lang w:val="en-US" w:eastAsia="zh-CN"/>
                              </w:rPr>
                            </w:pPr>
                            <w:r>
                              <w:rPr>
                                <w:rFonts w:hint="eastAsia" w:hAnsi="宋体" w:cs="Arial"/>
                              </w:rPr>
                              <w:t>W</w:t>
                            </w:r>
                            <w:r>
                              <w:rPr>
                                <w:rFonts w:hint="eastAsia"/>
                                <w:b/>
                                <w:i/>
                                <w:vertAlign w:val="subscript"/>
                              </w:rPr>
                              <w:t>1-4</w:t>
                            </w:r>
                            <w:r>
                              <w:rPr>
                                <w:rFonts w:hint="eastAsia"/>
                                <w:b w:val="0"/>
                                <w:bCs/>
                                <w:i w:val="0"/>
                                <w:iCs/>
                                <w:vertAlign w:val="baseline"/>
                                <w:lang w:val="en-US" w:eastAsia="zh-CN"/>
                              </w:rPr>
                              <w:t>S</w:t>
                            </w:r>
                            <w:r>
                              <w:rPr>
                                <w:rFonts w:hint="eastAsia"/>
                                <w:b w:val="0"/>
                                <w:bCs/>
                                <w:i/>
                                <w:vertAlign w:val="subscript"/>
                                <w:lang w:val="en-US" w:eastAsia="zh-CN"/>
                              </w:rPr>
                              <w:t>1</w:t>
                            </w:r>
                            <w:r>
                              <w:rPr>
                                <w:rFonts w:hint="eastAsia"/>
                                <w:b/>
                                <w:i/>
                                <w:vertAlign w:val="subscript"/>
                                <w:lang w:val="en-US" w:eastAsia="zh-CN"/>
                              </w:rPr>
                              <w:t>-2</w:t>
                            </w:r>
                          </w:p>
                        </w:txbxContent>
                      </wps:txbx>
                      <wps:bodyPr lIns="0" tIns="0" rIns="0" bIns="0" upright="1"/>
                    </wps:wsp>
                  </a:graphicData>
                </a:graphic>
              </wp:anchor>
            </w:drawing>
          </mc:Choice>
          <mc:Fallback>
            <w:pict>
              <v:shape id="_x0000_s1026" o:spid="_x0000_s1026" o:spt="202" type="#_x0000_t202" style="position:absolute;left:0pt;margin-left:69.05pt;margin-top:7.8pt;height:18.25pt;width:62.95pt;z-index:251831296;mso-width-relative:page;mso-height-relative:page;" filled="f" stroked="f" coordsize="21600,21600" o:gfxdata="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UqAJWtcAAAAJAQAADwAAAAAAAAABACAAAAAiAAAAZHJzL2Rvd25yZXYueG1sUEsB&#10;AhQAFAAAAAgAh07iQDCNm2S9AQAAdQMAAA4AAAAAAAAAAQAgAAAAJgEAAGRycy9lMm9Eb2MueG1s&#10;UEsFBgAAAAAGAAYAWQEAAFUFAAAAAA==&#10;">
                <v:fill on="f" focussize="0,0"/>
                <v:stroke on="f"/>
                <v:imagedata o:title=""/>
                <o:lock v:ext="edit" aspectratio="f"/>
                <v:textbox inset="0mm,0mm,0mm,0mm">
                  <w:txbxContent>
                    <w:p>
                      <w:pPr>
                        <w:pStyle w:val="15"/>
                        <w:snapToGrid w:val="0"/>
                        <w:jc w:val="center"/>
                        <w:rPr>
                          <w:rFonts w:hint="default" w:eastAsia="黑体"/>
                          <w:lang w:val="en-US" w:eastAsia="zh-CN"/>
                        </w:rPr>
                      </w:pPr>
                      <w:r>
                        <w:rPr>
                          <w:rFonts w:hint="eastAsia" w:hAnsi="宋体" w:cs="Arial"/>
                        </w:rPr>
                        <w:t>W</w:t>
                      </w:r>
                      <w:r>
                        <w:rPr>
                          <w:rFonts w:hint="eastAsia"/>
                          <w:b/>
                          <w:i/>
                          <w:vertAlign w:val="subscript"/>
                        </w:rPr>
                        <w:t>1-4</w:t>
                      </w:r>
                      <w:r>
                        <w:rPr>
                          <w:rFonts w:hint="eastAsia"/>
                          <w:b w:val="0"/>
                          <w:bCs/>
                          <w:i w:val="0"/>
                          <w:iCs/>
                          <w:vertAlign w:val="baseline"/>
                          <w:lang w:val="en-US" w:eastAsia="zh-CN"/>
                        </w:rPr>
                        <w:t>S</w:t>
                      </w:r>
                      <w:r>
                        <w:rPr>
                          <w:rFonts w:hint="eastAsia"/>
                          <w:b w:val="0"/>
                          <w:bCs/>
                          <w:i/>
                          <w:vertAlign w:val="subscript"/>
                          <w:lang w:val="en-US" w:eastAsia="zh-CN"/>
                        </w:rPr>
                        <w:t>1</w:t>
                      </w:r>
                      <w:r>
                        <w:rPr>
                          <w:rFonts w:hint="eastAsia"/>
                          <w:b/>
                          <w:i/>
                          <w:vertAlign w:val="subscript"/>
                          <w:lang w:val="en-US" w:eastAsia="zh-CN"/>
                        </w:rPr>
                        <w:t>-2</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29248" behindDoc="0" locked="0" layoutInCell="1" allowOverlap="1">
                <wp:simplePos x="0" y="0"/>
                <wp:positionH relativeFrom="column">
                  <wp:posOffset>1971675</wp:posOffset>
                </wp:positionH>
                <wp:positionV relativeFrom="paragraph">
                  <wp:posOffset>108585</wp:posOffset>
                </wp:positionV>
                <wp:extent cx="371475" cy="288925"/>
                <wp:effectExtent l="0" t="0" r="0" b="0"/>
                <wp:wrapNone/>
                <wp:docPr id="224" name="文本框 224"/>
                <wp:cNvGraphicFramePr/>
                <a:graphic xmlns:a="http://schemas.openxmlformats.org/drawingml/2006/main">
                  <a:graphicData uri="http://schemas.microsoft.com/office/word/2010/wordprocessingShape">
                    <wps:wsp>
                      <wps:cNvSpPr txBox="1"/>
                      <wps:spPr>
                        <a:xfrm>
                          <a:off x="0" y="0"/>
                          <a:ext cx="371475" cy="288925"/>
                        </a:xfrm>
                        <a:prstGeom prst="rect">
                          <a:avLst/>
                        </a:prstGeom>
                        <a:noFill/>
                        <a:ln>
                          <a:noFill/>
                        </a:ln>
                      </wps:spPr>
                      <wps:txbx>
                        <w:txbxContent>
                          <w:p>
                            <w:pPr>
                              <w:pStyle w:val="15"/>
                              <w:snapToGrid w:val="0"/>
                              <w:jc w:val="center"/>
                              <w:rPr>
                                <w:rFonts w:hint="eastAsia"/>
                              </w:rPr>
                            </w:pPr>
                            <w:r>
                              <w:rPr>
                                <w:rFonts w:hint="eastAsia" w:hAnsi="宋体" w:cs="Arial"/>
                              </w:rPr>
                              <w:t>G</w:t>
                            </w:r>
                            <w:r>
                              <w:rPr>
                                <w:rFonts w:hint="eastAsia"/>
                                <w:b/>
                                <w:i/>
                                <w:vertAlign w:val="subscript"/>
                              </w:rPr>
                              <w:t>1-2</w:t>
                            </w:r>
                          </w:p>
                        </w:txbxContent>
                      </wps:txbx>
                      <wps:bodyPr lIns="0" tIns="0" rIns="0" bIns="0" upright="1"/>
                    </wps:wsp>
                  </a:graphicData>
                </a:graphic>
              </wp:anchor>
            </w:drawing>
          </mc:Choice>
          <mc:Fallback>
            <w:pict>
              <v:shape id="_x0000_s1026" o:spid="_x0000_s1026" o:spt="202" type="#_x0000_t202" style="position:absolute;left:0pt;margin-left:155.25pt;margin-top:8.55pt;height:22.75pt;width:29.25pt;z-index:251829248;mso-width-relative:page;mso-height-relative:page;" filled="f" stroked="f" coordsize="21600,21600" o:gfxdata="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pjGCQtcAAAAJAQAADwAAAAAAAAABACAAAAAiAAAAZHJzL2Rvd25yZXYueG1sUEsB&#10;AhQAFAAAAAgAh07iQEx7N6G9AQAAdQMAAA4AAAAAAAAAAQAgAAAAJgEAAGRycy9lMm9Eb2MueG1s&#10;UEsFBgAAAAAGAAYAWQEAAFUFAAAAAA==&#10;">
                <v:fill on="f" focussize="0,0"/>
                <v:stroke on="f"/>
                <v:imagedata o:title=""/>
                <o:lock v:ext="edit" aspectratio="f"/>
                <v:textbox inset="0mm,0mm,0mm,0mm">
                  <w:txbxContent>
                    <w:p>
                      <w:pPr>
                        <w:pStyle w:val="15"/>
                        <w:snapToGrid w:val="0"/>
                        <w:jc w:val="center"/>
                        <w:rPr>
                          <w:rFonts w:hint="eastAsia"/>
                        </w:rPr>
                      </w:pPr>
                      <w:r>
                        <w:rPr>
                          <w:rFonts w:hint="eastAsia" w:hAnsi="宋体" w:cs="Arial"/>
                        </w:rPr>
                        <w:t>G</w:t>
                      </w:r>
                      <w:r>
                        <w:rPr>
                          <w:rFonts w:hint="eastAsia"/>
                          <w:b/>
                          <w:i/>
                          <w:vertAlign w:val="subscript"/>
                        </w:rPr>
                        <w:t>1-2</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25152" behindDoc="0" locked="0" layoutInCell="1" allowOverlap="1">
                <wp:simplePos x="0" y="0"/>
                <wp:positionH relativeFrom="column">
                  <wp:posOffset>3676650</wp:posOffset>
                </wp:positionH>
                <wp:positionV relativeFrom="paragraph">
                  <wp:posOffset>98425</wp:posOffset>
                </wp:positionV>
                <wp:extent cx="466725" cy="260985"/>
                <wp:effectExtent l="0" t="0" r="0" b="0"/>
                <wp:wrapNone/>
                <wp:docPr id="226" name="文本框 226"/>
                <wp:cNvGraphicFramePr/>
                <a:graphic xmlns:a="http://schemas.openxmlformats.org/drawingml/2006/main">
                  <a:graphicData uri="http://schemas.microsoft.com/office/word/2010/wordprocessingShape">
                    <wps:wsp>
                      <wps:cNvSpPr txBox="1"/>
                      <wps:spPr>
                        <a:xfrm>
                          <a:off x="0" y="0"/>
                          <a:ext cx="466725" cy="260985"/>
                        </a:xfrm>
                        <a:prstGeom prst="rect">
                          <a:avLst/>
                        </a:prstGeom>
                        <a:noFill/>
                        <a:ln>
                          <a:noFill/>
                        </a:ln>
                      </wps:spPr>
                      <wps:txbx>
                        <w:txbxContent>
                          <w:p>
                            <w:pPr>
                              <w:pStyle w:val="15"/>
                              <w:snapToGrid w:val="0"/>
                              <w:jc w:val="center"/>
                              <w:rPr>
                                <w:rFonts w:hint="eastAsia"/>
                              </w:rPr>
                            </w:pPr>
                            <w:r>
                              <w:rPr>
                                <w:rFonts w:hint="eastAsia"/>
                              </w:rPr>
                              <w:t>W</w:t>
                            </w:r>
                            <w:r>
                              <w:rPr>
                                <w:rFonts w:hint="eastAsia"/>
                                <w:b/>
                                <w:i/>
                                <w:vertAlign w:val="subscript"/>
                              </w:rPr>
                              <w:t>1-5</w:t>
                            </w:r>
                          </w:p>
                        </w:txbxContent>
                      </wps:txbx>
                      <wps:bodyPr lIns="0" tIns="0" rIns="0" bIns="0" upright="1"/>
                    </wps:wsp>
                  </a:graphicData>
                </a:graphic>
              </wp:anchor>
            </w:drawing>
          </mc:Choice>
          <mc:Fallback>
            <w:pict>
              <v:shape id="_x0000_s1026" o:spid="_x0000_s1026" o:spt="202" type="#_x0000_t202" style="position:absolute;left:0pt;margin-left:289.5pt;margin-top:7.75pt;height:20.55pt;width:36.75pt;z-index:251825152;mso-width-relative:page;mso-height-relative:page;" filled="f" stroked="f" coordsize="21600,21600" o:gfxdata="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TnG8t9cAAAAJAQAADwAAAAAAAAABACAAAAAiAAAAZHJzL2Rvd25yZXYueG1sUEsB&#10;AhQAFAAAAAgAh07iQI02s929AQAAdQMAAA4AAAAAAAAAAQAgAAAAJgEAAGRycy9lMm9Eb2MueG1s&#10;UEsFBgAAAAAGAAYAWQEAAFUFAAAAAA==&#10;">
                <v:fill on="f" focussize="0,0"/>
                <v:stroke on="f"/>
                <v:imagedata o:title=""/>
                <o:lock v:ext="edit" aspectratio="f"/>
                <v:textbox inset="0mm,0mm,0mm,0mm">
                  <w:txbxContent>
                    <w:p>
                      <w:pPr>
                        <w:pStyle w:val="15"/>
                        <w:snapToGrid w:val="0"/>
                        <w:jc w:val="center"/>
                        <w:rPr>
                          <w:rFonts w:hint="eastAsia"/>
                        </w:rPr>
                      </w:pPr>
                      <w:r>
                        <w:rPr>
                          <w:rFonts w:hint="eastAsia"/>
                        </w:rPr>
                        <w:t>W</w:t>
                      </w:r>
                      <w:r>
                        <w:rPr>
                          <w:rFonts w:hint="eastAsia"/>
                          <w:b/>
                          <w:i/>
                          <w:vertAlign w:val="subscript"/>
                        </w:rPr>
                        <w:t>1-5</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39488" behindDoc="0" locked="0" layoutInCell="1" allowOverlap="1">
                <wp:simplePos x="0" y="0"/>
                <wp:positionH relativeFrom="column">
                  <wp:posOffset>2657475</wp:posOffset>
                </wp:positionH>
                <wp:positionV relativeFrom="paragraph">
                  <wp:posOffset>99060</wp:posOffset>
                </wp:positionV>
                <wp:extent cx="800100" cy="260350"/>
                <wp:effectExtent l="0" t="0" r="0" b="0"/>
                <wp:wrapNone/>
                <wp:docPr id="228" name="文本框 228"/>
                <wp:cNvGraphicFramePr/>
                <a:graphic xmlns:a="http://schemas.openxmlformats.org/drawingml/2006/main">
                  <a:graphicData uri="http://schemas.microsoft.com/office/word/2010/wordprocessingShape">
                    <wps:wsp>
                      <wps:cNvSpPr txBox="1"/>
                      <wps:spPr>
                        <a:xfrm>
                          <a:off x="0" y="0"/>
                          <a:ext cx="800100" cy="260350"/>
                        </a:xfrm>
                        <a:prstGeom prst="rect">
                          <a:avLst/>
                        </a:prstGeom>
                        <a:noFill/>
                        <a:ln>
                          <a:noFill/>
                        </a:ln>
                      </wps:spPr>
                      <wps:txbx>
                        <w:txbxContent>
                          <w:p>
                            <w:pPr>
                              <w:pStyle w:val="15"/>
                              <w:snapToGrid w:val="0"/>
                              <w:jc w:val="center"/>
                              <w:rPr>
                                <w:rFonts w:hint="eastAsia"/>
                              </w:rPr>
                            </w:pPr>
                            <w:r>
                              <w:rPr>
                                <w:rFonts w:hint="eastAsia" w:hAnsi="宋体" w:cs="Arial"/>
                              </w:rPr>
                              <w:t>S</w:t>
                            </w:r>
                            <w:r>
                              <w:rPr>
                                <w:rFonts w:hint="eastAsia"/>
                                <w:b/>
                                <w:i/>
                                <w:vertAlign w:val="subscript"/>
                              </w:rPr>
                              <w:t>1-</w:t>
                            </w:r>
                            <w:r>
                              <w:rPr>
                                <w:rFonts w:hint="eastAsia"/>
                                <w:b/>
                                <w:i/>
                                <w:vertAlign w:val="subscript"/>
                                <w:lang w:val="en-US" w:eastAsia="zh-CN"/>
                              </w:rPr>
                              <w:t>2</w:t>
                            </w:r>
                            <w:r>
                              <w:rPr>
                                <w:rFonts w:hint="eastAsia" w:hAnsi="宋体" w:cs="Arial"/>
                              </w:rPr>
                              <w:t>W</w:t>
                            </w:r>
                            <w:r>
                              <w:rPr>
                                <w:rFonts w:hint="eastAsia"/>
                                <w:b/>
                                <w:i/>
                                <w:vertAlign w:val="subscript"/>
                              </w:rPr>
                              <w:t>1-3</w:t>
                            </w:r>
                          </w:p>
                        </w:txbxContent>
                      </wps:txbx>
                      <wps:bodyPr lIns="0" tIns="0" rIns="0" bIns="0" upright="1"/>
                    </wps:wsp>
                  </a:graphicData>
                </a:graphic>
              </wp:anchor>
            </w:drawing>
          </mc:Choice>
          <mc:Fallback>
            <w:pict>
              <v:shape id="_x0000_s1026" o:spid="_x0000_s1026" o:spt="202" type="#_x0000_t202" style="position:absolute;left:0pt;margin-left:209.25pt;margin-top:7.8pt;height:20.5pt;width:63pt;z-index:251839488;mso-width-relative:page;mso-height-relative:page;" filled="f" stroked="f" coordsize="21600,21600" o:gfxdata="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Kl3lYtcAAAAJAQAADwAAAAAAAAABACAAAAAiAAAAZHJzL2Rvd25yZXYueG1sUEsBAhQA&#10;FAAAAAgAh07iQEbNKzK6AQAAdQMAAA4AAAAAAAAAAQAgAAAAJgEAAGRycy9lMm9Eb2MueG1sUEsF&#10;BgAAAAAGAAYAWQEAAFIFAAAAAA==&#10;">
                <v:fill on="f" focussize="0,0"/>
                <v:stroke on="f"/>
                <v:imagedata o:title=""/>
                <o:lock v:ext="edit" aspectratio="f"/>
                <v:textbox inset="0mm,0mm,0mm,0mm">
                  <w:txbxContent>
                    <w:p>
                      <w:pPr>
                        <w:pStyle w:val="15"/>
                        <w:snapToGrid w:val="0"/>
                        <w:jc w:val="center"/>
                        <w:rPr>
                          <w:rFonts w:hint="eastAsia"/>
                        </w:rPr>
                      </w:pPr>
                      <w:r>
                        <w:rPr>
                          <w:rFonts w:hint="eastAsia" w:hAnsi="宋体" w:cs="Arial"/>
                        </w:rPr>
                        <w:t>S</w:t>
                      </w:r>
                      <w:r>
                        <w:rPr>
                          <w:rFonts w:hint="eastAsia"/>
                          <w:b/>
                          <w:i/>
                          <w:vertAlign w:val="subscript"/>
                        </w:rPr>
                        <w:t>1-</w:t>
                      </w:r>
                      <w:r>
                        <w:rPr>
                          <w:rFonts w:hint="eastAsia"/>
                          <w:b/>
                          <w:i/>
                          <w:vertAlign w:val="subscript"/>
                          <w:lang w:val="en-US" w:eastAsia="zh-CN"/>
                        </w:rPr>
                        <w:t>2</w:t>
                      </w:r>
                      <w:r>
                        <w:rPr>
                          <w:rFonts w:hint="eastAsia" w:hAnsi="宋体" w:cs="Arial"/>
                        </w:rPr>
                        <w:t>W</w:t>
                      </w:r>
                      <w:r>
                        <w:rPr>
                          <w:rFonts w:hint="eastAsia"/>
                          <w:b/>
                          <w:i/>
                          <w:vertAlign w:val="subscript"/>
                        </w:rPr>
                        <w:t>1-3</w:t>
                      </w:r>
                    </w:p>
                  </w:txbxContent>
                </v:textbox>
              </v:shape>
            </w:pict>
          </mc:Fallback>
        </mc:AlternateContent>
      </w:r>
    </w:p>
    <w:p>
      <w:pPr>
        <w:ind w:firstLine="420" w:firstLineChars="200"/>
        <w:rPr>
          <w:rFonts w:hint="default" w:ascii="Times New Roman" w:hAnsi="Times New Roman" w:cs="Times New Roman"/>
          <w:color w:val="auto"/>
        </w:rPr>
      </w:pPr>
    </w:p>
    <w:p>
      <w:pPr>
        <w:jc w:val="center"/>
        <w:rPr>
          <w:rFonts w:hint="default" w:ascii="Times New Roman" w:hAnsi="Times New Roman" w:cs="Times New Roman"/>
          <w:color w:val="auto"/>
        </w:rPr>
      </w:pPr>
      <w:r>
        <w:rPr>
          <w:rFonts w:hint="default" w:ascii="Times New Roman" w:hAnsi="Times New Roman" w:cs="Times New Roman"/>
          <w:color w:val="auto"/>
          <w:sz w:val="20"/>
        </w:rPr>
        <mc:AlternateContent>
          <mc:Choice Requires="wps">
            <w:drawing>
              <wp:anchor distT="0" distB="0" distL="114300" distR="114300" simplePos="0" relativeHeight="251866112" behindDoc="0" locked="0" layoutInCell="1" allowOverlap="1">
                <wp:simplePos x="0" y="0"/>
                <wp:positionH relativeFrom="column">
                  <wp:posOffset>5460365</wp:posOffset>
                </wp:positionH>
                <wp:positionV relativeFrom="paragraph">
                  <wp:posOffset>1257300</wp:posOffset>
                </wp:positionV>
                <wp:extent cx="6985" cy="311785"/>
                <wp:effectExtent l="20955" t="0" r="29210" b="12065"/>
                <wp:wrapNone/>
                <wp:docPr id="230" name="直接连接符 230"/>
                <wp:cNvGraphicFramePr/>
                <a:graphic xmlns:a="http://schemas.openxmlformats.org/drawingml/2006/main">
                  <a:graphicData uri="http://schemas.microsoft.com/office/word/2010/wordprocessingShape">
                    <wps:wsp>
                      <wps:cNvCnPr/>
                      <wps:spPr>
                        <a:xfrm>
                          <a:off x="0" y="0"/>
                          <a:ext cx="6985" cy="311785"/>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429.95pt;margin-top:99pt;height:24.55pt;width:0.55pt;z-index:251866112;mso-width-relative:page;mso-height-relative:page;" filled="f" stroked="t" coordsize="21600,21600" o:gfxdata="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7poPNgAAAALAQAADwAAAAAAAAABACAAAAAiAAAAZHJzL2Rv&#10;d25yZXYueG1sUEsBAhQAFAAAAAgAh07iQObS+AsBAgAA6wMAAA4AAAAAAAAAAQAgAAAAJwEAAGRy&#10;cy9lMm9Eb2MueG1sUEsFBgAAAAAGAAYAWQEAAJoFAAAAAA==&#10;">
                <v:fill on="f" focussize="0,0"/>
                <v:stroke color="#000000" joinstyle="round" endarrow="classic" endarrowwidth="narrow" endarrowlength="long"/>
                <v:imagedata o:title=""/>
                <o:lock v:ext="edit" aspectratio="f"/>
              </v:line>
            </w:pict>
          </mc:Fallback>
        </mc:AlternateContent>
      </w:r>
    </w:p>
    <w:p>
      <w:pPr>
        <w:ind w:firstLine="400" w:firstLineChars="200"/>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872256" behindDoc="0" locked="0" layoutInCell="1" allowOverlap="1">
                <wp:simplePos x="0" y="0"/>
                <wp:positionH relativeFrom="column">
                  <wp:posOffset>1506855</wp:posOffset>
                </wp:positionH>
                <wp:positionV relativeFrom="paragraph">
                  <wp:posOffset>231775</wp:posOffset>
                </wp:positionV>
                <wp:extent cx="323850" cy="0"/>
                <wp:effectExtent l="0" t="25400" r="0" b="31750"/>
                <wp:wrapNone/>
                <wp:docPr id="232" name="直接连接符 232"/>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18.65pt;margin-top:18.25pt;height:0pt;width:25.5pt;z-index:251872256;mso-width-relative:page;mso-height-relative:page;" filled="f" stroked="t" coordsize="21600,21600" o:gfxdata="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OIPSN1QAAAAkBAAAPAAAAAAAAAAEAIAAAACIAAABkcnMvZG93bnJl&#10;di54bWxQSwECFAAUAAAACACHTuJAh6jWtAACAADoAwAADgAAAAAAAAABACAAAAAk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06048" behindDoc="0" locked="0" layoutInCell="1" allowOverlap="1">
                <wp:simplePos x="0" y="0"/>
                <wp:positionH relativeFrom="column">
                  <wp:posOffset>447675</wp:posOffset>
                </wp:positionH>
                <wp:positionV relativeFrom="paragraph">
                  <wp:posOffset>344805</wp:posOffset>
                </wp:positionV>
                <wp:extent cx="0" cy="297180"/>
                <wp:effectExtent l="25400" t="0" r="31750" b="7620"/>
                <wp:wrapNone/>
                <wp:docPr id="234" name="直接连接符 234"/>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5.25pt;margin-top:27.15pt;height:23.4pt;width:0pt;z-index:251906048;mso-width-relative:page;mso-height-relative:page;" filled="f" stroked="t" coordsize="21600,21600" o:gfxdata="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AjXZ80wAAAAgBAAAPAAAAAAAAAAEAIAAAACIAAABkcnMvZG93bnJl&#10;di54bWxQSwECFAAUAAAACACHTuJA5rwwtwICAADoAwAADgAAAAAAAAABACAAAAAi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13216" behindDoc="0" locked="0" layoutInCell="1" allowOverlap="1">
                <wp:simplePos x="0" y="0"/>
                <wp:positionH relativeFrom="column">
                  <wp:posOffset>1019175</wp:posOffset>
                </wp:positionH>
                <wp:positionV relativeFrom="paragraph">
                  <wp:posOffset>561975</wp:posOffset>
                </wp:positionV>
                <wp:extent cx="466725" cy="251460"/>
                <wp:effectExtent l="0" t="0" r="0" b="0"/>
                <wp:wrapNone/>
                <wp:docPr id="236" name="文本框 236"/>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rPr>
                            </w:pPr>
                            <w:r>
                              <w:rPr>
                                <w:rFonts w:hint="eastAsia"/>
                              </w:rPr>
                              <w:t>W</w:t>
                            </w:r>
                            <w:r>
                              <w:rPr>
                                <w:rFonts w:hint="eastAsia"/>
                                <w:b/>
                                <w:i/>
                                <w:vertAlign w:val="subscript"/>
                              </w:rPr>
                              <w:t>1-7</w:t>
                            </w:r>
                          </w:p>
                        </w:txbxContent>
                      </wps:txbx>
                      <wps:bodyPr lIns="0" tIns="0" rIns="0" bIns="0" upright="1"/>
                    </wps:wsp>
                  </a:graphicData>
                </a:graphic>
              </wp:anchor>
            </w:drawing>
          </mc:Choice>
          <mc:Fallback>
            <w:pict>
              <v:shape id="_x0000_s1026" o:spid="_x0000_s1026" o:spt="202" type="#_x0000_t202" style="position:absolute;left:0pt;margin-left:80.25pt;margin-top:44.25pt;height:19.8pt;width:36.75pt;z-index:251913216;mso-width-relative:page;mso-height-relative:page;" filled="f" stroked="f" coordsize="21600,21600" o:gfxdata="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Wpif89cAAAAKAQAADwAAAAAAAAABACAAAAAiAAAAZHJzL2Rvd25yZXYueG1sUEsB&#10;AhQAFAAAAAgAh07iQIQQlPi9AQAAdQMAAA4AAAAAAAAAAQAgAAAAJgEAAGRycy9lMm9Eb2MueG1s&#10;UEsFBgAAAAAGAAYAWQEAAFUFAAAAAA==&#10;">
                <v:fill on="f" focussize="0,0"/>
                <v:stroke on="f"/>
                <v:imagedata o:title=""/>
                <o:lock v:ext="edit" aspectratio="f"/>
                <v:textbox inset="0mm,0mm,0mm,0mm">
                  <w:txbxContent>
                    <w:p>
                      <w:pPr>
                        <w:pStyle w:val="15"/>
                        <w:snapToGrid w:val="0"/>
                        <w:jc w:val="center"/>
                        <w:rPr>
                          <w:rFonts w:hint="eastAsia"/>
                        </w:rPr>
                      </w:pPr>
                      <w:r>
                        <w:rPr>
                          <w:rFonts w:hint="eastAsia"/>
                        </w:rPr>
                        <w:t>W</w:t>
                      </w:r>
                      <w:r>
                        <w:rPr>
                          <w:rFonts w:hint="eastAsia"/>
                          <w:b/>
                          <w:i/>
                          <w:vertAlign w:val="subscript"/>
                        </w:rPr>
                        <w:t>1-7</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14240" behindDoc="0" locked="0" layoutInCell="1" allowOverlap="1">
                <wp:simplePos x="0" y="0"/>
                <wp:positionH relativeFrom="column">
                  <wp:posOffset>180975</wp:posOffset>
                </wp:positionH>
                <wp:positionV relativeFrom="paragraph">
                  <wp:posOffset>548640</wp:posOffset>
                </wp:positionV>
                <wp:extent cx="466725" cy="251460"/>
                <wp:effectExtent l="0" t="0" r="0" b="0"/>
                <wp:wrapNone/>
                <wp:docPr id="238" name="文本框 238"/>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rPr>
                            </w:pPr>
                            <w:r>
                              <w:rPr>
                                <w:rFonts w:hint="eastAsia"/>
                              </w:rPr>
                              <w:t>W</w:t>
                            </w:r>
                            <w:r>
                              <w:rPr>
                                <w:rFonts w:hint="eastAsia"/>
                                <w:b/>
                                <w:i/>
                                <w:vertAlign w:val="subscript"/>
                              </w:rPr>
                              <w:t>1-6</w:t>
                            </w:r>
                          </w:p>
                        </w:txbxContent>
                      </wps:txbx>
                      <wps:bodyPr lIns="0" tIns="0" rIns="0" bIns="0" upright="1"/>
                    </wps:wsp>
                  </a:graphicData>
                </a:graphic>
              </wp:anchor>
            </w:drawing>
          </mc:Choice>
          <mc:Fallback>
            <w:pict>
              <v:shape id="_x0000_s1026" o:spid="_x0000_s1026" o:spt="202" type="#_x0000_t202" style="position:absolute;left:0pt;margin-left:14.25pt;margin-top:43.2pt;height:19.8pt;width:36.75pt;z-index:251914240;mso-width-relative:page;mso-height-relative:page;" filled="f" stroked="f" coordsize="21600,21600" o:gfxdata="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F7QUATXAAAACQEAAA8AAAAAAAAAAQAgAAAAIgAAAGRycy9kb3ducmV2LnhtbFBL&#10;AQIUABQAAAAIAIdO4kA7BGgLvgEAAHUDAAAOAAAAAAAAAAEAIAAAACYBAABkcnMvZTJvRG9jLnht&#10;bFBLBQYAAAAABgAGAFkBAABWBQAAAAA=&#10;">
                <v:fill on="f" focussize="0,0"/>
                <v:stroke on="f"/>
                <v:imagedata o:title=""/>
                <o:lock v:ext="edit" aspectratio="f"/>
                <v:textbox inset="0mm,0mm,0mm,0mm">
                  <w:txbxContent>
                    <w:p>
                      <w:pPr>
                        <w:pStyle w:val="15"/>
                        <w:snapToGrid w:val="0"/>
                        <w:jc w:val="center"/>
                        <w:rPr>
                          <w:rFonts w:hint="eastAsia"/>
                        </w:rPr>
                      </w:pPr>
                      <w:r>
                        <w:rPr>
                          <w:rFonts w:hint="eastAsia"/>
                        </w:rPr>
                        <w:t>W</w:t>
                      </w:r>
                      <w:r>
                        <w:rPr>
                          <w:rFonts w:hint="eastAsia"/>
                          <w:b/>
                          <w:i/>
                          <w:vertAlign w:val="subscript"/>
                        </w:rPr>
                        <w:t>1-6</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11168" behindDoc="0" locked="0" layoutInCell="1" allowOverlap="1">
                <wp:simplePos x="0" y="0"/>
                <wp:positionH relativeFrom="column">
                  <wp:posOffset>2733675</wp:posOffset>
                </wp:positionH>
                <wp:positionV relativeFrom="paragraph">
                  <wp:posOffset>363855</wp:posOffset>
                </wp:positionV>
                <wp:extent cx="0" cy="297180"/>
                <wp:effectExtent l="25400" t="0" r="31750" b="7620"/>
                <wp:wrapNone/>
                <wp:docPr id="240" name="直接连接符 240"/>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15.25pt;margin-top:28.65pt;height:23.4pt;width:0pt;z-index:251911168;mso-width-relative:page;mso-height-relative:page;" filled="f" stroked="t" coordsize="21600,21600" o:gfxdata="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R8zPs1QAAAAoBAAAPAAAAAAAAAAEAIAAAACIAAABkcnMvZG93bnJl&#10;di54bWxQSwECFAAUAAAACACHTuJAUreKOwACAADoAwAADgAAAAAAAAABACAAAAAk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07072" behindDoc="0" locked="0" layoutInCell="1" allowOverlap="1">
                <wp:simplePos x="0" y="0"/>
                <wp:positionH relativeFrom="column">
                  <wp:posOffset>1266825</wp:posOffset>
                </wp:positionH>
                <wp:positionV relativeFrom="paragraph">
                  <wp:posOffset>354330</wp:posOffset>
                </wp:positionV>
                <wp:extent cx="0" cy="297180"/>
                <wp:effectExtent l="25400" t="0" r="31750" b="7620"/>
                <wp:wrapNone/>
                <wp:docPr id="242" name="直接连接符 242"/>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99.75pt;margin-top:27.9pt;height:23.4pt;width:0pt;z-index:251907072;mso-width-relative:page;mso-height-relative:page;" filled="f" stroked="t" coordsize="21600,21600" o:gfxdata="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TUFQP1QAAAAoBAAAPAAAAAAAAAAEAIAAAACIAAABkcnMvZG93bnJl&#10;di54bWxQSwECFAAUAAAACACHTuJAaKhFcgACAADoAwAADgAAAAAAAAABACAAAAAk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10144" behindDoc="0" locked="0" layoutInCell="1" allowOverlap="1">
                <wp:simplePos x="0" y="0"/>
                <wp:positionH relativeFrom="column">
                  <wp:posOffset>3867150</wp:posOffset>
                </wp:positionH>
                <wp:positionV relativeFrom="paragraph">
                  <wp:posOffset>344805</wp:posOffset>
                </wp:positionV>
                <wp:extent cx="0" cy="297180"/>
                <wp:effectExtent l="25400" t="0" r="31750" b="7620"/>
                <wp:wrapNone/>
                <wp:docPr id="244" name="直接连接符 244"/>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04.5pt;margin-top:27.15pt;height:23.4pt;width:0pt;z-index:251910144;mso-width-relative:page;mso-height-relative:page;" filled="f" stroked="t" coordsize="21600,21600" o:gfxdata="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3OVK7VAAAACgEAAA8AAAAAAAAAAQAgAAAAIgAAAGRycy9kb3du&#10;cmV2LnhtbFBLAQIUABQAAAAIAIdO4kAmiRSoAgIAAOgDAAAOAAAAAAAAAAEAIAAAACQBAABkcnMv&#10;ZTJvRG9jLnhtbFBLBQYAAAAABgAGAFkBAACY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rPr>
        <mc:AlternateContent>
          <mc:Choice Requires="wps">
            <w:drawing>
              <wp:anchor distT="0" distB="0" distL="114300" distR="114300" simplePos="0" relativeHeight="251917312" behindDoc="0" locked="0" layoutInCell="1" allowOverlap="1">
                <wp:simplePos x="0" y="0"/>
                <wp:positionH relativeFrom="column">
                  <wp:posOffset>3619500</wp:posOffset>
                </wp:positionH>
                <wp:positionV relativeFrom="paragraph">
                  <wp:posOffset>539115</wp:posOffset>
                </wp:positionV>
                <wp:extent cx="466725" cy="251460"/>
                <wp:effectExtent l="0" t="0" r="0" b="0"/>
                <wp:wrapNone/>
                <wp:docPr id="246" name="文本框 246"/>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rPr>
                            </w:pPr>
                            <w:r>
                              <w:rPr>
                                <w:rFonts w:hint="eastAsia"/>
                              </w:rPr>
                              <w:t>W</w:t>
                            </w:r>
                            <w:r>
                              <w:rPr>
                                <w:rFonts w:hint="eastAsia"/>
                                <w:b/>
                                <w:i/>
                                <w:vertAlign w:val="subscript"/>
                              </w:rPr>
                              <w:t>1-9</w:t>
                            </w:r>
                          </w:p>
                        </w:txbxContent>
                      </wps:txbx>
                      <wps:bodyPr lIns="0" tIns="0" rIns="0" bIns="0" upright="1"/>
                    </wps:wsp>
                  </a:graphicData>
                </a:graphic>
              </wp:anchor>
            </w:drawing>
          </mc:Choice>
          <mc:Fallback>
            <w:pict>
              <v:shape id="_x0000_s1026" o:spid="_x0000_s1026" o:spt="202" type="#_x0000_t202" style="position:absolute;left:0pt;margin-left:285pt;margin-top:42.45pt;height:19.8pt;width:36.75pt;z-index:251917312;mso-width-relative:page;mso-height-relative:page;" filled="f" stroked="f" coordsize="21600,21600" o:gfxdata="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WW/M9oAAAAKAQAADwAAAAAAAAABACAAAAAiAAAAZHJzL2Rvd25yZXYueG1s&#10;UEsBAhQAFAAAAAgAh07iQKA6uji9AQAAdQMAAA4AAAAAAAAAAQAgAAAAKQEAAGRycy9lMm9Eb2Mu&#10;eG1sUEsFBgAAAAAGAAYAWQEAAFgFAAAAAA==&#10;">
                <v:fill on="f" focussize="0,0"/>
                <v:stroke on="f"/>
                <v:imagedata o:title=""/>
                <o:lock v:ext="edit" aspectratio="f"/>
                <v:textbox inset="0mm,0mm,0mm,0mm">
                  <w:txbxContent>
                    <w:p>
                      <w:pPr>
                        <w:pStyle w:val="15"/>
                        <w:snapToGrid w:val="0"/>
                        <w:jc w:val="center"/>
                        <w:rPr>
                          <w:rFonts w:hint="eastAsia"/>
                        </w:rPr>
                      </w:pPr>
                      <w:r>
                        <w:rPr>
                          <w:rFonts w:hint="eastAsia"/>
                        </w:rPr>
                        <w:t>W</w:t>
                      </w:r>
                      <w:r>
                        <w:rPr>
                          <w:rFonts w:hint="eastAsia"/>
                          <w:b/>
                          <w:i/>
                          <w:vertAlign w:val="subscript"/>
                        </w:rPr>
                        <w:t>1-9</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46656" behindDoc="0" locked="0" layoutInCell="1" allowOverlap="1">
                <wp:simplePos x="0" y="0"/>
                <wp:positionH relativeFrom="column">
                  <wp:posOffset>2647950</wp:posOffset>
                </wp:positionH>
                <wp:positionV relativeFrom="paragraph">
                  <wp:posOffset>97155</wp:posOffset>
                </wp:positionV>
                <wp:extent cx="533400" cy="256540"/>
                <wp:effectExtent l="4445" t="4445" r="14605" b="5715"/>
                <wp:wrapNone/>
                <wp:docPr id="248" name="文本框 248"/>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取内脏</w:t>
                            </w:r>
                          </w:p>
                        </w:txbxContent>
                      </wps:txbx>
                      <wps:bodyPr lIns="0" tIns="0" rIns="0" bIns="0" upright="1"/>
                    </wps:wsp>
                  </a:graphicData>
                </a:graphic>
              </wp:anchor>
            </w:drawing>
          </mc:Choice>
          <mc:Fallback>
            <w:pict>
              <v:shape id="_x0000_s1026" o:spid="_x0000_s1026" o:spt="202" type="#_x0000_t202" style="position:absolute;left:0pt;margin-left:208.5pt;margin-top:7.65pt;height:20.2pt;width:42pt;z-index:251846656;mso-width-relative:page;mso-height-relative:page;" fillcolor="#FFFFFF" filled="t" stroked="t" coordsize="21600,21600" o:gfxdata="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U7CynYAAAA&#10;CQEAAA8AAAAAAAAAAQAgAAAAIgAAAGRycy9kb3ducmV2LnhtbFBLAQIUABQAAAAIAIdO4kCAl5+E&#10;HQIAAF0EAAAOAAAAAAAAAAEAIAAAACc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取内脏</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64064" behindDoc="0" locked="0" layoutInCell="1" allowOverlap="1">
                <wp:simplePos x="0" y="0"/>
                <wp:positionH relativeFrom="column">
                  <wp:posOffset>171450</wp:posOffset>
                </wp:positionH>
                <wp:positionV relativeFrom="paragraph">
                  <wp:posOffset>78105</wp:posOffset>
                </wp:positionV>
                <wp:extent cx="533400" cy="256540"/>
                <wp:effectExtent l="4445" t="4445" r="14605" b="5715"/>
                <wp:wrapNone/>
                <wp:docPr id="250" name="文本框 250"/>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吊挂</w:t>
                            </w:r>
                          </w:p>
                        </w:txbxContent>
                      </wps:txbx>
                      <wps:bodyPr lIns="0" tIns="0" rIns="0" bIns="0" upright="1"/>
                    </wps:wsp>
                  </a:graphicData>
                </a:graphic>
              </wp:anchor>
            </w:drawing>
          </mc:Choice>
          <mc:Fallback>
            <w:pict>
              <v:shape id="_x0000_s1026" o:spid="_x0000_s1026" o:spt="202" type="#_x0000_t202" style="position:absolute;left:0pt;margin-left:13.5pt;margin-top:6.15pt;height:20.2pt;width:42pt;z-index:251864064;mso-width-relative:page;mso-height-relative:page;" fillcolor="#FFFFFF" filled="t" stroked="t" coordsize="21600,21600" o:gfxdata="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C9EAXTWAAAACAEA&#10;AA8AAAAAAAAAAQAgAAAAIgAAAGRycy9kb3ducmV2LnhtbFBLAQIUABQAAAAIAIdO4kDdqu3lHAIA&#10;AF0EAAAOAAAAAAAAAAEAIAAAACUBAABkcnMvZTJvRG9jLnhtbFBLBQYAAAAABgAGAFkBAACzBQAA&#10;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吊挂</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70208" behindDoc="0" locked="0" layoutInCell="1" allowOverlap="1">
                <wp:simplePos x="0" y="0"/>
                <wp:positionH relativeFrom="column">
                  <wp:posOffset>3171825</wp:posOffset>
                </wp:positionH>
                <wp:positionV relativeFrom="paragraph">
                  <wp:posOffset>215265</wp:posOffset>
                </wp:positionV>
                <wp:extent cx="323850" cy="0"/>
                <wp:effectExtent l="0" t="25400" r="0" b="31750"/>
                <wp:wrapNone/>
                <wp:docPr id="252" name="直接连接符 252"/>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49.75pt;margin-top:16.95pt;height:0pt;width:25.5pt;z-index:251870208;mso-width-relative:page;mso-height-relative:page;" filled="f" stroked="t" coordsize="21600,21600" o:gfxdata="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NzV/61QAAAAkBAAAPAAAAAAAAAAEAIAAAACIAAABkcnMvZG93bnJl&#10;di54bWxQSwECFAAUAAAACACHTuJAMZVoJQACAADoAwAADgAAAAAAAAABACAAAAAk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871232" behindDoc="0" locked="0" layoutInCell="1" allowOverlap="1">
                <wp:simplePos x="0" y="0"/>
                <wp:positionH relativeFrom="column">
                  <wp:posOffset>2333625</wp:posOffset>
                </wp:positionH>
                <wp:positionV relativeFrom="paragraph">
                  <wp:posOffset>215265</wp:posOffset>
                </wp:positionV>
                <wp:extent cx="323850" cy="0"/>
                <wp:effectExtent l="0" t="25400" r="0" b="31750"/>
                <wp:wrapNone/>
                <wp:docPr id="254" name="直接连接符 254"/>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83.75pt;margin-top:16.95pt;height:0pt;width:25.5pt;z-index:251871232;mso-width-relative:page;mso-height-relative:page;" filled="f" stroked="t" coordsize="21600,21600" o:gfxdata="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aSoz1tUAAAAJAQAADwAAAAAAAAABACAAAAAiAAAAZHJzL2Rvd25y&#10;ZXYueG1sUEsBAhQAFAAAAAgAh07iQH+0Of8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73280" behindDoc="0" locked="0" layoutInCell="1" allowOverlap="1">
                <wp:simplePos x="0" y="0"/>
                <wp:positionH relativeFrom="column">
                  <wp:posOffset>695325</wp:posOffset>
                </wp:positionH>
                <wp:positionV relativeFrom="paragraph">
                  <wp:posOffset>215265</wp:posOffset>
                </wp:positionV>
                <wp:extent cx="323850" cy="0"/>
                <wp:effectExtent l="0" t="25400" r="0" b="31750"/>
                <wp:wrapNone/>
                <wp:docPr id="256" name="直接连接符 256"/>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54.75pt;margin-top:16.95pt;height:0pt;width:25.5pt;z-index:251873280;mso-width-relative:page;mso-height-relative:page;" filled="f" stroked="t" coordsize="21600,21600" o:gfxdata="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4QV+O1AAAAAkBAAAPAAAAAAAAAAEAIAAAACIAAABkcnMvZG93bnJl&#10;di54bWxQSwECFAAUAAAACACHTuJARav2tgECAADoAwAADgAAAAAAAAABACAAAAAj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54848" behindDoc="0" locked="0" layoutInCell="1" allowOverlap="1">
                <wp:simplePos x="0" y="0"/>
                <wp:positionH relativeFrom="column">
                  <wp:posOffset>3457575</wp:posOffset>
                </wp:positionH>
                <wp:positionV relativeFrom="paragraph">
                  <wp:posOffset>87630</wp:posOffset>
                </wp:positionV>
                <wp:extent cx="754380" cy="256540"/>
                <wp:effectExtent l="4445" t="4445" r="22225" b="5715"/>
                <wp:wrapNone/>
                <wp:docPr id="258" name="文本框 258"/>
                <wp:cNvGraphicFramePr/>
                <a:graphic xmlns:a="http://schemas.openxmlformats.org/drawingml/2006/main">
                  <a:graphicData uri="http://schemas.microsoft.com/office/word/2010/wordprocessingShape">
                    <wps:wsp>
                      <wps:cNvSpPr txBox="1"/>
                      <wps:spPr>
                        <a:xfrm>
                          <a:off x="0" y="0"/>
                          <a:ext cx="75438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冲洗胸腹腔</w:t>
                            </w:r>
                          </w:p>
                        </w:txbxContent>
                      </wps:txbx>
                      <wps:bodyPr lIns="0" tIns="0" rIns="0" bIns="0" upright="1"/>
                    </wps:wsp>
                  </a:graphicData>
                </a:graphic>
              </wp:anchor>
            </w:drawing>
          </mc:Choice>
          <mc:Fallback>
            <w:pict>
              <v:shape id="_x0000_s1026" o:spid="_x0000_s1026" o:spt="202" type="#_x0000_t202" style="position:absolute;left:0pt;margin-left:272.25pt;margin-top:6.9pt;height:20.2pt;width:59.4pt;z-index:251854848;mso-width-relative:page;mso-height-relative:page;" fillcolor="#FFFFFF" filled="t" stroked="t" coordsize="21600,21600" o:gfxdata="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dUT/ONcAAAAJ&#10;AQAADwAAAAAAAAABACAAAAAiAAAAZHJzL2Rvd25yZXYueG1sUEsBAhQAFAAAAAgAh07iQMaePssd&#10;AgAAXQQAAA4AAAAAAAAAAQAgAAAAJg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冲洗胸腹腔</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855872" behindDoc="0" locked="0" layoutInCell="1" allowOverlap="1">
                <wp:simplePos x="0" y="0"/>
                <wp:positionH relativeFrom="column">
                  <wp:posOffset>1019175</wp:posOffset>
                </wp:positionH>
                <wp:positionV relativeFrom="paragraph">
                  <wp:posOffset>87630</wp:posOffset>
                </wp:positionV>
                <wp:extent cx="497205" cy="256540"/>
                <wp:effectExtent l="5080" t="4445" r="12065" b="5715"/>
                <wp:wrapNone/>
                <wp:docPr id="260" name="文本框 260"/>
                <wp:cNvGraphicFramePr/>
                <a:graphic xmlns:a="http://schemas.openxmlformats.org/drawingml/2006/main">
                  <a:graphicData uri="http://schemas.microsoft.com/office/word/2010/wordprocessingShape">
                    <wps:wsp>
                      <wps:cNvSpPr txBox="1"/>
                      <wps:spPr>
                        <a:xfrm>
                          <a:off x="0" y="0"/>
                          <a:ext cx="49720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挑胸</w:t>
                            </w:r>
                          </w:p>
                        </w:txbxContent>
                      </wps:txbx>
                      <wps:bodyPr lIns="0" tIns="0" rIns="0" bIns="0" upright="1"/>
                    </wps:wsp>
                  </a:graphicData>
                </a:graphic>
              </wp:anchor>
            </w:drawing>
          </mc:Choice>
          <mc:Fallback>
            <w:pict>
              <v:shape id="_x0000_s1026" o:spid="_x0000_s1026" o:spt="202" type="#_x0000_t202" style="position:absolute;left:0pt;margin-left:80.25pt;margin-top:6.9pt;height:20.2pt;width:39.15pt;z-index:251855872;mso-width-relative:page;mso-height-relative:page;" fillcolor="#FFFFFF" filled="t" stroked="t" coordsize="21600,21600" o:gfxdata="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m0L/h1wAAAAkB&#10;AAAPAAAAAAAAAAEAIAAAACIAAABkcnMvZG93bnJldi54bWxQSwECFAAUAAAACACHTuJA8KNwoRwC&#10;AABdBAAADgAAAAAAAAABACAAAAAmAQAAZHJzL2Uyb0RvYy54bWxQSwUGAAAAAAYABgBZAQAAtAUA&#10;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挑胸</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49728" behindDoc="0" locked="0" layoutInCell="1" allowOverlap="1">
                <wp:simplePos x="0" y="0"/>
                <wp:positionH relativeFrom="column">
                  <wp:posOffset>1800225</wp:posOffset>
                </wp:positionH>
                <wp:positionV relativeFrom="paragraph">
                  <wp:posOffset>87630</wp:posOffset>
                </wp:positionV>
                <wp:extent cx="533400" cy="256540"/>
                <wp:effectExtent l="4445" t="4445" r="14605" b="5715"/>
                <wp:wrapNone/>
                <wp:docPr id="262" name="文本框 262"/>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开膛</w:t>
                            </w:r>
                          </w:p>
                        </w:txbxContent>
                      </wps:txbx>
                      <wps:bodyPr lIns="0" tIns="0" rIns="0" bIns="0" upright="1"/>
                    </wps:wsp>
                  </a:graphicData>
                </a:graphic>
              </wp:anchor>
            </w:drawing>
          </mc:Choice>
          <mc:Fallback>
            <w:pict>
              <v:shape id="_x0000_s1026" o:spid="_x0000_s1026" o:spt="202" type="#_x0000_t202" style="position:absolute;left:0pt;margin-left:141.75pt;margin-top:6.9pt;height:20.2pt;width:42pt;z-index:251849728;mso-width-relative:page;mso-height-relative:page;" fillcolor="#FFFFFF" filled="t" stroked="t" coordsize="21600,21600" o:gfxdata="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OXZdTrYAAAA&#10;CQEAAA8AAAAAAAAAAQAgAAAAIgAAAGRycy9kb3ducmV2LnhtbFBLAQIUABQAAAAIAIdO4kBml+JR&#10;HQIAAF0EAAAOAAAAAAAAAAEAIAAAACc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开膛</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850752" behindDoc="0" locked="0" layoutInCell="1" allowOverlap="1">
                <wp:simplePos x="0" y="0"/>
                <wp:positionH relativeFrom="column">
                  <wp:posOffset>4562475</wp:posOffset>
                </wp:positionH>
                <wp:positionV relativeFrom="paragraph">
                  <wp:posOffset>108585</wp:posOffset>
                </wp:positionV>
                <wp:extent cx="754380" cy="256540"/>
                <wp:effectExtent l="4445" t="4445" r="22225" b="5715"/>
                <wp:wrapNone/>
                <wp:docPr id="264" name="文本框 264"/>
                <wp:cNvGraphicFramePr/>
                <a:graphic xmlns:a="http://schemas.openxmlformats.org/drawingml/2006/main">
                  <a:graphicData uri="http://schemas.microsoft.com/office/word/2010/wordprocessingShape">
                    <wps:wsp>
                      <wps:cNvSpPr txBox="1"/>
                      <wps:spPr>
                        <a:xfrm>
                          <a:off x="0" y="0"/>
                          <a:ext cx="75438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寄生虫检验</w:t>
                            </w:r>
                          </w:p>
                        </w:txbxContent>
                      </wps:txbx>
                      <wps:bodyPr lIns="0" tIns="0" rIns="0" bIns="0" upright="1"/>
                    </wps:wsp>
                  </a:graphicData>
                </a:graphic>
              </wp:anchor>
            </w:drawing>
          </mc:Choice>
          <mc:Fallback>
            <w:pict>
              <v:shape id="_x0000_s1026" o:spid="_x0000_s1026" o:spt="202" type="#_x0000_t202" style="position:absolute;left:0pt;margin-left:359.25pt;margin-top:8.55pt;height:20.2pt;width:59.4pt;z-index:251850752;mso-width-relative:page;mso-height-relative:page;" fillcolor="#FFFFFF" filled="t" stroked="t" coordsize="21600,21600" o:gfxdata="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QLUgo9kA&#10;AAAJAQAADwAAAAAAAAABACAAAAAiAAAAZHJzL2Rvd25yZXYueG1sUEsBAhQAFAAAAAgAh07iQPA1&#10;APIeAgAAXQQAAA4AAAAAAAAAAQAgAAAAKAEAAGRycy9lMm9Eb2MueG1sUEsFBgAAAAAGAAYAWQEA&#10;ALgF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寄生虫检验</w:t>
                      </w:r>
                    </w:p>
                  </w:txbxContent>
                </v:textbox>
              </v:shape>
            </w:pict>
          </mc:Fallback>
        </mc:AlternateContent>
      </w:r>
    </w:p>
    <w:p>
      <w:pPr>
        <w:ind w:firstLine="400" w:firstLineChars="200"/>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865088" behindDoc="0" locked="0" layoutInCell="1" allowOverlap="1">
                <wp:simplePos x="0" y="0"/>
                <wp:positionH relativeFrom="column">
                  <wp:posOffset>5019675</wp:posOffset>
                </wp:positionH>
                <wp:positionV relativeFrom="paragraph">
                  <wp:posOffset>165735</wp:posOffset>
                </wp:positionV>
                <wp:extent cx="7620" cy="1533525"/>
                <wp:effectExtent l="24765" t="0" r="24765" b="9525"/>
                <wp:wrapNone/>
                <wp:docPr id="266" name="直接连接符 266"/>
                <wp:cNvGraphicFramePr/>
                <a:graphic xmlns:a="http://schemas.openxmlformats.org/drawingml/2006/main">
                  <a:graphicData uri="http://schemas.microsoft.com/office/word/2010/wordprocessingShape">
                    <wps:wsp>
                      <wps:cNvCnPr/>
                      <wps:spPr>
                        <a:xfrm flipH="1">
                          <a:off x="0" y="0"/>
                          <a:ext cx="7620" cy="1533525"/>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flip:x;margin-left:395.25pt;margin-top:13.05pt;height:120.75pt;width:0.6pt;z-index:251865088;mso-width-relative:page;mso-height-relative:page;" filled="f" stroked="t" coordsize="21600,21600" o:gfxdata="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6vx7rZAAAACgEAAA8AAAAAAAAAAQAgAAAA&#10;IgAAAGRycy9kb3ducmV2LnhtbFBLAQIUABQAAAAIAIdO4kCj3y5oCgIAAPYDAAAOAAAAAAAAAAEA&#10;IAAAACgBAABkcnMvZTJvRG9jLnhtbFBLBQYAAAAABgAGAFkBAACk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15936" behindDoc="0" locked="0" layoutInCell="1" allowOverlap="1">
                <wp:simplePos x="0" y="0"/>
                <wp:positionH relativeFrom="column">
                  <wp:posOffset>2905125</wp:posOffset>
                </wp:positionH>
                <wp:positionV relativeFrom="paragraph">
                  <wp:posOffset>151765</wp:posOffset>
                </wp:positionV>
                <wp:extent cx="635" cy="680085"/>
                <wp:effectExtent l="24765" t="0" r="31750" b="5715"/>
                <wp:wrapNone/>
                <wp:docPr id="268" name="直接连接符 268"/>
                <wp:cNvGraphicFramePr/>
                <a:graphic xmlns:a="http://schemas.openxmlformats.org/drawingml/2006/main">
                  <a:graphicData uri="http://schemas.microsoft.com/office/word/2010/wordprocessingShape">
                    <wps:wsp>
                      <wps:cNvCnPr/>
                      <wps:spPr>
                        <a:xfrm>
                          <a:off x="0" y="0"/>
                          <a:ext cx="635" cy="680085"/>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28.75pt;margin-top:11.95pt;height:53.55pt;width:0.05pt;z-index:251815936;mso-width-relative:page;mso-height-relative:page;" filled="f" stroked="t" coordsize="21600,21600" o:gfxdata="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bNCcddYAAAAKAQAADwAAAAAAAAABACAAAAAiAAAAZHJzL2Rvd25y&#10;ZXYueG1sUEsBAhQAFAAAAAgAh07iQKekH3wAAgAA6gMAAA4AAAAAAAAAAQAgAAAAJQ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08096" behindDoc="0" locked="0" layoutInCell="1" allowOverlap="1">
                <wp:simplePos x="0" y="0"/>
                <wp:positionH relativeFrom="column">
                  <wp:posOffset>2085975</wp:posOffset>
                </wp:positionH>
                <wp:positionV relativeFrom="paragraph">
                  <wp:posOffset>161925</wp:posOffset>
                </wp:positionV>
                <wp:extent cx="0" cy="297180"/>
                <wp:effectExtent l="25400" t="0" r="31750" b="7620"/>
                <wp:wrapNone/>
                <wp:docPr id="270" name="直接连接符 270"/>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64.25pt;margin-top:12.75pt;height:23.4pt;width:0pt;z-index:251908096;mso-width-relative:page;mso-height-relative:page;" filled="f" stroked="t" coordsize="21600,21600" o:gfxdata="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jSplZ1QAAAAkBAAAPAAAAAAAAAAEAIAAAACIAAABkcnMvZG93bnJl&#10;di54bWxQSwECFAAUAAAACACHTuJAialVcwACAADoAwAADgAAAAAAAAABACAAAAAk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69184" behindDoc="0" locked="0" layoutInCell="1" allowOverlap="1">
                <wp:simplePos x="0" y="0"/>
                <wp:positionH relativeFrom="column">
                  <wp:posOffset>4248150</wp:posOffset>
                </wp:positionH>
                <wp:positionV relativeFrom="paragraph">
                  <wp:posOffset>28575</wp:posOffset>
                </wp:positionV>
                <wp:extent cx="323850" cy="0"/>
                <wp:effectExtent l="0" t="25400" r="0" b="31750"/>
                <wp:wrapNone/>
                <wp:docPr id="272" name="直接连接符 272"/>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34.5pt;margin-top:2.25pt;height:0pt;width:25.5pt;z-index:251869184;mso-width-relative:page;mso-height-relative:page;" filled="f" stroked="t" coordsize="21600,21600" o:gfxdata="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be7PvTAAAABwEAAA8AAAAAAAAAAQAgAAAAIgAAAGRycy9kb3ducmV2&#10;LnhtbFBLAQIUABQAAAAIAIdO4kCcgy3jAQIAAOgDAAAOAAAAAAAAAAEAIAAAACIBAABkcnMvZTJv&#10;RG9jLnhtbFBLBQYAAAAABgAGAFkBAACVBQAAAAA=&#10;">
                <v:fill on="f" focussize="0,0"/>
                <v:stroke color="#000000" joinstyle="round" endarrow="classic" endarrowwidth="narrow" endarrowlength="long"/>
                <v:imagedata o:title=""/>
                <o:lock v:ext="edit" aspectratio="f"/>
              </v:line>
            </w:pict>
          </mc:Fallback>
        </mc:AlternateContent>
      </w:r>
    </w:p>
    <w:p>
      <w:pPr>
        <w:ind w:firstLine="480" w:firstLineChars="200"/>
        <w:rPr>
          <w:rFonts w:hint="default" w:ascii="Times New Roman" w:hAnsi="Times New Roman" w:cs="Times New Roman"/>
          <w:color w:val="auto"/>
          <w:sz w:val="24"/>
        </w:rPr>
      </w:pP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941888" behindDoc="0" locked="0" layoutInCell="1" allowOverlap="1">
                <wp:simplePos x="0" y="0"/>
                <wp:positionH relativeFrom="column">
                  <wp:posOffset>1819275</wp:posOffset>
                </wp:positionH>
                <wp:positionV relativeFrom="paragraph">
                  <wp:posOffset>83820</wp:posOffset>
                </wp:positionV>
                <wp:extent cx="466725" cy="251460"/>
                <wp:effectExtent l="0" t="0" r="0" b="0"/>
                <wp:wrapNone/>
                <wp:docPr id="274" name="文本框 274"/>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eastAsia="黑体"/>
                                <w:lang w:val="en-US" w:eastAsia="zh-CN"/>
                              </w:rPr>
                            </w:pPr>
                            <w:r>
                              <w:rPr>
                                <w:rFonts w:hint="eastAsia"/>
                              </w:rPr>
                              <w:t>W</w:t>
                            </w:r>
                            <w:r>
                              <w:rPr>
                                <w:rFonts w:hint="eastAsia"/>
                                <w:b/>
                                <w:i/>
                                <w:vertAlign w:val="subscript"/>
                              </w:rPr>
                              <w:t>1-</w:t>
                            </w:r>
                            <w:r>
                              <w:rPr>
                                <w:rFonts w:hint="eastAsia"/>
                                <w:b/>
                                <w:i/>
                                <w:vertAlign w:val="subscript"/>
                                <w:lang w:val="en-US" w:eastAsia="zh-CN"/>
                              </w:rPr>
                              <w:t>8</w:t>
                            </w:r>
                          </w:p>
                        </w:txbxContent>
                      </wps:txbx>
                      <wps:bodyPr lIns="0" tIns="0" rIns="0" bIns="0" upright="1"/>
                    </wps:wsp>
                  </a:graphicData>
                </a:graphic>
              </wp:anchor>
            </w:drawing>
          </mc:Choice>
          <mc:Fallback>
            <w:pict>
              <v:shape id="_x0000_s1026" o:spid="_x0000_s1026" o:spt="202" type="#_x0000_t202" style="position:absolute;left:0pt;margin-left:143.25pt;margin-top:6.6pt;height:19.8pt;width:36.75pt;z-index:251941888;mso-width-relative:page;mso-height-relative:page;" filled="f" stroked="f" coordsize="21600,21600" o:gfxdata="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hIMCK2AAAAAkBAAAPAAAAAAAAAAEAIAAAACIAAABkcnMvZG93bnJldi54bWxQ&#10;SwECFAAUAAAACACHTuJAJkMoLb4BAAB1AwAADgAAAAAAAAABACAAAAAnAQAAZHJzL2Uyb0RvYy54&#10;bWxQSwUGAAAAAAYABgBZAQAAVwUAAAAA&#10;">
                <v:fill on="f" focussize="0,0"/>
                <v:stroke on="f"/>
                <v:imagedata o:title=""/>
                <o:lock v:ext="edit" aspectratio="f"/>
                <v:textbox inset="0mm,0mm,0mm,0mm">
                  <w:txbxContent>
                    <w:p>
                      <w:pPr>
                        <w:pStyle w:val="15"/>
                        <w:snapToGrid w:val="0"/>
                        <w:jc w:val="center"/>
                        <w:rPr>
                          <w:rFonts w:hint="eastAsia" w:eastAsia="黑体"/>
                          <w:lang w:val="en-US" w:eastAsia="zh-CN"/>
                        </w:rPr>
                      </w:pPr>
                      <w:r>
                        <w:rPr>
                          <w:rFonts w:hint="eastAsia"/>
                        </w:rPr>
                        <w:t>W</w:t>
                      </w:r>
                      <w:r>
                        <w:rPr>
                          <w:rFonts w:hint="eastAsia"/>
                          <w:b/>
                          <w:i/>
                          <w:vertAlign w:val="subscript"/>
                        </w:rPr>
                        <w:t>1-</w:t>
                      </w:r>
                      <w:r>
                        <w:rPr>
                          <w:rFonts w:hint="eastAsia"/>
                          <w:b/>
                          <w:i/>
                          <w:vertAlign w:val="subscript"/>
                          <w:lang w:val="en-US" w:eastAsia="zh-CN"/>
                        </w:rPr>
                        <w:t>8</w:t>
                      </w:r>
                    </w:p>
                  </w:txbxContent>
                </v:textbox>
              </v:shape>
            </w:pict>
          </mc:Fallback>
        </mc:AlternateContent>
      </w:r>
      <w:r>
        <w:rPr>
          <w:rFonts w:hint="default" w:ascii="Times New Roman" w:hAnsi="Times New Roman" w:cs="Times New Roman"/>
          <w:color w:val="auto"/>
          <w:sz w:val="20"/>
          <w:highlight w:val="magenta"/>
        </w:rPr>
        <mc:AlternateContent>
          <mc:Choice Requires="wps">
            <w:drawing>
              <wp:anchor distT="0" distB="0" distL="114300" distR="114300" simplePos="0" relativeHeight="251817984" behindDoc="0" locked="0" layoutInCell="1" allowOverlap="1">
                <wp:simplePos x="0" y="0"/>
                <wp:positionH relativeFrom="column">
                  <wp:posOffset>2433955</wp:posOffset>
                </wp:positionH>
                <wp:positionV relativeFrom="paragraph">
                  <wp:posOffset>71755</wp:posOffset>
                </wp:positionV>
                <wp:extent cx="485140" cy="251460"/>
                <wp:effectExtent l="0" t="0" r="0" b="0"/>
                <wp:wrapNone/>
                <wp:docPr id="276" name="文本框 276"/>
                <wp:cNvGraphicFramePr/>
                <a:graphic xmlns:a="http://schemas.openxmlformats.org/drawingml/2006/main">
                  <a:graphicData uri="http://schemas.microsoft.com/office/word/2010/wordprocessingShape">
                    <wps:wsp>
                      <wps:cNvSpPr txBox="1"/>
                      <wps:spPr>
                        <a:xfrm>
                          <a:off x="0" y="0"/>
                          <a:ext cx="485140" cy="251460"/>
                        </a:xfrm>
                        <a:prstGeom prst="rect">
                          <a:avLst/>
                        </a:prstGeom>
                        <a:noFill/>
                        <a:ln>
                          <a:noFill/>
                        </a:ln>
                      </wps:spPr>
                      <wps:txbx>
                        <w:txbxContent>
                          <w:p>
                            <w:pPr>
                              <w:pStyle w:val="15"/>
                              <w:snapToGrid w:val="0"/>
                              <w:jc w:val="center"/>
                              <w:rPr>
                                <w:rFonts w:hint="eastAsia" w:eastAsia="黑体"/>
                                <w:lang w:val="en-US" w:eastAsia="zh-CN"/>
                              </w:rPr>
                            </w:pPr>
                            <w:r>
                              <w:rPr>
                                <w:rFonts w:hint="eastAsia"/>
                              </w:rPr>
                              <w:t>G</w:t>
                            </w:r>
                            <w:r>
                              <w:rPr>
                                <w:rFonts w:hint="eastAsia"/>
                                <w:b/>
                                <w:i/>
                                <w:vertAlign w:val="subscript"/>
                              </w:rPr>
                              <w:t>1-</w:t>
                            </w:r>
                            <w:r>
                              <w:rPr>
                                <w:rFonts w:hint="eastAsia"/>
                                <w:b/>
                                <w:i/>
                                <w:vertAlign w:val="subscript"/>
                                <w:lang w:val="en-US" w:eastAsia="zh-CN"/>
                              </w:rPr>
                              <w:t>2</w:t>
                            </w:r>
                          </w:p>
                          <w:p>
                            <w:pPr>
                              <w:pStyle w:val="15"/>
                              <w:snapToGrid w:val="0"/>
                              <w:jc w:val="center"/>
                              <w:rPr>
                                <w:rFonts w:hint="eastAsia" w:eastAsia="黑体"/>
                                <w:lang w:eastAsia="zh-CN"/>
                              </w:rPr>
                            </w:pPr>
                          </w:p>
                        </w:txbxContent>
                      </wps:txbx>
                      <wps:bodyPr lIns="0" tIns="0" rIns="0" bIns="0" upright="1"/>
                    </wps:wsp>
                  </a:graphicData>
                </a:graphic>
              </wp:anchor>
            </w:drawing>
          </mc:Choice>
          <mc:Fallback>
            <w:pict>
              <v:shape id="_x0000_s1026" o:spid="_x0000_s1026" o:spt="202" type="#_x0000_t202" style="position:absolute;left:0pt;margin-left:191.65pt;margin-top:5.65pt;height:19.8pt;width:38.2pt;z-index:251817984;mso-width-relative:page;mso-height-relative:page;" filled="f" stroked="f" coordsize="21600,21600" o:gfxdata="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uojzD2AAAAAkBAAAPAAAAAAAAAAEAIAAAACIAAABkcnMvZG93bnJldi54bWxQSwEC&#10;FAAUAAAACACHTuJAFZF9tbsBAAB1AwAADgAAAAAAAAABACAAAAAnAQAAZHJzL2Uyb0RvYy54bWxQ&#10;SwUGAAAAAAYABgBZAQAAVAUAAAAA&#10;">
                <v:fill on="f" focussize="0,0"/>
                <v:stroke on="f"/>
                <v:imagedata o:title=""/>
                <o:lock v:ext="edit" aspectratio="f"/>
                <v:textbox inset="0mm,0mm,0mm,0mm">
                  <w:txbxContent>
                    <w:p>
                      <w:pPr>
                        <w:pStyle w:val="15"/>
                        <w:snapToGrid w:val="0"/>
                        <w:jc w:val="center"/>
                        <w:rPr>
                          <w:rFonts w:hint="eastAsia" w:eastAsia="黑体"/>
                          <w:lang w:val="en-US" w:eastAsia="zh-CN"/>
                        </w:rPr>
                      </w:pPr>
                      <w:r>
                        <w:rPr>
                          <w:rFonts w:hint="eastAsia"/>
                        </w:rPr>
                        <w:t>G</w:t>
                      </w:r>
                      <w:r>
                        <w:rPr>
                          <w:rFonts w:hint="eastAsia"/>
                          <w:b/>
                          <w:i/>
                          <w:vertAlign w:val="subscript"/>
                        </w:rPr>
                        <w:t>1-</w:t>
                      </w:r>
                      <w:r>
                        <w:rPr>
                          <w:rFonts w:hint="eastAsia"/>
                          <w:b/>
                          <w:i/>
                          <w:vertAlign w:val="subscript"/>
                          <w:lang w:val="en-US" w:eastAsia="zh-CN"/>
                        </w:rPr>
                        <w:t>2</w:t>
                      </w:r>
                    </w:p>
                    <w:p>
                      <w:pPr>
                        <w:pStyle w:val="15"/>
                        <w:snapToGrid w:val="0"/>
                        <w:jc w:val="center"/>
                        <w:rPr>
                          <w:rFonts w:hint="eastAsia" w:eastAsia="黑体"/>
                          <w:lang w:eastAsia="zh-CN"/>
                        </w:rPr>
                      </w:pPr>
                    </w:p>
                  </w:txbxContent>
                </v:textbox>
              </v:shap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838464" behindDoc="0" locked="0" layoutInCell="1" allowOverlap="1">
                <wp:simplePos x="0" y="0"/>
                <wp:positionH relativeFrom="column">
                  <wp:posOffset>4724400</wp:posOffset>
                </wp:positionH>
                <wp:positionV relativeFrom="paragraph">
                  <wp:posOffset>282575</wp:posOffset>
                </wp:positionV>
                <wp:extent cx="771525" cy="104775"/>
                <wp:effectExtent l="0" t="24765" r="9525" b="22860"/>
                <wp:wrapNone/>
                <wp:docPr id="278" name="任意多边形 278"/>
                <wp:cNvGraphicFramePr/>
                <a:graphic xmlns:a="http://schemas.openxmlformats.org/drawingml/2006/main">
                  <a:graphicData uri="http://schemas.microsoft.com/office/word/2010/wordprocessingShape">
                    <wps:wsp>
                      <wps:cNvSpPr/>
                      <wps:spPr>
                        <a:xfrm>
                          <a:off x="0" y="0"/>
                          <a:ext cx="771525" cy="104775"/>
                        </a:xfrm>
                        <a:custGeom>
                          <a:avLst/>
                          <a:gdLst/>
                          <a:ahLst/>
                          <a:cxnLst/>
                          <a:pathLst>
                            <a:path w="1155" h="90">
                              <a:moveTo>
                                <a:pt x="0" y="0"/>
                              </a:moveTo>
                              <a:lnTo>
                                <a:pt x="318" y="0"/>
                              </a:lnTo>
                              <a:lnTo>
                                <a:pt x="453" y="90"/>
                              </a:lnTo>
                              <a:lnTo>
                                <a:pt x="618" y="0"/>
                              </a:lnTo>
                              <a:lnTo>
                                <a:pt x="1155" y="1"/>
                              </a:lnTo>
                            </a:path>
                          </a:pathLst>
                        </a:custGeom>
                        <a:noFill/>
                        <a:ln w="9525" cap="flat" cmpd="sng">
                          <a:solidFill>
                            <a:srgbClr val="000000"/>
                          </a:solidFill>
                          <a:prstDash val="solid"/>
                          <a:headEnd type="none" w="med" len="med"/>
                          <a:tailEnd type="stealth" w="sm" len="lg"/>
                        </a:ln>
                      </wps:spPr>
                      <wps:bodyPr upright="1"/>
                    </wps:wsp>
                  </a:graphicData>
                </a:graphic>
              </wp:anchor>
            </w:drawing>
          </mc:Choice>
          <mc:Fallback>
            <w:pict>
              <v:shape id="_x0000_s1026" o:spid="_x0000_s1026" o:spt="100" style="position:absolute;left:0pt;margin-left:372pt;margin-top:22.25pt;height:8.25pt;width:60.75pt;z-index:251838464;mso-width-relative:page;mso-height-relative:page;" filled="f" stroked="t" coordsize="1155,90" o:gfxdata="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0pvG&#10;/NgAAAAJAQAADwAAAAAAAAABACAAAAAiAAAAZHJzL2Rvd25yZXYueG1sUEsBAhQAFAAAAAgAh07i&#10;QMePwgBbAgAABQUAAA4AAAAAAAAAAQAgAAAAJwEAAGRycy9lMm9Eb2MueG1sUEsFBgAAAAAGAAYA&#10;WQEAAPQFAAAAAA==&#10;" path="m0,0l318,0,453,90,618,0,1155,1e">
                <v:fill on="f" focussize="0,0"/>
                <v:stroke color="#000000" joinstyle="round" endarrow="classic" endarrowwidth="narrow" endarrowlength="long"/>
                <v:imagedata o:title=""/>
                <o:lock v:ext="edit" aspectratio="f"/>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853824" behindDoc="0" locked="0" layoutInCell="1" allowOverlap="1">
                <wp:simplePos x="0" y="0"/>
                <wp:positionH relativeFrom="column">
                  <wp:posOffset>2654935</wp:posOffset>
                </wp:positionH>
                <wp:positionV relativeFrom="paragraph">
                  <wp:posOffset>178435</wp:posOffset>
                </wp:positionV>
                <wp:extent cx="535305" cy="256540"/>
                <wp:effectExtent l="4445" t="5080" r="12700" b="5080"/>
                <wp:wrapNone/>
                <wp:docPr id="280" name="文本框 280"/>
                <wp:cNvGraphicFramePr/>
                <a:graphic xmlns:a="http://schemas.openxmlformats.org/drawingml/2006/main">
                  <a:graphicData uri="http://schemas.microsoft.com/office/word/2010/wordprocessingShape">
                    <wps:wsp>
                      <wps:cNvSpPr txBox="1"/>
                      <wps:spPr>
                        <a:xfrm>
                          <a:off x="0" y="0"/>
                          <a:ext cx="53530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检验</w:t>
                            </w:r>
                          </w:p>
                        </w:txbxContent>
                      </wps:txbx>
                      <wps:bodyPr lIns="0" tIns="0" rIns="0" bIns="0" upright="1"/>
                    </wps:wsp>
                  </a:graphicData>
                </a:graphic>
              </wp:anchor>
            </w:drawing>
          </mc:Choice>
          <mc:Fallback>
            <w:pict>
              <v:shape id="_x0000_s1026" o:spid="_x0000_s1026" o:spt="202" type="#_x0000_t202" style="position:absolute;left:0pt;margin-left:209.05pt;margin-top:14.05pt;height:20.2pt;width:42.15pt;z-index:251853824;mso-width-relative:page;mso-height-relative:page;" fillcolor="#FFFFFF" filled="t" stroked="t" coordsize="21600,21600" o:gfxdata="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ySrcl9gAAAAJ&#10;AQAADwAAAAAAAAABACAAAAAiAAAAZHJzL2Rvd25yZXYueG1sUEsBAhQAFAAAAAgAh07iQNHBu24c&#10;AgAAXQQAAA4AAAAAAAAAAQAgAAAAJw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检验</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98880" behindDoc="0" locked="0" layoutInCell="1" allowOverlap="1">
                <wp:simplePos x="0" y="0"/>
                <wp:positionH relativeFrom="column">
                  <wp:posOffset>142240</wp:posOffset>
                </wp:positionH>
                <wp:positionV relativeFrom="paragraph">
                  <wp:posOffset>285750</wp:posOffset>
                </wp:positionV>
                <wp:extent cx="2515235" cy="635"/>
                <wp:effectExtent l="0" t="25400" r="18415" b="31115"/>
                <wp:wrapNone/>
                <wp:docPr id="284" name="直接连接符 284"/>
                <wp:cNvGraphicFramePr/>
                <a:graphic xmlns:a="http://schemas.openxmlformats.org/drawingml/2006/main">
                  <a:graphicData uri="http://schemas.microsoft.com/office/word/2010/wordprocessingShape">
                    <wps:wsp>
                      <wps:cNvCnPr/>
                      <wps:spPr>
                        <a:xfrm rot="10800000">
                          <a:off x="0" y="0"/>
                          <a:ext cx="2515235" cy="635"/>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1.2pt;margin-top:22.5pt;height:0.05pt;width:198.05pt;rotation:11796480f;z-index:251898880;mso-width-relative:page;mso-height-relative:page;" filled="f" stroked="t" coordsize="21600,21600" o:gfxdata="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3GJhHYAAAACAEAAA8AAAAAAAAAAQAgAAAA&#10;IgAAAGRycy9kb3ducmV2LnhtbFBLAQIUABQAAAAIAIdO4kAvxQcRCwIAAPoDAAAOAAAAAAAAAAEA&#10;IAAAACcBAABkcnMvZTJvRG9jLnhtbFBLBQYAAAAABgAGAFkBAACk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23104" behindDoc="0" locked="0" layoutInCell="1" allowOverlap="1">
                <wp:simplePos x="0" y="0"/>
                <wp:positionH relativeFrom="column">
                  <wp:posOffset>1219200</wp:posOffset>
                </wp:positionH>
                <wp:positionV relativeFrom="paragraph">
                  <wp:posOffset>33020</wp:posOffset>
                </wp:positionV>
                <wp:extent cx="866775" cy="291465"/>
                <wp:effectExtent l="0" t="0" r="0" b="0"/>
                <wp:wrapNone/>
                <wp:docPr id="286" name="文本框 286"/>
                <wp:cNvGraphicFramePr/>
                <a:graphic xmlns:a="http://schemas.openxmlformats.org/drawingml/2006/main">
                  <a:graphicData uri="http://schemas.microsoft.com/office/word/2010/wordprocessingShape">
                    <wps:wsp>
                      <wps:cNvSpPr txBox="1"/>
                      <wps:spPr>
                        <a:xfrm>
                          <a:off x="0" y="0"/>
                          <a:ext cx="866775" cy="291465"/>
                        </a:xfrm>
                        <a:prstGeom prst="rect">
                          <a:avLst/>
                        </a:prstGeom>
                        <a:noFill/>
                        <a:ln>
                          <a:noFill/>
                        </a:ln>
                      </wps:spPr>
                      <wps:txbx>
                        <w:txbxContent>
                          <w:p>
                            <w:pPr>
                              <w:pStyle w:val="15"/>
                              <w:snapToGrid w:val="0"/>
                              <w:jc w:val="center"/>
                              <w:rPr>
                                <w:rFonts w:hint="eastAsia" w:eastAsia="黑体"/>
                                <w:sz w:val="21"/>
                                <w:szCs w:val="21"/>
                                <w:lang w:val="en-US" w:eastAsia="zh-CN"/>
                              </w:rPr>
                            </w:pPr>
                            <w:r>
                              <w:rPr>
                                <w:rFonts w:hint="eastAsia"/>
                                <w:sz w:val="21"/>
                                <w:szCs w:val="21"/>
                              </w:rPr>
                              <w:t>不合格S</w:t>
                            </w:r>
                            <w:r>
                              <w:rPr>
                                <w:rFonts w:hint="eastAsia"/>
                                <w:b/>
                                <w:i/>
                                <w:vertAlign w:val="subscript"/>
                              </w:rPr>
                              <w:t>1-</w:t>
                            </w:r>
                            <w:r>
                              <w:rPr>
                                <w:rFonts w:hint="eastAsia"/>
                                <w:b/>
                                <w:i/>
                                <w:vertAlign w:val="subscript"/>
                                <w:lang w:val="en-US" w:eastAsia="zh-CN"/>
                              </w:rPr>
                              <w:t>7</w:t>
                            </w:r>
                          </w:p>
                        </w:txbxContent>
                      </wps:txbx>
                      <wps:bodyPr lIns="0" tIns="0" rIns="0" bIns="0" upright="1"/>
                    </wps:wsp>
                  </a:graphicData>
                </a:graphic>
              </wp:anchor>
            </w:drawing>
          </mc:Choice>
          <mc:Fallback>
            <w:pict>
              <v:shape id="_x0000_s1026" o:spid="_x0000_s1026" o:spt="202" type="#_x0000_t202" style="position:absolute;left:0pt;margin-left:96pt;margin-top:2.6pt;height:22.95pt;width:68.25pt;z-index:251823104;mso-width-relative:page;mso-height-relative:page;" filled="f" stroked="f" coordsize="21600,21600" o:gfxdata="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zr8Jm1gAAAAgBAAAPAAAAAAAAAAEAIAAAACIAAABkcnMvZG93bnJldi54bWxQSwEC&#10;FAAUAAAACACHTuJAr+ArVb0BAAB1AwAADgAAAAAAAAABACAAAAAlAQAAZHJzL2Uyb0RvYy54bWxQ&#10;SwUGAAAAAAYABgBZAQAAVAUAAAAA&#10;">
                <v:fill on="f" focussize="0,0"/>
                <v:stroke on="f"/>
                <v:imagedata o:title=""/>
                <o:lock v:ext="edit" aspectratio="f"/>
                <v:textbox inset="0mm,0mm,0mm,0mm">
                  <w:txbxContent>
                    <w:p>
                      <w:pPr>
                        <w:pStyle w:val="15"/>
                        <w:snapToGrid w:val="0"/>
                        <w:jc w:val="center"/>
                        <w:rPr>
                          <w:rFonts w:hint="eastAsia" w:eastAsia="黑体"/>
                          <w:sz w:val="21"/>
                          <w:szCs w:val="21"/>
                          <w:lang w:val="en-US" w:eastAsia="zh-CN"/>
                        </w:rPr>
                      </w:pPr>
                      <w:r>
                        <w:rPr>
                          <w:rFonts w:hint="eastAsia"/>
                          <w:sz w:val="21"/>
                          <w:szCs w:val="21"/>
                        </w:rPr>
                        <w:t>不合格S</w:t>
                      </w:r>
                      <w:r>
                        <w:rPr>
                          <w:rFonts w:hint="eastAsia"/>
                          <w:b/>
                          <w:i/>
                          <w:vertAlign w:val="subscript"/>
                        </w:rPr>
                        <w:t>1-</w:t>
                      </w:r>
                      <w:r>
                        <w:rPr>
                          <w:rFonts w:hint="eastAsia"/>
                          <w:b/>
                          <w:i/>
                          <w:vertAlign w:val="subscript"/>
                          <w:lang w:val="en-US" w:eastAsia="zh-CN"/>
                        </w:rPr>
                        <w:t>7</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09120" behindDoc="0" locked="0" layoutInCell="1" allowOverlap="1">
                <wp:simplePos x="0" y="0"/>
                <wp:positionH relativeFrom="column">
                  <wp:posOffset>4133850</wp:posOffset>
                </wp:positionH>
                <wp:positionV relativeFrom="paragraph">
                  <wp:posOffset>417830</wp:posOffset>
                </wp:positionV>
                <wp:extent cx="0" cy="297180"/>
                <wp:effectExtent l="25400" t="0" r="31750" b="7620"/>
                <wp:wrapNone/>
                <wp:docPr id="288" name="直接连接符 288"/>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25.5pt;margin-top:32.9pt;height:23.4pt;width:0pt;z-index:251909120;mso-width-relative:page;mso-height-relative:page;" filled="f" stroked="t" coordsize="21600,21600" o:gfxdata="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paKwMNUAAAAKAQAADwAAAAAAAAABACAAAAAiAAAAZHJzL2Rvd25y&#10;ZXYueG1sUEsBAhQAFAAAAAgAh07iQNawyj8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97856" behindDoc="0" locked="0" layoutInCell="1" allowOverlap="1">
                <wp:simplePos x="0" y="0"/>
                <wp:positionH relativeFrom="column">
                  <wp:posOffset>3228975</wp:posOffset>
                </wp:positionH>
                <wp:positionV relativeFrom="paragraph">
                  <wp:posOffset>295910</wp:posOffset>
                </wp:positionV>
                <wp:extent cx="323850" cy="0"/>
                <wp:effectExtent l="0" t="25400" r="0" b="31750"/>
                <wp:wrapNone/>
                <wp:docPr id="290" name="直接连接符 290"/>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54.25pt;margin-top:23.3pt;height:0pt;width:25.5pt;z-index:251897856;mso-width-relative:page;mso-height-relative:page;" filled="f" stroked="t" coordsize="21600,21600" o:gfxdata="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Bpe1N7UAAAACQEAAA8AAAAAAAAAAQAgAAAAIgAAAGRycy9kb3ducmV2&#10;LnhtbFBLAQIUABQAAAAIAIdO4kAm96qUAAIAAOgDAAAOAAAAAAAAAAEAIAAAACMBAABkcnMvZTJv&#10;RG9jLnhtbFBLBQYAAAAABgAGAFkBAACV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52800" behindDoc="0" locked="0" layoutInCell="1" allowOverlap="1">
                <wp:simplePos x="0" y="0"/>
                <wp:positionH relativeFrom="column">
                  <wp:posOffset>3581400</wp:posOffset>
                </wp:positionH>
                <wp:positionV relativeFrom="paragraph">
                  <wp:posOffset>162560</wp:posOffset>
                </wp:positionV>
                <wp:extent cx="1133475" cy="256540"/>
                <wp:effectExtent l="4445" t="4445" r="5080" b="5715"/>
                <wp:wrapNone/>
                <wp:docPr id="292" name="文本框 292"/>
                <wp:cNvGraphicFramePr/>
                <a:graphic xmlns:a="http://schemas.openxmlformats.org/drawingml/2006/main">
                  <a:graphicData uri="http://schemas.microsoft.com/office/word/2010/wordprocessingShape">
                    <wps:wsp>
                      <wps:cNvSpPr txBox="1"/>
                      <wps:spPr>
                        <a:xfrm>
                          <a:off x="0" y="0"/>
                          <a:ext cx="113347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去内容物、清洗</w:t>
                            </w:r>
                          </w:p>
                        </w:txbxContent>
                      </wps:txbx>
                      <wps:bodyPr lIns="0" tIns="0" rIns="0" bIns="0" upright="1"/>
                    </wps:wsp>
                  </a:graphicData>
                </a:graphic>
              </wp:anchor>
            </w:drawing>
          </mc:Choice>
          <mc:Fallback>
            <w:pict>
              <v:shape id="_x0000_s1026" o:spid="_x0000_s1026" o:spt="202" type="#_x0000_t202" style="position:absolute;left:0pt;margin-left:282pt;margin-top:12.8pt;height:20.2pt;width:89.25pt;z-index:251852800;mso-width-relative:page;mso-height-relative:page;" fillcolor="#FFFFFF" filled="t" stroked="t" coordsize="21600,21600" o:gfxdata="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yJFJh9kA&#10;AAAJAQAADwAAAAAAAAABACAAAAAiAAAAZHJzL2Rvd25yZXYueG1sUEsBAhQAFAAAAAgAh07iQAbB&#10;ETUeAgAAXgQAAA4AAAAAAAAAAQAgAAAAKAEAAGRycy9lMm9Eb2MueG1sUEsFBgAAAAAGAAYAWQEA&#10;ALgF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去内容物、清洗</w:t>
                      </w:r>
                    </w:p>
                  </w:txbxContent>
                </v:textbox>
              </v:shape>
            </w:pict>
          </mc:Fallback>
        </mc:AlternateContent>
      </w:r>
    </w:p>
    <w:p>
      <w:pPr>
        <w:spacing w:line="500" w:lineRule="exact"/>
        <w:jc w:val="center"/>
        <w:rPr>
          <w:rFonts w:hint="default" w:ascii="Times New Roman" w:hAnsi="Times New Roman" w:cs="Times New Roman"/>
          <w:color w:val="auto"/>
          <w:sz w:val="24"/>
        </w:rPr>
      </w:pP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942912" behindDoc="0" locked="0" layoutInCell="1" allowOverlap="1">
                <wp:simplePos x="0" y="0"/>
                <wp:positionH relativeFrom="column">
                  <wp:posOffset>3733800</wp:posOffset>
                </wp:positionH>
                <wp:positionV relativeFrom="paragraph">
                  <wp:posOffset>65405</wp:posOffset>
                </wp:positionV>
                <wp:extent cx="790575" cy="288925"/>
                <wp:effectExtent l="0" t="0" r="0" b="0"/>
                <wp:wrapNone/>
                <wp:docPr id="294" name="文本框 294"/>
                <wp:cNvGraphicFramePr/>
                <a:graphic xmlns:a="http://schemas.openxmlformats.org/drawingml/2006/main">
                  <a:graphicData uri="http://schemas.microsoft.com/office/word/2010/wordprocessingShape">
                    <wps:wsp>
                      <wps:cNvSpPr txBox="1"/>
                      <wps:spPr>
                        <a:xfrm>
                          <a:off x="0" y="0"/>
                          <a:ext cx="790575" cy="288925"/>
                        </a:xfrm>
                        <a:prstGeom prst="rect">
                          <a:avLst/>
                        </a:prstGeom>
                        <a:noFill/>
                        <a:ln>
                          <a:noFill/>
                        </a:ln>
                      </wps:spPr>
                      <wps:txbx>
                        <w:txbxContent>
                          <w:p>
                            <w:pPr>
                              <w:pStyle w:val="15"/>
                              <w:snapToGrid w:val="0"/>
                              <w:jc w:val="center"/>
                              <w:rPr>
                                <w:rFonts w:hint="default" w:eastAsia="黑体"/>
                                <w:highlight w:val="none"/>
                                <w:lang w:val="en-US" w:eastAsia="zh-CN"/>
                              </w:rPr>
                            </w:pPr>
                            <w:r>
                              <w:rPr>
                                <w:rFonts w:hint="eastAsia" w:hAnsi="宋体" w:cs="Arial"/>
                                <w:highlight w:val="none"/>
                                <w:lang w:val="en-US" w:eastAsia="zh-CN"/>
                              </w:rPr>
                              <w:t>S</w:t>
                            </w:r>
                            <w:r>
                              <w:rPr>
                                <w:rFonts w:hint="eastAsia"/>
                                <w:b/>
                                <w:i/>
                                <w:highlight w:val="none"/>
                                <w:vertAlign w:val="subscript"/>
                              </w:rPr>
                              <w:t>1-</w:t>
                            </w:r>
                            <w:r>
                              <w:rPr>
                                <w:rFonts w:hint="eastAsia"/>
                                <w:b/>
                                <w:i/>
                                <w:highlight w:val="none"/>
                                <w:vertAlign w:val="subscript"/>
                                <w:lang w:val="en-US" w:eastAsia="zh-CN"/>
                              </w:rPr>
                              <w:t>3</w:t>
                            </w:r>
                            <w:r>
                              <w:rPr>
                                <w:rFonts w:hint="eastAsia"/>
                                <w:b/>
                                <w:i/>
                                <w:highlight w:val="none"/>
                                <w:vertAlign w:val="baseline"/>
                                <w:lang w:val="en-US" w:eastAsia="zh-CN"/>
                              </w:rPr>
                              <w:t>W</w:t>
                            </w:r>
                            <w:r>
                              <w:rPr>
                                <w:rFonts w:hint="eastAsia"/>
                                <w:b/>
                                <w:i/>
                                <w:highlight w:val="none"/>
                                <w:vertAlign w:val="subscript"/>
                                <w:lang w:val="en-US" w:eastAsia="zh-CN"/>
                              </w:rPr>
                              <w:t>1-10</w:t>
                            </w:r>
                          </w:p>
                        </w:txbxContent>
                      </wps:txbx>
                      <wps:bodyPr lIns="0" tIns="0" rIns="0" bIns="0" upright="1"/>
                    </wps:wsp>
                  </a:graphicData>
                </a:graphic>
              </wp:anchor>
            </w:drawing>
          </mc:Choice>
          <mc:Fallback>
            <w:pict>
              <v:shape id="_x0000_s1026" o:spid="_x0000_s1026" o:spt="202" type="#_x0000_t202" style="position:absolute;left:0pt;margin-left:294pt;margin-top:5.15pt;height:22.75pt;width:62.25pt;z-index:251942912;mso-width-relative:page;mso-height-relative:page;" filled="f" stroked="f" coordsize="21600,21600" o:gfxdata="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HkhMI/YAAAACQEAAA8AAAAAAAAAAQAgAAAAIgAAAGRycy9kb3ducmV2LnhtbFBL&#10;AQIUABQAAAAIAIdO4kAS/ZY3vQEAAHUDAAAOAAAAAAAAAAEAIAAAACcBAABkcnMvZTJvRG9jLnht&#10;bFBLBQYAAAAABgAGAFkBAABWBQAAAAA=&#10;">
                <v:fill on="f" focussize="0,0"/>
                <v:stroke on="f"/>
                <v:imagedata o:title=""/>
                <o:lock v:ext="edit" aspectratio="f"/>
                <v:textbox inset="0mm,0mm,0mm,0mm">
                  <w:txbxContent>
                    <w:p>
                      <w:pPr>
                        <w:pStyle w:val="15"/>
                        <w:snapToGrid w:val="0"/>
                        <w:jc w:val="center"/>
                        <w:rPr>
                          <w:rFonts w:hint="default" w:eastAsia="黑体"/>
                          <w:highlight w:val="none"/>
                          <w:lang w:val="en-US" w:eastAsia="zh-CN"/>
                        </w:rPr>
                      </w:pPr>
                      <w:r>
                        <w:rPr>
                          <w:rFonts w:hint="eastAsia" w:hAnsi="宋体" w:cs="Arial"/>
                          <w:highlight w:val="none"/>
                          <w:lang w:val="en-US" w:eastAsia="zh-CN"/>
                        </w:rPr>
                        <w:t>S</w:t>
                      </w:r>
                      <w:r>
                        <w:rPr>
                          <w:rFonts w:hint="eastAsia"/>
                          <w:b/>
                          <w:i/>
                          <w:highlight w:val="none"/>
                          <w:vertAlign w:val="subscript"/>
                        </w:rPr>
                        <w:t>1-</w:t>
                      </w:r>
                      <w:r>
                        <w:rPr>
                          <w:rFonts w:hint="eastAsia"/>
                          <w:b/>
                          <w:i/>
                          <w:highlight w:val="none"/>
                          <w:vertAlign w:val="subscript"/>
                          <w:lang w:val="en-US" w:eastAsia="zh-CN"/>
                        </w:rPr>
                        <w:t>3</w:t>
                      </w:r>
                      <w:r>
                        <w:rPr>
                          <w:rFonts w:hint="eastAsia"/>
                          <w:b/>
                          <w:i/>
                          <w:highlight w:val="none"/>
                          <w:vertAlign w:val="baseline"/>
                          <w:lang w:val="en-US" w:eastAsia="zh-CN"/>
                        </w:rPr>
                        <w:t>W</w:t>
                      </w:r>
                      <w:r>
                        <w:rPr>
                          <w:rFonts w:hint="eastAsia"/>
                          <w:b/>
                          <w:i/>
                          <w:highlight w:val="none"/>
                          <w:vertAlign w:val="subscript"/>
                          <w:lang w:val="en-US" w:eastAsia="zh-CN"/>
                        </w:rPr>
                        <w:t>1-10</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862016" behindDoc="0" locked="0" layoutInCell="1" allowOverlap="1">
                <wp:simplePos x="0" y="0"/>
                <wp:positionH relativeFrom="column">
                  <wp:posOffset>5334000</wp:posOffset>
                </wp:positionH>
                <wp:positionV relativeFrom="paragraph">
                  <wp:posOffset>1905</wp:posOffset>
                </wp:positionV>
                <wp:extent cx="247650" cy="693420"/>
                <wp:effectExtent l="4445" t="4445" r="14605" b="6985"/>
                <wp:wrapNone/>
                <wp:docPr id="296" name="文本框 296"/>
                <wp:cNvGraphicFramePr/>
                <a:graphic xmlns:a="http://schemas.openxmlformats.org/drawingml/2006/main">
                  <a:graphicData uri="http://schemas.microsoft.com/office/word/2010/wordprocessingShape">
                    <wps:wsp>
                      <wps:cNvSpPr txBox="1"/>
                      <wps:spPr>
                        <a:xfrm>
                          <a:off x="0" y="0"/>
                          <a:ext cx="247650" cy="6934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副</w:t>
                            </w:r>
                            <w:r>
                              <w:rPr>
                                <w:rFonts w:hint="eastAsia"/>
                                <w:sz w:val="21"/>
                                <w:szCs w:val="21"/>
                                <w:lang w:val="en-US" w:eastAsia="zh-CN"/>
                              </w:rPr>
                              <w:t>产</w:t>
                            </w:r>
                            <w:r>
                              <w:rPr>
                                <w:rFonts w:hint="eastAsia"/>
                                <w:sz w:val="21"/>
                                <w:szCs w:val="21"/>
                              </w:rPr>
                              <w:t>品</w:t>
                            </w:r>
                          </w:p>
                        </w:txbxContent>
                      </wps:txbx>
                      <wps:bodyPr lIns="0" tIns="0" rIns="0" bIns="0" upright="1"/>
                    </wps:wsp>
                  </a:graphicData>
                </a:graphic>
              </wp:anchor>
            </w:drawing>
          </mc:Choice>
          <mc:Fallback>
            <w:pict>
              <v:shape id="_x0000_s1026" o:spid="_x0000_s1026" o:spt="202" type="#_x0000_t202" style="position:absolute;left:0pt;margin-left:420pt;margin-top:0.15pt;height:54.6pt;width:19.5pt;z-index:251862016;mso-width-relative:page;mso-height-relative:page;" fillcolor="#FFFFFF" filled="t" stroked="t" coordsize="21600,21600" o:gfxdata="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Ai7OVXXAAAA&#10;CAEAAA8AAAAAAAAAAQAgAAAAIgAAAGRycy9kb3ducmV2LnhtbFBLAQIUABQAAAAIAIdO4kD9qM+w&#10;HgIAAF0EAAAOAAAAAAAAAAEAIAAAACY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副</w:t>
                      </w:r>
                      <w:r>
                        <w:rPr>
                          <w:rFonts w:hint="eastAsia"/>
                          <w:sz w:val="21"/>
                          <w:szCs w:val="21"/>
                          <w:lang w:val="en-US" w:eastAsia="zh-CN"/>
                        </w:rPr>
                        <w:t>产</w:t>
                      </w:r>
                      <w:r>
                        <w:rPr>
                          <w:rFonts w:hint="eastAsia"/>
                          <w:sz w:val="21"/>
                          <w:szCs w:val="21"/>
                        </w:rPr>
                        <w:t>品</w:t>
                      </w:r>
                    </w:p>
                  </w:txbxContent>
                </v:textbox>
              </v:shap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882496" behindDoc="0" locked="0" layoutInCell="1" allowOverlap="1">
                <wp:simplePos x="0" y="0"/>
                <wp:positionH relativeFrom="column">
                  <wp:posOffset>1038225</wp:posOffset>
                </wp:positionH>
                <wp:positionV relativeFrom="paragraph">
                  <wp:posOffset>153035</wp:posOffset>
                </wp:positionV>
                <wp:extent cx="533400" cy="256540"/>
                <wp:effectExtent l="4445" t="4445" r="14605" b="5715"/>
                <wp:wrapNone/>
                <wp:docPr id="317" name="文本框 317"/>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检验</w:t>
                            </w:r>
                          </w:p>
                        </w:txbxContent>
                      </wps:txbx>
                      <wps:bodyPr lIns="0" tIns="0" rIns="0" bIns="0" upright="1"/>
                    </wps:wsp>
                  </a:graphicData>
                </a:graphic>
              </wp:anchor>
            </w:drawing>
          </mc:Choice>
          <mc:Fallback>
            <w:pict>
              <v:shape id="_x0000_s1026" o:spid="_x0000_s1026" o:spt="202" type="#_x0000_t202" style="position:absolute;left:0pt;margin-left:81.75pt;margin-top:12.05pt;height:20.2pt;width:42pt;z-index:251882496;mso-width-relative:page;mso-height-relative:page;" fillcolor="#FFFFFF" filled="t" stroked="t" coordsize="21600,21600" o:gfxdata="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QH9FF2AAA&#10;AAkBAAAPAAAAAAAAAAEAIAAAACIAAABkcnMvZG93bnJldi54bWxQSwECFAAUAAAACACHTuJAaoZj&#10;vR4CAABdBAAADgAAAAAAAAABACAAAAAnAQAAZHJzL2Uyb0RvYy54bWxQSwUGAAAAAAYABgBZAQAA&#10;twU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检验</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78400" behindDoc="0" locked="0" layoutInCell="1" allowOverlap="1">
                <wp:simplePos x="0" y="0"/>
                <wp:positionH relativeFrom="column">
                  <wp:posOffset>683260</wp:posOffset>
                </wp:positionH>
                <wp:positionV relativeFrom="paragraph">
                  <wp:posOffset>290830</wp:posOffset>
                </wp:positionV>
                <wp:extent cx="323850" cy="0"/>
                <wp:effectExtent l="0" t="25400" r="0" b="31750"/>
                <wp:wrapNone/>
                <wp:docPr id="321" name="直接连接符 321"/>
                <wp:cNvGraphicFramePr/>
                <a:graphic xmlns:a="http://schemas.openxmlformats.org/drawingml/2006/main">
                  <a:graphicData uri="http://schemas.microsoft.com/office/word/2010/wordprocessingShape">
                    <wps:wsp>
                      <wps:cNvCnPr/>
                      <wps:spPr>
                        <a:xfrm rot="10800000">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53.8pt;margin-top:22.9pt;height:0pt;width:25.5pt;rotation:11796480f;z-index:251878400;mso-width-relative:page;mso-height-relative:page;" filled="f" stroked="t" coordsize="21600,21600" o:gfxdata="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zc3a3WAAAACQEAAA8AAAAAAAAAAQAgAAAAIgAA&#10;AGRycy9kb3ducmV2LnhtbFBLAQIUABQAAAAIAIdO4kANRiIgCgIAAPcDAAAOAAAAAAAAAAEAIAAA&#10;ACUBAABkcnMvZTJvRG9jLnhtbFBLBQYAAAAABgAGAFkBAACh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83520" behindDoc="0" locked="0" layoutInCell="1" allowOverlap="1">
                <wp:simplePos x="0" y="0"/>
                <wp:positionH relativeFrom="column">
                  <wp:posOffset>180975</wp:posOffset>
                </wp:positionH>
                <wp:positionV relativeFrom="paragraph">
                  <wp:posOffset>153035</wp:posOffset>
                </wp:positionV>
                <wp:extent cx="533400" cy="256540"/>
                <wp:effectExtent l="4445" t="4445" r="14605" b="5715"/>
                <wp:wrapNone/>
                <wp:docPr id="322" name="文本框 322"/>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分级</w:t>
                            </w:r>
                          </w:p>
                        </w:txbxContent>
                      </wps:txbx>
                      <wps:bodyPr lIns="0" tIns="0" rIns="0" bIns="0" upright="1"/>
                    </wps:wsp>
                  </a:graphicData>
                </a:graphic>
              </wp:anchor>
            </w:drawing>
          </mc:Choice>
          <mc:Fallback>
            <w:pict>
              <v:shape id="_x0000_s1026" o:spid="_x0000_s1026" o:spt="202" type="#_x0000_t202" style="position:absolute;left:0pt;margin-left:14.25pt;margin-top:12.05pt;height:20.2pt;width:42pt;z-index:251883520;mso-width-relative:page;mso-height-relative:page;" fillcolor="#FFFFFF" filled="t" stroked="t" coordsize="21600,21600" o:gfxdata="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LKZPuNcAAAAI&#10;AQAADwAAAAAAAAABACAAAAAiAAAAZHJzL2Rvd25yZXYueG1sUEsBAhQAFAAAAAgAh07iQLfzTKId&#10;AgAAXQQAAA4AAAAAAAAAAQAgAAAAJg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分级</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81472" behindDoc="0" locked="0" layoutInCell="1" allowOverlap="1">
                <wp:simplePos x="0" y="0"/>
                <wp:positionH relativeFrom="column">
                  <wp:posOffset>1885950</wp:posOffset>
                </wp:positionH>
                <wp:positionV relativeFrom="paragraph">
                  <wp:posOffset>160655</wp:posOffset>
                </wp:positionV>
                <wp:extent cx="504825" cy="256540"/>
                <wp:effectExtent l="5080" t="4445" r="4445" b="5715"/>
                <wp:wrapNone/>
                <wp:docPr id="327" name="文本框 327"/>
                <wp:cNvGraphicFramePr/>
                <a:graphic xmlns:a="http://schemas.openxmlformats.org/drawingml/2006/main">
                  <a:graphicData uri="http://schemas.microsoft.com/office/word/2010/wordprocessingShape">
                    <wps:wsp>
                      <wps:cNvSpPr txBox="1"/>
                      <wps:spPr>
                        <a:xfrm>
                          <a:off x="0" y="0"/>
                          <a:ext cx="50482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清洗</w:t>
                            </w:r>
                          </w:p>
                        </w:txbxContent>
                      </wps:txbx>
                      <wps:bodyPr lIns="0" tIns="0" rIns="0" bIns="0" upright="1"/>
                    </wps:wsp>
                  </a:graphicData>
                </a:graphic>
              </wp:anchor>
            </w:drawing>
          </mc:Choice>
          <mc:Fallback>
            <w:pict>
              <v:shape id="_x0000_s1026" o:spid="_x0000_s1026" o:spt="202" type="#_x0000_t202" style="position:absolute;left:0pt;margin-left:148.5pt;margin-top:12.65pt;height:20.2pt;width:39.75pt;z-index:251881472;mso-width-relative:page;mso-height-relative:page;" fillcolor="#FFFFFF" filled="t" stroked="t" coordsize="21600,21600" o:gfxdata="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PpTUi9oA&#10;AAAJAQAADwAAAAAAAAABACAAAAAiAAAAZHJzL2Rvd25yZXYueG1sUEsBAhQAFAAAAAgAh07iQI8a&#10;S38dAgAAXQQAAA4AAAAAAAAAAQAgAAAAKQEAAGRycy9lMm9Eb2MueG1sUEsFBgAAAAAGAAYAWQEA&#10;ALgF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清洗</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80448" behindDoc="0" locked="0" layoutInCell="1" allowOverlap="1">
                <wp:simplePos x="0" y="0"/>
                <wp:positionH relativeFrom="column">
                  <wp:posOffset>3552825</wp:posOffset>
                </wp:positionH>
                <wp:positionV relativeFrom="paragraph">
                  <wp:posOffset>153035</wp:posOffset>
                </wp:positionV>
                <wp:extent cx="533400" cy="256540"/>
                <wp:effectExtent l="4445" t="4445" r="14605" b="5715"/>
                <wp:wrapNone/>
                <wp:docPr id="328" name="文本框 328"/>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劈半</w:t>
                            </w:r>
                          </w:p>
                        </w:txbxContent>
                      </wps:txbx>
                      <wps:bodyPr lIns="0" tIns="0" rIns="0" bIns="0" upright="1"/>
                    </wps:wsp>
                  </a:graphicData>
                </a:graphic>
              </wp:anchor>
            </w:drawing>
          </mc:Choice>
          <mc:Fallback>
            <w:pict>
              <v:shape id="_x0000_s1026" o:spid="_x0000_s1026" o:spt="202" type="#_x0000_t202" style="position:absolute;left:0pt;margin-left:279.75pt;margin-top:12.05pt;height:20.2pt;width:42pt;z-index:251880448;mso-width-relative:page;mso-height-relative:page;" fillcolor="#FFFFFF" filled="t" stroked="t" coordsize="21600,21600" o:gfxdata="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2ufxzNcAAAAJ&#10;AQAADwAAAAAAAAABACAAAAAiAAAAZHJzL2Rvd25yZXYueG1sUEsBAhQAFAAAAAgAh07iQP8GoAId&#10;AgAAXQQAAA4AAAAAAAAAAQAgAAAAJg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劈半</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79424" behindDoc="0" locked="0" layoutInCell="1" allowOverlap="1">
                <wp:simplePos x="0" y="0"/>
                <wp:positionH relativeFrom="column">
                  <wp:posOffset>2752725</wp:posOffset>
                </wp:positionH>
                <wp:positionV relativeFrom="paragraph">
                  <wp:posOffset>156845</wp:posOffset>
                </wp:positionV>
                <wp:extent cx="495300" cy="256540"/>
                <wp:effectExtent l="4445" t="4445" r="14605" b="5715"/>
                <wp:wrapNone/>
                <wp:docPr id="329" name="文本框 329"/>
                <wp:cNvGraphicFramePr/>
                <a:graphic xmlns:a="http://schemas.openxmlformats.org/drawingml/2006/main">
                  <a:graphicData uri="http://schemas.microsoft.com/office/word/2010/wordprocessingShape">
                    <wps:wsp>
                      <wps:cNvSpPr txBox="1"/>
                      <wps:spPr>
                        <a:xfrm>
                          <a:off x="0" y="0"/>
                          <a:ext cx="4953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eastAsia="黑体"/>
                                <w:sz w:val="21"/>
                                <w:szCs w:val="21"/>
                                <w:lang w:val="en-US" w:eastAsia="zh-CN"/>
                              </w:rPr>
                            </w:pPr>
                            <w:r>
                              <w:rPr>
                                <w:rFonts w:hint="eastAsia"/>
                                <w:sz w:val="21"/>
                                <w:szCs w:val="21"/>
                              </w:rPr>
                              <w:t>修</w:t>
                            </w:r>
                            <w:r>
                              <w:rPr>
                                <w:rFonts w:hint="eastAsia"/>
                                <w:sz w:val="21"/>
                                <w:szCs w:val="21"/>
                                <w:lang w:val="en-US" w:eastAsia="zh-CN"/>
                              </w:rPr>
                              <w:t>整</w:t>
                            </w:r>
                          </w:p>
                        </w:txbxContent>
                      </wps:txbx>
                      <wps:bodyPr lIns="0" tIns="0" rIns="0" bIns="0" upright="1"/>
                    </wps:wsp>
                  </a:graphicData>
                </a:graphic>
              </wp:anchor>
            </w:drawing>
          </mc:Choice>
          <mc:Fallback>
            <w:pict>
              <v:shape id="_x0000_s1026" o:spid="_x0000_s1026" o:spt="202" type="#_x0000_t202" style="position:absolute;left:0pt;margin-left:216.75pt;margin-top:12.35pt;height:20.2pt;width:39pt;z-index:251879424;mso-width-relative:page;mso-height-relative:page;" fillcolor="#FFFFFF" filled="t" stroked="t" coordsize="21600,21600" o:gfxdata="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ZRGbyNkA&#10;AAAJAQAADwAAAAAAAAABACAAAAAiAAAAZHJzL2Rvd25yZXYueG1sUEsBAhQAFAAAAAgAh07iQPUk&#10;ccUeAgAAXQQAAA4AAAAAAAAAAQAgAAAAKAEAAGRycy9lMm9Eb2MueG1sUEsFBgAAAAAGAAYAWQEA&#10;ALgFAAAAAA==&#10;">
                <v:fill on="t" focussize="0,0"/>
                <v:stroke color="#000000" joinstyle="miter"/>
                <v:imagedata o:title=""/>
                <o:lock v:ext="edit" aspectratio="f"/>
                <v:textbox inset="0mm,0mm,0mm,0mm">
                  <w:txbxContent>
                    <w:p>
                      <w:pPr>
                        <w:pStyle w:val="15"/>
                        <w:snapToGrid w:val="0"/>
                        <w:spacing w:line="340" w:lineRule="exact"/>
                        <w:jc w:val="center"/>
                        <w:rPr>
                          <w:rFonts w:hint="eastAsia" w:eastAsia="黑体"/>
                          <w:sz w:val="21"/>
                          <w:szCs w:val="21"/>
                          <w:lang w:val="en-US" w:eastAsia="zh-CN"/>
                        </w:rPr>
                      </w:pPr>
                      <w:r>
                        <w:rPr>
                          <w:rFonts w:hint="eastAsia"/>
                          <w:sz w:val="21"/>
                          <w:szCs w:val="21"/>
                        </w:rPr>
                        <w:t>修</w:t>
                      </w:r>
                      <w:r>
                        <w:rPr>
                          <w:rFonts w:hint="eastAsia"/>
                          <w:sz w:val="21"/>
                          <w:szCs w:val="21"/>
                          <w:lang w:val="en-US" w:eastAsia="zh-CN"/>
                        </w:rPr>
                        <w:t>整</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77376" behindDoc="0" locked="0" layoutInCell="1" allowOverlap="1">
                <wp:simplePos x="0" y="0"/>
                <wp:positionH relativeFrom="column">
                  <wp:posOffset>4057650</wp:posOffset>
                </wp:positionH>
                <wp:positionV relativeFrom="paragraph">
                  <wp:posOffset>278765</wp:posOffset>
                </wp:positionV>
                <wp:extent cx="312420" cy="0"/>
                <wp:effectExtent l="0" t="25400" r="11430" b="31750"/>
                <wp:wrapNone/>
                <wp:docPr id="330" name="直接连接符 330"/>
                <wp:cNvGraphicFramePr/>
                <a:graphic xmlns:a="http://schemas.openxmlformats.org/drawingml/2006/main">
                  <a:graphicData uri="http://schemas.microsoft.com/office/word/2010/wordprocessingShape">
                    <wps:wsp>
                      <wps:cNvCnPr/>
                      <wps:spPr>
                        <a:xfrm rot="10800000">
                          <a:off x="0" y="0"/>
                          <a:ext cx="31242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19.5pt;margin-top:21.95pt;height:0pt;width:24.6pt;rotation:11796480f;z-index:251877376;mso-width-relative:page;mso-height-relative:page;" filled="f" stroked="t" coordsize="21600,21600" o:gfxdata="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BwvEvZAAAACQEAAA8AAAAAAAAAAQAgAAAA&#10;IgAAAGRycy9kb3ducmV2LnhtbFBLAQIUABQAAAAIAIdO4kCboPSeCgIAAPcDAAAOAAAAAAAAAAEA&#10;IAAAACgBAABkcnMvZTJvRG9jLnhtbFBLBQYAAAAABgAGAFkBAACk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76352" behindDoc="0" locked="0" layoutInCell="1" allowOverlap="1">
                <wp:simplePos x="0" y="0"/>
                <wp:positionH relativeFrom="column">
                  <wp:posOffset>1556385</wp:posOffset>
                </wp:positionH>
                <wp:positionV relativeFrom="paragraph">
                  <wp:posOffset>291465</wp:posOffset>
                </wp:positionV>
                <wp:extent cx="312420" cy="0"/>
                <wp:effectExtent l="0" t="25400" r="11430" b="31750"/>
                <wp:wrapNone/>
                <wp:docPr id="331" name="直接连接符 331"/>
                <wp:cNvGraphicFramePr/>
                <a:graphic xmlns:a="http://schemas.openxmlformats.org/drawingml/2006/main">
                  <a:graphicData uri="http://schemas.microsoft.com/office/word/2010/wordprocessingShape">
                    <wps:wsp>
                      <wps:cNvCnPr/>
                      <wps:spPr>
                        <a:xfrm rot="10800000">
                          <a:off x="0" y="0"/>
                          <a:ext cx="31242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22.55pt;margin-top:22.95pt;height:0pt;width:24.6pt;rotation:11796480f;z-index:251876352;mso-width-relative:page;mso-height-relative:page;" filled="f" stroked="t" coordsize="21600,21600" o:gfxdata="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X7LCD2QAAAAkBAAAPAAAAAAAAAAEAIAAA&#10;ACIAAABkcnMvZG93bnJldi54bWxQSwECFAAUAAAACACHTuJA4f8ldQsCAAD3AwAADgAAAAAAAAAB&#10;ACAAAAAoAQAAZHJzL2Uyb0RvYy54bWxQSwUGAAAAAAYABgBZAQAApQ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75328" behindDoc="0" locked="0" layoutInCell="1" allowOverlap="1">
                <wp:simplePos x="0" y="0"/>
                <wp:positionH relativeFrom="column">
                  <wp:posOffset>2421255</wp:posOffset>
                </wp:positionH>
                <wp:positionV relativeFrom="paragraph">
                  <wp:posOffset>291465</wp:posOffset>
                </wp:positionV>
                <wp:extent cx="313055" cy="0"/>
                <wp:effectExtent l="0" t="25400" r="10795" b="31750"/>
                <wp:wrapNone/>
                <wp:docPr id="332" name="直接连接符 332"/>
                <wp:cNvGraphicFramePr/>
                <a:graphic xmlns:a="http://schemas.openxmlformats.org/drawingml/2006/main">
                  <a:graphicData uri="http://schemas.microsoft.com/office/word/2010/wordprocessingShape">
                    <wps:wsp>
                      <wps:cNvCnPr/>
                      <wps:spPr>
                        <a:xfrm rot="10800000">
                          <a:off x="0" y="0"/>
                          <a:ext cx="313055"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90.65pt;margin-top:22.95pt;height:0pt;width:24.65pt;rotation:11796480f;z-index:251875328;mso-width-relative:page;mso-height-relative:page;" filled="f" stroked="t" coordsize="21600,21600" o:gfxdata="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OD0g2dkAAAAJAQAADwAAAAAAAAABACAAAAAi&#10;AAAAZHJzL2Rvd25yZXYueG1sUEsBAhQAFAAAAAgAh07iQNqc4KkJAgAA9wMAAA4AAAAAAAAAAQAg&#10;AAAAKAEAAGRycy9lMm9Eb2MueG1sUEsFBgAAAAAGAAYAWQEAAKM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74304" behindDoc="0" locked="0" layoutInCell="1" allowOverlap="1">
                <wp:simplePos x="0" y="0"/>
                <wp:positionH relativeFrom="column">
                  <wp:posOffset>3248025</wp:posOffset>
                </wp:positionH>
                <wp:positionV relativeFrom="paragraph">
                  <wp:posOffset>284480</wp:posOffset>
                </wp:positionV>
                <wp:extent cx="288290" cy="0"/>
                <wp:effectExtent l="0" t="25400" r="16510" b="31750"/>
                <wp:wrapNone/>
                <wp:docPr id="333" name="直接连接符 333"/>
                <wp:cNvGraphicFramePr/>
                <a:graphic xmlns:a="http://schemas.openxmlformats.org/drawingml/2006/main">
                  <a:graphicData uri="http://schemas.microsoft.com/office/word/2010/wordprocessingShape">
                    <wps:wsp>
                      <wps:cNvCnPr/>
                      <wps:spPr>
                        <a:xfrm rot="10800000">
                          <a:off x="0" y="0"/>
                          <a:ext cx="28829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55.75pt;margin-top:22.4pt;height:0pt;width:22.7pt;rotation:11796480f;z-index:251874304;mso-width-relative:page;mso-height-relative:page;" filled="f" stroked="t" coordsize="21600,21600" o:gfxdata="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pQ8/odgAAAAJAQAADwAAAAAAAAABACAAAAAi&#10;AAAAZHJzL2Rvd25yZXYueG1sUEsBAhQAFAAAAAgAh07iQK+6dhsKAgAA9wMAAA4AAAAAAAAAAQAg&#10;AAAAJwEAAGRycy9lMm9Eb2MueG1sUEsFBgAAAAAGAAYAWQEAAKM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45632" behindDoc="0" locked="0" layoutInCell="1" allowOverlap="1">
                <wp:simplePos x="0" y="0"/>
                <wp:positionH relativeFrom="column">
                  <wp:posOffset>4391025</wp:posOffset>
                </wp:positionH>
                <wp:positionV relativeFrom="paragraph">
                  <wp:posOffset>164465</wp:posOffset>
                </wp:positionV>
                <wp:extent cx="809625" cy="256540"/>
                <wp:effectExtent l="4445" t="4445" r="5080" b="5715"/>
                <wp:wrapNone/>
                <wp:docPr id="334" name="文本框 334"/>
                <wp:cNvGraphicFramePr/>
                <a:graphic xmlns:a="http://schemas.openxmlformats.org/drawingml/2006/main">
                  <a:graphicData uri="http://schemas.microsoft.com/office/word/2010/wordprocessingShape">
                    <wps:wsp>
                      <wps:cNvSpPr txBox="1"/>
                      <wps:spPr>
                        <a:xfrm>
                          <a:off x="0" y="0"/>
                          <a:ext cx="80962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去头、尾、蹄</w:t>
                            </w:r>
                          </w:p>
                        </w:txbxContent>
                      </wps:txbx>
                      <wps:bodyPr lIns="0" tIns="0" rIns="0" bIns="0" upright="1"/>
                    </wps:wsp>
                  </a:graphicData>
                </a:graphic>
              </wp:anchor>
            </w:drawing>
          </mc:Choice>
          <mc:Fallback>
            <w:pict>
              <v:shape id="_x0000_s1026" o:spid="_x0000_s1026" o:spt="202" type="#_x0000_t202" style="position:absolute;left:0pt;margin-left:345.75pt;margin-top:12.95pt;height:20.2pt;width:63.75pt;z-index:251845632;mso-width-relative:page;mso-height-relative:page;" fillcolor="#FFFFFF" filled="t" stroked="t" coordsize="21600,21600" o:gfxdata="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HlFcyTYAAAA&#10;CQEAAA8AAAAAAAAAAQAgAAAAIgAAAGRycy9kb3ducmV2LnhtbFBLAQIUABQAAAAIAIdO4kAYRGGS&#10;HQIAAF0EAAAOAAAAAAAAAAEAIAAAACc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去头、尾、蹄</w:t>
                      </w:r>
                    </w:p>
                  </w:txbxContent>
                </v:textbox>
              </v:shap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884544" behindDoc="0" locked="0" layoutInCell="1" allowOverlap="1">
                <wp:simplePos x="0" y="0"/>
                <wp:positionH relativeFrom="column">
                  <wp:posOffset>333375</wp:posOffset>
                </wp:positionH>
                <wp:positionV relativeFrom="paragraph">
                  <wp:posOffset>96520</wp:posOffset>
                </wp:positionV>
                <wp:extent cx="7620" cy="1160145"/>
                <wp:effectExtent l="24765" t="0" r="24765" b="1905"/>
                <wp:wrapNone/>
                <wp:docPr id="335" name="直接连接符 335"/>
                <wp:cNvGraphicFramePr/>
                <a:graphic xmlns:a="http://schemas.openxmlformats.org/drawingml/2006/main">
                  <a:graphicData uri="http://schemas.microsoft.com/office/word/2010/wordprocessingShape">
                    <wps:wsp>
                      <wps:cNvCnPr/>
                      <wps:spPr>
                        <a:xfrm flipH="1">
                          <a:off x="0" y="0"/>
                          <a:ext cx="7620" cy="1160145"/>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flip:x;margin-left:26.25pt;margin-top:7.6pt;height:91.35pt;width:0.6pt;z-index:251884544;mso-width-relative:page;mso-height-relative:page;" filled="f" stroked="t" coordsize="21600,21600" o:gfxdata="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XjTGX9cAAAAIAQAADwAAAAAAAAABACAA&#10;AAAiAAAAZHJzL2Rvd25yZXYueG1sUEsBAhQAFAAAAAgAh07iQMok+JAOAgAA9gMAAA4AAAAAAAAA&#10;AQAgAAAAJgEAAGRycy9lMm9Eb2MueG1sUEsFBgAAAAAGAAYAWQEAAKY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15264" behindDoc="0" locked="0" layoutInCell="1" allowOverlap="1">
                <wp:simplePos x="0" y="0"/>
                <wp:positionH relativeFrom="column">
                  <wp:posOffset>3562350</wp:posOffset>
                </wp:positionH>
                <wp:positionV relativeFrom="paragraph">
                  <wp:posOffset>285115</wp:posOffset>
                </wp:positionV>
                <wp:extent cx="466725" cy="251460"/>
                <wp:effectExtent l="0" t="0" r="0" b="0"/>
                <wp:wrapNone/>
                <wp:docPr id="336" name="文本框 336"/>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rPr>
                            </w:pPr>
                            <w:r>
                              <w:rPr>
                                <w:rFonts w:hint="eastAsia"/>
                              </w:rPr>
                              <w:t>N</w:t>
                            </w:r>
                            <w:r>
                              <w:rPr>
                                <w:rFonts w:hint="eastAsia"/>
                                <w:b/>
                                <w:i/>
                                <w:vertAlign w:val="subscript"/>
                              </w:rPr>
                              <w:t>1-2</w:t>
                            </w:r>
                          </w:p>
                        </w:txbxContent>
                      </wps:txbx>
                      <wps:bodyPr lIns="0" tIns="0" rIns="0" bIns="0" upright="1"/>
                    </wps:wsp>
                  </a:graphicData>
                </a:graphic>
              </wp:anchor>
            </w:drawing>
          </mc:Choice>
          <mc:Fallback>
            <w:pict>
              <v:shape id="_x0000_s1026" o:spid="_x0000_s1026" o:spt="202" type="#_x0000_t202" style="position:absolute;left:0pt;margin-left:280.5pt;margin-top:22.45pt;height:19.8pt;width:36.75pt;z-index:251915264;mso-width-relative:page;mso-height-relative:page;" filled="f" stroked="f" coordsize="21600,21600" o:gfxdata="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1OU/n9kAAAAJAQAADwAAAAAAAAABACAAAAAiAAAAZHJzL2Rvd25yZXYueG1s&#10;UEsBAhQAFAAAAAgAh07iQIxQPz6+AQAAdQMAAA4AAAAAAAAAAQAgAAAAKAEAAGRycy9lMm9Eb2Mu&#10;eG1sUEsFBgAAAAAGAAYAWQEAAFgFAAAAAA==&#10;">
                <v:fill on="f" focussize="0,0"/>
                <v:stroke on="f"/>
                <v:imagedata o:title=""/>
                <o:lock v:ext="edit" aspectratio="f"/>
                <v:textbox inset="0mm,0mm,0mm,0mm">
                  <w:txbxContent>
                    <w:p>
                      <w:pPr>
                        <w:pStyle w:val="15"/>
                        <w:snapToGrid w:val="0"/>
                        <w:jc w:val="center"/>
                        <w:rPr>
                          <w:rFonts w:hint="eastAsia"/>
                        </w:rPr>
                      </w:pPr>
                      <w:r>
                        <w:rPr>
                          <w:rFonts w:hint="eastAsia"/>
                        </w:rPr>
                        <w:t>N</w:t>
                      </w:r>
                      <w:r>
                        <w:rPr>
                          <w:rFonts w:hint="eastAsia"/>
                          <w:b/>
                          <w:i/>
                          <w:vertAlign w:val="subscript"/>
                        </w:rPr>
                        <w:t>1-2</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16288" behindDoc="0" locked="0" layoutInCell="1" allowOverlap="1">
                <wp:simplePos x="0" y="0"/>
                <wp:positionH relativeFrom="column">
                  <wp:posOffset>2752725</wp:posOffset>
                </wp:positionH>
                <wp:positionV relativeFrom="paragraph">
                  <wp:posOffset>285115</wp:posOffset>
                </wp:positionV>
                <wp:extent cx="466725" cy="251460"/>
                <wp:effectExtent l="0" t="0" r="0" b="0"/>
                <wp:wrapNone/>
                <wp:docPr id="337" name="文本框 337"/>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eastAsia="黑体"/>
                                <w:lang w:val="en-US" w:eastAsia="zh-CN"/>
                              </w:rPr>
                            </w:pPr>
                            <w:r>
                              <w:rPr>
                                <w:rFonts w:hint="eastAsia"/>
                              </w:rPr>
                              <w:t>S</w:t>
                            </w:r>
                            <w:r>
                              <w:rPr>
                                <w:rFonts w:hint="eastAsia"/>
                                <w:b/>
                                <w:i/>
                                <w:vertAlign w:val="subscript"/>
                              </w:rPr>
                              <w:t>1-</w:t>
                            </w:r>
                            <w:r>
                              <w:rPr>
                                <w:rFonts w:hint="eastAsia"/>
                                <w:b/>
                                <w:i/>
                                <w:vertAlign w:val="subscript"/>
                                <w:lang w:val="en-US" w:eastAsia="zh-CN"/>
                              </w:rPr>
                              <w:t>4</w:t>
                            </w:r>
                          </w:p>
                        </w:txbxContent>
                      </wps:txbx>
                      <wps:bodyPr lIns="0" tIns="0" rIns="0" bIns="0" upright="1"/>
                    </wps:wsp>
                  </a:graphicData>
                </a:graphic>
              </wp:anchor>
            </w:drawing>
          </mc:Choice>
          <mc:Fallback>
            <w:pict>
              <v:shape id="_x0000_s1026" o:spid="_x0000_s1026" o:spt="202" type="#_x0000_t202" style="position:absolute;left:0pt;margin-left:216.75pt;margin-top:22.45pt;height:19.8pt;width:36.75pt;z-index:251916288;mso-width-relative:page;mso-height-relative:page;" filled="f" stroked="f" coordsize="21600,21600" o:gfxdata="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6u3X9kAAAAJAQAADwAAAAAAAAABACAAAAAiAAAAZHJzL2Rvd25yZXYueG1s&#10;UEsBAhQAFAAAAAgAh07iQGgLo8C+AQAAdQMAAA4AAAAAAAAAAQAgAAAAKAEAAGRycy9lMm9Eb2Mu&#10;eG1sUEsFBgAAAAAGAAYAWQEAAFgFAAAAAA==&#10;">
                <v:fill on="f" focussize="0,0"/>
                <v:stroke on="f"/>
                <v:imagedata o:title=""/>
                <o:lock v:ext="edit" aspectratio="f"/>
                <v:textbox inset="0mm,0mm,0mm,0mm">
                  <w:txbxContent>
                    <w:p>
                      <w:pPr>
                        <w:pStyle w:val="15"/>
                        <w:snapToGrid w:val="0"/>
                        <w:jc w:val="center"/>
                        <w:rPr>
                          <w:rFonts w:hint="eastAsia" w:eastAsia="黑体"/>
                          <w:lang w:val="en-US" w:eastAsia="zh-CN"/>
                        </w:rPr>
                      </w:pPr>
                      <w:r>
                        <w:rPr>
                          <w:rFonts w:hint="eastAsia"/>
                        </w:rPr>
                        <w:t>S</w:t>
                      </w:r>
                      <w:r>
                        <w:rPr>
                          <w:rFonts w:hint="eastAsia"/>
                          <w:b/>
                          <w:i/>
                          <w:vertAlign w:val="subscript"/>
                        </w:rPr>
                        <w:t>1-</w:t>
                      </w:r>
                      <w:r>
                        <w:rPr>
                          <w:rFonts w:hint="eastAsia"/>
                          <w:b/>
                          <w:i/>
                          <w:vertAlign w:val="subscript"/>
                          <w:lang w:val="en-US" w:eastAsia="zh-CN"/>
                        </w:rPr>
                        <w:t>4</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30272" behindDoc="0" locked="0" layoutInCell="1" allowOverlap="1">
                <wp:simplePos x="0" y="0"/>
                <wp:positionH relativeFrom="column">
                  <wp:posOffset>1933575</wp:posOffset>
                </wp:positionH>
                <wp:positionV relativeFrom="paragraph">
                  <wp:posOffset>294640</wp:posOffset>
                </wp:positionV>
                <wp:extent cx="371475" cy="288925"/>
                <wp:effectExtent l="0" t="0" r="0" b="0"/>
                <wp:wrapNone/>
                <wp:docPr id="338" name="文本框 338"/>
                <wp:cNvGraphicFramePr/>
                <a:graphic xmlns:a="http://schemas.openxmlformats.org/drawingml/2006/main">
                  <a:graphicData uri="http://schemas.microsoft.com/office/word/2010/wordprocessingShape">
                    <wps:wsp>
                      <wps:cNvSpPr txBox="1"/>
                      <wps:spPr>
                        <a:xfrm>
                          <a:off x="0" y="0"/>
                          <a:ext cx="371475" cy="288925"/>
                        </a:xfrm>
                        <a:prstGeom prst="rect">
                          <a:avLst/>
                        </a:prstGeom>
                        <a:noFill/>
                        <a:ln>
                          <a:noFill/>
                        </a:ln>
                      </wps:spPr>
                      <wps:txbx>
                        <w:txbxContent>
                          <w:p>
                            <w:pPr>
                              <w:pStyle w:val="15"/>
                              <w:snapToGrid w:val="0"/>
                              <w:jc w:val="center"/>
                              <w:rPr>
                                <w:rFonts w:hint="eastAsia"/>
                              </w:rPr>
                            </w:pPr>
                            <w:r>
                              <w:rPr>
                                <w:rFonts w:hint="eastAsia" w:hAnsi="宋体" w:cs="Arial"/>
                              </w:rPr>
                              <w:t>W</w:t>
                            </w:r>
                            <w:r>
                              <w:rPr>
                                <w:rFonts w:hint="eastAsia"/>
                                <w:b/>
                                <w:i/>
                                <w:vertAlign w:val="subscript"/>
                              </w:rPr>
                              <w:t>1-11</w:t>
                            </w:r>
                          </w:p>
                        </w:txbxContent>
                      </wps:txbx>
                      <wps:bodyPr lIns="0" tIns="0" rIns="0" bIns="0" upright="1"/>
                    </wps:wsp>
                  </a:graphicData>
                </a:graphic>
              </wp:anchor>
            </w:drawing>
          </mc:Choice>
          <mc:Fallback>
            <w:pict>
              <v:shape id="_x0000_s1026" o:spid="_x0000_s1026" o:spt="202" type="#_x0000_t202" style="position:absolute;left:0pt;margin-left:152.25pt;margin-top:23.2pt;height:22.75pt;width:29.25pt;z-index:251830272;mso-width-relative:page;mso-height-relative:page;" filled="f" stroked="f" coordsize="21600,21600" o:gfxdata="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ityPi9gAAAAJAQAADwAAAAAAAAABACAAAAAiAAAAZHJzL2Rvd25yZXYueG1sUEsB&#10;AhQAFAAAAAgAh07iQEgksBW8AQAAdQMAAA4AAAAAAAAAAQAgAAAAJwEAAGRycy9lMm9Eb2MueG1s&#10;UEsFBgAAAAAGAAYAWQEAAFUFAAAAAA==&#10;">
                <v:fill on="f" focussize="0,0"/>
                <v:stroke on="f"/>
                <v:imagedata o:title=""/>
                <o:lock v:ext="edit" aspectratio="f"/>
                <v:textbox inset="0mm,0mm,0mm,0mm">
                  <w:txbxContent>
                    <w:p>
                      <w:pPr>
                        <w:pStyle w:val="15"/>
                        <w:snapToGrid w:val="0"/>
                        <w:jc w:val="center"/>
                        <w:rPr>
                          <w:rFonts w:hint="eastAsia"/>
                        </w:rPr>
                      </w:pPr>
                      <w:r>
                        <w:rPr>
                          <w:rFonts w:hint="eastAsia" w:hAnsi="宋体" w:cs="Arial"/>
                        </w:rPr>
                        <w:t>W</w:t>
                      </w:r>
                      <w:r>
                        <w:rPr>
                          <w:rFonts w:hint="eastAsia"/>
                          <w:b/>
                          <w:i/>
                          <w:vertAlign w:val="subscript"/>
                        </w:rPr>
                        <w:t>1-11</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99904" behindDoc="0" locked="0" layoutInCell="1" allowOverlap="1">
                <wp:simplePos x="0" y="0"/>
                <wp:positionH relativeFrom="column">
                  <wp:posOffset>2133600</wp:posOffset>
                </wp:positionH>
                <wp:positionV relativeFrom="paragraph">
                  <wp:posOffset>96520</wp:posOffset>
                </wp:positionV>
                <wp:extent cx="0" cy="297180"/>
                <wp:effectExtent l="25400" t="0" r="31750" b="7620"/>
                <wp:wrapNone/>
                <wp:docPr id="339" name="直接连接符 339"/>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68pt;margin-top:7.6pt;height:23.4pt;width:0pt;z-index:251899904;mso-width-relative:page;mso-height-relative:page;" filled="f" stroked="t" coordsize="21600,21600" o:gfxdata="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ozaWO1AAAAAkBAAAPAAAAAAAAAAEAIAAAACIAAABkcnMvZG93bnJl&#10;di54bWxQSwECFAAUAAAACACHTuJApznsRQECAADoAwAADgAAAAAAAAABACAAAAAj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00928" behindDoc="0" locked="0" layoutInCell="1" allowOverlap="1">
                <wp:simplePos x="0" y="0"/>
                <wp:positionH relativeFrom="column">
                  <wp:posOffset>3000375</wp:posOffset>
                </wp:positionH>
                <wp:positionV relativeFrom="paragraph">
                  <wp:posOffset>96520</wp:posOffset>
                </wp:positionV>
                <wp:extent cx="0" cy="297180"/>
                <wp:effectExtent l="25400" t="0" r="31750" b="7620"/>
                <wp:wrapNone/>
                <wp:docPr id="340" name="直接连接符 340"/>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36.25pt;margin-top:7.6pt;height:23.4pt;width:0pt;z-index:251900928;mso-width-relative:page;mso-height-relative:page;" filled="f" stroked="t" coordsize="21600,21600" o:gfxdata="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frvnl1AAAAAkBAAAPAAAAAAAAAAEAIAAAACIAAABkcnMvZG93bnJl&#10;di54bWxQSwECFAAUAAAACACHTuJAU/liggECAADoAwAADgAAAAAAAAABACAAAAAj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28224" behindDoc="0" locked="0" layoutInCell="1" allowOverlap="1">
                <wp:simplePos x="0" y="0"/>
                <wp:positionH relativeFrom="column">
                  <wp:posOffset>3800475</wp:posOffset>
                </wp:positionH>
                <wp:positionV relativeFrom="paragraph">
                  <wp:posOffset>96520</wp:posOffset>
                </wp:positionV>
                <wp:extent cx="635" cy="276860"/>
                <wp:effectExtent l="24765" t="0" r="31750" b="8890"/>
                <wp:wrapNone/>
                <wp:docPr id="341" name="直接连接符 341"/>
                <wp:cNvGraphicFramePr/>
                <a:graphic xmlns:a="http://schemas.openxmlformats.org/drawingml/2006/main">
                  <a:graphicData uri="http://schemas.microsoft.com/office/word/2010/wordprocessingShape">
                    <wps:wsp>
                      <wps:cNvCnPr/>
                      <wps:spPr>
                        <a:xfrm>
                          <a:off x="0" y="0"/>
                          <a:ext cx="635" cy="27686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99.25pt;margin-top:7.6pt;height:21.8pt;width:0.05pt;z-index:251828224;mso-width-relative:page;mso-height-relative:page;" filled="f" stroked="t" coordsize="21600,21600" o:gfxdata="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P23YE1QAAAAkBAAAPAAAAAAAAAAEAIAAAACIAAABkcnMvZG93&#10;bnJldi54bWxQSwECFAAUAAAACACHTuJA7J7/YQMCAADqAwAADgAAAAAAAAABACAAAAAkAQAAZHJz&#10;L2Uyb0RvYy54bWxQSwUGAAAAAAYABgBZAQAAmQ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21056" behindDoc="0" locked="0" layoutInCell="1" allowOverlap="1">
                <wp:simplePos x="0" y="0"/>
                <wp:positionH relativeFrom="column">
                  <wp:posOffset>5467350</wp:posOffset>
                </wp:positionH>
                <wp:positionV relativeFrom="paragraph">
                  <wp:posOffset>96520</wp:posOffset>
                </wp:positionV>
                <wp:extent cx="0" cy="396240"/>
                <wp:effectExtent l="38100" t="0" r="38100" b="3810"/>
                <wp:wrapNone/>
                <wp:docPr id="342" name="直接连接符 342"/>
                <wp:cNvGraphicFramePr/>
                <a:graphic xmlns:a="http://schemas.openxmlformats.org/drawingml/2006/main">
                  <a:graphicData uri="http://schemas.microsoft.com/office/word/2010/wordprocessingShape">
                    <wps:wsp>
                      <wps:cNvCnPr/>
                      <wps:spPr>
                        <a:xfrm flipH="1">
                          <a:off x="0" y="0"/>
                          <a:ext cx="0" cy="396240"/>
                        </a:xfrm>
                        <a:prstGeom prst="line">
                          <a:avLst/>
                        </a:prstGeom>
                        <a:ln w="9525" cap="flat" cmpd="sng">
                          <a:solidFill>
                            <a:srgbClr val="000000"/>
                          </a:solidFill>
                          <a:prstDash val="solid"/>
                          <a:headEnd type="stealth" w="med" len="med"/>
                          <a:tailEnd type="none" w="sm" len="lg"/>
                        </a:ln>
                      </wps:spPr>
                      <wps:bodyPr upright="1"/>
                    </wps:wsp>
                  </a:graphicData>
                </a:graphic>
              </wp:anchor>
            </w:drawing>
          </mc:Choice>
          <mc:Fallback>
            <w:pict>
              <v:line id="_x0000_s1026" o:spid="_x0000_s1026" o:spt="20" style="position:absolute;left:0pt;flip:x;margin-left:430.5pt;margin-top:7.6pt;height:31.2pt;width:0pt;z-index:251821056;mso-width-relative:page;mso-height-relative:page;" filled="f" stroked="t" coordsize="21600,21600" o:gfxdata="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DqufTWAAAACQEAAA8AAAAAAAAAAQAgAAAAIgAA&#10;AGRycy9kb3ducmV2LnhtbFBLAQIUABQAAAAIAIdO4kCOzt6NCgIAAPIDAAAOAAAAAAAAAAEAIAAA&#10;ACUBAABkcnMvZTJvRG9jLnhtbFBLBQYAAAAABgAGAFkBAAChBQAAAAA=&#10;">
                <v:fill on="f" focussize="0,0"/>
                <v:stroke color="#000000" joinstyle="round" start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16960" behindDoc="0" locked="0" layoutInCell="1" allowOverlap="1">
                <wp:simplePos x="0" y="0"/>
                <wp:positionH relativeFrom="column">
                  <wp:posOffset>4600575</wp:posOffset>
                </wp:positionH>
                <wp:positionV relativeFrom="paragraph">
                  <wp:posOffset>96520</wp:posOffset>
                </wp:positionV>
                <wp:extent cx="635" cy="373380"/>
                <wp:effectExtent l="24765" t="0" r="31750" b="7620"/>
                <wp:wrapNone/>
                <wp:docPr id="343" name="直接连接符 343"/>
                <wp:cNvGraphicFramePr/>
                <a:graphic xmlns:a="http://schemas.openxmlformats.org/drawingml/2006/main">
                  <a:graphicData uri="http://schemas.microsoft.com/office/word/2010/wordprocessingShape">
                    <wps:wsp>
                      <wps:cNvCnPr/>
                      <wps:spPr>
                        <a:xfrm>
                          <a:off x="0" y="0"/>
                          <a:ext cx="635" cy="3733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62.25pt;margin-top:7.6pt;height:29.4pt;width:0.05pt;z-index:251816960;mso-width-relative:page;mso-height-relative:page;" filled="f" stroked="t" coordsize="21600,21600" o:gfxdata="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vHmOn1QAAAAkBAAAPAAAAAAAAAAEAIAAAACIAAABkcnMvZG93&#10;bnJldi54bWxQSwECFAAUAAAACACHTuJAFjsChgMCAADqAwAADgAAAAAAAAABACAAAAAkAQAAZHJz&#10;L2Uyb0RvYy54bWxQSwUGAAAAAAYABgBZAQAAmQUAAAAA&#10;">
                <v:fill on="f" focussize="0,0"/>
                <v:stroke color="#000000" joinstyle="round" endarrow="classic" endarrowwidth="narrow" endarrowlength="long"/>
                <v:imagedata o:title=""/>
                <o:lock v:ext="edit" aspectratio="f"/>
              </v:lin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rPr>
        <mc:AlternateContent>
          <mc:Choice Requires="wps">
            <w:drawing>
              <wp:anchor distT="0" distB="0" distL="114300" distR="114300" simplePos="0" relativeHeight="251844608" behindDoc="0" locked="0" layoutInCell="1" allowOverlap="1">
                <wp:simplePos x="0" y="0"/>
                <wp:positionH relativeFrom="column">
                  <wp:posOffset>4362450</wp:posOffset>
                </wp:positionH>
                <wp:positionV relativeFrom="paragraph">
                  <wp:posOffset>123825</wp:posOffset>
                </wp:positionV>
                <wp:extent cx="466725" cy="256540"/>
                <wp:effectExtent l="4445" t="4445" r="5080" b="5715"/>
                <wp:wrapNone/>
                <wp:docPr id="344" name="文本框 344"/>
                <wp:cNvGraphicFramePr/>
                <a:graphic xmlns:a="http://schemas.openxmlformats.org/drawingml/2006/main">
                  <a:graphicData uri="http://schemas.microsoft.com/office/word/2010/wordprocessingShape">
                    <wps:wsp>
                      <wps:cNvSpPr txBox="1"/>
                      <wps:spPr>
                        <a:xfrm>
                          <a:off x="0" y="0"/>
                          <a:ext cx="46672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去毛</w:t>
                            </w:r>
                          </w:p>
                        </w:txbxContent>
                      </wps:txbx>
                      <wps:bodyPr lIns="0" tIns="0" rIns="0" bIns="0" upright="1"/>
                    </wps:wsp>
                  </a:graphicData>
                </a:graphic>
              </wp:anchor>
            </w:drawing>
          </mc:Choice>
          <mc:Fallback>
            <w:pict>
              <v:shape id="_x0000_s1026" o:spid="_x0000_s1026" o:spt="202" type="#_x0000_t202" style="position:absolute;left:0pt;margin-left:343.5pt;margin-top:9.75pt;height:20.2pt;width:36.75pt;z-index:251844608;mso-width-relative:page;mso-height-relative:page;" fillcolor="#FFFFFF" filled="t" stroked="t" coordsize="21600,21600" o:gfxdata="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22jgX2QAA&#10;AAkBAAAPAAAAAAAAAAEAIAAAACIAAABkcnMvZG93bnJldi54bWxQSwECFAAUAAAACACHTuJADv/A&#10;ex0CAABdBAAADgAAAAAAAAABACAAAAAoAQAAZHJzL2Uyb0RvYy54bWxQSwUGAAAAAAYABgBZAQAA&#10;twU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去毛</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863040" behindDoc="0" locked="0" layoutInCell="1" allowOverlap="1">
                <wp:simplePos x="0" y="0"/>
                <wp:positionH relativeFrom="column">
                  <wp:posOffset>5133975</wp:posOffset>
                </wp:positionH>
                <wp:positionV relativeFrom="paragraph">
                  <wp:posOffset>123825</wp:posOffset>
                </wp:positionV>
                <wp:extent cx="495300" cy="256540"/>
                <wp:effectExtent l="4445" t="4445" r="14605" b="5715"/>
                <wp:wrapNone/>
                <wp:docPr id="345" name="文本框 345"/>
                <wp:cNvGraphicFramePr/>
                <a:graphic xmlns:a="http://schemas.openxmlformats.org/drawingml/2006/main">
                  <a:graphicData uri="http://schemas.microsoft.com/office/word/2010/wordprocessingShape">
                    <wps:wsp>
                      <wps:cNvSpPr txBox="1"/>
                      <wps:spPr>
                        <a:xfrm>
                          <a:off x="0" y="0"/>
                          <a:ext cx="4953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清洗</w:t>
                            </w:r>
                          </w:p>
                        </w:txbxContent>
                      </wps:txbx>
                      <wps:bodyPr lIns="0" tIns="0" rIns="0" bIns="0" upright="1"/>
                    </wps:wsp>
                  </a:graphicData>
                </a:graphic>
              </wp:anchor>
            </w:drawing>
          </mc:Choice>
          <mc:Fallback>
            <w:pict>
              <v:shape id="_x0000_s1026" o:spid="_x0000_s1026" o:spt="202" type="#_x0000_t202" style="position:absolute;left:0pt;margin-left:404.25pt;margin-top:9.75pt;height:20.2pt;width:39pt;z-index:251863040;mso-width-relative:page;mso-height-relative:page;" fillcolor="#FFFFFF" filled="t" stroked="t" coordsize="21600,21600" o:gfxdata="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PpHg+9cAAAAJ&#10;AQAADwAAAAAAAAABACAAAAAiAAAAZHJzL2Rvd25yZXYueG1sUEsBAhQAFAAAAAgAh07iQEiepC0d&#10;AgAAXQQAAA4AAAAAAAAAAQAgAAAAJg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清洗</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68160" behindDoc="0" locked="0" layoutInCell="1" allowOverlap="1">
                <wp:simplePos x="0" y="0"/>
                <wp:positionH relativeFrom="column">
                  <wp:posOffset>4819650</wp:posOffset>
                </wp:positionH>
                <wp:positionV relativeFrom="paragraph">
                  <wp:posOffset>255270</wp:posOffset>
                </wp:positionV>
                <wp:extent cx="323850" cy="0"/>
                <wp:effectExtent l="0" t="25400" r="0" b="31750"/>
                <wp:wrapNone/>
                <wp:docPr id="346" name="直接连接符 346"/>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79.5pt;margin-top:20.1pt;height:0pt;width:25.5pt;z-index:251868160;mso-width-relative:page;mso-height-relative:page;" filled="f" stroked="t" coordsize="21600,21600" o:gfxdata="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gYpTNtUAAAAJAQAADwAAAAAAAAABACAAAAAiAAAAZHJzL2Rvd25y&#10;ZXYueG1sUEsBAhQAFAAAAAgAh07iQDLthIE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930624" behindDoc="0" locked="0" layoutInCell="1" allowOverlap="1">
                <wp:simplePos x="0" y="0"/>
                <wp:positionH relativeFrom="column">
                  <wp:posOffset>1743075</wp:posOffset>
                </wp:positionH>
                <wp:positionV relativeFrom="paragraph">
                  <wp:posOffset>88265</wp:posOffset>
                </wp:positionV>
                <wp:extent cx="466725" cy="251460"/>
                <wp:effectExtent l="0" t="0" r="0" b="0"/>
                <wp:wrapNone/>
                <wp:docPr id="347" name="文本框 347"/>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eastAsia="黑体"/>
                                <w:lang w:val="en-US" w:eastAsia="zh-CN"/>
                              </w:rPr>
                            </w:pPr>
                            <w:r>
                              <w:rPr>
                                <w:rFonts w:hint="eastAsia"/>
                              </w:rPr>
                              <w:t>S</w:t>
                            </w:r>
                            <w:r>
                              <w:rPr>
                                <w:rFonts w:hint="eastAsia"/>
                                <w:b/>
                                <w:i/>
                                <w:vertAlign w:val="subscript"/>
                              </w:rPr>
                              <w:t>1-</w:t>
                            </w:r>
                            <w:r>
                              <w:rPr>
                                <w:rFonts w:hint="eastAsia"/>
                                <w:b/>
                                <w:i/>
                                <w:vertAlign w:val="subscript"/>
                                <w:lang w:val="en-US" w:eastAsia="zh-CN"/>
                              </w:rPr>
                              <w:t>5</w:t>
                            </w:r>
                          </w:p>
                        </w:txbxContent>
                      </wps:txbx>
                      <wps:bodyPr lIns="0" tIns="0" rIns="0" bIns="0" upright="1"/>
                    </wps:wsp>
                  </a:graphicData>
                </a:graphic>
              </wp:anchor>
            </w:drawing>
          </mc:Choice>
          <mc:Fallback>
            <w:pict>
              <v:shape id="_x0000_s1026" o:spid="_x0000_s1026" o:spt="202" type="#_x0000_t202" style="position:absolute;left:0pt;margin-left:137.25pt;margin-top:6.95pt;height:19.8pt;width:36.75pt;z-index:251930624;mso-width-relative:page;mso-height-relative:page;" filled="f" stroked="f" coordsize="21600,21600" o:gfxdata="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01mSd9kAAAAJAQAADwAAAAAAAAABACAAAAAiAAAAZHJzL2Rvd25yZXYueG1s&#10;UEsBAhQAFAAAAAgAh07iQEwhjQC+AQAAdQMAAA4AAAAAAAAAAQAgAAAAKAEAAGRycy9lMm9Eb2Mu&#10;eG1sUEsFBgAAAAAGAAYAWQEAAFgFAAAAAA==&#10;">
                <v:fill on="f" focussize="0,0"/>
                <v:stroke on="f"/>
                <v:imagedata o:title=""/>
                <o:lock v:ext="edit" aspectratio="f"/>
                <v:textbox inset="0mm,0mm,0mm,0mm">
                  <w:txbxContent>
                    <w:p>
                      <w:pPr>
                        <w:pStyle w:val="15"/>
                        <w:snapToGrid w:val="0"/>
                        <w:jc w:val="center"/>
                        <w:rPr>
                          <w:rFonts w:hint="eastAsia" w:eastAsia="黑体"/>
                          <w:lang w:val="en-US" w:eastAsia="zh-CN"/>
                        </w:rPr>
                      </w:pPr>
                      <w:r>
                        <w:rPr>
                          <w:rFonts w:hint="eastAsia"/>
                        </w:rPr>
                        <w:t>S</w:t>
                      </w:r>
                      <w:r>
                        <w:rPr>
                          <w:rFonts w:hint="eastAsia"/>
                          <w:b/>
                          <w:i/>
                          <w:vertAlign w:val="subscript"/>
                        </w:rPr>
                        <w:t>1-</w:t>
                      </w:r>
                      <w:r>
                        <w:rPr>
                          <w:rFonts w:hint="eastAsia"/>
                          <w:b/>
                          <w:i/>
                          <w:vertAlign w:val="subscript"/>
                          <w:lang w:val="en-US" w:eastAsia="zh-CN"/>
                        </w:rPr>
                        <w:t>5</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920384" behindDoc="0" locked="0" layoutInCell="1" allowOverlap="1">
                <wp:simplePos x="0" y="0"/>
                <wp:positionH relativeFrom="column">
                  <wp:posOffset>4371975</wp:posOffset>
                </wp:positionH>
                <wp:positionV relativeFrom="paragraph">
                  <wp:posOffset>212090</wp:posOffset>
                </wp:positionV>
                <wp:extent cx="466725" cy="251460"/>
                <wp:effectExtent l="0" t="0" r="0" b="0"/>
                <wp:wrapNone/>
                <wp:docPr id="348" name="文本框 348"/>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eastAsia="黑体"/>
                                <w:lang w:val="en-US" w:eastAsia="zh-CN"/>
                              </w:rPr>
                            </w:pPr>
                            <w:r>
                              <w:rPr>
                                <w:rFonts w:hint="eastAsia"/>
                              </w:rPr>
                              <w:t>S</w:t>
                            </w:r>
                            <w:r>
                              <w:rPr>
                                <w:rFonts w:hint="eastAsia"/>
                                <w:b/>
                                <w:i/>
                                <w:vertAlign w:val="subscript"/>
                              </w:rPr>
                              <w:t>1-</w:t>
                            </w:r>
                            <w:r>
                              <w:rPr>
                                <w:rFonts w:hint="eastAsia"/>
                                <w:b/>
                                <w:i/>
                                <w:vertAlign w:val="subscript"/>
                                <w:lang w:val="en-US" w:eastAsia="zh-CN"/>
                              </w:rPr>
                              <w:t>2</w:t>
                            </w:r>
                          </w:p>
                        </w:txbxContent>
                      </wps:txbx>
                      <wps:bodyPr lIns="0" tIns="0" rIns="0" bIns="0" upright="1"/>
                    </wps:wsp>
                  </a:graphicData>
                </a:graphic>
              </wp:anchor>
            </w:drawing>
          </mc:Choice>
          <mc:Fallback>
            <w:pict>
              <v:shape id="_x0000_s1026" o:spid="_x0000_s1026" o:spt="202" type="#_x0000_t202" style="position:absolute;left:0pt;margin-left:344.25pt;margin-top:16.7pt;height:19.8pt;width:36.75pt;z-index:251920384;mso-width-relative:page;mso-height-relative:page;" filled="f" stroked="f" coordsize="21600,21600" o:gfxdata="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CT8b+TYAAAACQEAAA8AAAAAAAAAAQAgAAAAIgAAAGRycy9kb3ducmV2LnhtbFBL&#10;AQIUABQAAAAIAIdO4kAXbu0NvQEAAHUDAAAOAAAAAAAAAAEAIAAAACcBAABkcnMvZTJvRG9jLnht&#10;bFBLBQYAAAAABgAGAFkBAABWBQAAAAA=&#10;">
                <v:fill on="f" focussize="0,0"/>
                <v:stroke on="f"/>
                <v:imagedata o:title=""/>
                <o:lock v:ext="edit" aspectratio="f"/>
                <v:textbox inset="0mm,0mm,0mm,0mm">
                  <w:txbxContent>
                    <w:p>
                      <w:pPr>
                        <w:pStyle w:val="15"/>
                        <w:snapToGrid w:val="0"/>
                        <w:jc w:val="center"/>
                        <w:rPr>
                          <w:rFonts w:hint="eastAsia" w:eastAsia="黑体"/>
                          <w:lang w:val="en-US" w:eastAsia="zh-CN"/>
                        </w:rPr>
                      </w:pPr>
                      <w:r>
                        <w:rPr>
                          <w:rFonts w:hint="eastAsia"/>
                        </w:rPr>
                        <w:t>S</w:t>
                      </w:r>
                      <w:r>
                        <w:rPr>
                          <w:rFonts w:hint="eastAsia"/>
                          <w:b/>
                          <w:i/>
                          <w:vertAlign w:val="subscript"/>
                        </w:rPr>
                        <w:t>1-</w:t>
                      </w:r>
                      <w:r>
                        <w:rPr>
                          <w:rFonts w:hint="eastAsia"/>
                          <w:b/>
                          <w:i/>
                          <w:vertAlign w:val="subscript"/>
                          <w:lang w:val="en-US" w:eastAsia="zh-CN"/>
                        </w:rPr>
                        <w:t>2</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921408" behindDoc="0" locked="0" layoutInCell="1" allowOverlap="1">
                <wp:simplePos x="0" y="0"/>
                <wp:positionH relativeFrom="column">
                  <wp:posOffset>5114925</wp:posOffset>
                </wp:positionH>
                <wp:positionV relativeFrom="paragraph">
                  <wp:posOffset>225425</wp:posOffset>
                </wp:positionV>
                <wp:extent cx="466725" cy="251460"/>
                <wp:effectExtent l="0" t="0" r="0" b="0"/>
                <wp:wrapNone/>
                <wp:docPr id="349" name="文本框 349"/>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rPr>
                            </w:pPr>
                            <w:r>
                              <w:rPr>
                                <w:rFonts w:hint="eastAsia"/>
                              </w:rPr>
                              <w:t>W</w:t>
                            </w:r>
                            <w:r>
                              <w:rPr>
                                <w:rFonts w:hint="eastAsia"/>
                                <w:b/>
                                <w:i/>
                                <w:vertAlign w:val="subscript"/>
                              </w:rPr>
                              <w:t>1-12</w:t>
                            </w:r>
                          </w:p>
                        </w:txbxContent>
                      </wps:txbx>
                      <wps:bodyPr lIns="0" tIns="0" rIns="0" bIns="0" upright="1"/>
                    </wps:wsp>
                  </a:graphicData>
                </a:graphic>
              </wp:anchor>
            </w:drawing>
          </mc:Choice>
          <mc:Fallback>
            <w:pict>
              <v:shape id="_x0000_s1026" o:spid="_x0000_s1026" o:spt="202" type="#_x0000_t202" style="position:absolute;left:0pt;margin-left:402.75pt;margin-top:17.75pt;height:19.8pt;width:36.75pt;z-index:251921408;mso-width-relative:page;mso-height-relative:page;" filled="f" stroked="f" coordsize="21600,21600" o:gfxdata="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maJmMtgAAAAJAQAADwAAAAAAAAABACAAAAAiAAAAZHJzL2Rvd25yZXYueG1s&#10;UEsBAhQAFAAAAAgAh07iQPM1cfO/AQAAdQMAAA4AAAAAAAAAAQAgAAAAJwEAAGRycy9lMm9Eb2Mu&#10;eG1sUEsFBgAAAAAGAAYAWQEAAFgFAAAAAA==&#10;">
                <v:fill on="f" focussize="0,0"/>
                <v:stroke on="f"/>
                <v:imagedata o:title=""/>
                <o:lock v:ext="edit" aspectratio="f"/>
                <v:textbox inset="0mm,0mm,0mm,0mm">
                  <w:txbxContent>
                    <w:p>
                      <w:pPr>
                        <w:pStyle w:val="15"/>
                        <w:snapToGrid w:val="0"/>
                        <w:jc w:val="center"/>
                        <w:rPr>
                          <w:rFonts w:hint="eastAsia"/>
                        </w:rPr>
                      </w:pPr>
                      <w:r>
                        <w:rPr>
                          <w:rFonts w:hint="eastAsia"/>
                        </w:rPr>
                        <w:t>W</w:t>
                      </w:r>
                      <w:r>
                        <w:rPr>
                          <w:rFonts w:hint="eastAsia"/>
                          <w:b/>
                          <w:i/>
                          <w:vertAlign w:val="subscript"/>
                        </w:rPr>
                        <w:t>1-12</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918336" behindDoc="0" locked="0" layoutInCell="1" allowOverlap="1">
                <wp:simplePos x="0" y="0"/>
                <wp:positionH relativeFrom="column">
                  <wp:posOffset>5372100</wp:posOffset>
                </wp:positionH>
                <wp:positionV relativeFrom="paragraph">
                  <wp:posOffset>65405</wp:posOffset>
                </wp:positionV>
                <wp:extent cx="635" cy="276860"/>
                <wp:effectExtent l="24765" t="0" r="31750" b="8890"/>
                <wp:wrapNone/>
                <wp:docPr id="350" name="直接连接符 350"/>
                <wp:cNvGraphicFramePr/>
                <a:graphic xmlns:a="http://schemas.openxmlformats.org/drawingml/2006/main">
                  <a:graphicData uri="http://schemas.microsoft.com/office/word/2010/wordprocessingShape">
                    <wps:wsp>
                      <wps:cNvCnPr/>
                      <wps:spPr>
                        <a:xfrm>
                          <a:off x="0" y="0"/>
                          <a:ext cx="635" cy="27686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423pt;margin-top:5.15pt;height:21.8pt;width:0.05pt;z-index:251918336;mso-width-relative:page;mso-height-relative:page;" filled="f" stroked="t" coordsize="21600,21600" o:gfxdata="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vdvdN9YAAAAJAQAADwAAAAAAAAABACAAAAAiAAAAZHJzL2Rv&#10;d25yZXYueG1sUEsBAhQAFAAAAAgAh07iQDUIqa8DAgAA6gMAAA4AAAAAAAAAAQAgAAAAJQEAAGRy&#10;cy9lMm9Eb2MueG1sUEsFBgAAAAAGAAYAWQEAAJo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919360" behindDoc="0" locked="0" layoutInCell="1" allowOverlap="1">
                <wp:simplePos x="0" y="0"/>
                <wp:positionH relativeFrom="column">
                  <wp:posOffset>4600575</wp:posOffset>
                </wp:positionH>
                <wp:positionV relativeFrom="paragraph">
                  <wp:posOffset>55880</wp:posOffset>
                </wp:positionV>
                <wp:extent cx="635" cy="276860"/>
                <wp:effectExtent l="24765" t="0" r="31750" b="8890"/>
                <wp:wrapNone/>
                <wp:docPr id="351" name="直接连接符 351"/>
                <wp:cNvGraphicFramePr/>
                <a:graphic xmlns:a="http://schemas.openxmlformats.org/drawingml/2006/main">
                  <a:graphicData uri="http://schemas.microsoft.com/office/word/2010/wordprocessingShape">
                    <wps:wsp>
                      <wps:cNvCnPr/>
                      <wps:spPr>
                        <a:xfrm>
                          <a:off x="0" y="0"/>
                          <a:ext cx="635" cy="27686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62.25pt;margin-top:4.4pt;height:21.8pt;width:0.05pt;z-index:251919360;mso-width-relative:page;mso-height-relative:page;" filled="f" stroked="t" coordsize="21600,21600" o:gfxdata="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IEpjiHUAAAACAEAAA8AAAAAAAAAAQAgAAAAIgAAAGRycy9kb3du&#10;cmV2LnhtbFBLAQIUABQAAAAIAIdO4kA0RkEWAwIAAOoDAAAOAAAAAAAAAAEAIAAAACMBAABkcnMv&#10;ZTJvRG9jLnhtbFBLBQYAAAAABgAGAFkBAACYBQAAAAA=&#10;">
                <v:fill on="f" focussize="0,0"/>
                <v:stroke color="#000000" joinstyle="round" endarrow="classic" endarrowwidth="narrow" endarrowlength="long"/>
                <v:imagedata o:title=""/>
                <o:lock v:ext="edit" aspectratio="f"/>
              </v:lin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931648" behindDoc="0" locked="0" layoutInCell="1" allowOverlap="1">
                <wp:simplePos x="0" y="0"/>
                <wp:positionH relativeFrom="column">
                  <wp:posOffset>1990725</wp:posOffset>
                </wp:positionH>
                <wp:positionV relativeFrom="paragraph">
                  <wp:posOffset>31750</wp:posOffset>
                </wp:positionV>
                <wp:extent cx="0" cy="297180"/>
                <wp:effectExtent l="38100" t="0" r="38100" b="7620"/>
                <wp:wrapNone/>
                <wp:docPr id="352" name="直接连接符 352"/>
                <wp:cNvGraphicFramePr/>
                <a:graphic xmlns:a="http://schemas.openxmlformats.org/drawingml/2006/main">
                  <a:graphicData uri="http://schemas.microsoft.com/office/word/2010/wordprocessingShape">
                    <wps:wsp>
                      <wps:cNvCnPr/>
                      <wps:spPr>
                        <a:xfrm flipH="1">
                          <a:off x="0" y="0"/>
                          <a:ext cx="0" cy="297180"/>
                        </a:xfrm>
                        <a:prstGeom prst="line">
                          <a:avLst/>
                        </a:prstGeom>
                        <a:ln w="9525" cap="flat" cmpd="sng">
                          <a:solidFill>
                            <a:srgbClr val="000000"/>
                          </a:solidFill>
                          <a:prstDash val="solid"/>
                          <a:headEnd type="stealth" w="med" len="med"/>
                          <a:tailEnd type="none" w="sm" len="lg"/>
                        </a:ln>
                      </wps:spPr>
                      <wps:bodyPr upright="1"/>
                    </wps:wsp>
                  </a:graphicData>
                </a:graphic>
              </wp:anchor>
            </w:drawing>
          </mc:Choice>
          <mc:Fallback>
            <w:pict>
              <v:line id="_x0000_s1026" o:spid="_x0000_s1026" o:spt="20" style="position:absolute;left:0pt;flip:x;margin-left:156.75pt;margin-top:2.5pt;height:23.4pt;width:0pt;z-index:251931648;mso-width-relative:page;mso-height-relative:page;" filled="f" stroked="t" coordsize="21600,21600" o:gfxdata="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bwueh1AAAAAgBAAAPAAAAAAAAAAEAIAAAACIAAABk&#10;cnMvZG93bnJldi54bWxQSwECFAAUAAAACACHTuJAzJ0eygoCAADyAwAADgAAAAAAAAABACAAAAAj&#10;AQAAZHJzL2Uyb0RvYy54bWxQSwUGAAAAAAYABgBZAQAAnwUAAAAA&#10;">
                <v:fill on="f" focussize="0,0"/>
                <v:stroke color="#000000" joinstyle="round" start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93760" behindDoc="0" locked="0" layoutInCell="1" allowOverlap="1">
                <wp:simplePos x="0" y="0"/>
                <wp:positionH relativeFrom="column">
                  <wp:posOffset>2228850</wp:posOffset>
                </wp:positionH>
                <wp:positionV relativeFrom="paragraph">
                  <wp:posOffset>441325</wp:posOffset>
                </wp:positionV>
                <wp:extent cx="323850" cy="0"/>
                <wp:effectExtent l="0" t="25400" r="0" b="31750"/>
                <wp:wrapNone/>
                <wp:docPr id="353" name="直接连接符 353"/>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75.5pt;margin-top:34.75pt;height:0pt;width:25.5pt;z-index:251893760;mso-width-relative:page;mso-height-relative:page;" filled="f" stroked="t" coordsize="21600,21600" o:gfxdata="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DQnlr1QAAAAkBAAAPAAAAAAAAAAEAIAAAACIAAABkcnMvZG93bnJl&#10;di54bWxQSwECFAAUAAAACACHTuJArVRnuAACAADoAwAADgAAAAAAAAABACAAAAAk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92736" behindDoc="0" locked="0" layoutInCell="1" allowOverlap="1">
                <wp:simplePos x="0" y="0"/>
                <wp:positionH relativeFrom="column">
                  <wp:posOffset>3067050</wp:posOffset>
                </wp:positionH>
                <wp:positionV relativeFrom="paragraph">
                  <wp:posOffset>441325</wp:posOffset>
                </wp:positionV>
                <wp:extent cx="323850" cy="0"/>
                <wp:effectExtent l="0" t="25400" r="0" b="31750"/>
                <wp:wrapNone/>
                <wp:docPr id="354" name="直接连接符 354"/>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41.5pt;margin-top:34.75pt;height:0pt;width:25.5pt;z-index:251892736;mso-width-relative:page;mso-height-relative:page;" filled="f" stroked="t" coordsize="21600,21600" o:gfxdata="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I6H3r3WAAAACQEAAA8AAAAAAAAAAQAgAAAAIgAAAGRycy9kb3du&#10;cmV2LnhtbFBLAQIUABQAAAAIAIdO4kB++tFGAQIAAOgDAAAOAAAAAAAAAAEAIAAAACUBAABkcnMv&#10;ZTJvRG9jLnhtbFBLBQYAAAAABgAGAFkBAACY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90688" behindDoc="0" locked="0" layoutInCell="1" allowOverlap="1">
                <wp:simplePos x="0" y="0"/>
                <wp:positionH relativeFrom="column">
                  <wp:posOffset>66675</wp:posOffset>
                </wp:positionH>
                <wp:positionV relativeFrom="paragraph">
                  <wp:posOffset>304165</wp:posOffset>
                </wp:positionV>
                <wp:extent cx="533400" cy="256540"/>
                <wp:effectExtent l="4445" t="4445" r="14605" b="5715"/>
                <wp:wrapNone/>
                <wp:docPr id="355" name="文本框 355"/>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称重</w:t>
                            </w:r>
                          </w:p>
                        </w:txbxContent>
                      </wps:txbx>
                      <wps:bodyPr lIns="0" tIns="0" rIns="0" bIns="0" upright="1"/>
                    </wps:wsp>
                  </a:graphicData>
                </a:graphic>
              </wp:anchor>
            </w:drawing>
          </mc:Choice>
          <mc:Fallback>
            <w:pict>
              <v:shape id="_x0000_s1026" o:spid="_x0000_s1026" o:spt="202" type="#_x0000_t202" style="position:absolute;left:0pt;margin-left:5.25pt;margin-top:23.95pt;height:20.2pt;width:42pt;z-index:251890688;mso-width-relative:page;mso-height-relative:page;" fillcolor="#FFFFFF" filled="t" stroked="t" coordsize="21600,21600" o:gfxdata="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LeaunVAAAABwEA&#10;AA8AAAAAAAAAAQAgAAAAIgAAAGRycy9kb3ducmV2LnhtbFBLAQIUABQAAAAIAIdO4kD0XxatHQIA&#10;AF0EAAAOAAAAAAAAAAEAIAAAACQBAABkcnMvZTJvRG9jLnhtbFBLBQYAAAAABgAGAFkBAACzBQAA&#10;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称重</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89664" behindDoc="0" locked="0" layoutInCell="1" allowOverlap="1">
                <wp:simplePos x="0" y="0"/>
                <wp:positionH relativeFrom="column">
                  <wp:posOffset>904875</wp:posOffset>
                </wp:positionH>
                <wp:positionV relativeFrom="paragraph">
                  <wp:posOffset>323215</wp:posOffset>
                </wp:positionV>
                <wp:extent cx="497205" cy="256540"/>
                <wp:effectExtent l="5080" t="4445" r="12065" b="5715"/>
                <wp:wrapNone/>
                <wp:docPr id="356" name="文本框 356"/>
                <wp:cNvGraphicFramePr/>
                <a:graphic xmlns:a="http://schemas.openxmlformats.org/drawingml/2006/main">
                  <a:graphicData uri="http://schemas.microsoft.com/office/word/2010/wordprocessingShape">
                    <wps:wsp>
                      <wps:cNvSpPr txBox="1"/>
                      <wps:spPr>
                        <a:xfrm>
                          <a:off x="0" y="0"/>
                          <a:ext cx="49720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排酸</w:t>
                            </w:r>
                          </w:p>
                        </w:txbxContent>
                      </wps:txbx>
                      <wps:bodyPr lIns="0" tIns="0" rIns="0" bIns="0" upright="1"/>
                    </wps:wsp>
                  </a:graphicData>
                </a:graphic>
              </wp:anchor>
            </w:drawing>
          </mc:Choice>
          <mc:Fallback>
            <w:pict>
              <v:shape id="_x0000_s1026" o:spid="_x0000_s1026" o:spt="202" type="#_x0000_t202" style="position:absolute;left:0pt;margin-left:71.25pt;margin-top:25.45pt;height:20.2pt;width:39.15pt;z-index:251889664;mso-width-relative:page;mso-height-relative:page;" fillcolor="#FFFFFF" filled="t" stroked="t" coordsize="21600,21600" o:gfxdata="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HLG7PXAAAA&#10;CQEAAA8AAAAAAAAAAQAgAAAAIgAAAGRycy9kb3ducmV2LnhtbFBLAQIUABQAAAAIAIdO4kADci8g&#10;HgIAAF0EAAAOAAAAAAAAAAEAIAAAACY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排酸</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86592" behindDoc="0" locked="0" layoutInCell="1" allowOverlap="1">
                <wp:simplePos x="0" y="0"/>
                <wp:positionH relativeFrom="column">
                  <wp:posOffset>1704975</wp:posOffset>
                </wp:positionH>
                <wp:positionV relativeFrom="paragraph">
                  <wp:posOffset>323215</wp:posOffset>
                </wp:positionV>
                <wp:extent cx="533400" cy="256540"/>
                <wp:effectExtent l="4445" t="4445" r="14605" b="5715"/>
                <wp:wrapNone/>
                <wp:docPr id="357" name="文本框 357"/>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分割</w:t>
                            </w:r>
                          </w:p>
                        </w:txbxContent>
                      </wps:txbx>
                      <wps:bodyPr lIns="0" tIns="0" rIns="0" bIns="0" upright="1"/>
                    </wps:wsp>
                  </a:graphicData>
                </a:graphic>
              </wp:anchor>
            </w:drawing>
          </mc:Choice>
          <mc:Fallback>
            <w:pict>
              <v:shape id="_x0000_s1026" o:spid="_x0000_s1026" o:spt="202" type="#_x0000_t202" style="position:absolute;left:0pt;margin-left:134.25pt;margin-top:25.45pt;height:20.2pt;width:42pt;z-index:251886592;mso-width-relative:page;mso-height-relative:page;" fillcolor="#FFFFFF" filled="t" stroked="t" coordsize="21600,21600" o:gfxdata="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XUJp32AAA&#10;AAkBAAAPAAAAAAAAAAEAIAAAACIAAABkcnMvZG93bnJldi54bWxQSwECFAAUAAAACACHTuJANm1A&#10;Vh4CAABdBAAADgAAAAAAAAABACAAAAAnAQAAZHJzL2Uyb0RvYy54bWxQSwUGAAAAAAYABgBZAQAA&#10;twU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分割</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85568" behindDoc="0" locked="0" layoutInCell="1" allowOverlap="1">
                <wp:simplePos x="0" y="0"/>
                <wp:positionH relativeFrom="column">
                  <wp:posOffset>2543175</wp:posOffset>
                </wp:positionH>
                <wp:positionV relativeFrom="paragraph">
                  <wp:posOffset>323215</wp:posOffset>
                </wp:positionV>
                <wp:extent cx="533400" cy="256540"/>
                <wp:effectExtent l="4445" t="4445" r="14605" b="5715"/>
                <wp:wrapNone/>
                <wp:docPr id="358" name="文本框 358"/>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计量</w:t>
                            </w:r>
                          </w:p>
                        </w:txbxContent>
                      </wps:txbx>
                      <wps:bodyPr lIns="0" tIns="0" rIns="0" bIns="0" upright="1"/>
                    </wps:wsp>
                  </a:graphicData>
                </a:graphic>
              </wp:anchor>
            </w:drawing>
          </mc:Choice>
          <mc:Fallback>
            <w:pict>
              <v:shape id="_x0000_s1026" o:spid="_x0000_s1026" o:spt="202" type="#_x0000_t202" style="position:absolute;left:0pt;margin-left:200.25pt;margin-top:25.45pt;height:20.2pt;width:42pt;z-index:251885568;mso-width-relative:page;mso-height-relative:page;" fillcolor="#FFFFFF" filled="t" stroked="t" coordsize="21600,21600" o:gfxdata="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W69DbYAAAA&#10;CQEAAA8AAAAAAAAAAQAgAAAAIgAAAGRycy9kb3ducmV2LnhtbFBLAQIUABQAAAAIAIdO4kDa4tqm&#10;HQIAAF0EAAAOAAAAAAAAAAEAIAAAACc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计量</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95808" behindDoc="0" locked="0" layoutInCell="1" allowOverlap="1">
                <wp:simplePos x="0" y="0"/>
                <wp:positionH relativeFrom="column">
                  <wp:posOffset>590550</wp:posOffset>
                </wp:positionH>
                <wp:positionV relativeFrom="paragraph">
                  <wp:posOffset>441325</wp:posOffset>
                </wp:positionV>
                <wp:extent cx="323850" cy="0"/>
                <wp:effectExtent l="0" t="25400" r="0" b="31750"/>
                <wp:wrapNone/>
                <wp:docPr id="359" name="直接连接符 359"/>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46.5pt;margin-top:34.75pt;height:0pt;width:25.5pt;z-index:251895808;mso-width-relative:page;mso-height-relative:page;" filled="f" stroked="t" coordsize="21600,21600" o:gfxdata="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56ldZ1AAAAAgBAAAPAAAAAAAAAAEAIAAAACIAAABkcnMvZG93bnJl&#10;di54bWxQSwECFAAUAAAACACHTuJAPjHlDQECAADoAwAADgAAAAAAAAABACAAAAAj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91712" behindDoc="0" locked="0" layoutInCell="1" allowOverlap="1">
                <wp:simplePos x="0" y="0"/>
                <wp:positionH relativeFrom="column">
                  <wp:posOffset>3914775</wp:posOffset>
                </wp:positionH>
                <wp:positionV relativeFrom="paragraph">
                  <wp:posOffset>445135</wp:posOffset>
                </wp:positionV>
                <wp:extent cx="323850" cy="0"/>
                <wp:effectExtent l="0" t="25400" r="0" b="31750"/>
                <wp:wrapNone/>
                <wp:docPr id="360" name="直接连接符 360"/>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08.25pt;margin-top:35.05pt;height:0pt;width:25.5pt;z-index:251891712;mso-width-relative:page;mso-height-relative:page;" filled="f" stroked="t" coordsize="21600,21600" o:gfxdata="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oVxYDUAAAACQEAAA8AAAAAAAAAAQAgAAAAIgAAAGRycy9kb3ducmV2&#10;LnhtbFBLAQIUABQAAAAIAIdO4kDR2pCdAAIAAOgDAAAOAAAAAAAAAAEAIAAAACMBAABkcnMvZTJv&#10;RG9jLnhtbFBLBQYAAAAABgAGAFkBAACV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87616" behindDoc="0" locked="0" layoutInCell="1" allowOverlap="1">
                <wp:simplePos x="0" y="0"/>
                <wp:positionH relativeFrom="column">
                  <wp:posOffset>4229100</wp:posOffset>
                </wp:positionH>
                <wp:positionV relativeFrom="paragraph">
                  <wp:posOffset>327025</wp:posOffset>
                </wp:positionV>
                <wp:extent cx="754380" cy="256540"/>
                <wp:effectExtent l="4445" t="4445" r="22225" b="5715"/>
                <wp:wrapNone/>
                <wp:docPr id="361" name="文本框 361"/>
                <wp:cNvGraphicFramePr/>
                <a:graphic xmlns:a="http://schemas.openxmlformats.org/drawingml/2006/main">
                  <a:graphicData uri="http://schemas.microsoft.com/office/word/2010/wordprocessingShape">
                    <wps:wsp>
                      <wps:cNvSpPr txBox="1"/>
                      <wps:spPr>
                        <a:xfrm>
                          <a:off x="0" y="0"/>
                          <a:ext cx="75438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冷库</w:t>
                            </w:r>
                          </w:p>
                        </w:txbxContent>
                      </wps:txbx>
                      <wps:bodyPr lIns="0" tIns="0" rIns="0" bIns="0" upright="1"/>
                    </wps:wsp>
                  </a:graphicData>
                </a:graphic>
              </wp:anchor>
            </w:drawing>
          </mc:Choice>
          <mc:Fallback>
            <w:pict>
              <v:shape id="_x0000_s1026" o:spid="_x0000_s1026" o:spt="202" type="#_x0000_t202" style="position:absolute;left:0pt;margin-left:333pt;margin-top:25.75pt;height:20.2pt;width:59.4pt;z-index:251887616;mso-width-relative:page;mso-height-relative:page;" fillcolor="#FFFFFF" filled="t" stroked="t" coordsize="21600,21600" o:gfxdata="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ALEn/tkA&#10;AAAJAQAADwAAAAAAAAABACAAAAAiAAAAZHJzL2Rvd25yZXYueG1sUEsBAhQAFAAAAAgAh07iQNnA&#10;+7oeAgAAXQQAAA4AAAAAAAAAAQAgAAAAKAEAAGRycy9lMm9Eb2MueG1sUEsFBgAAAAAGAAYAWQEA&#10;ALgF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冷库</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88640" behindDoc="0" locked="0" layoutInCell="1" allowOverlap="1">
                <wp:simplePos x="0" y="0"/>
                <wp:positionH relativeFrom="column">
                  <wp:posOffset>3381375</wp:posOffset>
                </wp:positionH>
                <wp:positionV relativeFrom="paragraph">
                  <wp:posOffset>304165</wp:posOffset>
                </wp:positionV>
                <wp:extent cx="542925" cy="256540"/>
                <wp:effectExtent l="4445" t="4445" r="5080" b="5715"/>
                <wp:wrapNone/>
                <wp:docPr id="362" name="文本框 362"/>
                <wp:cNvGraphicFramePr/>
                <a:graphic xmlns:a="http://schemas.openxmlformats.org/drawingml/2006/main">
                  <a:graphicData uri="http://schemas.microsoft.com/office/word/2010/wordprocessingShape">
                    <wps:wsp>
                      <wps:cNvSpPr txBox="1"/>
                      <wps:spPr>
                        <a:xfrm>
                          <a:off x="0" y="0"/>
                          <a:ext cx="54292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包装</w:t>
                            </w:r>
                          </w:p>
                        </w:txbxContent>
                      </wps:txbx>
                      <wps:bodyPr lIns="0" tIns="0" rIns="0" bIns="0" upright="1"/>
                    </wps:wsp>
                  </a:graphicData>
                </a:graphic>
              </wp:anchor>
            </w:drawing>
          </mc:Choice>
          <mc:Fallback>
            <w:pict>
              <v:shape id="_x0000_s1026" o:spid="_x0000_s1026" o:spt="202" type="#_x0000_t202" style="position:absolute;left:0pt;margin-left:266.25pt;margin-top:23.95pt;height:20.2pt;width:42.75pt;z-index:251888640;mso-width-relative:page;mso-height-relative:page;" fillcolor="#FFFFFF" filled="t" stroked="t" coordsize="21600,21600" o:gfxdata="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1B/ks2QAA&#10;AAkBAAAPAAAAAAAAAAEAIAAAACIAAABkcnMvZG93bnJldi54bWxQSwECFAAUAAAACACHTuJA7B5X&#10;Dx0CAABdBAAADgAAAAAAAAABACAAAAAoAQAAZHJzL2Uyb0RvYy54bWxQSwUGAAAAAAYABgBZAQAA&#10;twU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包装</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94784" behindDoc="0" locked="0" layoutInCell="1" allowOverlap="1">
                <wp:simplePos x="0" y="0"/>
                <wp:positionH relativeFrom="column">
                  <wp:posOffset>1390650</wp:posOffset>
                </wp:positionH>
                <wp:positionV relativeFrom="paragraph">
                  <wp:posOffset>441325</wp:posOffset>
                </wp:positionV>
                <wp:extent cx="323850" cy="0"/>
                <wp:effectExtent l="0" t="25400" r="0" b="31750"/>
                <wp:wrapNone/>
                <wp:docPr id="363" name="直接连接符 363"/>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09.5pt;margin-top:34.75pt;height:0pt;width:25.5pt;z-index:251894784;mso-width-relative:page;mso-height-relative:page;" filled="f" stroked="t" coordsize="21600,21600" o:gfxdata="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8n+QtUAAAAJAQAADwAAAAAAAAABACAAAAAiAAAAZHJzL2Rvd25y&#10;ZXYueG1sUEsBAhQAFAAAAAgAh07iQHZKuPA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928576" behindDoc="0" locked="0" layoutInCell="1" allowOverlap="1">
                <wp:simplePos x="0" y="0"/>
                <wp:positionH relativeFrom="column">
                  <wp:posOffset>4591050</wp:posOffset>
                </wp:positionH>
                <wp:positionV relativeFrom="paragraph">
                  <wp:posOffset>268605</wp:posOffset>
                </wp:positionV>
                <wp:extent cx="635" cy="276860"/>
                <wp:effectExtent l="24765" t="0" r="31750" b="8890"/>
                <wp:wrapNone/>
                <wp:docPr id="364" name="直接连接符 364"/>
                <wp:cNvGraphicFramePr/>
                <a:graphic xmlns:a="http://schemas.openxmlformats.org/drawingml/2006/main">
                  <a:graphicData uri="http://schemas.microsoft.com/office/word/2010/wordprocessingShape">
                    <wps:wsp>
                      <wps:cNvCnPr/>
                      <wps:spPr>
                        <a:xfrm>
                          <a:off x="0" y="0"/>
                          <a:ext cx="635" cy="27686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61.5pt;margin-top:21.15pt;height:21.8pt;width:0.05pt;z-index:251928576;mso-width-relative:page;mso-height-relative:page;" filled="f" stroked="t" coordsize="21600,21600" o:gfxdata="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AzfK/WAAAACQEAAA8AAAAAAAAAAQAgAAAAIgAAAGRycy9k&#10;b3ducmV2LnhtbFBLAQIUABQAAAAIAIdO4kCaU1i9BAIAAOoDAAAOAAAAAAAAAAEAIAAAACUBAABk&#10;cnMvZTJvRG9jLnhtbFBLBQYAAAAABgAGAFkBAACbBQAAAAA=&#10;">
                <v:fill on="f" focussize="0,0"/>
                <v:stroke color="#000000" joinstyle="round" endarrow="classic" endarrowwidth="narrow" endarrowlength="long"/>
                <v:imagedata o:title=""/>
                <o:lock v:ext="edit" aspectratio="f"/>
              </v:lin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929600" behindDoc="0" locked="0" layoutInCell="1" allowOverlap="1">
                <wp:simplePos x="0" y="0"/>
                <wp:positionH relativeFrom="column">
                  <wp:posOffset>4400550</wp:posOffset>
                </wp:positionH>
                <wp:positionV relativeFrom="paragraph">
                  <wp:posOffset>212090</wp:posOffset>
                </wp:positionV>
                <wp:extent cx="466725" cy="251460"/>
                <wp:effectExtent l="0" t="0" r="0" b="0"/>
                <wp:wrapNone/>
                <wp:docPr id="365" name="文本框 365"/>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eastAsia="黑体"/>
                                <w:lang w:val="en-US" w:eastAsia="zh-CN"/>
                              </w:rPr>
                            </w:pPr>
                            <w:r>
                              <w:rPr>
                                <w:rFonts w:hint="eastAsia"/>
                                <w:lang w:val="en-US" w:eastAsia="zh-CN"/>
                              </w:rPr>
                              <w:t>N</w:t>
                            </w:r>
                            <w:r>
                              <w:rPr>
                                <w:rFonts w:hint="eastAsia"/>
                                <w:b/>
                                <w:i/>
                                <w:vertAlign w:val="subscript"/>
                              </w:rPr>
                              <w:t>1-</w:t>
                            </w:r>
                            <w:r>
                              <w:rPr>
                                <w:rFonts w:hint="eastAsia"/>
                                <w:b/>
                                <w:i/>
                                <w:vertAlign w:val="subscript"/>
                                <w:lang w:val="en-US" w:eastAsia="zh-CN"/>
                              </w:rPr>
                              <w:t>4</w:t>
                            </w:r>
                          </w:p>
                        </w:txbxContent>
                      </wps:txbx>
                      <wps:bodyPr lIns="0" tIns="0" rIns="0" bIns="0" upright="1"/>
                    </wps:wsp>
                  </a:graphicData>
                </a:graphic>
              </wp:anchor>
            </w:drawing>
          </mc:Choice>
          <mc:Fallback>
            <w:pict>
              <v:shape id="_x0000_s1026" o:spid="_x0000_s1026" o:spt="202" type="#_x0000_t202" style="position:absolute;left:0pt;margin-left:346.5pt;margin-top:16.7pt;height:19.8pt;width:36.75pt;z-index:251929600;mso-width-relative:page;mso-height-relative:page;" filled="f" stroked="f" coordsize="21600,21600" o:gfxdata="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B8VGTPYAAAACQEAAA8AAAAAAAAAAQAgAAAAIgAAAGRycy9kb3ducmV2LnhtbFBL&#10;AQIUABQAAAAIAIdO4kDw4oayvQEAAHUDAAAOAAAAAAAAAAEAIAAAACcBAABkcnMvZTJvRG9jLnht&#10;bFBLBQYAAAAABgAGAFkBAABWBQAAAAA=&#10;">
                <v:fill on="f" focussize="0,0"/>
                <v:stroke on="f"/>
                <v:imagedata o:title=""/>
                <o:lock v:ext="edit" aspectratio="f"/>
                <v:textbox inset="0mm,0mm,0mm,0mm">
                  <w:txbxContent>
                    <w:p>
                      <w:pPr>
                        <w:pStyle w:val="15"/>
                        <w:snapToGrid w:val="0"/>
                        <w:jc w:val="center"/>
                        <w:rPr>
                          <w:rFonts w:hint="eastAsia" w:eastAsia="黑体"/>
                          <w:lang w:val="en-US" w:eastAsia="zh-CN"/>
                        </w:rPr>
                      </w:pPr>
                      <w:r>
                        <w:rPr>
                          <w:rFonts w:hint="eastAsia"/>
                          <w:lang w:val="en-US" w:eastAsia="zh-CN"/>
                        </w:rPr>
                        <w:t>N</w:t>
                      </w:r>
                      <w:r>
                        <w:rPr>
                          <w:rFonts w:hint="eastAsia"/>
                          <w:b/>
                          <w:i/>
                          <w:vertAlign w:val="subscript"/>
                        </w:rPr>
                        <w:t>1-</w:t>
                      </w:r>
                      <w:r>
                        <w:rPr>
                          <w:rFonts w:hint="eastAsia"/>
                          <w:b/>
                          <w:i/>
                          <w:vertAlign w:val="subscript"/>
                          <w:lang w:val="en-US" w:eastAsia="zh-CN"/>
                        </w:rPr>
                        <w:t>4</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23456" behindDoc="0" locked="0" layoutInCell="1" allowOverlap="1">
                <wp:simplePos x="0" y="0"/>
                <wp:positionH relativeFrom="column">
                  <wp:posOffset>1263650</wp:posOffset>
                </wp:positionH>
                <wp:positionV relativeFrom="paragraph">
                  <wp:posOffset>208280</wp:posOffset>
                </wp:positionV>
                <wp:extent cx="466725" cy="251460"/>
                <wp:effectExtent l="0" t="0" r="0" b="0"/>
                <wp:wrapNone/>
                <wp:docPr id="366" name="文本框 366"/>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rPr>
                            </w:pPr>
                            <w:r>
                              <w:rPr>
                                <w:rFonts w:hint="eastAsia"/>
                              </w:rPr>
                              <w:t>W</w:t>
                            </w:r>
                            <w:r>
                              <w:rPr>
                                <w:rFonts w:hint="eastAsia"/>
                                <w:b/>
                                <w:i/>
                                <w:vertAlign w:val="subscript"/>
                              </w:rPr>
                              <w:t>1-13</w:t>
                            </w:r>
                          </w:p>
                        </w:txbxContent>
                      </wps:txbx>
                      <wps:bodyPr lIns="0" tIns="0" rIns="0" bIns="0" upright="1"/>
                    </wps:wsp>
                  </a:graphicData>
                </a:graphic>
              </wp:anchor>
            </w:drawing>
          </mc:Choice>
          <mc:Fallback>
            <w:pict>
              <v:shape id="_x0000_s1026" o:spid="_x0000_s1026" o:spt="202" type="#_x0000_t202" style="position:absolute;left:0pt;margin-left:99.5pt;margin-top:16.4pt;height:19.8pt;width:36.75pt;z-index:251923456;mso-width-relative:page;mso-height-relative:page;" filled="f" stroked="f" coordsize="21600,21600" o:gfxdata="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hroCa2AAAAAkBAAAPAAAAAAAAAAEAIAAAACIAAABkcnMvZG93bnJldi54bWxQ&#10;SwECFAAUAAAACACHTuJAnQhTar4BAAB1AwAADgAAAAAAAAABACAAAAAnAQAAZHJzL2Uyb0RvYy54&#10;bWxQSwUGAAAAAAYABgBZAQAAVwUAAAAA&#10;">
                <v:fill on="f" focussize="0,0"/>
                <v:stroke on="f"/>
                <v:imagedata o:title=""/>
                <o:lock v:ext="edit" aspectratio="f"/>
                <v:textbox inset="0mm,0mm,0mm,0mm">
                  <w:txbxContent>
                    <w:p>
                      <w:pPr>
                        <w:pStyle w:val="15"/>
                        <w:snapToGrid w:val="0"/>
                        <w:jc w:val="center"/>
                        <w:rPr>
                          <w:rFonts w:hint="eastAsia"/>
                        </w:rPr>
                      </w:pPr>
                      <w:r>
                        <w:rPr>
                          <w:rFonts w:hint="eastAsia"/>
                        </w:rPr>
                        <w:t>W</w:t>
                      </w:r>
                      <w:r>
                        <w:rPr>
                          <w:rFonts w:hint="eastAsia"/>
                          <w:b/>
                          <w:i/>
                          <w:vertAlign w:val="subscript"/>
                        </w:rPr>
                        <w:t>1-13</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51776" behindDoc="0" locked="0" layoutInCell="1" allowOverlap="1">
                <wp:simplePos x="0" y="0"/>
                <wp:positionH relativeFrom="column">
                  <wp:posOffset>47625</wp:posOffset>
                </wp:positionH>
                <wp:positionV relativeFrom="paragraph">
                  <wp:posOffset>114935</wp:posOffset>
                </wp:positionV>
                <wp:extent cx="933450" cy="396240"/>
                <wp:effectExtent l="4445" t="4445" r="14605" b="18415"/>
                <wp:wrapNone/>
                <wp:docPr id="367" name="文本框 367"/>
                <wp:cNvGraphicFramePr/>
                <a:graphic xmlns:a="http://schemas.openxmlformats.org/drawingml/2006/main">
                  <a:graphicData uri="http://schemas.microsoft.com/office/word/2010/wordprocessingShape">
                    <wps:wsp>
                      <wps:cNvSpPr txBox="1"/>
                      <wps:spPr>
                        <a:xfrm>
                          <a:off x="0" y="0"/>
                          <a:ext cx="933450" cy="3962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280" w:lineRule="exact"/>
                              <w:jc w:val="center"/>
                              <w:rPr>
                                <w:rFonts w:hint="eastAsia"/>
                                <w:sz w:val="21"/>
                                <w:szCs w:val="21"/>
                              </w:rPr>
                            </w:pPr>
                            <w:r>
                              <w:rPr>
                                <w:rFonts w:hint="eastAsia"/>
                                <w:sz w:val="21"/>
                                <w:szCs w:val="21"/>
                              </w:rPr>
                              <w:t>屠宰车间地</w:t>
                            </w:r>
                          </w:p>
                          <w:p>
                            <w:pPr>
                              <w:pStyle w:val="15"/>
                              <w:snapToGrid w:val="0"/>
                              <w:spacing w:line="280" w:lineRule="exact"/>
                              <w:jc w:val="center"/>
                              <w:rPr>
                                <w:rFonts w:hint="eastAsia"/>
                                <w:sz w:val="21"/>
                                <w:szCs w:val="21"/>
                              </w:rPr>
                            </w:pPr>
                            <w:r>
                              <w:rPr>
                                <w:rFonts w:hint="eastAsia"/>
                                <w:sz w:val="21"/>
                                <w:szCs w:val="21"/>
                              </w:rPr>
                              <w:t>面、设备冲洗</w:t>
                            </w:r>
                          </w:p>
                        </w:txbxContent>
                      </wps:txbx>
                      <wps:bodyPr lIns="0" tIns="0" rIns="0" bIns="0" upright="1"/>
                    </wps:wsp>
                  </a:graphicData>
                </a:graphic>
              </wp:anchor>
            </w:drawing>
          </mc:Choice>
          <mc:Fallback>
            <w:pict>
              <v:shape id="_x0000_s1026" o:spid="_x0000_s1026" o:spt="202" type="#_x0000_t202" style="position:absolute;left:0pt;margin-left:3.75pt;margin-top:9.05pt;height:31.2pt;width:73.5pt;z-index:251851776;mso-width-relative:page;mso-height-relative:page;" fillcolor="#FFFFFF" filled="t" stroked="t" coordsize="21600,21600" o:gfxdata="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lwx6jtQAAAAHAQAA&#10;DwAAAAAAAAABACAAAAAiAAAAZHJzL2Rvd25yZXYueG1sUEsBAhQAFAAAAAgAh07iQAgxs5AdAgAA&#10;XQQAAA4AAAAAAAAAAQAgAAAAIwEAAGRycy9lMm9Eb2MueG1sUEsFBgAAAAAGAAYAWQEAALIFAAAA&#10;AA==&#10;">
                <v:fill on="t" focussize="0,0"/>
                <v:stroke color="#000000" joinstyle="miter"/>
                <v:imagedata o:title=""/>
                <o:lock v:ext="edit" aspectratio="f"/>
                <v:textbox inset="0mm,0mm,0mm,0mm">
                  <w:txbxContent>
                    <w:p>
                      <w:pPr>
                        <w:pStyle w:val="15"/>
                        <w:snapToGrid w:val="0"/>
                        <w:spacing w:line="280" w:lineRule="exact"/>
                        <w:jc w:val="center"/>
                        <w:rPr>
                          <w:rFonts w:hint="eastAsia"/>
                          <w:sz w:val="21"/>
                          <w:szCs w:val="21"/>
                        </w:rPr>
                      </w:pPr>
                      <w:r>
                        <w:rPr>
                          <w:rFonts w:hint="eastAsia"/>
                          <w:sz w:val="21"/>
                          <w:szCs w:val="21"/>
                        </w:rPr>
                        <w:t>屠宰车间地</w:t>
                      </w:r>
                    </w:p>
                    <w:p>
                      <w:pPr>
                        <w:pStyle w:val="15"/>
                        <w:snapToGrid w:val="0"/>
                        <w:spacing w:line="280" w:lineRule="exact"/>
                        <w:jc w:val="center"/>
                        <w:rPr>
                          <w:rFonts w:hint="eastAsia"/>
                          <w:sz w:val="21"/>
                          <w:szCs w:val="21"/>
                        </w:rPr>
                      </w:pPr>
                      <w:r>
                        <w:rPr>
                          <w:rFonts w:hint="eastAsia"/>
                          <w:sz w:val="21"/>
                          <w:szCs w:val="21"/>
                        </w:rPr>
                        <w:t>面、设备冲洗</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24480" behindDoc="0" locked="0" layoutInCell="1" allowOverlap="1">
                <wp:simplePos x="0" y="0"/>
                <wp:positionH relativeFrom="column">
                  <wp:posOffset>2427605</wp:posOffset>
                </wp:positionH>
                <wp:positionV relativeFrom="paragraph">
                  <wp:posOffset>86995</wp:posOffset>
                </wp:positionV>
                <wp:extent cx="1858010" cy="251460"/>
                <wp:effectExtent l="0" t="0" r="0" b="0"/>
                <wp:wrapNone/>
                <wp:docPr id="368" name="文本框 368"/>
                <wp:cNvGraphicFramePr/>
                <a:graphic xmlns:a="http://schemas.openxmlformats.org/drawingml/2006/main">
                  <a:graphicData uri="http://schemas.microsoft.com/office/word/2010/wordprocessingShape">
                    <wps:wsp>
                      <wps:cNvSpPr txBox="1"/>
                      <wps:spPr>
                        <a:xfrm>
                          <a:off x="0" y="0"/>
                          <a:ext cx="1858010" cy="251460"/>
                        </a:xfrm>
                        <a:prstGeom prst="rect">
                          <a:avLst/>
                        </a:prstGeom>
                        <a:noFill/>
                        <a:ln>
                          <a:noFill/>
                        </a:ln>
                      </wps:spPr>
                      <wps:txbx>
                        <w:txbxContent>
                          <w:p>
                            <w:pPr>
                              <w:pStyle w:val="15"/>
                              <w:snapToGrid w:val="0"/>
                              <w:jc w:val="center"/>
                              <w:rPr>
                                <w:rFonts w:hint="eastAsia"/>
                              </w:rPr>
                            </w:pPr>
                            <w:r>
                              <w:rPr>
                                <w:rFonts w:hint="eastAsia"/>
                              </w:rPr>
                              <w:t>G</w:t>
                            </w:r>
                            <w:r>
                              <w:rPr>
                                <w:rFonts w:hint="eastAsia"/>
                                <w:b/>
                                <w:i/>
                                <w:vertAlign w:val="subscript"/>
                              </w:rPr>
                              <w:t>1-</w:t>
                            </w:r>
                            <w:r>
                              <w:rPr>
                                <w:rFonts w:hint="eastAsia"/>
                                <w:b/>
                                <w:i/>
                                <w:vertAlign w:val="subscript"/>
                                <w:lang w:val="en-US" w:eastAsia="zh-CN"/>
                              </w:rPr>
                              <w:t>3</w:t>
                            </w:r>
                            <w:r>
                              <w:rPr>
                                <w:rFonts w:hint="eastAsia"/>
                                <w:b/>
                                <w:i/>
                                <w:vertAlign w:val="subscript"/>
                                <w:lang w:val="en-US"/>
                              </w:rPr>
                              <w:t>、</w:t>
                            </w:r>
                            <w:r>
                              <w:rPr>
                                <w:rFonts w:hint="eastAsia"/>
                              </w:rPr>
                              <w:t>W</w:t>
                            </w:r>
                            <w:r>
                              <w:rPr>
                                <w:rFonts w:hint="eastAsia"/>
                                <w:b/>
                                <w:i/>
                                <w:vertAlign w:val="subscript"/>
                              </w:rPr>
                              <w:t>1-1</w:t>
                            </w:r>
                            <w:r>
                              <w:rPr>
                                <w:rFonts w:hint="eastAsia"/>
                                <w:b/>
                                <w:i/>
                                <w:vertAlign w:val="subscript"/>
                                <w:lang w:val="en-US" w:eastAsia="zh-CN"/>
                              </w:rPr>
                              <w:t>4</w:t>
                            </w:r>
                            <w:r>
                              <w:rPr>
                                <w:rFonts w:hint="eastAsia"/>
                                <w:b/>
                                <w:i/>
                                <w:vertAlign w:val="subscript"/>
                                <w:lang w:val="en-US"/>
                              </w:rPr>
                              <w:t>、</w:t>
                            </w:r>
                            <w:r>
                              <w:rPr>
                                <w:rFonts w:hint="eastAsia"/>
                              </w:rPr>
                              <w:t>N</w:t>
                            </w:r>
                            <w:r>
                              <w:rPr>
                                <w:rFonts w:hint="eastAsia"/>
                                <w:b/>
                                <w:i/>
                                <w:vertAlign w:val="subscript"/>
                              </w:rPr>
                              <w:t>1-</w:t>
                            </w:r>
                            <w:r>
                              <w:rPr>
                                <w:rFonts w:hint="eastAsia"/>
                                <w:b/>
                                <w:i/>
                                <w:vertAlign w:val="subscript"/>
                                <w:lang w:val="en-US"/>
                              </w:rPr>
                              <w:t>3</w:t>
                            </w:r>
                            <w:r>
                              <w:rPr>
                                <w:rFonts w:hint="eastAsia"/>
                                <w:b/>
                                <w:i/>
                                <w:vertAlign w:val="subscript"/>
                              </w:rPr>
                              <w:t>、</w:t>
                            </w:r>
                          </w:p>
                          <w:p>
                            <w:pPr>
                              <w:pStyle w:val="15"/>
                              <w:snapToGrid w:val="0"/>
                              <w:rPr>
                                <w:rFonts w:hint="eastAsia"/>
                              </w:rPr>
                            </w:pPr>
                            <w:r>
                              <w:rPr>
                                <w:rFonts w:hint="eastAsia"/>
                              </w:rPr>
                              <w:t>N</w:t>
                            </w:r>
                            <w:r>
                              <w:rPr>
                                <w:rFonts w:hint="eastAsia"/>
                                <w:b/>
                                <w:i/>
                                <w:vertAlign w:val="subscript"/>
                              </w:rPr>
                              <w:t>1-3</w:t>
                            </w:r>
                          </w:p>
                        </w:txbxContent>
                      </wps:txbx>
                      <wps:bodyPr lIns="0" tIns="0" rIns="0" bIns="0" upright="1"/>
                    </wps:wsp>
                  </a:graphicData>
                </a:graphic>
              </wp:anchor>
            </w:drawing>
          </mc:Choice>
          <mc:Fallback>
            <w:pict>
              <v:shape id="_x0000_s1026" o:spid="_x0000_s1026" o:spt="202" type="#_x0000_t202" style="position:absolute;left:0pt;margin-left:191.15pt;margin-top:6.85pt;height:19.8pt;width:146.3pt;z-index:251924480;mso-width-relative:page;mso-height-relative:page;" filled="f" stroked="f" coordsize="21600,21600" o:gfxdata="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KCyD5rZAAAACQEAAA8AAAAAAAAAAQAgAAAAIgAAAGRycy9kb3ducmV2LnhtbFBL&#10;AQIUABQAAAAIAIdO4kBewhKVvAEAAHYDAAAOAAAAAAAAAAEAIAAAACgBAABkcnMvZTJvRG9jLnht&#10;bFBLBQYAAAAABgAGAFkBAABWBQAAAAA=&#10;">
                <v:fill on="f" focussize="0,0"/>
                <v:stroke on="f"/>
                <v:imagedata o:title=""/>
                <o:lock v:ext="edit" aspectratio="f"/>
                <v:textbox inset="0mm,0mm,0mm,0mm">
                  <w:txbxContent>
                    <w:p>
                      <w:pPr>
                        <w:pStyle w:val="15"/>
                        <w:snapToGrid w:val="0"/>
                        <w:jc w:val="center"/>
                        <w:rPr>
                          <w:rFonts w:hint="eastAsia"/>
                        </w:rPr>
                      </w:pPr>
                      <w:r>
                        <w:rPr>
                          <w:rFonts w:hint="eastAsia"/>
                        </w:rPr>
                        <w:t>G</w:t>
                      </w:r>
                      <w:r>
                        <w:rPr>
                          <w:rFonts w:hint="eastAsia"/>
                          <w:b/>
                          <w:i/>
                          <w:vertAlign w:val="subscript"/>
                        </w:rPr>
                        <w:t>1-</w:t>
                      </w:r>
                      <w:r>
                        <w:rPr>
                          <w:rFonts w:hint="eastAsia"/>
                          <w:b/>
                          <w:i/>
                          <w:vertAlign w:val="subscript"/>
                          <w:lang w:val="en-US" w:eastAsia="zh-CN"/>
                        </w:rPr>
                        <w:t>3</w:t>
                      </w:r>
                      <w:r>
                        <w:rPr>
                          <w:rFonts w:hint="eastAsia"/>
                          <w:b/>
                          <w:i/>
                          <w:vertAlign w:val="subscript"/>
                          <w:lang w:val="en-US"/>
                        </w:rPr>
                        <w:t>、</w:t>
                      </w:r>
                      <w:r>
                        <w:rPr>
                          <w:rFonts w:hint="eastAsia"/>
                        </w:rPr>
                        <w:t>W</w:t>
                      </w:r>
                      <w:r>
                        <w:rPr>
                          <w:rFonts w:hint="eastAsia"/>
                          <w:b/>
                          <w:i/>
                          <w:vertAlign w:val="subscript"/>
                        </w:rPr>
                        <w:t>1-1</w:t>
                      </w:r>
                      <w:r>
                        <w:rPr>
                          <w:rFonts w:hint="eastAsia"/>
                          <w:b/>
                          <w:i/>
                          <w:vertAlign w:val="subscript"/>
                          <w:lang w:val="en-US" w:eastAsia="zh-CN"/>
                        </w:rPr>
                        <w:t>4</w:t>
                      </w:r>
                      <w:r>
                        <w:rPr>
                          <w:rFonts w:hint="eastAsia"/>
                          <w:b/>
                          <w:i/>
                          <w:vertAlign w:val="subscript"/>
                          <w:lang w:val="en-US"/>
                        </w:rPr>
                        <w:t>、</w:t>
                      </w:r>
                      <w:r>
                        <w:rPr>
                          <w:rFonts w:hint="eastAsia"/>
                        </w:rPr>
                        <w:t>N</w:t>
                      </w:r>
                      <w:r>
                        <w:rPr>
                          <w:rFonts w:hint="eastAsia"/>
                          <w:b/>
                          <w:i/>
                          <w:vertAlign w:val="subscript"/>
                        </w:rPr>
                        <w:t>1-</w:t>
                      </w:r>
                      <w:r>
                        <w:rPr>
                          <w:rFonts w:hint="eastAsia"/>
                          <w:b/>
                          <w:i/>
                          <w:vertAlign w:val="subscript"/>
                          <w:lang w:val="en-US"/>
                        </w:rPr>
                        <w:t>3</w:t>
                      </w:r>
                      <w:r>
                        <w:rPr>
                          <w:rFonts w:hint="eastAsia"/>
                          <w:b/>
                          <w:i/>
                          <w:vertAlign w:val="subscript"/>
                        </w:rPr>
                        <w:t>、</w:t>
                      </w:r>
                    </w:p>
                    <w:p>
                      <w:pPr>
                        <w:pStyle w:val="15"/>
                        <w:snapToGrid w:val="0"/>
                        <w:rPr>
                          <w:rFonts w:hint="eastAsia"/>
                        </w:rPr>
                      </w:pPr>
                      <w:r>
                        <w:rPr>
                          <w:rFonts w:hint="eastAsia"/>
                        </w:rPr>
                        <w:t>N</w:t>
                      </w:r>
                      <w:r>
                        <w:rPr>
                          <w:rFonts w:hint="eastAsia"/>
                          <w:b/>
                          <w:i/>
                          <w:vertAlign w:val="subscript"/>
                        </w:rPr>
                        <w:t>1-3</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96832" behindDoc="0" locked="0" layoutInCell="1" allowOverlap="1">
                <wp:simplePos x="0" y="0"/>
                <wp:positionH relativeFrom="column">
                  <wp:posOffset>2492375</wp:posOffset>
                </wp:positionH>
                <wp:positionV relativeFrom="paragraph">
                  <wp:posOffset>211455</wp:posOffset>
                </wp:positionV>
                <wp:extent cx="323850" cy="0"/>
                <wp:effectExtent l="0" t="25400" r="0" b="31750"/>
                <wp:wrapNone/>
                <wp:docPr id="369" name="直接连接符 369"/>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96.25pt;margin-top:16.65pt;height:0pt;width:25.5pt;z-index:251896832;mso-width-relative:page;mso-height-relative:page;" filled="f" stroked="t" coordsize="21600,21600" o:gfxdata="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f+zwvdUAAAAJAQAADwAAAAAAAAABACAAAAAiAAAAZHJzL2Rvd25y&#10;ZXYueG1sUEsBAhQAFAAAAAgAh07iQOUvOkU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48704" behindDoc="0" locked="0" layoutInCell="1" allowOverlap="1">
                <wp:simplePos x="0" y="0"/>
                <wp:positionH relativeFrom="column">
                  <wp:posOffset>1809750</wp:posOffset>
                </wp:positionH>
                <wp:positionV relativeFrom="paragraph">
                  <wp:posOffset>80645</wp:posOffset>
                </wp:positionV>
                <wp:extent cx="685800" cy="256540"/>
                <wp:effectExtent l="4445" t="4445" r="14605" b="5715"/>
                <wp:wrapNone/>
                <wp:docPr id="370" name="文本框 370"/>
                <wp:cNvGraphicFramePr/>
                <a:graphic xmlns:a="http://schemas.openxmlformats.org/drawingml/2006/main">
                  <a:graphicData uri="http://schemas.microsoft.com/office/word/2010/wordprocessingShape">
                    <wps:wsp>
                      <wps:cNvSpPr txBox="1"/>
                      <wps:spPr>
                        <a:xfrm>
                          <a:off x="0" y="0"/>
                          <a:ext cx="6858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锅炉房</w:t>
                            </w:r>
                          </w:p>
                        </w:txbxContent>
                      </wps:txbx>
                      <wps:bodyPr lIns="0" tIns="0" rIns="0" bIns="0" upright="1"/>
                    </wps:wsp>
                  </a:graphicData>
                </a:graphic>
              </wp:anchor>
            </w:drawing>
          </mc:Choice>
          <mc:Fallback>
            <w:pict>
              <v:shape id="_x0000_s1026" o:spid="_x0000_s1026" o:spt="202" type="#_x0000_t202" style="position:absolute;left:0pt;margin-left:142.5pt;margin-top:6.35pt;height:20.2pt;width:54pt;z-index:251848704;mso-width-relative:page;mso-height-relative:page;" fillcolor="#FFFFFF" filled="t" stroked="t" coordsize="21600,21600" o:gfxdata="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KBA5fNgAAAAJ&#10;AQAADwAAAAAAAAABACAAAAAiAAAAZHJzL2Rvd25yZXYueG1sUEsBAhQAFAAAAAgAh07iQOxHhwcc&#10;AgAAXQQAAA4AAAAAAAAAAQAgAAAAJw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锅炉房</w:t>
                      </w:r>
                    </w:p>
                  </w:txbxContent>
                </v:textbox>
              </v:shap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922432" behindDoc="0" locked="0" layoutInCell="1" allowOverlap="1">
                <wp:simplePos x="0" y="0"/>
                <wp:positionH relativeFrom="column">
                  <wp:posOffset>984250</wp:posOffset>
                </wp:positionH>
                <wp:positionV relativeFrom="paragraph">
                  <wp:posOffset>2540</wp:posOffset>
                </wp:positionV>
                <wp:extent cx="323850" cy="0"/>
                <wp:effectExtent l="0" t="25400" r="0" b="31750"/>
                <wp:wrapNone/>
                <wp:docPr id="371" name="直接连接符 371"/>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77.5pt;margin-top:0.2pt;height:0pt;width:25.5pt;z-index:251922432;mso-width-relative:page;mso-height-relative:page;" filled="f" stroked="t" coordsize="21600,21600" o:gfxdata="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8GmiLRAAAABQEAAA8AAAAAAAAAAQAgAAAAIgAAAGRycy9kb3ducmV2Lnht&#10;bFBLAQIUABQAAAAIAIdO4kA6Xe03AAIAAOgDAAAOAAAAAAAAAAEAIAAAACABAABkcnMvZTJvRG9j&#10;LnhtbFBLBQYAAAAABgAGAFkBAACS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26528" behindDoc="0" locked="0" layoutInCell="1" allowOverlap="1">
                <wp:simplePos x="0" y="0"/>
                <wp:positionH relativeFrom="column">
                  <wp:posOffset>2552065</wp:posOffset>
                </wp:positionH>
                <wp:positionV relativeFrom="paragraph">
                  <wp:posOffset>296545</wp:posOffset>
                </wp:positionV>
                <wp:extent cx="323850" cy="0"/>
                <wp:effectExtent l="0" t="25400" r="0" b="31750"/>
                <wp:wrapNone/>
                <wp:docPr id="372" name="直接连接符 372"/>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00.95pt;margin-top:23.35pt;height:0pt;width:25.5pt;z-index:251926528;mso-width-relative:page;mso-height-relative:page;" filled="f" stroked="t" coordsize="21600,21600" o:gfxdata="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iO0N+NUAAAAJAQAADwAAAAAAAAABACAAAAAiAAAAZHJzL2Rvd25y&#10;ZXYueG1sUEsBAhQAFAAAAAgAh07iQJ3NxVo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27552" behindDoc="0" locked="0" layoutInCell="1" allowOverlap="1">
                <wp:simplePos x="0" y="0"/>
                <wp:positionH relativeFrom="column">
                  <wp:posOffset>2792095</wp:posOffset>
                </wp:positionH>
                <wp:positionV relativeFrom="paragraph">
                  <wp:posOffset>162560</wp:posOffset>
                </wp:positionV>
                <wp:extent cx="2341245" cy="251460"/>
                <wp:effectExtent l="0" t="0" r="0" b="0"/>
                <wp:wrapNone/>
                <wp:docPr id="373" name="文本框 373"/>
                <wp:cNvGraphicFramePr/>
                <a:graphic xmlns:a="http://schemas.openxmlformats.org/drawingml/2006/main">
                  <a:graphicData uri="http://schemas.microsoft.com/office/word/2010/wordprocessingShape">
                    <wps:wsp>
                      <wps:cNvSpPr txBox="1"/>
                      <wps:spPr>
                        <a:xfrm>
                          <a:off x="0" y="0"/>
                          <a:ext cx="2341245" cy="251460"/>
                        </a:xfrm>
                        <a:prstGeom prst="rect">
                          <a:avLst/>
                        </a:prstGeom>
                        <a:noFill/>
                        <a:ln>
                          <a:noFill/>
                        </a:ln>
                      </wps:spPr>
                      <wps:txbx>
                        <w:txbxContent>
                          <w:p>
                            <w:pPr>
                              <w:pStyle w:val="15"/>
                              <w:snapToGrid w:val="0"/>
                              <w:jc w:val="center"/>
                              <w:rPr>
                                <w:rFonts w:hint="default" w:eastAsia="黑体"/>
                                <w:lang w:val="en-US" w:eastAsia="zh-CN"/>
                              </w:rPr>
                            </w:pPr>
                            <w:r>
                              <w:rPr>
                                <w:rFonts w:hint="eastAsia"/>
                                <w:lang w:val="en-US"/>
                              </w:rPr>
                              <w:t>N</w:t>
                            </w:r>
                            <w:r>
                              <w:rPr>
                                <w:rFonts w:hint="eastAsia"/>
                                <w:b/>
                                <w:bCs/>
                                <w:vertAlign w:val="subscript"/>
                                <w:lang w:val="en-US"/>
                              </w:rPr>
                              <w:t>1-5</w:t>
                            </w:r>
                            <w:r>
                              <w:rPr>
                                <w:rFonts w:hint="eastAsia"/>
                                <w:lang w:val="en-US"/>
                              </w:rPr>
                              <w:t>、N</w:t>
                            </w:r>
                            <w:r>
                              <w:rPr>
                                <w:rFonts w:hint="eastAsia"/>
                                <w:vertAlign w:val="subscript"/>
                                <w:lang w:val="en-US"/>
                              </w:rPr>
                              <w:t>1-</w:t>
                            </w:r>
                            <w:r>
                              <w:rPr>
                                <w:rFonts w:hint="eastAsia"/>
                                <w:b/>
                                <w:bCs/>
                                <w:vertAlign w:val="subscript"/>
                                <w:lang w:val="en-US" w:eastAsia="zh-CN"/>
                              </w:rPr>
                              <w:t>6</w:t>
                            </w:r>
                            <w:r>
                              <w:rPr>
                                <w:rFonts w:hint="eastAsia"/>
                                <w:lang w:val="en-US"/>
                              </w:rPr>
                              <w:t>、</w:t>
                            </w:r>
                            <w:r>
                              <w:rPr>
                                <w:rFonts w:hint="eastAsia"/>
                              </w:rPr>
                              <w:t>G</w:t>
                            </w:r>
                            <w:r>
                              <w:rPr>
                                <w:rFonts w:hint="eastAsia"/>
                                <w:b/>
                                <w:i/>
                                <w:vertAlign w:val="subscript"/>
                              </w:rPr>
                              <w:t>1-</w:t>
                            </w:r>
                            <w:r>
                              <w:rPr>
                                <w:rFonts w:hint="eastAsia"/>
                                <w:b/>
                                <w:i/>
                                <w:vertAlign w:val="subscript"/>
                                <w:lang w:val="en-US" w:eastAsia="zh-CN"/>
                              </w:rPr>
                              <w:t>4</w:t>
                            </w:r>
                            <w:r>
                              <w:rPr>
                                <w:rFonts w:hint="eastAsia"/>
                                <w:b/>
                                <w:i/>
                                <w:vertAlign w:val="baseline"/>
                                <w:lang w:val="en-US" w:eastAsia="zh-CN"/>
                              </w:rPr>
                              <w:t>、S</w:t>
                            </w:r>
                            <w:r>
                              <w:rPr>
                                <w:rFonts w:hint="eastAsia"/>
                                <w:b/>
                                <w:i/>
                                <w:vertAlign w:val="subscript"/>
                                <w:lang w:val="en-US" w:eastAsia="zh-CN"/>
                              </w:rPr>
                              <w:t>1-9</w:t>
                            </w:r>
                            <w:r>
                              <w:rPr>
                                <w:rFonts w:hint="eastAsia"/>
                                <w:b/>
                                <w:i/>
                                <w:vertAlign w:val="baseline"/>
                                <w:lang w:val="en-US" w:eastAsia="zh-CN"/>
                              </w:rPr>
                              <w:t>、S</w:t>
                            </w:r>
                            <w:r>
                              <w:rPr>
                                <w:rFonts w:hint="eastAsia"/>
                                <w:b/>
                                <w:i/>
                                <w:vertAlign w:val="subscript"/>
                                <w:lang w:val="en-US" w:eastAsia="zh-CN"/>
                              </w:rPr>
                              <w:t>1-6</w:t>
                            </w:r>
                          </w:p>
                        </w:txbxContent>
                      </wps:txbx>
                      <wps:bodyPr lIns="0" tIns="0" rIns="0" bIns="0" upright="1"/>
                    </wps:wsp>
                  </a:graphicData>
                </a:graphic>
              </wp:anchor>
            </w:drawing>
          </mc:Choice>
          <mc:Fallback>
            <w:pict>
              <v:shape id="_x0000_s1026" o:spid="_x0000_s1026" o:spt="202" type="#_x0000_t202" style="position:absolute;left:0pt;margin-left:219.85pt;margin-top:12.8pt;height:19.8pt;width:184.35pt;z-index:251927552;mso-width-relative:page;mso-height-relative:page;" filled="f" stroked="f" coordsize="21600,21600" o:gfxdata="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3kiN3ZAAAACQEAAA8AAAAAAAAAAQAgAAAAIgAAAGRycy9kb3ducmV2Lnht&#10;bFBLAQIUABQAAAAIAIdO4kA1mGYWvwEAAHYDAAAOAAAAAAAAAAEAIAAAACgBAABkcnMvZTJvRG9j&#10;LnhtbFBLBQYAAAAABgAGAFkBAABZBQAAAAA=&#10;">
                <v:fill on="f" focussize="0,0"/>
                <v:stroke on="f"/>
                <v:imagedata o:title=""/>
                <o:lock v:ext="edit" aspectratio="f"/>
                <v:textbox inset="0mm,0mm,0mm,0mm">
                  <w:txbxContent>
                    <w:p>
                      <w:pPr>
                        <w:pStyle w:val="15"/>
                        <w:snapToGrid w:val="0"/>
                        <w:jc w:val="center"/>
                        <w:rPr>
                          <w:rFonts w:hint="default" w:eastAsia="黑体"/>
                          <w:lang w:val="en-US" w:eastAsia="zh-CN"/>
                        </w:rPr>
                      </w:pPr>
                      <w:r>
                        <w:rPr>
                          <w:rFonts w:hint="eastAsia"/>
                          <w:lang w:val="en-US"/>
                        </w:rPr>
                        <w:t>N</w:t>
                      </w:r>
                      <w:r>
                        <w:rPr>
                          <w:rFonts w:hint="eastAsia"/>
                          <w:b/>
                          <w:bCs/>
                          <w:vertAlign w:val="subscript"/>
                          <w:lang w:val="en-US"/>
                        </w:rPr>
                        <w:t>1-5</w:t>
                      </w:r>
                      <w:r>
                        <w:rPr>
                          <w:rFonts w:hint="eastAsia"/>
                          <w:lang w:val="en-US"/>
                        </w:rPr>
                        <w:t>、N</w:t>
                      </w:r>
                      <w:r>
                        <w:rPr>
                          <w:rFonts w:hint="eastAsia"/>
                          <w:vertAlign w:val="subscript"/>
                          <w:lang w:val="en-US"/>
                        </w:rPr>
                        <w:t>1-</w:t>
                      </w:r>
                      <w:r>
                        <w:rPr>
                          <w:rFonts w:hint="eastAsia"/>
                          <w:b/>
                          <w:bCs/>
                          <w:vertAlign w:val="subscript"/>
                          <w:lang w:val="en-US" w:eastAsia="zh-CN"/>
                        </w:rPr>
                        <w:t>6</w:t>
                      </w:r>
                      <w:r>
                        <w:rPr>
                          <w:rFonts w:hint="eastAsia"/>
                          <w:lang w:val="en-US"/>
                        </w:rPr>
                        <w:t>、</w:t>
                      </w:r>
                      <w:r>
                        <w:rPr>
                          <w:rFonts w:hint="eastAsia"/>
                        </w:rPr>
                        <w:t>G</w:t>
                      </w:r>
                      <w:r>
                        <w:rPr>
                          <w:rFonts w:hint="eastAsia"/>
                          <w:b/>
                          <w:i/>
                          <w:vertAlign w:val="subscript"/>
                        </w:rPr>
                        <w:t>1-</w:t>
                      </w:r>
                      <w:r>
                        <w:rPr>
                          <w:rFonts w:hint="eastAsia"/>
                          <w:b/>
                          <w:i/>
                          <w:vertAlign w:val="subscript"/>
                          <w:lang w:val="en-US" w:eastAsia="zh-CN"/>
                        </w:rPr>
                        <w:t>4</w:t>
                      </w:r>
                      <w:r>
                        <w:rPr>
                          <w:rFonts w:hint="eastAsia"/>
                          <w:b/>
                          <w:i/>
                          <w:vertAlign w:val="baseline"/>
                          <w:lang w:val="en-US" w:eastAsia="zh-CN"/>
                        </w:rPr>
                        <w:t>、S</w:t>
                      </w:r>
                      <w:r>
                        <w:rPr>
                          <w:rFonts w:hint="eastAsia"/>
                          <w:b/>
                          <w:i/>
                          <w:vertAlign w:val="subscript"/>
                          <w:lang w:val="en-US" w:eastAsia="zh-CN"/>
                        </w:rPr>
                        <w:t>1-9</w:t>
                      </w:r>
                      <w:r>
                        <w:rPr>
                          <w:rFonts w:hint="eastAsia"/>
                          <w:b/>
                          <w:i/>
                          <w:vertAlign w:val="baseline"/>
                          <w:lang w:val="en-US" w:eastAsia="zh-CN"/>
                        </w:rPr>
                        <w:t>、S</w:t>
                      </w:r>
                      <w:r>
                        <w:rPr>
                          <w:rFonts w:hint="eastAsia"/>
                          <w:b/>
                          <w:i/>
                          <w:vertAlign w:val="subscript"/>
                          <w:lang w:val="en-US" w:eastAsia="zh-CN"/>
                        </w:rPr>
                        <w:t>1-6</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25504" behindDoc="0" locked="0" layoutInCell="1" allowOverlap="1">
                <wp:simplePos x="0" y="0"/>
                <wp:positionH relativeFrom="column">
                  <wp:posOffset>1766570</wp:posOffset>
                </wp:positionH>
                <wp:positionV relativeFrom="paragraph">
                  <wp:posOffset>191770</wp:posOffset>
                </wp:positionV>
                <wp:extent cx="774700" cy="256540"/>
                <wp:effectExtent l="4445" t="4445" r="20955" b="5715"/>
                <wp:wrapNone/>
                <wp:docPr id="374" name="文本框 374"/>
                <wp:cNvGraphicFramePr/>
                <a:graphic xmlns:a="http://schemas.openxmlformats.org/drawingml/2006/main">
                  <a:graphicData uri="http://schemas.microsoft.com/office/word/2010/wordprocessingShape">
                    <wps:wsp>
                      <wps:cNvSpPr txBox="1"/>
                      <wps:spPr>
                        <a:xfrm>
                          <a:off x="0" y="0"/>
                          <a:ext cx="7747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污水处理站</w:t>
                            </w:r>
                          </w:p>
                        </w:txbxContent>
                      </wps:txbx>
                      <wps:bodyPr lIns="0" tIns="0" rIns="0" bIns="0" upright="1"/>
                    </wps:wsp>
                  </a:graphicData>
                </a:graphic>
              </wp:anchor>
            </w:drawing>
          </mc:Choice>
          <mc:Fallback>
            <w:pict>
              <v:shape id="_x0000_s1026" o:spid="_x0000_s1026" o:spt="202" type="#_x0000_t202" style="position:absolute;left:0pt;margin-left:139.1pt;margin-top:15.1pt;height:20.2pt;width:61pt;z-index:251925504;mso-width-relative:page;mso-height-relative:page;" fillcolor="#FFFFFF" filled="t" stroked="t" coordsize="21600,21600" o:gfxdata="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Em8zInXAAAA&#10;CQEAAA8AAAAAAAAAAQAgAAAAIgAAAGRycy9kb3ducmV2LnhtbFBLAQIUABQAAAAIAIdO4kC1kSqf&#10;HgIAAF0EAAAOAAAAAAAAAAEAIAAAACY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污水处理站</w:t>
                      </w:r>
                    </w:p>
                  </w:txbxContent>
                </v:textbox>
              </v:shape>
            </w:pict>
          </mc:Fallback>
        </mc:AlternateContent>
      </w:r>
    </w:p>
    <w:p>
      <w:pPr>
        <w:spacing w:line="500" w:lineRule="exact"/>
        <w:jc w:val="both"/>
        <w:rPr>
          <w:rFonts w:hint="default" w:ascii="Times New Roman" w:hAnsi="Times New Roman" w:cs="Times New Roman"/>
          <w:color w:val="auto"/>
          <w:szCs w:val="21"/>
        </w:rPr>
      </w:pPr>
      <w:r>
        <w:rPr>
          <w:rFonts w:hint="default" w:ascii="Times New Roman" w:hAnsi="Times New Roman" w:cs="Times New Roman"/>
          <w:color w:val="auto"/>
          <w:sz w:val="20"/>
        </w:rPr>
        <mc:AlternateContent>
          <mc:Choice Requires="wps">
            <w:drawing>
              <wp:anchor distT="0" distB="0" distL="114300" distR="114300" simplePos="0" relativeHeight="251940864" behindDoc="0" locked="0" layoutInCell="1" allowOverlap="1">
                <wp:simplePos x="0" y="0"/>
                <wp:positionH relativeFrom="column">
                  <wp:posOffset>2900680</wp:posOffset>
                </wp:positionH>
                <wp:positionV relativeFrom="paragraph">
                  <wp:posOffset>291465</wp:posOffset>
                </wp:positionV>
                <wp:extent cx="381000" cy="251460"/>
                <wp:effectExtent l="0" t="0" r="0" b="0"/>
                <wp:wrapNone/>
                <wp:docPr id="375" name="文本框 375"/>
                <wp:cNvGraphicFramePr/>
                <a:graphic xmlns:a="http://schemas.openxmlformats.org/drawingml/2006/main">
                  <a:graphicData uri="http://schemas.microsoft.com/office/word/2010/wordprocessingShape">
                    <wps:wsp>
                      <wps:cNvSpPr txBox="1"/>
                      <wps:spPr>
                        <a:xfrm>
                          <a:off x="0" y="0"/>
                          <a:ext cx="381000" cy="251460"/>
                        </a:xfrm>
                        <a:prstGeom prst="rect">
                          <a:avLst/>
                        </a:prstGeom>
                        <a:noFill/>
                        <a:ln>
                          <a:noFill/>
                        </a:ln>
                      </wps:spPr>
                      <wps:txbx>
                        <w:txbxContent>
                          <w:p>
                            <w:pPr>
                              <w:pStyle w:val="15"/>
                              <w:snapToGrid w:val="0"/>
                              <w:jc w:val="both"/>
                              <w:rPr>
                                <w:rFonts w:hint="eastAsia" w:eastAsia="黑体"/>
                                <w:lang w:val="en-US" w:eastAsia="zh-CN"/>
                              </w:rPr>
                            </w:pPr>
                            <w:r>
                              <w:rPr>
                                <w:rFonts w:hint="eastAsia"/>
                              </w:rPr>
                              <w:t>G</w:t>
                            </w:r>
                            <w:r>
                              <w:rPr>
                                <w:rFonts w:hint="eastAsia"/>
                                <w:b/>
                                <w:i/>
                                <w:vertAlign w:val="subscript"/>
                              </w:rPr>
                              <w:t>1-</w:t>
                            </w:r>
                            <w:r>
                              <w:rPr>
                                <w:rFonts w:hint="eastAsia"/>
                                <w:b/>
                                <w:i/>
                                <w:vertAlign w:val="subscript"/>
                                <w:lang w:val="en-US" w:eastAsia="zh-CN"/>
                              </w:rPr>
                              <w:t>5</w:t>
                            </w:r>
                          </w:p>
                        </w:txbxContent>
                      </wps:txbx>
                      <wps:bodyPr lIns="0" tIns="0" rIns="0" bIns="0" upright="1"/>
                    </wps:wsp>
                  </a:graphicData>
                </a:graphic>
              </wp:anchor>
            </w:drawing>
          </mc:Choice>
          <mc:Fallback>
            <w:pict>
              <v:shape id="_x0000_s1026" o:spid="_x0000_s1026" o:spt="202" type="#_x0000_t202" style="position:absolute;left:0pt;margin-left:228.4pt;margin-top:22.95pt;height:19.8pt;width:30pt;z-index:251940864;mso-width-relative:page;mso-height-relative:page;" filled="f" stroked="f" coordsize="21600,21600" o:gfxdata="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I61MYnYAAAACQEAAA8AAAAAAAAAAQAgAAAAIgAAAGRycy9kb3ducmV2LnhtbFBL&#10;AQIUABQAAAAIAIdO4kBPnAbhvQEAAHUDAAAOAAAAAAAAAAEAIAAAACcBAABkcnMvZTJvRG9jLnht&#10;bFBLBQYAAAAABgAGAFkBAABWBQAAAAA=&#10;">
                <v:fill on="f" focussize="0,0"/>
                <v:stroke on="f"/>
                <v:imagedata o:title=""/>
                <o:lock v:ext="edit" aspectratio="f"/>
                <v:textbox inset="0mm,0mm,0mm,0mm">
                  <w:txbxContent>
                    <w:p>
                      <w:pPr>
                        <w:pStyle w:val="15"/>
                        <w:snapToGrid w:val="0"/>
                        <w:jc w:val="both"/>
                        <w:rPr>
                          <w:rFonts w:hint="eastAsia" w:eastAsia="黑体"/>
                          <w:lang w:val="en-US" w:eastAsia="zh-CN"/>
                        </w:rPr>
                      </w:pPr>
                      <w:r>
                        <w:rPr>
                          <w:rFonts w:hint="eastAsia"/>
                        </w:rPr>
                        <w:t>G</w:t>
                      </w:r>
                      <w:r>
                        <w:rPr>
                          <w:rFonts w:hint="eastAsia"/>
                          <w:b/>
                          <w:i/>
                          <w:vertAlign w:val="subscript"/>
                        </w:rPr>
                        <w:t>1-</w:t>
                      </w:r>
                      <w:r>
                        <w:rPr>
                          <w:rFonts w:hint="eastAsia"/>
                          <w:b/>
                          <w:i/>
                          <w:vertAlign w:val="subscript"/>
                          <w:lang w:val="en-US" w:eastAsia="zh-CN"/>
                        </w:rPr>
                        <w:t>5</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38816" behindDoc="0" locked="0" layoutInCell="1" allowOverlap="1">
                <wp:simplePos x="0" y="0"/>
                <wp:positionH relativeFrom="column">
                  <wp:posOffset>1775460</wp:posOffset>
                </wp:positionH>
                <wp:positionV relativeFrom="paragraph">
                  <wp:posOffset>282575</wp:posOffset>
                </wp:positionV>
                <wp:extent cx="793750" cy="256540"/>
                <wp:effectExtent l="4445" t="4445" r="20955" b="5715"/>
                <wp:wrapNone/>
                <wp:docPr id="376" name="文本框 376"/>
                <wp:cNvGraphicFramePr/>
                <a:graphic xmlns:a="http://schemas.openxmlformats.org/drawingml/2006/main">
                  <a:graphicData uri="http://schemas.microsoft.com/office/word/2010/wordprocessingShape">
                    <wps:wsp>
                      <wps:cNvSpPr txBox="1"/>
                      <wps:spPr>
                        <a:xfrm>
                          <a:off x="0" y="0"/>
                          <a:ext cx="79375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default" w:eastAsia="黑体"/>
                                <w:sz w:val="21"/>
                                <w:szCs w:val="21"/>
                                <w:lang w:val="en-US" w:eastAsia="zh-CN"/>
                              </w:rPr>
                            </w:pPr>
                            <w:r>
                              <w:rPr>
                                <w:rFonts w:hint="eastAsia"/>
                                <w:sz w:val="21"/>
                                <w:szCs w:val="21"/>
                                <w:lang w:val="en-US" w:eastAsia="zh-CN"/>
                              </w:rPr>
                              <w:t>柴油储罐</w:t>
                            </w:r>
                          </w:p>
                        </w:txbxContent>
                      </wps:txbx>
                      <wps:bodyPr lIns="0" tIns="0" rIns="0" bIns="0" upright="1"/>
                    </wps:wsp>
                  </a:graphicData>
                </a:graphic>
              </wp:anchor>
            </w:drawing>
          </mc:Choice>
          <mc:Fallback>
            <w:pict>
              <v:shape id="_x0000_s1026" o:spid="_x0000_s1026" o:spt="202" type="#_x0000_t202" style="position:absolute;left:0pt;margin-left:139.8pt;margin-top:22.25pt;height:20.2pt;width:62.5pt;z-index:251938816;mso-width-relative:page;mso-height-relative:page;" fillcolor="#FFFFFF" filled="t" stroked="t" coordsize="21600,21600" o:gfxdata="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5CwgNkA&#10;AAAJAQAADwAAAAAAAAABACAAAAAiAAAAZHJzL2Rvd25yZXYueG1sUEsBAhQAFAAAAAgAh07iQAZx&#10;SIoeAgAAXQQAAA4AAAAAAAAAAQAgAAAAKAEAAGRycy9lMm9Eb2MueG1sUEsFBgAAAAAGAAYAWQEA&#10;ALgFAAAAAA==&#10;">
                <v:fill on="t" focussize="0,0"/>
                <v:stroke color="#000000" joinstyle="miter"/>
                <v:imagedata o:title=""/>
                <o:lock v:ext="edit" aspectratio="f"/>
                <v:textbox inset="0mm,0mm,0mm,0mm">
                  <w:txbxContent>
                    <w:p>
                      <w:pPr>
                        <w:pStyle w:val="15"/>
                        <w:snapToGrid w:val="0"/>
                        <w:spacing w:line="340" w:lineRule="exact"/>
                        <w:jc w:val="center"/>
                        <w:rPr>
                          <w:rFonts w:hint="default" w:eastAsia="黑体"/>
                          <w:sz w:val="21"/>
                          <w:szCs w:val="21"/>
                          <w:lang w:val="en-US" w:eastAsia="zh-CN"/>
                        </w:rPr>
                      </w:pPr>
                      <w:r>
                        <w:rPr>
                          <w:rFonts w:hint="eastAsia"/>
                          <w:sz w:val="21"/>
                          <w:szCs w:val="21"/>
                          <w:lang w:val="en-US" w:eastAsia="zh-CN"/>
                        </w:rPr>
                        <w:t>柴油储罐</w:t>
                      </w:r>
                    </w:p>
                  </w:txbxContent>
                </v:textbox>
              </v:shape>
            </w:pict>
          </mc:Fallback>
        </mc:AlternateContent>
      </w:r>
    </w:p>
    <w:p>
      <w:pPr>
        <w:pStyle w:val="29"/>
        <w:rPr>
          <w:rFonts w:hint="default" w:ascii="Times New Roman" w:hAnsi="Times New Roman" w:cs="Times New Roman"/>
        </w:rPr>
      </w:pPr>
      <w:r>
        <w:rPr>
          <w:rFonts w:hint="default" w:ascii="Times New Roman" w:hAnsi="Times New Roman" w:cs="Times New Roman"/>
          <w:color w:val="auto"/>
          <w:sz w:val="20"/>
        </w:rPr>
        <mc:AlternateContent>
          <mc:Choice Requires="wps">
            <w:drawing>
              <wp:anchor distT="0" distB="0" distL="114300" distR="114300" simplePos="0" relativeHeight="251939840" behindDoc="0" locked="0" layoutInCell="1" allowOverlap="1">
                <wp:simplePos x="0" y="0"/>
                <wp:positionH relativeFrom="column">
                  <wp:posOffset>2575560</wp:posOffset>
                </wp:positionH>
                <wp:positionV relativeFrom="paragraph">
                  <wp:posOffset>102870</wp:posOffset>
                </wp:positionV>
                <wp:extent cx="323850" cy="0"/>
                <wp:effectExtent l="0" t="25400" r="0" b="31750"/>
                <wp:wrapNone/>
                <wp:docPr id="377" name="直接连接符 377"/>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02.8pt;margin-top:8.1pt;height:0pt;width:25.5pt;z-index:251939840;mso-width-relative:page;mso-height-relative:page;" filled="f" stroked="t" coordsize="21600,21600" o:gfxdata="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IyB+Z1AAAAAkBAAAPAAAAAAAAAAEAIAAAACIAAABkcnMvZG93bnJl&#10;di54bWxQSwECFAAUAAAACACHTuJAdHy87QECAADoAwAADgAAAAAAAAABACAAAAAjAQAAZHJzL2Uy&#10;b0RvYy54bWxQSwUGAAAAAAYABgBZAQAAlgUAAAAA&#10;">
                <v:fill on="f" focussize="0,0"/>
                <v:stroke color="#000000" joinstyle="round" endarrow="classic" endarrowwidth="narrow" endarrowlength="long"/>
                <v:imagedata o:title=""/>
                <o:lock v:ext="edit" aspectratio="f"/>
              </v:line>
            </w:pict>
          </mc:Fallback>
        </mc:AlternateContent>
      </w:r>
    </w:p>
    <w:p>
      <w:pPr>
        <w:spacing w:line="500" w:lineRule="exact"/>
        <w:jc w:val="center"/>
        <w:rPr>
          <w:rFonts w:hint="default" w:ascii="Times New Roman" w:hAnsi="Times New Roman" w:cs="Times New Roman"/>
          <w:color w:val="auto"/>
          <w:szCs w:val="21"/>
        </w:rPr>
      </w:pPr>
      <w:r>
        <w:rPr>
          <w:rFonts w:hint="default" w:ascii="Times New Roman" w:hAnsi="Times New Roman" w:cs="Times New Roman"/>
          <w:color w:val="auto"/>
          <w:sz w:val="20"/>
        </w:rPr>
        <mc:AlternateContent>
          <mc:Choice Requires="wps">
            <w:drawing>
              <wp:anchor distT="0" distB="0" distL="114300" distR="114300" simplePos="0" relativeHeight="251935744" behindDoc="0" locked="0" layoutInCell="1" allowOverlap="1">
                <wp:simplePos x="0" y="0"/>
                <wp:positionH relativeFrom="column">
                  <wp:posOffset>2798445</wp:posOffset>
                </wp:positionH>
                <wp:positionV relativeFrom="paragraph">
                  <wp:posOffset>60960</wp:posOffset>
                </wp:positionV>
                <wp:extent cx="629285" cy="251460"/>
                <wp:effectExtent l="0" t="0" r="0" b="0"/>
                <wp:wrapNone/>
                <wp:docPr id="378" name="文本框 378"/>
                <wp:cNvGraphicFramePr/>
                <a:graphic xmlns:a="http://schemas.openxmlformats.org/drawingml/2006/main">
                  <a:graphicData uri="http://schemas.microsoft.com/office/word/2010/wordprocessingShape">
                    <wps:wsp>
                      <wps:cNvSpPr txBox="1"/>
                      <wps:spPr>
                        <a:xfrm>
                          <a:off x="0" y="0"/>
                          <a:ext cx="629285" cy="251460"/>
                        </a:xfrm>
                        <a:prstGeom prst="rect">
                          <a:avLst/>
                        </a:prstGeom>
                        <a:noFill/>
                        <a:ln>
                          <a:noFill/>
                        </a:ln>
                      </wps:spPr>
                      <wps:txbx>
                        <w:txbxContent>
                          <w:p>
                            <w:pPr>
                              <w:pStyle w:val="15"/>
                              <w:snapToGrid w:val="0"/>
                              <w:jc w:val="center"/>
                              <w:rPr>
                                <w:rFonts w:hint="eastAsia" w:eastAsia="黑体"/>
                                <w:lang w:val="en-US" w:eastAsia="zh-CN"/>
                              </w:rPr>
                            </w:pPr>
                            <w:r>
                              <w:rPr>
                                <w:rFonts w:hint="eastAsia"/>
                              </w:rPr>
                              <w:t>G</w:t>
                            </w:r>
                            <w:r>
                              <w:rPr>
                                <w:rFonts w:hint="eastAsia"/>
                                <w:b/>
                                <w:i/>
                                <w:vertAlign w:val="subscript"/>
                              </w:rPr>
                              <w:t>1-</w:t>
                            </w:r>
                            <w:r>
                              <w:rPr>
                                <w:rFonts w:hint="eastAsia"/>
                                <w:b/>
                                <w:i/>
                                <w:vertAlign w:val="subscript"/>
                                <w:lang w:val="en-US" w:eastAsia="zh-CN"/>
                              </w:rPr>
                              <w:t>6</w:t>
                            </w:r>
                          </w:p>
                        </w:txbxContent>
                      </wps:txbx>
                      <wps:bodyPr lIns="0" tIns="0" rIns="0" bIns="0" upright="1"/>
                    </wps:wsp>
                  </a:graphicData>
                </a:graphic>
              </wp:anchor>
            </w:drawing>
          </mc:Choice>
          <mc:Fallback>
            <w:pict>
              <v:shape id="_x0000_s1026" o:spid="_x0000_s1026" o:spt="202" type="#_x0000_t202" style="position:absolute;left:0pt;margin-left:220.35pt;margin-top:4.8pt;height:19.8pt;width:49.55pt;z-index:251935744;mso-width-relative:page;mso-height-relative:page;" filled="f" stroked="f" coordsize="21600,21600" o:gfxdata="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EWA8DbXAAAACAEAAA8AAAAAAAAAAQAgAAAAIgAAAGRycy9kb3ducmV2LnhtbFBL&#10;AQIUABQAAAAIAIdO4kD3+8HsvgEAAHUDAAAOAAAAAAAAAAEAIAAAACYBAABkcnMvZTJvRG9jLnht&#10;bFBLBQYAAAAABgAGAFkBAABWBQAAAAA=&#10;">
                <v:fill on="f" focussize="0,0"/>
                <v:stroke on="f"/>
                <v:imagedata o:title=""/>
                <o:lock v:ext="edit" aspectratio="f"/>
                <v:textbox inset="0mm,0mm,0mm,0mm">
                  <w:txbxContent>
                    <w:p>
                      <w:pPr>
                        <w:pStyle w:val="15"/>
                        <w:snapToGrid w:val="0"/>
                        <w:jc w:val="center"/>
                        <w:rPr>
                          <w:rFonts w:hint="eastAsia" w:eastAsia="黑体"/>
                          <w:lang w:val="en-US" w:eastAsia="zh-CN"/>
                        </w:rPr>
                      </w:pPr>
                      <w:r>
                        <w:rPr>
                          <w:rFonts w:hint="eastAsia"/>
                        </w:rPr>
                        <w:t>G</w:t>
                      </w:r>
                      <w:r>
                        <w:rPr>
                          <w:rFonts w:hint="eastAsia"/>
                          <w:b/>
                          <w:i/>
                          <w:vertAlign w:val="subscript"/>
                        </w:rPr>
                        <w:t>1-</w:t>
                      </w:r>
                      <w:r>
                        <w:rPr>
                          <w:rFonts w:hint="eastAsia"/>
                          <w:b/>
                          <w:i/>
                          <w:vertAlign w:val="subscript"/>
                          <w:lang w:val="en-US" w:eastAsia="zh-CN"/>
                        </w:rPr>
                        <w:t>6</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34720" behindDoc="0" locked="0" layoutInCell="1" allowOverlap="1">
                <wp:simplePos x="0" y="0"/>
                <wp:positionH relativeFrom="column">
                  <wp:posOffset>2590165</wp:posOffset>
                </wp:positionH>
                <wp:positionV relativeFrom="paragraph">
                  <wp:posOffset>194945</wp:posOffset>
                </wp:positionV>
                <wp:extent cx="323850" cy="0"/>
                <wp:effectExtent l="0" t="25400" r="0" b="31750"/>
                <wp:wrapNone/>
                <wp:docPr id="379" name="直接连接符 379"/>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03.95pt;margin-top:15.35pt;height:0pt;width:25.5pt;z-index:251934720;mso-width-relative:page;mso-height-relative:page;" filled="f" stroked="t" coordsize="21600,21600" o:gfxdata="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EZoBxtUAAAAJAQAADwAAAAAAAAABACAAAAAiAAAAZHJzL2Rvd25y&#10;ZXYueG1sUEsBAhQAFAAAAAgAh07iQJMnoMs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33696" behindDoc="0" locked="0" layoutInCell="1" allowOverlap="1">
                <wp:simplePos x="0" y="0"/>
                <wp:positionH relativeFrom="column">
                  <wp:posOffset>1785620</wp:posOffset>
                </wp:positionH>
                <wp:positionV relativeFrom="paragraph">
                  <wp:posOffset>72390</wp:posOffset>
                </wp:positionV>
                <wp:extent cx="793750" cy="256540"/>
                <wp:effectExtent l="4445" t="4445" r="20955" b="5715"/>
                <wp:wrapNone/>
                <wp:docPr id="380" name="文本框 380"/>
                <wp:cNvGraphicFramePr/>
                <a:graphic xmlns:a="http://schemas.openxmlformats.org/drawingml/2006/main">
                  <a:graphicData uri="http://schemas.microsoft.com/office/word/2010/wordprocessingShape">
                    <wps:wsp>
                      <wps:cNvSpPr txBox="1"/>
                      <wps:spPr>
                        <a:xfrm>
                          <a:off x="0" y="0"/>
                          <a:ext cx="79375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default" w:eastAsia="黑体"/>
                                <w:sz w:val="21"/>
                                <w:szCs w:val="21"/>
                                <w:lang w:val="en-US" w:eastAsia="zh-CN"/>
                              </w:rPr>
                            </w:pPr>
                            <w:r>
                              <w:rPr>
                                <w:rFonts w:hint="eastAsia"/>
                                <w:sz w:val="21"/>
                                <w:szCs w:val="21"/>
                                <w:lang w:val="en-US" w:eastAsia="zh-CN"/>
                              </w:rPr>
                              <w:t>固废暂存</w:t>
                            </w:r>
                          </w:p>
                        </w:txbxContent>
                      </wps:txbx>
                      <wps:bodyPr lIns="0" tIns="0" rIns="0" bIns="0" upright="1"/>
                    </wps:wsp>
                  </a:graphicData>
                </a:graphic>
              </wp:anchor>
            </w:drawing>
          </mc:Choice>
          <mc:Fallback>
            <w:pict>
              <v:shape id="_x0000_s1026" o:spid="_x0000_s1026" o:spt="202" type="#_x0000_t202" style="position:absolute;left:0pt;margin-left:140.6pt;margin-top:5.7pt;height:20.2pt;width:62.5pt;z-index:251933696;mso-width-relative:page;mso-height-relative:page;" fillcolor="#FFFFFF" filled="t" stroked="t" coordsize="21600,21600" o:gfxdata="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he4tQ9cAAAAJ&#10;AQAADwAAAAAAAAABACAAAAAiAAAAZHJzL2Rvd25yZXYueG1sUEsBAhQAFAAAAAgAh07iQN0Uj/Ud&#10;AgAAXQQAAA4AAAAAAAAAAQAgAAAAJg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default" w:eastAsia="黑体"/>
                          <w:sz w:val="21"/>
                          <w:szCs w:val="21"/>
                          <w:lang w:val="en-US" w:eastAsia="zh-CN"/>
                        </w:rPr>
                      </w:pPr>
                      <w:r>
                        <w:rPr>
                          <w:rFonts w:hint="eastAsia"/>
                          <w:sz w:val="21"/>
                          <w:szCs w:val="21"/>
                          <w:lang w:val="en-US" w:eastAsia="zh-CN"/>
                        </w:rPr>
                        <w:t>固废暂存</w:t>
                      </w:r>
                    </w:p>
                  </w:txbxContent>
                </v:textbox>
              </v:shape>
            </w:pict>
          </mc:Fallback>
        </mc:AlternateContent>
      </w:r>
    </w:p>
    <w:p>
      <w:pPr>
        <w:spacing w:line="500" w:lineRule="exact"/>
        <w:jc w:val="center"/>
        <w:rPr>
          <w:rFonts w:hint="default" w:ascii="Times New Roman" w:hAnsi="Times New Roman" w:cs="Times New Roman"/>
          <w:color w:val="auto"/>
          <w:szCs w:val="21"/>
        </w:rPr>
      </w:pPr>
      <w:r>
        <w:rPr>
          <w:rFonts w:hint="default" w:ascii="Times New Roman" w:hAnsi="Times New Roman" w:cs="Times New Roman"/>
          <w:color w:val="auto"/>
          <w:sz w:val="20"/>
        </w:rPr>
        <mc:AlternateContent>
          <mc:Choice Requires="wps">
            <w:drawing>
              <wp:anchor distT="0" distB="0" distL="114300" distR="114300" simplePos="0" relativeHeight="251944960" behindDoc="0" locked="0" layoutInCell="1" allowOverlap="1">
                <wp:simplePos x="0" y="0"/>
                <wp:positionH relativeFrom="column">
                  <wp:posOffset>2684145</wp:posOffset>
                </wp:positionH>
                <wp:positionV relativeFrom="paragraph">
                  <wp:posOffset>133985</wp:posOffset>
                </wp:positionV>
                <wp:extent cx="866775" cy="251460"/>
                <wp:effectExtent l="0" t="0" r="0" b="0"/>
                <wp:wrapNone/>
                <wp:docPr id="381" name="文本框 381"/>
                <wp:cNvGraphicFramePr/>
                <a:graphic xmlns:a="http://schemas.openxmlformats.org/drawingml/2006/main">
                  <a:graphicData uri="http://schemas.microsoft.com/office/word/2010/wordprocessingShape">
                    <wps:wsp>
                      <wps:cNvSpPr txBox="1"/>
                      <wps:spPr>
                        <a:xfrm>
                          <a:off x="0" y="0"/>
                          <a:ext cx="866775" cy="251460"/>
                        </a:xfrm>
                        <a:prstGeom prst="rect">
                          <a:avLst/>
                        </a:prstGeom>
                        <a:noFill/>
                        <a:ln>
                          <a:noFill/>
                        </a:ln>
                      </wps:spPr>
                      <wps:txbx>
                        <w:txbxContent>
                          <w:p>
                            <w:pPr>
                              <w:pStyle w:val="15"/>
                              <w:snapToGrid w:val="0"/>
                              <w:jc w:val="center"/>
                              <w:rPr>
                                <w:rFonts w:hint="default" w:eastAsia="黑体"/>
                                <w:lang w:val="en-US" w:eastAsia="zh-CN"/>
                              </w:rPr>
                            </w:pPr>
                            <w:r>
                              <w:rPr>
                                <w:rFonts w:hint="eastAsia"/>
                                <w:b/>
                                <w:i/>
                                <w:vertAlign w:val="baseline"/>
                                <w:lang w:val="en-US" w:eastAsia="zh-CN"/>
                              </w:rPr>
                              <w:t>W</w:t>
                            </w:r>
                            <w:r>
                              <w:rPr>
                                <w:rFonts w:hint="eastAsia"/>
                                <w:b/>
                                <w:i/>
                                <w:vertAlign w:val="subscript"/>
                              </w:rPr>
                              <w:t>1-</w:t>
                            </w:r>
                            <w:r>
                              <w:rPr>
                                <w:rFonts w:hint="eastAsia"/>
                                <w:b/>
                                <w:i/>
                                <w:vertAlign w:val="subscript"/>
                                <w:lang w:val="en-US" w:eastAsia="zh-CN"/>
                              </w:rPr>
                              <w:t>15</w:t>
                            </w:r>
                          </w:p>
                        </w:txbxContent>
                      </wps:txbx>
                      <wps:bodyPr lIns="0" tIns="0" rIns="0" bIns="0" upright="1"/>
                    </wps:wsp>
                  </a:graphicData>
                </a:graphic>
              </wp:anchor>
            </w:drawing>
          </mc:Choice>
          <mc:Fallback>
            <w:pict>
              <v:shape id="_x0000_s1026" o:spid="_x0000_s1026" o:spt="202" type="#_x0000_t202" style="position:absolute;left:0pt;margin-left:211.35pt;margin-top:10.55pt;height:19.8pt;width:68.25pt;z-index:251944960;mso-width-relative:page;mso-height-relative:page;" filled="f" stroked="f" coordsize="21600,21600" o:gfxdata="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ZEp/a2QAAAAkBAAAPAAAAAAAAAAEAIAAAACIAAABkcnMvZG93bnJldi54bWxQ&#10;SwECFAAUAAAACACHTuJA7UgfKb0BAAB1AwAADgAAAAAAAAABACAAAAAoAQAAZHJzL2Uyb0RvYy54&#10;bWxQSwUGAAAAAAYABgBZAQAAVwUAAAAA&#10;">
                <v:fill on="f" focussize="0,0"/>
                <v:stroke on="f"/>
                <v:imagedata o:title=""/>
                <o:lock v:ext="edit" aspectratio="f"/>
                <v:textbox inset="0mm,0mm,0mm,0mm">
                  <w:txbxContent>
                    <w:p>
                      <w:pPr>
                        <w:pStyle w:val="15"/>
                        <w:snapToGrid w:val="0"/>
                        <w:jc w:val="center"/>
                        <w:rPr>
                          <w:rFonts w:hint="default" w:eastAsia="黑体"/>
                          <w:lang w:val="en-US" w:eastAsia="zh-CN"/>
                        </w:rPr>
                      </w:pPr>
                      <w:r>
                        <w:rPr>
                          <w:rFonts w:hint="eastAsia"/>
                          <w:b/>
                          <w:i/>
                          <w:vertAlign w:val="baseline"/>
                          <w:lang w:val="en-US" w:eastAsia="zh-CN"/>
                        </w:rPr>
                        <w:t>W</w:t>
                      </w:r>
                      <w:r>
                        <w:rPr>
                          <w:rFonts w:hint="eastAsia"/>
                          <w:b/>
                          <w:i/>
                          <w:vertAlign w:val="subscript"/>
                        </w:rPr>
                        <w:t>1-</w:t>
                      </w:r>
                      <w:r>
                        <w:rPr>
                          <w:rFonts w:hint="eastAsia"/>
                          <w:b/>
                          <w:i/>
                          <w:vertAlign w:val="subscript"/>
                          <w:lang w:val="en-US" w:eastAsia="zh-CN"/>
                        </w:rPr>
                        <w:t>15</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945984" behindDoc="0" locked="0" layoutInCell="1" allowOverlap="1">
                <wp:simplePos x="0" y="0"/>
                <wp:positionH relativeFrom="column">
                  <wp:posOffset>2574925</wp:posOffset>
                </wp:positionH>
                <wp:positionV relativeFrom="paragraph">
                  <wp:posOffset>282575</wp:posOffset>
                </wp:positionV>
                <wp:extent cx="323850" cy="0"/>
                <wp:effectExtent l="0" t="25400" r="0" b="31750"/>
                <wp:wrapNone/>
                <wp:docPr id="382" name="直接连接符 382"/>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02.75pt;margin-top:22.25pt;height:0pt;width:25.5pt;z-index:251945984;mso-width-relative:page;mso-height-relative:page;" filled="f" stroked="t" coordsize="21600,21600" o:gfxdata="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HDcOQnUAAAACQEAAA8AAAAAAAAAAQAgAAAAIgAAAGRycy9kb3ducmV2&#10;LnhtbFBLAQIUABQAAAAIAIdO4kBrrhfqAAIAAOgDAAAOAAAAAAAAAAEAIAAAACMBAABkcnMvZTJv&#10;RG9jLnhtbFBLBQYAAAAABgAGAFkBAACV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943936" behindDoc="0" locked="0" layoutInCell="1" allowOverlap="1">
                <wp:simplePos x="0" y="0"/>
                <wp:positionH relativeFrom="column">
                  <wp:posOffset>1776095</wp:posOffset>
                </wp:positionH>
                <wp:positionV relativeFrom="paragraph">
                  <wp:posOffset>126365</wp:posOffset>
                </wp:positionV>
                <wp:extent cx="793750" cy="256540"/>
                <wp:effectExtent l="4445" t="4445" r="20955" b="5715"/>
                <wp:wrapNone/>
                <wp:docPr id="383" name="文本框 383"/>
                <wp:cNvGraphicFramePr/>
                <a:graphic xmlns:a="http://schemas.openxmlformats.org/drawingml/2006/main">
                  <a:graphicData uri="http://schemas.microsoft.com/office/word/2010/wordprocessingShape">
                    <wps:wsp>
                      <wps:cNvSpPr txBox="1"/>
                      <wps:spPr>
                        <a:xfrm>
                          <a:off x="0" y="0"/>
                          <a:ext cx="79375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default" w:eastAsia="黑体"/>
                                <w:sz w:val="21"/>
                                <w:szCs w:val="21"/>
                                <w:lang w:val="en-US" w:eastAsia="zh-CN"/>
                              </w:rPr>
                            </w:pPr>
                            <w:r>
                              <w:rPr>
                                <w:rFonts w:hint="eastAsia"/>
                                <w:sz w:val="21"/>
                                <w:szCs w:val="21"/>
                                <w:lang w:val="en-US" w:eastAsia="zh-CN"/>
                              </w:rPr>
                              <w:t>生活污水</w:t>
                            </w:r>
                          </w:p>
                        </w:txbxContent>
                      </wps:txbx>
                      <wps:bodyPr lIns="0" tIns="0" rIns="0" bIns="0" upright="1"/>
                    </wps:wsp>
                  </a:graphicData>
                </a:graphic>
              </wp:anchor>
            </w:drawing>
          </mc:Choice>
          <mc:Fallback>
            <w:pict>
              <v:shape id="_x0000_s1026" o:spid="_x0000_s1026" o:spt="202" type="#_x0000_t202" style="position:absolute;left:0pt;margin-left:139.85pt;margin-top:9.95pt;height:20.2pt;width:62.5pt;z-index:251943936;mso-width-relative:page;mso-height-relative:page;" fillcolor="#FFFFFF" filled="t" stroked="t" coordsize="21600,21600" o:gfxdata="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PSu6I2AAA&#10;AAkBAAAPAAAAAAAAAAEAIAAAACIAAABkcnMvZG93bnJldi54bWxQSwECFAAUAAAACACHTuJAfj9y&#10;cx4CAABdBAAADgAAAAAAAAABACAAAAAnAQAAZHJzL2Uyb0RvYy54bWxQSwUGAAAAAAYABgBZAQAA&#10;twUAAAAA&#10;">
                <v:fill on="t" focussize="0,0"/>
                <v:stroke color="#000000" joinstyle="miter"/>
                <v:imagedata o:title=""/>
                <o:lock v:ext="edit" aspectratio="f"/>
                <v:textbox inset="0mm,0mm,0mm,0mm">
                  <w:txbxContent>
                    <w:p>
                      <w:pPr>
                        <w:pStyle w:val="15"/>
                        <w:snapToGrid w:val="0"/>
                        <w:spacing w:line="340" w:lineRule="exact"/>
                        <w:jc w:val="center"/>
                        <w:rPr>
                          <w:rFonts w:hint="default" w:eastAsia="黑体"/>
                          <w:sz w:val="21"/>
                          <w:szCs w:val="21"/>
                          <w:lang w:val="en-US" w:eastAsia="zh-CN"/>
                        </w:rPr>
                      </w:pPr>
                      <w:r>
                        <w:rPr>
                          <w:rFonts w:hint="eastAsia"/>
                          <w:sz w:val="21"/>
                          <w:szCs w:val="21"/>
                          <w:lang w:val="en-US" w:eastAsia="zh-CN"/>
                        </w:rPr>
                        <w:t>生活污水</w:t>
                      </w:r>
                    </w:p>
                  </w:txbxContent>
                </v:textbox>
              </v:shape>
            </w:pict>
          </mc:Fallback>
        </mc:AlternateContent>
      </w:r>
    </w:p>
    <w:p>
      <w:pPr>
        <w:spacing w:line="500" w:lineRule="exact"/>
        <w:jc w:val="center"/>
        <w:rPr>
          <w:rFonts w:hint="default" w:ascii="Times New Roman" w:hAnsi="Times New Roman" w:eastAsia="宋体" w:cs="Times New Roman"/>
          <w:b/>
          <w:bCs/>
          <w:color w:val="auto"/>
          <w:sz w:val="21"/>
          <w:szCs w:val="21"/>
        </w:rPr>
      </w:pPr>
      <w:r>
        <w:rPr>
          <w:rFonts w:hint="default" w:ascii="Times New Roman" w:hAnsi="Times New Roman" w:cs="Times New Roman"/>
          <w:color w:val="auto"/>
          <w:szCs w:val="21"/>
        </w:rPr>
        <w:t>图例：G：废气；W：废水；N：噪声；S：固废</w:t>
      </w:r>
    </w:p>
    <w:p>
      <w:pPr>
        <w:keepNext w:val="0"/>
        <w:keepLines w:val="0"/>
        <w:pageBreakBefore w:val="0"/>
        <w:wordWrap/>
        <w:overflowPunct/>
        <w:topLinePunct w:val="0"/>
        <w:bidi w:val="0"/>
        <w:spacing w:line="360" w:lineRule="auto"/>
        <w:jc w:val="cente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pP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 xml:space="preserve">图 </w:t>
      </w:r>
      <w:r>
        <w:rPr>
          <w:rFonts w:hint="default" w:ascii="Times New Roman" w:hAnsi="Times New Roman" w:eastAsia="宋体" w:cs="Times New Roman"/>
          <w:spacing w:val="6"/>
          <w:sz w:val="20"/>
          <w:szCs w:val="20"/>
          <w:lang w:val="en-US" w:eastAsia="zh-CN"/>
          <w14:textOutline w14:w="3795" w14:cap="sq" w14:cmpd="sng">
            <w14:solidFill>
              <w14:srgbClr w14:val="000000"/>
            </w14:solidFill>
            <w14:prstDash w14:val="solid"/>
            <w14:bevel/>
          </w14:textOutline>
        </w:rPr>
        <w:t>3-</w:t>
      </w: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2-</w:t>
      </w:r>
      <w:r>
        <w:rPr>
          <w:rFonts w:hint="default" w:ascii="Times New Roman" w:hAnsi="Times New Roman" w:eastAsia="宋体" w:cs="Times New Roman"/>
          <w:spacing w:val="6"/>
          <w:sz w:val="20"/>
          <w:szCs w:val="20"/>
          <w:lang w:val="en-US" w:eastAsia="zh-CN"/>
          <w14:textOutline w14:w="3795" w14:cap="sq" w14:cmpd="sng">
            <w14:solidFill>
              <w14:srgbClr w14:val="000000"/>
            </w14:solidFill>
            <w14:prstDash w14:val="solid"/>
            <w14:bevel/>
          </w14:textOutline>
        </w:rPr>
        <w:t xml:space="preserve">1 </w:t>
      </w: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 xml:space="preserve"> 屠宰加工工艺流程及产污节点图</w:t>
      </w:r>
    </w:p>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444" w:firstLineChars="200"/>
        <w:jc w:val="center"/>
        <w:textAlignment w:val="baseline"/>
        <w:rPr>
          <w:rFonts w:hint="default" w:ascii="Times New Roman" w:hAnsi="Times New Roman" w:eastAsia="宋体" w:cs="Times New Roman"/>
          <w:spacing w:val="11"/>
          <w:sz w:val="20"/>
          <w:szCs w:val="20"/>
          <w14:textOutline w14:w="3795" w14:cap="sq" w14:cmpd="sng">
            <w14:solidFill>
              <w14:srgbClr w14:val="000000"/>
            </w14:solidFill>
            <w14:prstDash w14:val="solid"/>
            <w14:bevel/>
          </w14:textOutline>
        </w:rPr>
      </w:pPr>
      <w:r>
        <w:rPr>
          <w:rFonts w:hint="default" w:ascii="Times New Roman" w:hAnsi="Times New Roman" w:eastAsia="宋体" w:cs="Times New Roman"/>
          <w:spacing w:val="11"/>
          <w:sz w:val="20"/>
          <w:szCs w:val="20"/>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11"/>
          <w:sz w:val="20"/>
          <w:szCs w:val="20"/>
          <w:lang w:val="en-US" w:eastAsia="zh-CN"/>
          <w14:textOutline w14:w="3795" w14:cap="sq" w14:cmpd="sng">
            <w14:solidFill>
              <w14:srgbClr w14:val="000000"/>
            </w14:solidFill>
            <w14:prstDash w14:val="solid"/>
            <w14:bevel/>
          </w14:textOutline>
        </w:rPr>
        <w:t>3</w:t>
      </w:r>
      <w:r>
        <w:rPr>
          <w:rFonts w:hint="eastAsia" w:ascii="Times New Roman" w:hAnsi="Times New Roman" w:eastAsia="宋体" w:cs="Times New Roman"/>
          <w:spacing w:val="11"/>
          <w:sz w:val="20"/>
          <w:szCs w:val="20"/>
          <w:lang w:val="en-US" w:eastAsia="zh-CN"/>
          <w14:textOutline w14:w="3795" w14:cap="sq" w14:cmpd="sng">
            <w14:solidFill>
              <w14:srgbClr w14:val="000000"/>
            </w14:solidFill>
            <w14:prstDash w14:val="solid"/>
            <w14:bevel/>
          </w14:textOutline>
        </w:rPr>
        <w:t>-</w:t>
      </w:r>
      <w:r>
        <w:rPr>
          <w:rFonts w:hint="default" w:ascii="Times New Roman" w:hAnsi="Times New Roman" w:eastAsia="宋体" w:cs="Times New Roman"/>
          <w:spacing w:val="11"/>
          <w:sz w:val="20"/>
          <w:szCs w:val="20"/>
          <w14:textOutline w14:w="3795" w14:cap="sq" w14:cmpd="sng">
            <w14:solidFill>
              <w14:srgbClr w14:val="000000"/>
            </w14:solidFill>
            <w14:prstDash w14:val="solid"/>
            <w14:bevel/>
          </w14:textOutline>
        </w:rPr>
        <w:t>2-1  现有项目污染物情况</w:t>
      </w:r>
    </w:p>
    <w:p>
      <w:pPr>
        <w:spacing w:line="112" w:lineRule="exact"/>
        <w:rPr>
          <w:rFonts w:hint="default" w:ascii="Times New Roman" w:hAnsi="Times New Roman" w:cs="Times New Roman"/>
        </w:rPr>
      </w:pPr>
    </w:p>
    <w:tbl>
      <w:tblPr>
        <w:tblStyle w:val="34"/>
        <w:tblW w:w="501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53"/>
        <w:gridCol w:w="1910"/>
        <w:gridCol w:w="1699"/>
        <w:gridCol w:w="3087"/>
        <w:gridCol w:w="131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629" w:type="pct"/>
            <w:tcBorders>
              <w:tl2br w:val="nil"/>
              <w:tr2bl w:val="nil"/>
            </w:tcBorders>
            <w:vAlign w:val="top"/>
          </w:tcPr>
          <w:p>
            <w:pPr>
              <w:spacing w:before="56"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类别</w:t>
            </w:r>
          </w:p>
        </w:tc>
        <w:tc>
          <w:tcPr>
            <w:tcW w:w="1969" w:type="pct"/>
            <w:gridSpan w:val="2"/>
            <w:tcBorders>
              <w:tl2br w:val="nil"/>
              <w:tr2bl w:val="nil"/>
            </w:tcBorders>
            <w:vAlign w:val="top"/>
          </w:tcPr>
          <w:p>
            <w:pPr>
              <w:spacing w:before="57"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pacing w:val="6"/>
                <w:sz w:val="21"/>
                <w:szCs w:val="21"/>
                <w:lang w:val="en-US" w:eastAsia="zh-CN"/>
              </w:rPr>
              <w:t>排放源及</w:t>
            </w:r>
            <w:r>
              <w:rPr>
                <w:rFonts w:hint="default" w:ascii="Times New Roman" w:hAnsi="Times New Roman" w:eastAsia="宋体" w:cs="Times New Roman"/>
                <w:spacing w:val="6"/>
                <w:sz w:val="21"/>
                <w:szCs w:val="21"/>
              </w:rPr>
              <w:t>污染物</w:t>
            </w:r>
          </w:p>
        </w:tc>
        <w:tc>
          <w:tcPr>
            <w:tcW w:w="1684" w:type="pct"/>
            <w:tcBorders>
              <w:tl2br w:val="nil"/>
              <w:tr2bl w:val="nil"/>
            </w:tcBorders>
            <w:vAlign w:val="top"/>
          </w:tcPr>
          <w:p>
            <w:pPr>
              <w:spacing w:before="57"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处理措施</w:t>
            </w:r>
          </w:p>
        </w:tc>
        <w:tc>
          <w:tcPr>
            <w:tcW w:w="716" w:type="pct"/>
            <w:tcBorders>
              <w:tl2br w:val="nil"/>
              <w:tr2bl w:val="nil"/>
            </w:tcBorders>
            <w:vAlign w:val="top"/>
          </w:tcPr>
          <w:p>
            <w:pPr>
              <w:spacing w:before="57" w:line="22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排放去向</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629"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auto"/>
                <w:spacing w:val="0"/>
                <w:sz w:val="21"/>
                <w:szCs w:val="21"/>
                <w:lang w:val="en-US" w:eastAsia="zh-CN"/>
              </w:rPr>
              <w:t>废水</w:t>
            </w:r>
          </w:p>
        </w:tc>
        <w:tc>
          <w:tcPr>
            <w:tcW w:w="1969" w:type="pct"/>
            <w:gridSpan w:val="2"/>
            <w:tcBorders>
              <w:tl2br w:val="nil"/>
              <w:tr2bl w:val="nil"/>
            </w:tcBorders>
            <w:vAlign w:val="top"/>
          </w:tcPr>
          <w:p>
            <w:pPr>
              <w:spacing w:before="52" w:line="228" w:lineRule="auto"/>
              <w:jc w:val="center"/>
              <w:rPr>
                <w:rFonts w:hint="eastAsia" w:ascii="Times New Roman" w:hAnsi="Times New Roman" w:eastAsia="宋体" w:cs="Times New Roman"/>
                <w:sz w:val="21"/>
                <w:szCs w:val="21"/>
                <w:lang w:eastAsia="zh-CN"/>
              </w:rPr>
            </w:pPr>
            <w:r>
              <w:rPr>
                <w:rFonts w:hint="default" w:ascii="Times New Roman" w:hAnsi="Times New Roman" w:eastAsia="宋体" w:cs="Times New Roman"/>
                <w:spacing w:val="8"/>
                <w:sz w:val="21"/>
                <w:szCs w:val="21"/>
              </w:rPr>
              <w:t>生活</w:t>
            </w:r>
            <w:r>
              <w:rPr>
                <w:rFonts w:hint="eastAsia" w:ascii="Times New Roman" w:hAnsi="Times New Roman" w:eastAsia="宋体" w:cs="Times New Roman"/>
                <w:spacing w:val="8"/>
                <w:sz w:val="21"/>
                <w:szCs w:val="21"/>
                <w:lang w:val="en-US" w:eastAsia="zh-CN"/>
              </w:rPr>
              <w:t>污</w:t>
            </w:r>
            <w:r>
              <w:rPr>
                <w:rFonts w:hint="default" w:ascii="Times New Roman" w:hAnsi="Times New Roman" w:eastAsia="宋体" w:cs="Times New Roman"/>
                <w:spacing w:val="8"/>
                <w:sz w:val="21"/>
                <w:szCs w:val="21"/>
              </w:rPr>
              <w:t>水</w:t>
            </w:r>
            <w:r>
              <w:rPr>
                <w:rFonts w:hint="eastAsia" w:ascii="Times New Roman" w:hAnsi="Times New Roman" w:eastAsia="宋体" w:cs="Times New Roman"/>
                <w:spacing w:val="8"/>
                <w:sz w:val="21"/>
                <w:szCs w:val="21"/>
                <w:lang w:eastAsia="zh-CN"/>
              </w:rPr>
              <w:t>（</w:t>
            </w:r>
            <w:r>
              <w:rPr>
                <w:rFonts w:hint="eastAsia" w:ascii="Times New Roman" w:hAnsi="Times New Roman" w:eastAsia="宋体" w:cs="Times New Roman"/>
                <w:spacing w:val="8"/>
                <w:sz w:val="21"/>
                <w:szCs w:val="21"/>
                <w:lang w:val="en-US" w:eastAsia="zh-CN"/>
              </w:rPr>
              <w:t>COD、氨氮等</w:t>
            </w:r>
            <w:r>
              <w:rPr>
                <w:rFonts w:hint="eastAsia" w:ascii="Times New Roman" w:hAnsi="Times New Roman" w:eastAsia="宋体" w:cs="Times New Roman"/>
                <w:spacing w:val="8"/>
                <w:sz w:val="21"/>
                <w:szCs w:val="21"/>
                <w:lang w:eastAsia="zh-CN"/>
              </w:rPr>
              <w:t>）</w:t>
            </w:r>
          </w:p>
        </w:tc>
        <w:tc>
          <w:tcPr>
            <w:tcW w:w="1684"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rPr>
            </w:pPr>
            <w:r>
              <w:rPr>
                <w:rFonts w:hint="eastAsia" w:ascii="Times New Roman" w:hAnsi="Times New Roman" w:eastAsia="宋体" w:cs="Times New Roman"/>
                <w:color w:val="auto"/>
                <w:spacing w:val="0"/>
                <w:sz w:val="21"/>
                <w:szCs w:val="21"/>
                <w:lang w:val="en-US" w:eastAsia="zh-CN"/>
              </w:rPr>
              <w:t>排污</w:t>
            </w:r>
            <w:r>
              <w:rPr>
                <w:rFonts w:hint="default" w:ascii="Times New Roman" w:hAnsi="Times New Roman" w:eastAsia="宋体" w:cs="Times New Roman"/>
                <w:color w:val="auto"/>
                <w:spacing w:val="0"/>
                <w:sz w:val="21"/>
                <w:szCs w:val="21"/>
                <w:lang w:val="en-US" w:eastAsia="zh-CN"/>
              </w:rPr>
              <w:t>厂区内现有污水处理站</w:t>
            </w:r>
          </w:p>
        </w:tc>
        <w:tc>
          <w:tcPr>
            <w:tcW w:w="716"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排入兴隆镇污水处理厂，</w:t>
            </w:r>
            <w:r>
              <w:rPr>
                <w:rFonts w:hint="eastAsia" w:ascii="Times New Roman" w:hAnsi="Times New Roman" w:eastAsia="宋体" w:cs="Times New Roman"/>
                <w:sz w:val="21"/>
                <w:szCs w:val="21"/>
                <w:lang w:val="en-US" w:eastAsia="zh-CN"/>
              </w:rPr>
              <w:t>排入泥河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629" w:type="pct"/>
            <w:vMerge w:val="continue"/>
            <w:tcBorders>
              <w:tl2br w:val="nil"/>
              <w:tr2bl w:val="nil"/>
            </w:tcBorders>
            <w:vAlign w:val="top"/>
          </w:tcPr>
          <w:p>
            <w:pPr>
              <w:pStyle w:val="35"/>
              <w:rPr>
                <w:rFonts w:hint="default" w:ascii="Times New Roman" w:hAnsi="Times New Roman" w:cs="Times New Roman"/>
                <w:sz w:val="21"/>
                <w:szCs w:val="21"/>
              </w:rPr>
            </w:pPr>
          </w:p>
        </w:tc>
        <w:tc>
          <w:tcPr>
            <w:tcW w:w="1969" w:type="pct"/>
            <w:gridSpan w:val="2"/>
            <w:tcBorders>
              <w:tl2br w:val="nil"/>
              <w:tr2bl w:val="nil"/>
            </w:tcBorders>
            <w:vAlign w:val="top"/>
          </w:tcPr>
          <w:p>
            <w:pPr>
              <w:spacing w:before="51"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待宰圈冲洗排水</w:t>
            </w:r>
            <w:r>
              <w:rPr>
                <w:rFonts w:hint="eastAsia" w:ascii="Times New Roman" w:hAnsi="Times New Roman" w:eastAsia="宋体" w:cs="Times New Roman"/>
                <w:spacing w:val="8"/>
                <w:sz w:val="21"/>
                <w:szCs w:val="21"/>
                <w:lang w:eastAsia="zh-CN"/>
              </w:rPr>
              <w:t>（</w:t>
            </w:r>
            <w:r>
              <w:rPr>
                <w:rFonts w:hint="eastAsia" w:ascii="Times New Roman" w:hAnsi="Times New Roman" w:eastAsia="宋体" w:cs="Times New Roman"/>
                <w:spacing w:val="8"/>
                <w:sz w:val="21"/>
                <w:szCs w:val="21"/>
                <w:lang w:val="en-US" w:eastAsia="zh-CN"/>
              </w:rPr>
              <w:t>COD、氨氮等</w:t>
            </w:r>
            <w:r>
              <w:rPr>
                <w:rFonts w:hint="eastAsia" w:ascii="Times New Roman" w:hAnsi="Times New Roman" w:eastAsia="宋体" w:cs="Times New Roman"/>
                <w:spacing w:val="8"/>
                <w:sz w:val="21"/>
                <w:szCs w:val="21"/>
                <w:lang w:eastAsia="zh-CN"/>
              </w:rPr>
              <w:t>）</w:t>
            </w:r>
          </w:p>
        </w:tc>
        <w:tc>
          <w:tcPr>
            <w:tcW w:w="1684" w:type="pct"/>
            <w:vMerge w:val="continue"/>
            <w:tcBorders>
              <w:tl2br w:val="nil"/>
              <w:tr2bl w:val="nil"/>
            </w:tcBorders>
            <w:vAlign w:val="top"/>
          </w:tcPr>
          <w:p>
            <w:pPr>
              <w:pStyle w:val="35"/>
              <w:rPr>
                <w:rFonts w:hint="default" w:ascii="Times New Roman" w:hAnsi="Times New Roman" w:cs="Times New Roman"/>
                <w:sz w:val="21"/>
                <w:szCs w:val="21"/>
              </w:rPr>
            </w:pPr>
          </w:p>
        </w:tc>
        <w:tc>
          <w:tcPr>
            <w:tcW w:w="716" w:type="pct"/>
            <w:vMerge w:val="continue"/>
            <w:tcBorders>
              <w:tl2br w:val="nil"/>
              <w:tr2bl w:val="nil"/>
            </w:tcBorders>
            <w:vAlign w:val="top"/>
          </w:tcPr>
          <w:p>
            <w:pPr>
              <w:pStyle w:val="35"/>
              <w:rPr>
                <w:rFonts w:hint="default" w:ascii="Times New Roman" w:hAnsi="Times New Roman" w:cs="Times New Roman"/>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5" w:hRule="atLeast"/>
        </w:trPr>
        <w:tc>
          <w:tcPr>
            <w:tcW w:w="629" w:type="pct"/>
            <w:vMerge w:val="continue"/>
            <w:tcBorders>
              <w:tl2br w:val="nil"/>
              <w:tr2bl w:val="nil"/>
            </w:tcBorders>
            <w:vAlign w:val="top"/>
          </w:tcPr>
          <w:p>
            <w:pPr>
              <w:pStyle w:val="35"/>
              <w:rPr>
                <w:rFonts w:hint="default" w:ascii="Times New Roman" w:hAnsi="Times New Roman" w:cs="Times New Roman"/>
                <w:sz w:val="21"/>
                <w:szCs w:val="21"/>
              </w:rPr>
            </w:pPr>
          </w:p>
        </w:tc>
        <w:tc>
          <w:tcPr>
            <w:tcW w:w="1969" w:type="pct"/>
            <w:gridSpan w:val="2"/>
            <w:tcBorders>
              <w:tl2br w:val="nil"/>
              <w:tr2bl w:val="nil"/>
            </w:tcBorders>
            <w:vAlign w:val="top"/>
          </w:tcPr>
          <w:p>
            <w:pPr>
              <w:spacing w:before="51"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屠宰车间排水</w:t>
            </w:r>
            <w:r>
              <w:rPr>
                <w:rFonts w:hint="eastAsia" w:ascii="Times New Roman" w:hAnsi="Times New Roman" w:eastAsia="宋体" w:cs="Times New Roman"/>
                <w:spacing w:val="8"/>
                <w:sz w:val="21"/>
                <w:szCs w:val="21"/>
                <w:lang w:eastAsia="zh-CN"/>
              </w:rPr>
              <w:t>（</w:t>
            </w:r>
            <w:r>
              <w:rPr>
                <w:rFonts w:hint="eastAsia" w:ascii="Times New Roman" w:hAnsi="Times New Roman" w:eastAsia="宋体" w:cs="Times New Roman"/>
                <w:spacing w:val="8"/>
                <w:sz w:val="21"/>
                <w:szCs w:val="21"/>
                <w:lang w:val="en-US" w:eastAsia="zh-CN"/>
              </w:rPr>
              <w:t>COD、氨氮、动植物油等</w:t>
            </w:r>
            <w:r>
              <w:rPr>
                <w:rFonts w:hint="eastAsia" w:ascii="Times New Roman" w:hAnsi="Times New Roman" w:eastAsia="宋体" w:cs="Times New Roman"/>
                <w:spacing w:val="8"/>
                <w:sz w:val="21"/>
                <w:szCs w:val="21"/>
                <w:lang w:eastAsia="zh-CN"/>
              </w:rPr>
              <w:t>）</w:t>
            </w:r>
          </w:p>
        </w:tc>
        <w:tc>
          <w:tcPr>
            <w:tcW w:w="1684" w:type="pct"/>
            <w:vMerge w:val="continue"/>
            <w:tcBorders>
              <w:tl2br w:val="nil"/>
              <w:tr2bl w:val="nil"/>
            </w:tcBorders>
            <w:vAlign w:val="top"/>
          </w:tcPr>
          <w:p>
            <w:pPr>
              <w:pStyle w:val="35"/>
              <w:rPr>
                <w:rFonts w:hint="default" w:ascii="Times New Roman" w:hAnsi="Times New Roman" w:cs="Times New Roman"/>
                <w:sz w:val="21"/>
                <w:szCs w:val="21"/>
              </w:rPr>
            </w:pPr>
          </w:p>
        </w:tc>
        <w:tc>
          <w:tcPr>
            <w:tcW w:w="716" w:type="pct"/>
            <w:vMerge w:val="continue"/>
            <w:tcBorders>
              <w:tl2br w:val="nil"/>
              <w:tr2bl w:val="nil"/>
            </w:tcBorders>
            <w:vAlign w:val="top"/>
          </w:tcPr>
          <w:p>
            <w:pPr>
              <w:pStyle w:val="35"/>
              <w:rPr>
                <w:rFonts w:hint="default" w:ascii="Times New Roman" w:hAnsi="Times New Roman" w:cs="Times New Roman"/>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629" w:type="pct"/>
            <w:vMerge w:val="continue"/>
            <w:tcBorders>
              <w:tl2br w:val="nil"/>
              <w:tr2bl w:val="nil"/>
            </w:tcBorders>
            <w:vAlign w:val="top"/>
          </w:tcPr>
          <w:p>
            <w:pPr>
              <w:pStyle w:val="35"/>
              <w:rPr>
                <w:rFonts w:hint="default" w:ascii="Times New Roman" w:hAnsi="Times New Roman" w:cs="Times New Roman"/>
                <w:sz w:val="21"/>
                <w:szCs w:val="21"/>
              </w:rPr>
            </w:pPr>
          </w:p>
        </w:tc>
        <w:tc>
          <w:tcPr>
            <w:tcW w:w="1969" w:type="pct"/>
            <w:gridSpan w:val="2"/>
            <w:tcBorders>
              <w:tl2br w:val="nil"/>
              <w:tr2bl w:val="nil"/>
            </w:tcBorders>
            <w:vAlign w:val="top"/>
          </w:tcPr>
          <w:p>
            <w:pPr>
              <w:spacing w:before="51"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锅炉排污水+软化处理废水</w:t>
            </w:r>
            <w:r>
              <w:rPr>
                <w:rFonts w:hint="eastAsia" w:ascii="Times New Roman" w:hAnsi="Times New Roman" w:eastAsia="宋体" w:cs="Times New Roman"/>
                <w:spacing w:val="8"/>
                <w:sz w:val="21"/>
                <w:szCs w:val="21"/>
                <w:lang w:eastAsia="zh-CN"/>
              </w:rPr>
              <w:t>（</w:t>
            </w:r>
            <w:r>
              <w:rPr>
                <w:rFonts w:hint="eastAsia" w:ascii="Times New Roman" w:hAnsi="Times New Roman" w:eastAsia="宋体" w:cs="Times New Roman"/>
                <w:spacing w:val="8"/>
                <w:sz w:val="21"/>
                <w:szCs w:val="21"/>
                <w:lang w:val="en-US" w:eastAsia="zh-CN"/>
              </w:rPr>
              <w:t>COD等</w:t>
            </w:r>
            <w:r>
              <w:rPr>
                <w:rFonts w:hint="eastAsia" w:ascii="Times New Roman" w:hAnsi="Times New Roman" w:eastAsia="宋体" w:cs="Times New Roman"/>
                <w:spacing w:val="8"/>
                <w:sz w:val="21"/>
                <w:szCs w:val="21"/>
                <w:lang w:eastAsia="zh-CN"/>
              </w:rPr>
              <w:t>）</w:t>
            </w:r>
          </w:p>
        </w:tc>
        <w:tc>
          <w:tcPr>
            <w:tcW w:w="1684" w:type="pct"/>
            <w:vMerge w:val="continue"/>
            <w:tcBorders>
              <w:tl2br w:val="nil"/>
              <w:tr2bl w:val="nil"/>
            </w:tcBorders>
            <w:vAlign w:val="top"/>
          </w:tcPr>
          <w:p>
            <w:pPr>
              <w:pStyle w:val="35"/>
              <w:rPr>
                <w:rFonts w:hint="default" w:ascii="Times New Roman" w:hAnsi="Times New Roman" w:cs="Times New Roman"/>
                <w:sz w:val="21"/>
                <w:szCs w:val="21"/>
              </w:rPr>
            </w:pPr>
          </w:p>
        </w:tc>
        <w:tc>
          <w:tcPr>
            <w:tcW w:w="716" w:type="pct"/>
            <w:vMerge w:val="continue"/>
            <w:tcBorders>
              <w:tl2br w:val="nil"/>
              <w:tr2bl w:val="nil"/>
            </w:tcBorders>
            <w:vAlign w:val="top"/>
          </w:tcPr>
          <w:p>
            <w:pPr>
              <w:pStyle w:val="35"/>
              <w:rPr>
                <w:rFonts w:hint="default" w:ascii="Times New Roman" w:hAnsi="Times New Roman" w:cs="Times New Roman"/>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629" w:type="pct"/>
            <w:vMerge w:val="continue"/>
            <w:tcBorders>
              <w:tl2br w:val="nil"/>
              <w:tr2bl w:val="nil"/>
            </w:tcBorders>
            <w:vAlign w:val="top"/>
          </w:tcPr>
          <w:p>
            <w:pPr>
              <w:pStyle w:val="35"/>
              <w:rPr>
                <w:rFonts w:hint="default" w:ascii="Times New Roman" w:hAnsi="Times New Roman" w:cs="Times New Roman"/>
                <w:sz w:val="21"/>
                <w:szCs w:val="21"/>
              </w:rPr>
            </w:pPr>
          </w:p>
        </w:tc>
        <w:tc>
          <w:tcPr>
            <w:tcW w:w="1969" w:type="pct"/>
            <w:gridSpan w:val="2"/>
            <w:tcBorders>
              <w:tl2br w:val="nil"/>
              <w:tr2bl w:val="nil"/>
            </w:tcBorders>
            <w:vAlign w:val="top"/>
          </w:tcPr>
          <w:p>
            <w:pPr>
              <w:spacing w:before="52"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车辆冲洗排水</w:t>
            </w:r>
            <w:r>
              <w:rPr>
                <w:rFonts w:hint="eastAsia" w:ascii="Times New Roman" w:hAnsi="Times New Roman" w:eastAsia="宋体" w:cs="Times New Roman"/>
                <w:spacing w:val="8"/>
                <w:sz w:val="21"/>
                <w:szCs w:val="21"/>
                <w:lang w:eastAsia="zh-CN"/>
              </w:rPr>
              <w:t>（</w:t>
            </w:r>
            <w:r>
              <w:rPr>
                <w:rFonts w:hint="eastAsia" w:ascii="Times New Roman" w:hAnsi="Times New Roman" w:eastAsia="宋体" w:cs="Times New Roman"/>
                <w:spacing w:val="8"/>
                <w:sz w:val="21"/>
                <w:szCs w:val="21"/>
                <w:lang w:val="en-US" w:eastAsia="zh-CN"/>
              </w:rPr>
              <w:t>COD、氨氮等</w:t>
            </w:r>
            <w:r>
              <w:rPr>
                <w:rFonts w:hint="eastAsia" w:ascii="Times New Roman" w:hAnsi="Times New Roman" w:eastAsia="宋体" w:cs="Times New Roman"/>
                <w:spacing w:val="8"/>
                <w:sz w:val="21"/>
                <w:szCs w:val="21"/>
                <w:lang w:eastAsia="zh-CN"/>
              </w:rPr>
              <w:t>）</w:t>
            </w:r>
          </w:p>
        </w:tc>
        <w:tc>
          <w:tcPr>
            <w:tcW w:w="1684" w:type="pct"/>
            <w:vMerge w:val="continue"/>
            <w:tcBorders>
              <w:tl2br w:val="nil"/>
              <w:tr2bl w:val="nil"/>
            </w:tcBorders>
            <w:vAlign w:val="top"/>
          </w:tcPr>
          <w:p>
            <w:pPr>
              <w:pStyle w:val="35"/>
              <w:rPr>
                <w:rFonts w:hint="default" w:ascii="Times New Roman" w:hAnsi="Times New Roman" w:cs="Times New Roman"/>
                <w:sz w:val="21"/>
                <w:szCs w:val="21"/>
              </w:rPr>
            </w:pPr>
          </w:p>
        </w:tc>
        <w:tc>
          <w:tcPr>
            <w:tcW w:w="716" w:type="pct"/>
            <w:vMerge w:val="continue"/>
            <w:tcBorders>
              <w:tl2br w:val="nil"/>
              <w:tr2bl w:val="nil"/>
            </w:tcBorders>
            <w:vAlign w:val="top"/>
          </w:tcPr>
          <w:p>
            <w:pPr>
              <w:pStyle w:val="35"/>
              <w:rPr>
                <w:rFonts w:hint="default" w:ascii="Times New Roman" w:hAnsi="Times New Roman" w:cs="Times New Roman"/>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629"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auto"/>
                <w:spacing w:val="0"/>
                <w:sz w:val="21"/>
                <w:szCs w:val="21"/>
                <w:lang w:val="en-US" w:eastAsia="zh-CN"/>
              </w:rPr>
              <w:t>废气</w:t>
            </w:r>
          </w:p>
        </w:tc>
        <w:tc>
          <w:tcPr>
            <w:tcW w:w="104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color w:val="auto"/>
                <w:spacing w:val="0"/>
                <w:sz w:val="21"/>
                <w:szCs w:val="21"/>
                <w:lang w:val="en-US" w:eastAsia="zh-CN"/>
              </w:rPr>
              <w:t>燃油锅炉</w:t>
            </w:r>
          </w:p>
        </w:tc>
        <w:tc>
          <w:tcPr>
            <w:tcW w:w="927" w:type="pct"/>
            <w:tcBorders>
              <w:tl2br w:val="nil"/>
              <w:tr2bl w:val="nil"/>
            </w:tcBorders>
            <w:vAlign w:val="top"/>
          </w:tcPr>
          <w:p>
            <w:pPr>
              <w:spacing w:before="51" w:line="227" w:lineRule="auto"/>
              <w:ind w:left="128"/>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颗粒物、二氧化</w:t>
            </w:r>
          </w:p>
          <w:p>
            <w:pPr>
              <w:spacing w:before="66" w:line="227" w:lineRule="auto"/>
              <w:ind w:left="234"/>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硫、氮氧化物</w:t>
            </w:r>
          </w:p>
        </w:tc>
        <w:tc>
          <w:tcPr>
            <w:tcW w:w="1684" w:type="pct"/>
            <w:tcBorders>
              <w:tl2br w:val="nil"/>
              <w:tr2bl w:val="nil"/>
            </w:tcBorders>
            <w:vAlign w:val="top"/>
          </w:tcPr>
          <w:p>
            <w:pPr>
              <w:spacing w:before="207" w:line="227" w:lineRule="auto"/>
              <w:ind w:left="747"/>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低氮燃烧器</w:t>
            </w:r>
          </w:p>
        </w:tc>
        <w:tc>
          <w:tcPr>
            <w:tcW w:w="7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12m高烟囱</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rPr>
            </w:pPr>
            <w:r>
              <w:rPr>
                <w:rFonts w:hint="default" w:ascii="Times New Roman" w:hAnsi="Times New Roman" w:eastAsia="宋体" w:cs="Times New Roman"/>
                <w:color w:val="auto"/>
                <w:spacing w:val="0"/>
                <w:sz w:val="21"/>
                <w:szCs w:val="21"/>
                <w:lang w:val="en-US" w:eastAsia="zh-CN"/>
              </w:rPr>
              <w:t>DA001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629" w:type="pct"/>
            <w:vMerge w:val="continue"/>
            <w:tcBorders>
              <w:tl2br w:val="nil"/>
              <w:tr2bl w:val="nil"/>
            </w:tcBorders>
            <w:vAlign w:val="top"/>
          </w:tcPr>
          <w:p>
            <w:pPr>
              <w:pStyle w:val="35"/>
              <w:rPr>
                <w:rFonts w:hint="default" w:ascii="Times New Roman" w:hAnsi="Times New Roman" w:cs="Times New Roman"/>
                <w:sz w:val="21"/>
                <w:szCs w:val="21"/>
              </w:rPr>
            </w:pPr>
          </w:p>
        </w:tc>
        <w:tc>
          <w:tcPr>
            <w:tcW w:w="1042" w:type="pct"/>
            <w:tcBorders>
              <w:tl2br w:val="nil"/>
              <w:tr2bl w:val="nil"/>
            </w:tcBorders>
            <w:vAlign w:val="top"/>
          </w:tcPr>
          <w:p>
            <w:pPr>
              <w:spacing w:before="211" w:line="228" w:lineRule="auto"/>
              <w:ind w:left="238"/>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现有污水处理站</w:t>
            </w:r>
          </w:p>
        </w:tc>
        <w:tc>
          <w:tcPr>
            <w:tcW w:w="9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NH</w:t>
            </w:r>
            <w:r>
              <w:rPr>
                <w:rFonts w:hint="default" w:ascii="Times New Roman" w:hAnsi="Times New Roman" w:eastAsia="宋体" w:cs="Times New Roman"/>
                <w:sz w:val="21"/>
                <w:szCs w:val="21"/>
                <w:vertAlign w:val="subscript"/>
                <w:lang w:val="en-US" w:eastAsia="zh-CN"/>
              </w:rPr>
              <w:t>3</w:t>
            </w:r>
            <w:r>
              <w:rPr>
                <w:rFonts w:hint="default" w:ascii="Times New Roman" w:hAnsi="Times New Roman" w:eastAsia="宋体" w:cs="Times New Roman"/>
                <w:sz w:val="21"/>
                <w:szCs w:val="21"/>
                <w:lang w:val="en-US" w:eastAsia="zh-CN"/>
              </w:rPr>
              <w:t>、H</w:t>
            </w:r>
            <w:r>
              <w:rPr>
                <w:rFonts w:hint="default" w:ascii="Times New Roman" w:hAnsi="Times New Roman" w:eastAsia="宋体" w:cs="Times New Roman"/>
                <w:sz w:val="21"/>
                <w:szCs w:val="21"/>
                <w:vertAlign w:val="subscript"/>
                <w:lang w:val="en-US" w:eastAsia="zh-CN"/>
              </w:rPr>
              <w:t>2</w:t>
            </w:r>
            <w:r>
              <w:rPr>
                <w:rFonts w:hint="default" w:ascii="Times New Roman" w:hAnsi="Times New Roman" w:eastAsia="宋体" w:cs="Times New Roman"/>
                <w:sz w:val="21"/>
                <w:szCs w:val="21"/>
                <w:lang w:val="en-US" w:eastAsia="zh-CN"/>
              </w:rPr>
              <w:t>S、臭气浓度</w:t>
            </w:r>
          </w:p>
        </w:tc>
        <w:tc>
          <w:tcPr>
            <w:tcW w:w="16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color w:val="auto"/>
                <w:spacing w:val="0"/>
                <w:sz w:val="21"/>
                <w:szCs w:val="21"/>
                <w:lang w:val="en-US" w:eastAsia="zh-CN"/>
              </w:rPr>
              <w:t>喷洒除臭剂</w:t>
            </w:r>
          </w:p>
        </w:tc>
        <w:tc>
          <w:tcPr>
            <w:tcW w:w="7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color w:val="auto"/>
                <w:spacing w:val="0"/>
                <w:sz w:val="21"/>
                <w:szCs w:val="21"/>
                <w:lang w:val="en-US" w:eastAsia="zh-CN"/>
              </w:rPr>
              <w:t>无组织排放</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629" w:type="pct"/>
            <w:vMerge w:val="continue"/>
            <w:tcBorders>
              <w:tl2br w:val="nil"/>
              <w:tr2bl w:val="nil"/>
            </w:tcBorders>
            <w:vAlign w:val="top"/>
          </w:tcPr>
          <w:p>
            <w:pPr>
              <w:pStyle w:val="35"/>
              <w:rPr>
                <w:rFonts w:hint="default" w:ascii="Times New Roman" w:hAnsi="Times New Roman" w:cs="Times New Roman"/>
                <w:sz w:val="21"/>
                <w:szCs w:val="21"/>
              </w:rPr>
            </w:pPr>
          </w:p>
        </w:tc>
        <w:tc>
          <w:tcPr>
            <w:tcW w:w="1042" w:type="pct"/>
            <w:tcBorders>
              <w:tl2br w:val="nil"/>
              <w:tr2bl w:val="nil"/>
            </w:tcBorders>
            <w:vAlign w:val="top"/>
          </w:tcPr>
          <w:p>
            <w:pPr>
              <w:spacing w:before="211" w:line="228" w:lineRule="auto"/>
              <w:ind w:left="658"/>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待宰圈</w:t>
            </w:r>
          </w:p>
        </w:tc>
        <w:tc>
          <w:tcPr>
            <w:tcW w:w="9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NH</w:t>
            </w:r>
            <w:r>
              <w:rPr>
                <w:rFonts w:hint="default" w:ascii="Times New Roman" w:hAnsi="Times New Roman" w:eastAsia="宋体" w:cs="Times New Roman"/>
                <w:sz w:val="21"/>
                <w:szCs w:val="21"/>
                <w:vertAlign w:val="subscript"/>
                <w:lang w:val="en-US" w:eastAsia="zh-CN"/>
              </w:rPr>
              <w:t>3</w:t>
            </w:r>
            <w:r>
              <w:rPr>
                <w:rFonts w:hint="default" w:ascii="Times New Roman" w:hAnsi="Times New Roman" w:eastAsia="宋体" w:cs="Times New Roman"/>
                <w:sz w:val="21"/>
                <w:szCs w:val="21"/>
                <w:lang w:val="en-US" w:eastAsia="zh-CN"/>
              </w:rPr>
              <w:t>、H</w:t>
            </w:r>
            <w:r>
              <w:rPr>
                <w:rFonts w:hint="default" w:ascii="Times New Roman" w:hAnsi="Times New Roman" w:eastAsia="宋体" w:cs="Times New Roman"/>
                <w:sz w:val="21"/>
                <w:szCs w:val="21"/>
                <w:vertAlign w:val="subscript"/>
                <w:lang w:val="en-US" w:eastAsia="zh-CN"/>
              </w:rPr>
              <w:t>2</w:t>
            </w:r>
            <w:r>
              <w:rPr>
                <w:rFonts w:hint="default" w:ascii="Times New Roman" w:hAnsi="Times New Roman" w:eastAsia="宋体" w:cs="Times New Roman"/>
                <w:sz w:val="21"/>
                <w:szCs w:val="21"/>
                <w:lang w:val="en-US" w:eastAsia="zh-CN"/>
              </w:rPr>
              <w:t>S、臭气浓度</w:t>
            </w:r>
          </w:p>
        </w:tc>
        <w:tc>
          <w:tcPr>
            <w:tcW w:w="16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color w:val="auto"/>
                <w:spacing w:val="0"/>
                <w:sz w:val="21"/>
                <w:szCs w:val="21"/>
                <w:lang w:val="en-US" w:eastAsia="zh-CN"/>
              </w:rPr>
              <w:t>及时清扫猪粪、喷洒除臭剂</w:t>
            </w:r>
          </w:p>
        </w:tc>
        <w:tc>
          <w:tcPr>
            <w:tcW w:w="7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color w:val="auto"/>
                <w:spacing w:val="0"/>
                <w:sz w:val="21"/>
                <w:szCs w:val="21"/>
                <w:lang w:val="en-US" w:eastAsia="zh-CN"/>
              </w:rPr>
              <w:t>无组织排放</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629"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color w:val="auto"/>
                <w:spacing w:val="0"/>
                <w:sz w:val="21"/>
                <w:szCs w:val="21"/>
                <w:lang w:val="en-US" w:eastAsia="zh-CN"/>
              </w:rPr>
              <w:t>固废</w:t>
            </w:r>
          </w:p>
        </w:tc>
        <w:tc>
          <w:tcPr>
            <w:tcW w:w="1969"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color w:val="auto"/>
                <w:spacing w:val="0"/>
                <w:sz w:val="21"/>
                <w:szCs w:val="21"/>
                <w:lang w:val="en-US" w:eastAsia="zh-CN"/>
              </w:rPr>
              <w:t>猪粪便</w:t>
            </w:r>
          </w:p>
        </w:tc>
        <w:tc>
          <w:tcPr>
            <w:tcW w:w="16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auto"/>
                <w:sz w:val="21"/>
                <w:szCs w:val="21"/>
                <w:lang w:val="en-US" w:eastAsia="zh-CN"/>
              </w:rPr>
              <w:t>猪粪便在待宰圈防渗池内临时贮存，每天清运一次，外售有机肥厂进行堆肥处理</w:t>
            </w:r>
            <w:r>
              <w:rPr>
                <w:rFonts w:hint="eastAsia" w:ascii="Times New Roman" w:hAnsi="Times New Roman" w:eastAsia="宋体" w:cs="Times New Roman"/>
                <w:color w:val="auto"/>
                <w:sz w:val="21"/>
                <w:szCs w:val="21"/>
                <w:lang w:val="en-US" w:eastAsia="zh-CN"/>
              </w:rPr>
              <w:t>。</w:t>
            </w:r>
          </w:p>
        </w:tc>
        <w:tc>
          <w:tcPr>
            <w:tcW w:w="7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sz w:val="21"/>
                <w:szCs w:val="21"/>
              </w:rPr>
            </w:pPr>
            <w:r>
              <w:rPr>
                <w:rFonts w:hint="default" w:ascii="Times New Roman" w:hAnsi="Times New Roman" w:eastAsia="宋体" w:cs="Times New Roman"/>
                <w:color w:val="auto"/>
                <w:spacing w:val="0"/>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629" w:type="pct"/>
            <w:vMerge w:val="continue"/>
            <w:tcBorders>
              <w:tl2br w:val="nil"/>
              <w:tr2bl w:val="nil"/>
            </w:tcBorders>
            <w:vAlign w:val="top"/>
          </w:tcPr>
          <w:p>
            <w:pPr>
              <w:pStyle w:val="35"/>
              <w:rPr>
                <w:rFonts w:hint="default" w:ascii="Times New Roman" w:hAnsi="Times New Roman" w:cs="Times New Roman"/>
                <w:sz w:val="21"/>
                <w:szCs w:val="21"/>
              </w:rPr>
            </w:pPr>
          </w:p>
        </w:tc>
        <w:tc>
          <w:tcPr>
            <w:tcW w:w="1969"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color w:val="auto"/>
                <w:spacing w:val="0"/>
                <w:sz w:val="21"/>
                <w:szCs w:val="21"/>
                <w:lang w:val="en-US" w:eastAsia="zh-CN"/>
              </w:rPr>
              <w:t>检疫废物</w:t>
            </w:r>
          </w:p>
        </w:tc>
        <w:tc>
          <w:tcPr>
            <w:tcW w:w="16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rPr>
            </w:pPr>
            <w:r>
              <w:rPr>
                <w:rFonts w:hint="eastAsia" w:hAnsi="Times New Roman"/>
                <w:color w:val="auto"/>
                <w:sz w:val="21"/>
                <w:szCs w:val="21"/>
              </w:rPr>
              <w:t>检疫废物属于危险废</w:t>
            </w:r>
            <w:r>
              <w:rPr>
                <w:rFonts w:hint="default" w:ascii="Times New Roman" w:hAnsi="Times New Roman" w:cs="Times New Roman"/>
                <w:color w:val="auto"/>
                <w:sz w:val="21"/>
                <w:szCs w:val="21"/>
              </w:rPr>
              <w:t>物（</w:t>
            </w:r>
            <w:r>
              <w:rPr>
                <w:rFonts w:hint="default" w:ascii="Times New Roman" w:hAnsi="Times New Roman" w:cs="Times New Roman"/>
                <w:color w:val="auto"/>
                <w:sz w:val="21"/>
                <w:szCs w:val="21"/>
                <w:highlight w:val="none"/>
              </w:rPr>
              <w:t>类别HW01，代码841-005-01），单独收集，用有明显标识的塑料袋盛装，暂存于</w:t>
            </w:r>
            <w:r>
              <w:rPr>
                <w:rFonts w:hint="default" w:ascii="Times New Roman" w:hAnsi="Times New Roman" w:cs="Times New Roman"/>
                <w:color w:val="auto"/>
                <w:sz w:val="21"/>
                <w:szCs w:val="21"/>
                <w:highlight w:val="none"/>
                <w:lang w:eastAsia="zh-CN"/>
              </w:rPr>
              <w:t>危险废物贮存点</w:t>
            </w:r>
            <w:r>
              <w:rPr>
                <w:rFonts w:hint="default" w:ascii="Times New Roman" w:hAnsi="Times New Roman" w:cs="Times New Roman"/>
                <w:color w:val="auto"/>
                <w:sz w:val="21"/>
                <w:szCs w:val="21"/>
                <w:highlight w:val="none"/>
              </w:rPr>
              <w:t>，交由</w:t>
            </w:r>
            <w:r>
              <w:rPr>
                <w:rFonts w:hint="default" w:ascii="Times New Roman" w:hAnsi="Times New Roman" w:eastAsia="宋体" w:cs="Times New Roman"/>
                <w:color w:val="auto"/>
                <w:sz w:val="21"/>
                <w:szCs w:val="21"/>
                <w:highlight w:val="none"/>
                <w:lang w:val="en-US" w:eastAsia="zh-CN"/>
              </w:rPr>
              <w:t>哈尔滨国环医疗固体废物无害化集中处置中心有限公司</w:t>
            </w:r>
            <w:r>
              <w:rPr>
                <w:rFonts w:hint="default" w:ascii="Times New Roman" w:hAnsi="Times New Roman" w:cs="Times New Roman"/>
                <w:color w:val="auto"/>
                <w:sz w:val="21"/>
                <w:szCs w:val="21"/>
              </w:rPr>
              <w:t>进行处置。</w:t>
            </w:r>
          </w:p>
        </w:tc>
        <w:tc>
          <w:tcPr>
            <w:tcW w:w="7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sz w:val="21"/>
                <w:szCs w:val="21"/>
              </w:rPr>
            </w:pPr>
            <w:r>
              <w:rPr>
                <w:rFonts w:hint="default" w:ascii="Times New Roman" w:hAnsi="Times New Roman" w:eastAsia="宋体" w:cs="Times New Roman"/>
                <w:color w:val="auto"/>
                <w:spacing w:val="0"/>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629" w:type="pct"/>
            <w:vMerge w:val="continue"/>
            <w:tcBorders>
              <w:tl2br w:val="nil"/>
              <w:tr2bl w:val="nil"/>
            </w:tcBorders>
            <w:vAlign w:val="top"/>
          </w:tcPr>
          <w:p>
            <w:pPr>
              <w:pStyle w:val="35"/>
              <w:rPr>
                <w:rFonts w:hint="default" w:ascii="Times New Roman" w:hAnsi="Times New Roman" w:cs="Times New Roman"/>
                <w:sz w:val="21"/>
                <w:szCs w:val="21"/>
              </w:rPr>
            </w:pPr>
          </w:p>
        </w:tc>
        <w:tc>
          <w:tcPr>
            <w:tcW w:w="1969"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rPr>
            </w:pPr>
            <w:r>
              <w:rPr>
                <w:rFonts w:hint="eastAsia" w:ascii="Times New Roman" w:hAnsi="Times New Roman" w:eastAsia="宋体" w:cs="Times New Roman"/>
                <w:color w:val="auto"/>
                <w:spacing w:val="0"/>
                <w:sz w:val="21"/>
                <w:szCs w:val="21"/>
                <w:lang w:val="en-US" w:eastAsia="zh-CN"/>
              </w:rPr>
              <w:t>猪毛</w:t>
            </w:r>
          </w:p>
        </w:tc>
        <w:tc>
          <w:tcPr>
            <w:tcW w:w="16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auto"/>
                <w:sz w:val="21"/>
                <w:szCs w:val="21"/>
                <w:lang w:val="en-US" w:eastAsia="zh-CN"/>
              </w:rPr>
              <w:t>屠宰加工车间产生的猪毛在专用容器内储存，外售至毛刷厂</w:t>
            </w:r>
          </w:p>
        </w:tc>
        <w:tc>
          <w:tcPr>
            <w:tcW w:w="7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sz w:val="21"/>
                <w:szCs w:val="21"/>
              </w:rPr>
            </w:pPr>
            <w:r>
              <w:rPr>
                <w:rFonts w:hint="default" w:ascii="Times New Roman" w:hAnsi="Times New Roman" w:eastAsia="宋体" w:cs="Times New Roman"/>
                <w:color w:val="auto"/>
                <w:spacing w:val="0"/>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629" w:type="pct"/>
            <w:vMerge w:val="continue"/>
            <w:tcBorders>
              <w:tl2br w:val="nil"/>
              <w:tr2bl w:val="nil"/>
            </w:tcBorders>
            <w:vAlign w:val="top"/>
          </w:tcPr>
          <w:p>
            <w:pPr>
              <w:pStyle w:val="35"/>
              <w:rPr>
                <w:rFonts w:hint="default" w:ascii="Times New Roman" w:hAnsi="Times New Roman" w:cs="Times New Roman"/>
                <w:sz w:val="21"/>
                <w:szCs w:val="21"/>
              </w:rPr>
            </w:pPr>
          </w:p>
        </w:tc>
        <w:tc>
          <w:tcPr>
            <w:tcW w:w="1969"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auto"/>
                <w:spacing w:val="0"/>
                <w:sz w:val="21"/>
                <w:szCs w:val="21"/>
                <w:lang w:val="en-US" w:eastAsia="zh-CN"/>
              </w:rPr>
              <w:t>肠胃内容物</w:t>
            </w:r>
          </w:p>
        </w:tc>
        <w:tc>
          <w:tcPr>
            <w:tcW w:w="16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auto"/>
                <w:sz w:val="21"/>
                <w:szCs w:val="21"/>
                <w:lang w:val="en-US" w:eastAsia="zh-CN"/>
              </w:rPr>
              <w:t>④肠胃内容物</w:t>
            </w:r>
            <w:r>
              <w:rPr>
                <w:rFonts w:hint="default" w:ascii="Times New Roman" w:hAnsi="Times New Roman" w:eastAsia="宋体" w:cs="Times New Roman"/>
                <w:color w:val="auto"/>
                <w:spacing w:val="0"/>
                <w:sz w:val="21"/>
                <w:szCs w:val="21"/>
                <w:lang w:eastAsia="zh-CN"/>
              </w:rPr>
              <w:t>通过</w:t>
            </w:r>
            <w:r>
              <w:rPr>
                <w:rFonts w:hint="default" w:ascii="Times New Roman" w:hAnsi="Times New Roman" w:eastAsia="宋体" w:cs="Times New Roman"/>
                <w:color w:val="auto"/>
                <w:spacing w:val="0"/>
                <w:sz w:val="21"/>
                <w:szCs w:val="21"/>
              </w:rPr>
              <w:t>风送设备排至肠内物收集池</w:t>
            </w:r>
            <w:r>
              <w:rPr>
                <w:rFonts w:hint="default" w:ascii="Times New Roman" w:hAnsi="Times New Roman" w:eastAsia="宋体" w:cs="Times New Roman"/>
                <w:color w:val="auto"/>
                <w:spacing w:val="0"/>
                <w:sz w:val="21"/>
                <w:szCs w:val="21"/>
                <w:lang w:eastAsia="zh-CN"/>
              </w:rPr>
              <w:t>封闭贮存，</w:t>
            </w:r>
            <w:r>
              <w:rPr>
                <w:rFonts w:hint="default" w:ascii="Times New Roman" w:hAnsi="Times New Roman" w:eastAsia="宋体" w:cs="Times New Roman"/>
                <w:color w:val="auto"/>
                <w:sz w:val="21"/>
                <w:szCs w:val="21"/>
                <w:lang w:val="en-US" w:eastAsia="zh-CN"/>
              </w:rPr>
              <w:t>外运堆肥处理；</w:t>
            </w:r>
          </w:p>
        </w:tc>
        <w:tc>
          <w:tcPr>
            <w:tcW w:w="7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sz w:val="21"/>
                <w:szCs w:val="21"/>
              </w:rPr>
            </w:pPr>
            <w:r>
              <w:rPr>
                <w:rFonts w:hint="default" w:ascii="Times New Roman" w:hAnsi="Times New Roman" w:eastAsia="宋体" w:cs="Times New Roman"/>
                <w:color w:val="auto"/>
                <w:spacing w:val="0"/>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629" w:type="pct"/>
            <w:vMerge w:val="continue"/>
            <w:tcBorders>
              <w:tl2br w:val="nil"/>
              <w:tr2bl w:val="nil"/>
            </w:tcBorders>
            <w:vAlign w:val="top"/>
          </w:tcPr>
          <w:p>
            <w:pPr>
              <w:pStyle w:val="35"/>
              <w:rPr>
                <w:rFonts w:hint="default" w:ascii="Times New Roman" w:hAnsi="Times New Roman" w:cs="Times New Roman"/>
                <w:sz w:val="21"/>
                <w:szCs w:val="21"/>
              </w:rPr>
            </w:pPr>
          </w:p>
        </w:tc>
        <w:tc>
          <w:tcPr>
            <w:tcW w:w="1969"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rPr>
            </w:pPr>
            <w:r>
              <w:rPr>
                <w:rFonts w:hint="eastAsia" w:ascii="Times New Roman" w:hAnsi="Times New Roman" w:eastAsia="宋体" w:cs="Times New Roman"/>
                <w:color w:val="auto"/>
                <w:sz w:val="21"/>
                <w:szCs w:val="21"/>
                <w:lang w:val="en-US" w:eastAsia="zh-CN"/>
              </w:rPr>
              <w:t>污水处理站污泥和栅渣</w:t>
            </w:r>
          </w:p>
        </w:tc>
        <w:tc>
          <w:tcPr>
            <w:tcW w:w="16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color w:val="auto"/>
                <w:sz w:val="21"/>
                <w:szCs w:val="21"/>
                <w:lang w:val="en-US" w:eastAsia="zh-CN"/>
              </w:rPr>
              <w:t>污水处理站污泥和栅渣</w:t>
            </w:r>
            <w:r>
              <w:rPr>
                <w:rFonts w:hint="default" w:ascii="Times New Roman" w:hAnsi="Times New Roman" w:cs="Times New Roman"/>
                <w:color w:val="auto"/>
                <w:sz w:val="21"/>
                <w:szCs w:val="21"/>
                <w:highlight w:val="none"/>
              </w:rPr>
              <w:t>(HW01)经离心式脱水机脱水、</w:t>
            </w:r>
            <w:r>
              <w:rPr>
                <w:rFonts w:hint="eastAsia" w:ascii="Times New Roman" w:hAnsi="Times New Roman" w:eastAsia="宋体" w:cs="Times New Roman"/>
                <w:color w:val="auto"/>
                <w:sz w:val="21"/>
                <w:szCs w:val="21"/>
                <w:highlight w:val="none"/>
                <w:lang w:val="en-US" w:eastAsia="zh-CN"/>
              </w:rPr>
              <w:t>送至生活垃圾填埋场</w:t>
            </w:r>
            <w:r>
              <w:rPr>
                <w:rFonts w:hint="default" w:ascii="Times New Roman" w:hAnsi="Times New Roman" w:cs="Times New Roman"/>
                <w:color w:val="auto"/>
                <w:sz w:val="21"/>
                <w:szCs w:val="21"/>
                <w:highlight w:val="none"/>
                <w:lang w:eastAsia="zh-CN"/>
              </w:rPr>
              <w:t>。</w:t>
            </w:r>
          </w:p>
        </w:tc>
        <w:tc>
          <w:tcPr>
            <w:tcW w:w="7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sz w:val="21"/>
                <w:szCs w:val="21"/>
              </w:rPr>
            </w:pPr>
            <w:r>
              <w:rPr>
                <w:rFonts w:hint="default" w:ascii="Times New Roman" w:hAnsi="Times New Roman" w:eastAsia="宋体" w:cs="Times New Roman"/>
                <w:color w:val="auto"/>
                <w:spacing w:val="0"/>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629" w:type="pct"/>
            <w:vMerge w:val="continue"/>
            <w:tcBorders>
              <w:tl2br w:val="nil"/>
              <w:tr2bl w:val="nil"/>
            </w:tcBorders>
            <w:vAlign w:val="top"/>
          </w:tcPr>
          <w:p>
            <w:pPr>
              <w:pStyle w:val="35"/>
              <w:rPr>
                <w:rFonts w:hint="default" w:ascii="Times New Roman" w:hAnsi="Times New Roman" w:cs="Times New Roman"/>
                <w:sz w:val="21"/>
                <w:szCs w:val="21"/>
              </w:rPr>
            </w:pPr>
          </w:p>
        </w:tc>
        <w:tc>
          <w:tcPr>
            <w:tcW w:w="1969"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color w:val="auto"/>
                <w:sz w:val="21"/>
                <w:szCs w:val="21"/>
                <w:lang w:val="en-US" w:eastAsia="zh-CN"/>
              </w:rPr>
              <w:t>废油脂和落地油</w:t>
            </w:r>
          </w:p>
        </w:tc>
        <w:tc>
          <w:tcPr>
            <w:tcW w:w="16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auto"/>
                <w:sz w:val="21"/>
                <w:szCs w:val="21"/>
                <w:lang w:val="en-US" w:eastAsia="zh-CN"/>
              </w:rPr>
              <w:t>隔油工段废油脂和落地油委托</w:t>
            </w:r>
            <w:r>
              <w:rPr>
                <w:rFonts w:hint="eastAsia" w:ascii="Times New Roman" w:hAnsi="Times New Roman" w:eastAsia="宋体" w:cs="Times New Roman"/>
                <w:color w:val="auto"/>
                <w:sz w:val="21"/>
                <w:szCs w:val="21"/>
                <w:highlight w:val="none"/>
                <w:lang w:val="en-US" w:eastAsia="zh-CN"/>
              </w:rPr>
              <w:t>巴彦县燊缘无害化处理有限公司</w:t>
            </w:r>
            <w:r>
              <w:rPr>
                <w:rFonts w:hint="default" w:ascii="Times New Roman" w:hAnsi="Times New Roman" w:eastAsia="宋体" w:cs="Times New Roman"/>
                <w:color w:val="auto"/>
                <w:sz w:val="21"/>
                <w:szCs w:val="21"/>
                <w:lang w:val="en-US" w:eastAsia="zh-CN"/>
              </w:rPr>
              <w:t>进行处置</w:t>
            </w:r>
            <w:r>
              <w:rPr>
                <w:rFonts w:hint="eastAsia" w:ascii="Times New Roman" w:hAnsi="Times New Roman" w:eastAsia="宋体" w:cs="Times New Roman"/>
                <w:color w:val="auto"/>
                <w:sz w:val="21"/>
                <w:szCs w:val="21"/>
                <w:lang w:val="en-US" w:eastAsia="zh-CN"/>
              </w:rPr>
              <w:t>。</w:t>
            </w:r>
          </w:p>
        </w:tc>
        <w:tc>
          <w:tcPr>
            <w:tcW w:w="7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sz w:val="21"/>
                <w:szCs w:val="21"/>
              </w:rPr>
            </w:pPr>
            <w:r>
              <w:rPr>
                <w:rFonts w:hint="default" w:ascii="Times New Roman" w:hAnsi="Times New Roman" w:eastAsia="宋体" w:cs="Times New Roman"/>
                <w:color w:val="auto"/>
                <w:spacing w:val="0"/>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21" w:hRule="atLeast"/>
        </w:trPr>
        <w:tc>
          <w:tcPr>
            <w:tcW w:w="629" w:type="pct"/>
            <w:vMerge w:val="continue"/>
            <w:tcBorders>
              <w:tl2br w:val="nil"/>
              <w:tr2bl w:val="nil"/>
            </w:tcBorders>
            <w:vAlign w:val="top"/>
          </w:tcPr>
          <w:p>
            <w:pPr>
              <w:pStyle w:val="35"/>
              <w:rPr>
                <w:rFonts w:hint="default" w:ascii="Times New Roman" w:hAnsi="Times New Roman" w:cs="Times New Roman"/>
                <w:sz w:val="21"/>
                <w:szCs w:val="21"/>
              </w:rPr>
            </w:pPr>
          </w:p>
        </w:tc>
        <w:tc>
          <w:tcPr>
            <w:tcW w:w="1969"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color w:val="auto"/>
                <w:spacing w:val="0"/>
                <w:sz w:val="21"/>
                <w:szCs w:val="21"/>
                <w:lang w:val="en-US" w:eastAsia="zh-CN"/>
              </w:rPr>
              <w:t>生活垃圾</w:t>
            </w:r>
          </w:p>
        </w:tc>
        <w:tc>
          <w:tcPr>
            <w:tcW w:w="16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8"/>
                <w:sz w:val="21"/>
                <w:szCs w:val="21"/>
              </w:rPr>
            </w:pPr>
            <w:r>
              <w:rPr>
                <w:rFonts w:hint="default" w:ascii="Times New Roman" w:hAnsi="Times New Roman" w:eastAsia="宋体" w:cs="Times New Roman"/>
                <w:color w:val="auto"/>
                <w:sz w:val="21"/>
                <w:szCs w:val="21"/>
                <w:lang w:val="en-US" w:eastAsia="zh-CN"/>
              </w:rPr>
              <w:t>生活垃圾交由环卫部门处置</w:t>
            </w:r>
            <w:r>
              <w:rPr>
                <w:rFonts w:hint="eastAsia" w:ascii="Times New Roman" w:hAnsi="Times New Roman" w:eastAsia="宋体" w:cs="Times New Roman"/>
                <w:color w:val="auto"/>
                <w:sz w:val="21"/>
                <w:szCs w:val="21"/>
                <w:lang w:val="en-US" w:eastAsia="zh-CN"/>
              </w:rPr>
              <w:t>。</w:t>
            </w:r>
          </w:p>
        </w:tc>
        <w:tc>
          <w:tcPr>
            <w:tcW w:w="7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spacing w:val="2"/>
                <w:sz w:val="21"/>
                <w:szCs w:val="21"/>
              </w:rPr>
            </w:pPr>
            <w:r>
              <w:rPr>
                <w:rFonts w:hint="default" w:ascii="Times New Roman" w:hAnsi="Times New Roman" w:eastAsia="宋体" w:cs="Times New Roman"/>
                <w:color w:val="auto"/>
                <w:spacing w:val="0"/>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629" w:type="pct"/>
            <w:vMerge w:val="continue"/>
            <w:tcBorders>
              <w:tl2br w:val="nil"/>
              <w:tr2bl w:val="nil"/>
            </w:tcBorders>
            <w:vAlign w:val="top"/>
          </w:tcPr>
          <w:p>
            <w:pPr>
              <w:pStyle w:val="35"/>
              <w:rPr>
                <w:rFonts w:hint="default" w:ascii="Times New Roman" w:hAnsi="Times New Roman" w:cs="Times New Roman"/>
                <w:sz w:val="21"/>
                <w:szCs w:val="21"/>
              </w:rPr>
            </w:pPr>
          </w:p>
        </w:tc>
        <w:tc>
          <w:tcPr>
            <w:tcW w:w="1969"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color w:val="auto"/>
                <w:spacing w:val="0"/>
                <w:sz w:val="21"/>
                <w:szCs w:val="21"/>
                <w:lang w:val="en-US" w:eastAsia="zh-CN"/>
              </w:rPr>
              <w:t>废离子交换树脂</w:t>
            </w:r>
          </w:p>
        </w:tc>
        <w:tc>
          <w:tcPr>
            <w:tcW w:w="16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8"/>
                <w:sz w:val="21"/>
                <w:szCs w:val="21"/>
              </w:rPr>
            </w:pPr>
            <w:r>
              <w:rPr>
                <w:rFonts w:hint="default" w:ascii="Times New Roman" w:hAnsi="Times New Roman" w:eastAsia="宋体" w:cs="Times New Roman"/>
                <w:color w:val="auto"/>
                <w:sz w:val="21"/>
                <w:szCs w:val="21"/>
                <w:lang w:val="en-US" w:eastAsia="zh-CN"/>
              </w:rPr>
              <w:t>锅炉房产生的废离子交换树脂由厂家回收</w:t>
            </w:r>
            <w:r>
              <w:rPr>
                <w:rFonts w:hint="eastAsia" w:ascii="Times New Roman" w:hAnsi="Times New Roman" w:eastAsia="宋体" w:cs="Times New Roman"/>
                <w:color w:val="auto"/>
                <w:sz w:val="21"/>
                <w:szCs w:val="21"/>
                <w:lang w:val="en-US" w:eastAsia="zh-CN"/>
              </w:rPr>
              <w:t>。</w:t>
            </w:r>
          </w:p>
        </w:tc>
        <w:tc>
          <w:tcPr>
            <w:tcW w:w="7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spacing w:val="2"/>
                <w:sz w:val="21"/>
                <w:szCs w:val="21"/>
              </w:rPr>
            </w:pPr>
            <w:r>
              <w:rPr>
                <w:rFonts w:hint="default" w:ascii="Times New Roman" w:hAnsi="Times New Roman" w:eastAsia="宋体" w:cs="Times New Roman"/>
                <w:color w:val="auto"/>
                <w:spacing w:val="0"/>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629" w:type="pct"/>
            <w:vMerge w:val="continue"/>
            <w:tcBorders>
              <w:tl2br w:val="nil"/>
              <w:tr2bl w:val="nil"/>
            </w:tcBorders>
            <w:vAlign w:val="top"/>
          </w:tcPr>
          <w:p>
            <w:pPr>
              <w:pStyle w:val="35"/>
              <w:rPr>
                <w:rFonts w:hint="default" w:ascii="Times New Roman" w:hAnsi="Times New Roman" w:cs="Times New Roman"/>
                <w:sz w:val="21"/>
                <w:szCs w:val="21"/>
              </w:rPr>
            </w:pPr>
          </w:p>
        </w:tc>
        <w:tc>
          <w:tcPr>
            <w:tcW w:w="1969"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非正常工况下病猪</w:t>
            </w:r>
          </w:p>
        </w:tc>
        <w:tc>
          <w:tcPr>
            <w:tcW w:w="16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非正常工况下对发现的病猪进行急宰；送至</w:t>
            </w:r>
            <w:r>
              <w:rPr>
                <w:rFonts w:hint="eastAsia" w:ascii="Times New Roman" w:hAnsi="Times New Roman" w:eastAsia="宋体" w:cs="Times New Roman"/>
                <w:color w:val="auto"/>
                <w:spacing w:val="0"/>
                <w:sz w:val="21"/>
                <w:szCs w:val="21"/>
                <w:lang w:val="en-US" w:eastAsia="zh-CN"/>
              </w:rPr>
              <w:t>巴彦县燊缘无害化处理有限公司</w:t>
            </w:r>
            <w:r>
              <w:rPr>
                <w:rFonts w:hint="default" w:ascii="Times New Roman" w:hAnsi="Times New Roman" w:eastAsia="宋体" w:cs="Times New Roman"/>
                <w:color w:val="auto"/>
                <w:spacing w:val="0"/>
                <w:sz w:val="21"/>
                <w:szCs w:val="21"/>
                <w:lang w:val="en-US" w:eastAsia="zh-CN"/>
              </w:rPr>
              <w:t>处理。</w:t>
            </w:r>
          </w:p>
        </w:tc>
        <w:tc>
          <w:tcPr>
            <w:tcW w:w="7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spacing w:val="2"/>
                <w:sz w:val="21"/>
                <w:szCs w:val="21"/>
              </w:rPr>
            </w:pPr>
            <w:r>
              <w:rPr>
                <w:rFonts w:hint="default" w:ascii="Times New Roman" w:hAnsi="Times New Roman" w:eastAsia="宋体" w:cs="Times New Roman"/>
                <w:color w:val="auto"/>
                <w:spacing w:val="0"/>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629" w:type="pct"/>
            <w:vMerge w:val="continue"/>
            <w:tcBorders>
              <w:tl2br w:val="nil"/>
              <w:tr2bl w:val="nil"/>
            </w:tcBorders>
            <w:vAlign w:val="top"/>
          </w:tcPr>
          <w:p>
            <w:pPr>
              <w:pStyle w:val="35"/>
              <w:rPr>
                <w:rFonts w:hint="default" w:ascii="Times New Roman" w:hAnsi="Times New Roman" w:cs="Times New Roman"/>
                <w:sz w:val="21"/>
                <w:szCs w:val="21"/>
              </w:rPr>
            </w:pPr>
          </w:p>
        </w:tc>
        <w:tc>
          <w:tcPr>
            <w:tcW w:w="1969"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废弃</w:t>
            </w:r>
            <w:r>
              <w:rPr>
                <w:rFonts w:hint="default" w:ascii="Times New Roman" w:hAnsi="Times New Roman" w:eastAsia="宋体" w:cs="Times New Roman"/>
                <w:color w:val="auto"/>
                <w:spacing w:val="0"/>
                <w:sz w:val="21"/>
                <w:szCs w:val="21"/>
                <w:lang w:val="en-US" w:eastAsia="zh-CN"/>
              </w:rPr>
              <w:t>脂肪</w:t>
            </w:r>
          </w:p>
        </w:tc>
        <w:tc>
          <w:tcPr>
            <w:tcW w:w="16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修整过程中产生的脂肪进行外售处理</w:t>
            </w:r>
          </w:p>
        </w:tc>
        <w:tc>
          <w:tcPr>
            <w:tcW w:w="7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629" w:type="pct"/>
            <w:vMerge w:val="continue"/>
            <w:tcBorders>
              <w:tl2br w:val="nil"/>
              <w:tr2bl w:val="nil"/>
            </w:tcBorders>
            <w:vAlign w:val="top"/>
          </w:tcPr>
          <w:p>
            <w:pPr>
              <w:pStyle w:val="35"/>
              <w:rPr>
                <w:rFonts w:hint="default" w:ascii="Times New Roman" w:hAnsi="Times New Roman" w:cs="Times New Roman"/>
                <w:sz w:val="21"/>
                <w:szCs w:val="21"/>
              </w:rPr>
            </w:pPr>
          </w:p>
        </w:tc>
        <w:tc>
          <w:tcPr>
            <w:tcW w:w="1969"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病变内脏、腺体</w:t>
            </w:r>
          </w:p>
        </w:tc>
        <w:tc>
          <w:tcPr>
            <w:tcW w:w="16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病变内脏、腺体送至巴彦县燊缘无害化处理有限公司处理</w:t>
            </w:r>
          </w:p>
        </w:tc>
        <w:tc>
          <w:tcPr>
            <w:tcW w:w="7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outlineLvl w:val="9"/>
        <w:rPr>
          <w:rFonts w:hint="default" w:ascii="Times New Roman" w:hAnsi="Times New Roman" w:eastAsia="宋体" w:cs="Times New Roman"/>
          <w:b/>
          <w:bCs w:val="0"/>
          <w:snapToGrid/>
          <w:color w:val="auto"/>
          <w:kern w:val="2"/>
          <w:sz w:val="24"/>
          <w:szCs w:val="24"/>
          <w:lang w:val="en-US" w:eastAsia="zh-CN" w:bidi="ar-SA"/>
        </w:rPr>
      </w:pPr>
      <w:r>
        <w:rPr>
          <w:rFonts w:hint="default" w:ascii="Times New Roman" w:hAnsi="Times New Roman" w:eastAsia="宋体" w:cs="Times New Roman"/>
          <w:b/>
          <w:bCs w:val="0"/>
          <w:snapToGrid/>
          <w:color w:val="auto"/>
          <w:kern w:val="2"/>
          <w:sz w:val="24"/>
          <w:szCs w:val="24"/>
          <w:lang w:val="en-US" w:eastAsia="zh-CN" w:bidi="ar-SA"/>
        </w:rPr>
        <w:t>3.2.1.2  现有项目水平衡</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z w:val="20"/>
          <w:szCs w:val="20"/>
        </w:rPr>
      </w:pP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7"/>
          <w:sz w:val="20"/>
          <w:szCs w:val="20"/>
        </w:rPr>
        <w:t xml:space="preserve"> </w:t>
      </w:r>
      <w:r>
        <w:rPr>
          <w:rFonts w:hint="default" w:ascii="Times New Roman" w:hAnsi="Times New Roman" w:eastAsia="宋体" w:cs="Times New Roman"/>
          <w:b/>
          <w:bCs/>
          <w:spacing w:val="7"/>
          <w:sz w:val="20"/>
          <w:szCs w:val="20"/>
          <w:lang w:val="en-US" w:eastAsia="zh-CN"/>
        </w:rPr>
        <w:t>3</w:t>
      </w:r>
      <w:r>
        <w:rPr>
          <w:rFonts w:hint="eastAsia" w:ascii="Times New Roman" w:hAnsi="Times New Roman" w:eastAsia="宋体" w:cs="Times New Roman"/>
          <w:b/>
          <w:bCs/>
          <w:spacing w:val="7"/>
          <w:sz w:val="20"/>
          <w:szCs w:val="20"/>
          <w:lang w:val="en-US" w:eastAsia="zh-CN"/>
        </w:rPr>
        <w:t>-</w:t>
      </w:r>
      <w:r>
        <w:rPr>
          <w:rFonts w:hint="default" w:ascii="Times New Roman" w:hAnsi="Times New Roman" w:eastAsia="Times New Roman" w:cs="Times New Roman"/>
          <w:b/>
          <w:bCs/>
          <w:spacing w:val="7"/>
          <w:sz w:val="20"/>
          <w:szCs w:val="20"/>
        </w:rPr>
        <w:t xml:space="preserve">2-2 </w:t>
      </w:r>
      <w:r>
        <w:rPr>
          <w:rFonts w:hint="default" w:ascii="Times New Roman" w:hAnsi="Times New Roman" w:eastAsia="宋体" w:cs="Times New Roman"/>
          <w:b/>
          <w:bCs/>
          <w:spacing w:val="7"/>
          <w:sz w:val="20"/>
          <w:szCs w:val="20"/>
          <w:lang w:val="en-US" w:eastAsia="zh-CN"/>
        </w:rPr>
        <w:t xml:space="preserve"> </w:t>
      </w:r>
      <w:r>
        <w:rPr>
          <w:rFonts w:hint="default" w:ascii="Times New Roman" w:hAnsi="Times New Roman" w:eastAsia="Times New Roman" w:cs="Times New Roman"/>
          <w:b/>
          <w:bCs/>
          <w:spacing w:val="7"/>
          <w:sz w:val="20"/>
          <w:szCs w:val="20"/>
        </w:rPr>
        <w:t xml:space="preserve"> </w:t>
      </w: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现有项目用水、排水情况统计表</w:t>
      </w:r>
    </w:p>
    <w:p>
      <w:pPr>
        <w:spacing w:line="14" w:lineRule="exact"/>
        <w:rPr>
          <w:rFonts w:hint="default" w:ascii="Times New Roman" w:hAnsi="Times New Roman" w:cs="Times New Roman"/>
        </w:rPr>
      </w:pPr>
    </w:p>
    <w:tbl>
      <w:tblPr>
        <w:tblStyle w:val="34"/>
        <w:tblW w:w="5003"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87"/>
        <w:gridCol w:w="1728"/>
        <w:gridCol w:w="1453"/>
        <w:gridCol w:w="1309"/>
        <w:gridCol w:w="1031"/>
        <w:gridCol w:w="1512"/>
        <w:gridCol w:w="152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3" w:hRule="atLeast"/>
        </w:trPr>
        <w:tc>
          <w:tcPr>
            <w:tcW w:w="321" w:type="pct"/>
            <w:vAlign w:val="top"/>
          </w:tcPr>
          <w:p>
            <w:pPr>
              <w:spacing w:before="156" w:line="229" w:lineRule="auto"/>
              <w:ind w:left="126"/>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14:textOutline w14:w="3795" w14:cap="sq" w14:cmpd="sng">
                  <w14:solidFill>
                    <w14:srgbClr w14:val="000000"/>
                  </w14:solidFill>
                  <w14:prstDash w14:val="solid"/>
                  <w14:bevel/>
                </w14:textOutline>
              </w:rPr>
              <w:t>序号</w:t>
            </w:r>
          </w:p>
        </w:tc>
        <w:tc>
          <w:tcPr>
            <w:tcW w:w="943" w:type="pct"/>
            <w:vAlign w:val="top"/>
          </w:tcPr>
          <w:p>
            <w:pPr>
              <w:spacing w:before="156"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15"/>
                <w:sz w:val="21"/>
                <w:szCs w:val="21"/>
                <w14:textOutline w14:w="3795" w14:cap="sq" w14:cmpd="sng">
                  <w14:solidFill>
                    <w14:srgbClr w14:val="000000"/>
                  </w14:solidFill>
                  <w14:prstDash w14:val="solid"/>
                  <w14:bevel/>
                </w14:textOutline>
              </w:rPr>
              <w:t>用水环节</w:t>
            </w:r>
          </w:p>
        </w:tc>
        <w:tc>
          <w:tcPr>
            <w:tcW w:w="794" w:type="pct"/>
            <w:vAlign w:val="top"/>
          </w:tcPr>
          <w:p>
            <w:pPr>
              <w:spacing w:before="156" w:line="221" w:lineRule="auto"/>
              <w:jc w:val="center"/>
              <w:rPr>
                <w:rFonts w:hint="default" w:ascii="Times New Roman" w:hAnsi="Times New Roman" w:eastAsia="Times New Roman" w:cs="Times New Roman"/>
                <w:sz w:val="21"/>
                <w:szCs w:val="21"/>
              </w:rPr>
            </w:pPr>
            <w:r>
              <w:rPr>
                <w:rFonts w:hint="default" w:ascii="Times New Roman" w:hAnsi="Times New Roman" w:eastAsia="宋体" w:cs="Times New Roman"/>
                <w:spacing w:val="6"/>
                <w:sz w:val="21"/>
                <w:szCs w:val="21"/>
                <w14:textOutline w14:w="3795" w14:cap="sq" w14:cmpd="sng">
                  <w14:solidFill>
                    <w14:srgbClr w14:val="000000"/>
                  </w14:solidFill>
                  <w14:prstDash w14:val="solid"/>
                  <w14:bevel/>
                </w14:textOutline>
              </w:rPr>
              <w:t>日用水量</w:t>
            </w:r>
            <w:r>
              <w:rPr>
                <w:rFonts w:hint="default" w:ascii="Times New Roman" w:hAnsi="Times New Roman" w:eastAsia="Times New Roman" w:cs="Times New Roman"/>
                <w:b/>
                <w:bCs/>
                <w:spacing w:val="6"/>
                <w:sz w:val="21"/>
                <w:szCs w:val="21"/>
              </w:rPr>
              <w:t>(m</w:t>
            </w:r>
            <w:r>
              <w:rPr>
                <w:rFonts w:hint="default" w:ascii="Times New Roman" w:hAnsi="Times New Roman" w:eastAsia="Times New Roman" w:cs="Times New Roman"/>
                <w:b/>
                <w:bCs/>
                <w:spacing w:val="6"/>
                <w:position w:val="6"/>
                <w:sz w:val="21"/>
                <w:szCs w:val="21"/>
              </w:rPr>
              <w:t>3</w:t>
            </w:r>
            <w:r>
              <w:rPr>
                <w:rFonts w:hint="default" w:ascii="Times New Roman" w:hAnsi="Times New Roman" w:eastAsia="Times New Roman" w:cs="Times New Roman"/>
                <w:b/>
                <w:bCs/>
                <w:spacing w:val="6"/>
                <w:sz w:val="21"/>
                <w:szCs w:val="21"/>
              </w:rPr>
              <w:t>/d)</w:t>
            </w:r>
          </w:p>
        </w:tc>
        <w:tc>
          <w:tcPr>
            <w:tcW w:w="715" w:type="pct"/>
            <w:vAlign w:val="top"/>
          </w:tcPr>
          <w:p>
            <w:pPr>
              <w:spacing w:before="156" w:line="221" w:lineRule="auto"/>
              <w:jc w:val="center"/>
              <w:rPr>
                <w:rFonts w:hint="default" w:ascii="Times New Roman" w:hAnsi="Times New Roman" w:eastAsia="宋体" w:cs="Times New Roman"/>
                <w:spacing w:val="6"/>
                <w:sz w:val="21"/>
                <w:szCs w:val="21"/>
                <w14:textOutline w14:w="3795" w14:cap="sq" w14:cmpd="sng">
                  <w14:solidFill>
                    <w14:srgbClr w14:val="000000"/>
                  </w14:solidFill>
                  <w14:prstDash w14:val="solid"/>
                  <w14:bevel/>
                </w14:textOutline>
              </w:rPr>
            </w:pPr>
            <w:r>
              <w:rPr>
                <w:rFonts w:hint="default" w:ascii="Times New Roman" w:hAnsi="Times New Roman" w:eastAsia="宋体" w:cs="Times New Roman"/>
                <w:spacing w:val="6"/>
                <w:sz w:val="21"/>
                <w:szCs w:val="21"/>
                <w:lang w:val="en-US" w:eastAsia="zh-CN"/>
                <w14:textOutline w14:w="3795" w14:cap="sq" w14:cmpd="sng">
                  <w14:solidFill>
                    <w14:srgbClr w14:val="000000"/>
                  </w14:solidFill>
                  <w14:prstDash w14:val="solid"/>
                  <w14:bevel/>
                </w14:textOutline>
              </w:rPr>
              <w:t>年</w:t>
            </w:r>
            <w:r>
              <w:rPr>
                <w:rFonts w:hint="default" w:ascii="Times New Roman" w:hAnsi="Times New Roman" w:eastAsia="宋体" w:cs="Times New Roman"/>
                <w:spacing w:val="6"/>
                <w:sz w:val="21"/>
                <w:szCs w:val="21"/>
                <w14:textOutline w14:w="3795" w14:cap="sq" w14:cmpd="sng">
                  <w14:solidFill>
                    <w14:srgbClr w14:val="000000"/>
                  </w14:solidFill>
                  <w14:prstDash w14:val="solid"/>
                  <w14:bevel/>
                </w14:textOutline>
              </w:rPr>
              <w:t>用水量</w:t>
            </w:r>
            <w:r>
              <w:rPr>
                <w:rFonts w:hint="default" w:ascii="Times New Roman" w:hAnsi="Times New Roman" w:eastAsia="Times New Roman" w:cs="Times New Roman"/>
                <w:b/>
                <w:bCs/>
                <w:spacing w:val="6"/>
                <w:sz w:val="21"/>
                <w:szCs w:val="21"/>
              </w:rPr>
              <w:t>(m</w:t>
            </w:r>
            <w:r>
              <w:rPr>
                <w:rFonts w:hint="default" w:ascii="Times New Roman" w:hAnsi="Times New Roman" w:eastAsia="Times New Roman" w:cs="Times New Roman"/>
                <w:b/>
                <w:bCs/>
                <w:spacing w:val="6"/>
                <w:position w:val="6"/>
                <w:sz w:val="21"/>
                <w:szCs w:val="21"/>
              </w:rPr>
              <w:t>3</w:t>
            </w:r>
            <w:r>
              <w:rPr>
                <w:rFonts w:hint="default" w:ascii="Times New Roman" w:hAnsi="Times New Roman" w:eastAsia="Times New Roman" w:cs="Times New Roman"/>
                <w:b/>
                <w:bCs/>
                <w:spacing w:val="6"/>
                <w:sz w:val="21"/>
                <w:szCs w:val="21"/>
              </w:rPr>
              <w:t>/d)</w:t>
            </w:r>
          </w:p>
        </w:tc>
        <w:tc>
          <w:tcPr>
            <w:tcW w:w="563" w:type="pct"/>
            <w:vAlign w:val="top"/>
          </w:tcPr>
          <w:p>
            <w:pPr>
              <w:spacing w:before="156"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15"/>
                <w:sz w:val="21"/>
                <w:szCs w:val="21"/>
                <w14:textOutline w14:w="3795" w14:cap="sq" w14:cmpd="sng">
                  <w14:solidFill>
                    <w14:srgbClr w14:val="000000"/>
                  </w14:solidFill>
                  <w14:prstDash w14:val="solid"/>
                  <w14:bevel/>
                </w14:textOutline>
              </w:rPr>
              <w:t>产污系数</w:t>
            </w:r>
          </w:p>
        </w:tc>
        <w:tc>
          <w:tcPr>
            <w:tcW w:w="826" w:type="pct"/>
            <w:vAlign w:val="top"/>
          </w:tcPr>
          <w:p>
            <w:pPr>
              <w:spacing w:before="156" w:line="221" w:lineRule="auto"/>
              <w:jc w:val="center"/>
              <w:rPr>
                <w:rFonts w:hint="default" w:ascii="Times New Roman" w:hAnsi="Times New Roman" w:eastAsia="Times New Roman" w:cs="Times New Roman"/>
                <w:sz w:val="21"/>
                <w:szCs w:val="21"/>
              </w:rPr>
            </w:pPr>
            <w:r>
              <w:rPr>
                <w:rFonts w:hint="default" w:ascii="Times New Roman" w:hAnsi="Times New Roman" w:eastAsia="宋体" w:cs="Times New Roman"/>
                <w:spacing w:val="6"/>
                <w:sz w:val="21"/>
                <w:szCs w:val="21"/>
                <w14:textOutline w14:w="3795" w14:cap="sq" w14:cmpd="sng">
                  <w14:solidFill>
                    <w14:srgbClr w14:val="000000"/>
                  </w14:solidFill>
                  <w14:prstDash w14:val="solid"/>
                  <w14:bevel/>
                </w14:textOutline>
              </w:rPr>
              <w:t>日排水量</w:t>
            </w:r>
            <w:r>
              <w:rPr>
                <w:rFonts w:hint="default" w:ascii="Times New Roman" w:hAnsi="Times New Roman" w:eastAsia="Times New Roman" w:cs="Times New Roman"/>
                <w:b/>
                <w:bCs/>
                <w:spacing w:val="6"/>
                <w:sz w:val="21"/>
                <w:szCs w:val="21"/>
              </w:rPr>
              <w:t>(m</w:t>
            </w:r>
            <w:r>
              <w:rPr>
                <w:rFonts w:hint="default" w:ascii="Times New Roman" w:hAnsi="Times New Roman" w:eastAsia="Times New Roman" w:cs="Times New Roman"/>
                <w:b/>
                <w:bCs/>
                <w:spacing w:val="6"/>
                <w:position w:val="6"/>
                <w:sz w:val="21"/>
                <w:szCs w:val="21"/>
              </w:rPr>
              <w:t>3</w:t>
            </w:r>
            <w:r>
              <w:rPr>
                <w:rFonts w:hint="default" w:ascii="Times New Roman" w:hAnsi="Times New Roman" w:eastAsia="Times New Roman" w:cs="Times New Roman"/>
                <w:b/>
                <w:bCs/>
                <w:spacing w:val="6"/>
                <w:sz w:val="21"/>
                <w:szCs w:val="21"/>
              </w:rPr>
              <w:t>/d)</w:t>
            </w:r>
          </w:p>
        </w:tc>
        <w:tc>
          <w:tcPr>
            <w:tcW w:w="835" w:type="pct"/>
            <w:vAlign w:val="top"/>
          </w:tcPr>
          <w:p>
            <w:pPr>
              <w:spacing w:before="156" w:line="221" w:lineRule="auto"/>
              <w:jc w:val="center"/>
              <w:rPr>
                <w:rFonts w:hint="default" w:ascii="Times New Roman" w:hAnsi="Times New Roman" w:eastAsia="Times New Roman" w:cs="Times New Roman"/>
                <w:sz w:val="21"/>
                <w:szCs w:val="21"/>
              </w:rPr>
            </w:pPr>
            <w:r>
              <w:rPr>
                <w:rFonts w:hint="default" w:ascii="Times New Roman" w:hAnsi="Times New Roman" w:eastAsia="宋体" w:cs="Times New Roman"/>
                <w:spacing w:val="5"/>
                <w:sz w:val="21"/>
                <w:szCs w:val="21"/>
                <w14:textOutline w14:w="3795" w14:cap="sq" w14:cmpd="sng">
                  <w14:solidFill>
                    <w14:srgbClr w14:val="000000"/>
                  </w14:solidFill>
                  <w14:prstDash w14:val="solid"/>
                  <w14:bevel/>
                </w14:textOutline>
              </w:rPr>
              <w:t>年排水量</w:t>
            </w:r>
            <w:r>
              <w:rPr>
                <w:rFonts w:hint="default" w:ascii="Times New Roman" w:hAnsi="Times New Roman" w:eastAsia="Times New Roman" w:cs="Times New Roman"/>
                <w:b/>
                <w:bCs/>
                <w:spacing w:val="5"/>
                <w:sz w:val="21"/>
                <w:szCs w:val="21"/>
              </w:rPr>
              <w:t>(m</w:t>
            </w:r>
            <w:r>
              <w:rPr>
                <w:rFonts w:hint="default" w:ascii="Times New Roman" w:hAnsi="Times New Roman" w:eastAsia="Times New Roman" w:cs="Times New Roman"/>
                <w:b/>
                <w:bCs/>
                <w:spacing w:val="5"/>
                <w:position w:val="6"/>
                <w:sz w:val="21"/>
                <w:szCs w:val="21"/>
              </w:rPr>
              <w:t>3</w:t>
            </w:r>
            <w:r>
              <w:rPr>
                <w:rFonts w:hint="default" w:ascii="Times New Roman" w:hAnsi="Times New Roman" w:eastAsia="Times New Roman" w:cs="Times New Roman"/>
                <w:b/>
                <w:bCs/>
                <w:spacing w:val="5"/>
                <w:sz w:val="21"/>
                <w:szCs w:val="21"/>
              </w:rPr>
              <w:t>/a)</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3" w:hRule="atLeast"/>
        </w:trPr>
        <w:tc>
          <w:tcPr>
            <w:tcW w:w="321" w:type="pct"/>
            <w:vAlign w:val="top"/>
          </w:tcPr>
          <w:p>
            <w:pPr>
              <w:spacing w:before="52" w:line="228"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pacing w:val="8"/>
                <w:sz w:val="21"/>
                <w:szCs w:val="21"/>
                <w:lang w:val="en-US" w:eastAsia="zh-CN"/>
              </w:rPr>
              <w:t>1</w:t>
            </w:r>
          </w:p>
        </w:tc>
        <w:tc>
          <w:tcPr>
            <w:tcW w:w="943" w:type="pct"/>
            <w:vAlign w:val="top"/>
          </w:tcPr>
          <w:p>
            <w:pPr>
              <w:spacing w:before="52"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生活用水</w:t>
            </w:r>
          </w:p>
        </w:tc>
        <w:tc>
          <w:tcPr>
            <w:tcW w:w="794" w:type="pct"/>
            <w:vAlign w:val="top"/>
          </w:tcPr>
          <w:p>
            <w:pPr>
              <w:spacing w:before="134" w:line="195"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pacing w:val="-1"/>
                <w:sz w:val="21"/>
                <w:szCs w:val="21"/>
                <w:lang w:val="en-US" w:eastAsia="zh-CN"/>
              </w:rPr>
              <w:t>4.6</w:t>
            </w:r>
          </w:p>
        </w:tc>
        <w:tc>
          <w:tcPr>
            <w:tcW w:w="715" w:type="pct"/>
            <w:vAlign w:val="top"/>
          </w:tcPr>
          <w:p>
            <w:pPr>
              <w:spacing w:before="134" w:line="195" w:lineRule="auto"/>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1564</w:t>
            </w:r>
          </w:p>
        </w:tc>
        <w:tc>
          <w:tcPr>
            <w:tcW w:w="563" w:type="pct"/>
            <w:vAlign w:val="top"/>
          </w:tcPr>
          <w:p>
            <w:pPr>
              <w:spacing w:before="137" w:line="195"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Times New Roman" w:cs="Times New Roman"/>
                <w:spacing w:val="1"/>
                <w:sz w:val="21"/>
                <w:szCs w:val="21"/>
              </w:rPr>
              <w:t>0.</w:t>
            </w:r>
            <w:r>
              <w:rPr>
                <w:rFonts w:hint="default" w:ascii="Times New Roman" w:hAnsi="Times New Roman" w:eastAsia="宋体" w:cs="Times New Roman"/>
                <w:spacing w:val="1"/>
                <w:sz w:val="21"/>
                <w:szCs w:val="21"/>
                <w:lang w:val="en-US" w:eastAsia="zh-CN"/>
              </w:rPr>
              <w:t>8</w:t>
            </w:r>
          </w:p>
        </w:tc>
        <w:tc>
          <w:tcPr>
            <w:tcW w:w="826" w:type="pct"/>
            <w:vAlign w:val="top"/>
          </w:tcPr>
          <w:p>
            <w:pPr>
              <w:spacing w:before="137" w:line="195"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3.68</w:t>
            </w:r>
          </w:p>
        </w:tc>
        <w:tc>
          <w:tcPr>
            <w:tcW w:w="835" w:type="pct"/>
            <w:vAlign w:val="top"/>
          </w:tcPr>
          <w:p>
            <w:pPr>
              <w:spacing w:before="131" w:line="189"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pacing w:val="-2"/>
                <w:sz w:val="21"/>
                <w:szCs w:val="21"/>
                <w:lang w:val="en-US" w:eastAsia="zh-CN"/>
              </w:rPr>
              <w:t>1251.2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7" w:hRule="atLeast"/>
        </w:trPr>
        <w:tc>
          <w:tcPr>
            <w:tcW w:w="321" w:type="pct"/>
            <w:vAlign w:val="top"/>
          </w:tcPr>
          <w:p>
            <w:pPr>
              <w:spacing w:before="52" w:line="228"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943" w:type="pct"/>
            <w:vAlign w:val="top"/>
          </w:tcPr>
          <w:p>
            <w:pPr>
              <w:spacing w:before="51" w:line="228"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pacing w:val="8"/>
                <w:sz w:val="21"/>
                <w:szCs w:val="21"/>
              </w:rPr>
              <w:t>待宰圈冲洗</w:t>
            </w:r>
            <w:r>
              <w:rPr>
                <w:rFonts w:hint="default" w:ascii="Times New Roman" w:hAnsi="Times New Roman" w:eastAsia="宋体" w:cs="Times New Roman"/>
                <w:spacing w:val="8"/>
                <w:sz w:val="21"/>
                <w:szCs w:val="21"/>
                <w:lang w:val="en-US" w:eastAsia="zh-CN"/>
              </w:rPr>
              <w:t>用水</w:t>
            </w:r>
          </w:p>
        </w:tc>
        <w:tc>
          <w:tcPr>
            <w:tcW w:w="794" w:type="pct"/>
            <w:vAlign w:val="top"/>
          </w:tcPr>
          <w:p>
            <w:pPr>
              <w:spacing w:before="98" w:line="195"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0.26</w:t>
            </w:r>
          </w:p>
        </w:tc>
        <w:tc>
          <w:tcPr>
            <w:tcW w:w="715" w:type="pct"/>
            <w:vAlign w:val="top"/>
          </w:tcPr>
          <w:p>
            <w:pPr>
              <w:spacing w:before="98" w:line="195" w:lineRule="auto"/>
              <w:jc w:val="center"/>
              <w:rPr>
                <w:rFonts w:hint="default" w:ascii="Times New Roman" w:hAnsi="Times New Roman" w:eastAsia="宋体" w:cs="Times New Roman"/>
                <w:spacing w:val="-1"/>
                <w:sz w:val="21"/>
                <w:szCs w:val="21"/>
                <w:lang w:val="en-US" w:eastAsia="zh-CN"/>
              </w:rPr>
            </w:pPr>
            <w:r>
              <w:rPr>
                <w:rFonts w:hint="default" w:ascii="Times New Roman" w:hAnsi="Times New Roman" w:eastAsia="宋体" w:cs="Times New Roman"/>
                <w:spacing w:val="-1"/>
                <w:sz w:val="21"/>
                <w:szCs w:val="21"/>
                <w:lang w:val="en-US" w:eastAsia="zh-CN"/>
              </w:rPr>
              <w:t>89.91</w:t>
            </w:r>
          </w:p>
        </w:tc>
        <w:tc>
          <w:tcPr>
            <w:tcW w:w="563" w:type="pct"/>
            <w:vAlign w:val="top"/>
          </w:tcPr>
          <w:p>
            <w:pPr>
              <w:spacing w:before="98" w:line="195" w:lineRule="auto"/>
              <w:jc w:val="center"/>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0.8</w:t>
            </w:r>
          </w:p>
        </w:tc>
        <w:tc>
          <w:tcPr>
            <w:tcW w:w="826" w:type="pct"/>
            <w:vAlign w:val="top"/>
          </w:tcPr>
          <w:p>
            <w:pPr>
              <w:spacing w:before="98" w:line="195"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0.28</w:t>
            </w:r>
          </w:p>
        </w:tc>
        <w:tc>
          <w:tcPr>
            <w:tcW w:w="835" w:type="pct"/>
            <w:vAlign w:val="top"/>
          </w:tcPr>
          <w:p>
            <w:pPr>
              <w:spacing w:before="95" w:line="189"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94.71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321" w:type="pct"/>
            <w:vAlign w:val="top"/>
          </w:tcPr>
          <w:p>
            <w:pPr>
              <w:spacing w:before="52" w:line="228"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943" w:type="pct"/>
            <w:vAlign w:val="top"/>
          </w:tcPr>
          <w:p>
            <w:pPr>
              <w:spacing w:before="51" w:line="228"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pacing w:val="8"/>
                <w:sz w:val="21"/>
                <w:szCs w:val="21"/>
              </w:rPr>
              <w:t>屠宰</w:t>
            </w:r>
            <w:r>
              <w:rPr>
                <w:rFonts w:hint="default" w:ascii="Times New Roman" w:hAnsi="Times New Roman" w:eastAsia="宋体" w:cs="Times New Roman"/>
                <w:spacing w:val="8"/>
                <w:sz w:val="21"/>
                <w:szCs w:val="21"/>
                <w:lang w:val="en-US" w:eastAsia="zh-CN"/>
              </w:rPr>
              <w:t>用水</w:t>
            </w:r>
          </w:p>
        </w:tc>
        <w:tc>
          <w:tcPr>
            <w:tcW w:w="794" w:type="pct"/>
            <w:vAlign w:val="top"/>
          </w:tcPr>
          <w:p>
            <w:pPr>
              <w:spacing w:before="90" w:line="195"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15.87</w:t>
            </w:r>
          </w:p>
        </w:tc>
        <w:tc>
          <w:tcPr>
            <w:tcW w:w="715" w:type="pct"/>
            <w:vAlign w:val="top"/>
          </w:tcPr>
          <w:p>
            <w:pPr>
              <w:spacing w:before="90" w:line="195"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5394.6</w:t>
            </w:r>
          </w:p>
        </w:tc>
        <w:tc>
          <w:tcPr>
            <w:tcW w:w="563" w:type="pct"/>
            <w:vAlign w:val="top"/>
          </w:tcPr>
          <w:p>
            <w:pPr>
              <w:spacing w:before="90" w:line="195" w:lineRule="auto"/>
              <w:jc w:val="center"/>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0.8</w:t>
            </w:r>
          </w:p>
        </w:tc>
        <w:tc>
          <w:tcPr>
            <w:tcW w:w="826" w:type="pct"/>
            <w:vAlign w:val="top"/>
          </w:tcPr>
          <w:p>
            <w:pPr>
              <w:spacing w:before="90" w:line="195"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pacing w:val="2"/>
                <w:sz w:val="21"/>
                <w:szCs w:val="21"/>
                <w:lang w:val="en-US" w:eastAsia="zh-CN"/>
              </w:rPr>
              <w:t>12.69</w:t>
            </w:r>
          </w:p>
        </w:tc>
        <w:tc>
          <w:tcPr>
            <w:tcW w:w="835" w:type="pct"/>
            <w:vAlign w:val="top"/>
          </w:tcPr>
          <w:p>
            <w:pPr>
              <w:spacing w:before="84" w:line="189"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pacing w:val="-2"/>
                <w:sz w:val="21"/>
                <w:szCs w:val="21"/>
                <w:lang w:val="en-US" w:eastAsia="zh-CN"/>
              </w:rPr>
              <w:t>4315.68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321" w:type="pct"/>
            <w:vAlign w:val="top"/>
          </w:tcPr>
          <w:p>
            <w:pPr>
              <w:spacing w:before="52" w:line="228"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943" w:type="pct"/>
            <w:vAlign w:val="top"/>
          </w:tcPr>
          <w:p>
            <w:pPr>
              <w:spacing w:before="51" w:line="228"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pacing w:val="8"/>
                <w:sz w:val="21"/>
                <w:szCs w:val="21"/>
              </w:rPr>
              <w:t>锅炉</w:t>
            </w:r>
            <w:r>
              <w:rPr>
                <w:rFonts w:hint="default" w:ascii="Times New Roman" w:hAnsi="Times New Roman" w:eastAsia="宋体" w:cs="Times New Roman"/>
                <w:spacing w:val="8"/>
                <w:sz w:val="21"/>
                <w:szCs w:val="21"/>
                <w:lang w:val="en-US" w:eastAsia="zh-CN"/>
              </w:rPr>
              <w:t>用水</w:t>
            </w:r>
          </w:p>
        </w:tc>
        <w:tc>
          <w:tcPr>
            <w:tcW w:w="794" w:type="pct"/>
            <w:vAlign w:val="top"/>
          </w:tcPr>
          <w:p>
            <w:pPr>
              <w:spacing w:before="90" w:line="195"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0.7</w:t>
            </w:r>
          </w:p>
        </w:tc>
        <w:tc>
          <w:tcPr>
            <w:tcW w:w="715" w:type="pct"/>
            <w:vAlign w:val="top"/>
          </w:tcPr>
          <w:p>
            <w:pPr>
              <w:spacing w:before="90" w:line="195" w:lineRule="auto"/>
              <w:jc w:val="center"/>
              <w:rPr>
                <w:rFonts w:hint="default" w:ascii="Times New Roman" w:hAnsi="Times New Roman" w:eastAsia="宋体" w:cs="Times New Roman"/>
                <w:spacing w:val="-4"/>
                <w:sz w:val="21"/>
                <w:szCs w:val="21"/>
                <w:highlight w:val="none"/>
                <w:lang w:val="en-US" w:eastAsia="zh-CN"/>
              </w:rPr>
            </w:pPr>
            <w:r>
              <w:rPr>
                <w:rFonts w:hint="eastAsia" w:ascii="Times New Roman" w:hAnsi="Times New Roman" w:eastAsia="宋体" w:cs="Times New Roman"/>
                <w:spacing w:val="-4"/>
                <w:sz w:val="21"/>
                <w:szCs w:val="21"/>
                <w:highlight w:val="none"/>
                <w:lang w:val="en-US" w:eastAsia="zh-CN"/>
              </w:rPr>
              <w:t>6.1</w:t>
            </w:r>
          </w:p>
        </w:tc>
        <w:tc>
          <w:tcPr>
            <w:tcW w:w="563" w:type="pct"/>
            <w:vAlign w:val="top"/>
          </w:tcPr>
          <w:p>
            <w:pPr>
              <w:spacing w:before="90" w:line="195"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w:t>
            </w:r>
          </w:p>
        </w:tc>
        <w:tc>
          <w:tcPr>
            <w:tcW w:w="826" w:type="pct"/>
            <w:vAlign w:val="top"/>
          </w:tcPr>
          <w:p>
            <w:pPr>
              <w:spacing w:before="90" w:line="195"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0.008</w:t>
            </w:r>
          </w:p>
        </w:tc>
        <w:tc>
          <w:tcPr>
            <w:tcW w:w="835" w:type="pct"/>
            <w:vAlign w:val="top"/>
          </w:tcPr>
          <w:p>
            <w:pPr>
              <w:spacing w:before="85" w:line="189"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321" w:type="pct"/>
            <w:vAlign w:val="top"/>
          </w:tcPr>
          <w:p>
            <w:pPr>
              <w:spacing w:before="52" w:line="228"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943" w:type="pct"/>
            <w:vAlign w:val="top"/>
          </w:tcPr>
          <w:p>
            <w:pPr>
              <w:spacing w:before="52" w:line="228"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pacing w:val="8"/>
                <w:sz w:val="21"/>
                <w:szCs w:val="21"/>
              </w:rPr>
              <w:t>车辆冲洗</w:t>
            </w:r>
            <w:r>
              <w:rPr>
                <w:rFonts w:hint="default" w:ascii="Times New Roman" w:hAnsi="Times New Roman" w:eastAsia="宋体" w:cs="Times New Roman"/>
                <w:spacing w:val="8"/>
                <w:sz w:val="21"/>
                <w:szCs w:val="21"/>
                <w:lang w:val="en-US" w:eastAsia="zh-CN"/>
              </w:rPr>
              <w:t>用水</w:t>
            </w:r>
          </w:p>
        </w:tc>
        <w:tc>
          <w:tcPr>
            <w:tcW w:w="1479" w:type="dxa"/>
            <w:vAlign w:val="top"/>
          </w:tcPr>
          <w:p>
            <w:pPr>
              <w:spacing w:before="90" w:line="195" w:lineRule="auto"/>
              <w:jc w:val="center"/>
              <w:rPr>
                <w:rFonts w:hint="default" w:ascii="Times New Roman" w:hAnsi="Times New Roman" w:eastAsia="Times New Roman" w:cs="Times New Roman"/>
                <w:sz w:val="21"/>
                <w:szCs w:val="21"/>
              </w:rPr>
            </w:pPr>
            <w:r>
              <w:rPr>
                <w:rFonts w:hint="default" w:ascii="Times New Roman" w:hAnsi="Times New Roman" w:eastAsia="宋体" w:cs="Times New Roman"/>
                <w:sz w:val="21"/>
                <w:szCs w:val="21"/>
                <w:lang w:val="en-US" w:eastAsia="zh-CN"/>
              </w:rPr>
              <w:t>0.05</w:t>
            </w:r>
          </w:p>
        </w:tc>
        <w:tc>
          <w:tcPr>
            <w:tcW w:w="1332" w:type="dxa"/>
            <w:vAlign w:val="top"/>
          </w:tcPr>
          <w:p>
            <w:pPr>
              <w:spacing w:before="90" w:line="195" w:lineRule="auto"/>
              <w:jc w:val="center"/>
              <w:rPr>
                <w:rFonts w:hint="default" w:ascii="Times New Roman" w:hAnsi="Times New Roman" w:eastAsia="Times New Roman" w:cs="Times New Roman"/>
                <w:spacing w:val="1"/>
                <w:sz w:val="21"/>
                <w:szCs w:val="21"/>
              </w:rPr>
            </w:pPr>
            <w:r>
              <w:rPr>
                <w:rFonts w:hint="default" w:ascii="Times New Roman" w:hAnsi="Times New Roman" w:eastAsia="宋体" w:cs="Times New Roman"/>
                <w:spacing w:val="-4"/>
                <w:sz w:val="21"/>
                <w:szCs w:val="21"/>
                <w:lang w:val="en-US" w:eastAsia="zh-CN"/>
              </w:rPr>
              <w:t>16</w:t>
            </w:r>
          </w:p>
        </w:tc>
        <w:tc>
          <w:tcPr>
            <w:tcW w:w="1049" w:type="dxa"/>
            <w:vAlign w:val="top"/>
          </w:tcPr>
          <w:p>
            <w:pPr>
              <w:spacing w:before="90" w:line="195" w:lineRule="auto"/>
              <w:jc w:val="center"/>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0.8</w:t>
            </w:r>
          </w:p>
        </w:tc>
        <w:tc>
          <w:tcPr>
            <w:tcW w:w="1539" w:type="dxa"/>
            <w:vAlign w:val="top"/>
          </w:tcPr>
          <w:p>
            <w:pPr>
              <w:spacing w:before="90" w:line="195" w:lineRule="auto"/>
              <w:jc w:val="center"/>
              <w:rPr>
                <w:rFonts w:hint="default" w:ascii="Times New Roman" w:hAnsi="Times New Roman" w:eastAsia="Times New Roman" w:cs="Times New Roman"/>
                <w:sz w:val="21"/>
                <w:szCs w:val="21"/>
              </w:rPr>
            </w:pPr>
            <w:r>
              <w:rPr>
                <w:rFonts w:hint="default" w:ascii="Times New Roman" w:hAnsi="Times New Roman" w:eastAsia="宋体" w:cs="Times New Roman"/>
                <w:sz w:val="21"/>
                <w:szCs w:val="21"/>
                <w:lang w:val="en-US" w:eastAsia="zh-CN"/>
              </w:rPr>
              <w:t>0.04</w:t>
            </w:r>
          </w:p>
        </w:tc>
        <w:tc>
          <w:tcPr>
            <w:tcW w:w="1555" w:type="dxa"/>
            <w:vAlign w:val="top"/>
          </w:tcPr>
          <w:p>
            <w:pPr>
              <w:spacing w:before="85" w:line="189" w:lineRule="auto"/>
              <w:jc w:val="center"/>
              <w:rPr>
                <w:rFonts w:hint="default" w:ascii="Times New Roman" w:hAnsi="Times New Roman" w:eastAsia="Times New Roman" w:cs="Times New Roman"/>
                <w:sz w:val="21"/>
                <w:szCs w:val="21"/>
              </w:rPr>
            </w:pPr>
            <w:r>
              <w:rPr>
                <w:rFonts w:hint="default" w:ascii="Times New Roman" w:hAnsi="Times New Roman" w:eastAsia="宋体" w:cs="Times New Roman"/>
                <w:sz w:val="21"/>
                <w:szCs w:val="21"/>
                <w:lang w:val="en-US" w:eastAsia="zh-CN"/>
              </w:rPr>
              <w:t>12.8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1265" w:type="pct"/>
            <w:gridSpan w:val="2"/>
            <w:vAlign w:val="top"/>
          </w:tcPr>
          <w:p>
            <w:pPr>
              <w:spacing w:before="56" w:line="229" w:lineRule="auto"/>
              <w:ind w:left="1118"/>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合计</w:t>
            </w:r>
          </w:p>
        </w:tc>
        <w:tc>
          <w:tcPr>
            <w:tcW w:w="1479"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21.48</w:t>
            </w:r>
          </w:p>
        </w:tc>
        <w:tc>
          <w:tcPr>
            <w:tcW w:w="1332"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7070.61</w:t>
            </w:r>
          </w:p>
        </w:tc>
        <w:tc>
          <w:tcPr>
            <w:tcW w:w="1049"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w:t>
            </w:r>
          </w:p>
        </w:tc>
        <w:tc>
          <w:tcPr>
            <w:tcW w:w="1539"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16.698</w:t>
            </w:r>
          </w:p>
        </w:tc>
        <w:tc>
          <w:tcPr>
            <w:tcW w:w="1555"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1"/>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5677.09</w:t>
            </w:r>
          </w:p>
        </w:tc>
      </w:tr>
    </w:tbl>
    <w:p>
      <w:pPr>
        <w:spacing w:before="65" w:line="228" w:lineRule="auto"/>
        <w:jc w:val="center"/>
        <w:rPr>
          <w:color w:val="FF0000"/>
        </w:rPr>
      </w:pPr>
      <w:r>
        <w:rPr>
          <w:rFonts w:hint="default" w:ascii="Times New Roman" w:hAnsi="Times New Roman" w:eastAsia="宋体" w:cs="Times New Roman"/>
          <w:spacing w:val="5"/>
          <w:position w:val="20"/>
          <w:sz w:val="20"/>
          <w:szCs w:val="20"/>
          <w:highlight w:val="none"/>
          <w14:textOutline w14:w="3795" w14:cap="sq" w14:cmpd="sng">
            <w14:solidFill>
              <w14:srgbClr w14:val="000000"/>
            </w14:solidFill>
            <w14:prstDash w14:val="solid"/>
            <w14:bevel/>
          </w14:textOutline>
        </w:rPr>
        <w:object>
          <v:shape id="_x0000_i1025" o:spt="75" type="#_x0000_t75" style="height:404.25pt;width:402pt;" o:ole="t" filled="f" o:preferrelative="t" stroked="f" coordsize="21600,21600">
            <v:path/>
            <v:fill on="f" focussize="0,0"/>
            <v:stroke on="f"/>
            <v:imagedata r:id="rId32" o:title=""/>
            <o:lock v:ext="edit" aspectratio="f"/>
            <w10:wrap type="none"/>
            <w10:anchorlock/>
          </v:shape>
          <o:OLEObject Type="Embed" ProgID="Visio.Drawing.11" ShapeID="_x0000_i1025" DrawAspect="Content" ObjectID="_1468075725" r:id="rId31">
            <o:LockedField>false</o:LockedField>
          </o:OLEObject>
        </w:object>
      </w:r>
    </w:p>
    <w:p>
      <w:pPr>
        <w:spacing w:before="65" w:line="228" w:lineRule="auto"/>
        <w:jc w:val="center"/>
        <w:rPr>
          <w:rFonts w:hint="default" w:ascii="Times New Roman" w:hAnsi="Times New Roman" w:eastAsia="Times New Roman" w:cs="Times New Roman"/>
          <w:b/>
          <w:bCs/>
          <w:spacing w:val="5"/>
          <w:sz w:val="20"/>
          <w:szCs w:val="20"/>
          <w:highlight w:val="none"/>
        </w:rPr>
      </w:pPr>
      <w: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t>图</w:t>
      </w:r>
      <w:r>
        <w:rPr>
          <w:rFonts w:hint="default" w:ascii="Times New Roman" w:hAnsi="Times New Roman" w:eastAsia="宋体" w:cs="Times New Roman"/>
          <w:spacing w:val="-39"/>
          <w:sz w:val="20"/>
          <w:szCs w:val="20"/>
          <w:highlight w:val="none"/>
        </w:rPr>
        <w:t xml:space="preserve"> </w:t>
      </w:r>
      <w:r>
        <w:rPr>
          <w:rFonts w:hint="default" w:ascii="Times New Roman" w:hAnsi="Times New Roman" w:eastAsia="宋体" w:cs="Times New Roman"/>
          <w:b/>
          <w:bCs/>
          <w:spacing w:val="5"/>
          <w:sz w:val="20"/>
          <w:szCs w:val="20"/>
          <w:highlight w:val="none"/>
          <w:lang w:val="en-US" w:eastAsia="zh-CN"/>
        </w:rPr>
        <w:t>3</w:t>
      </w:r>
      <w:r>
        <w:rPr>
          <w:rFonts w:hint="eastAsia" w:ascii="Times New Roman" w:hAnsi="Times New Roman" w:eastAsia="宋体" w:cs="Times New Roman"/>
          <w:b/>
          <w:bCs/>
          <w:spacing w:val="5"/>
          <w:sz w:val="20"/>
          <w:szCs w:val="20"/>
          <w:highlight w:val="none"/>
          <w:lang w:val="en-US" w:eastAsia="zh-CN"/>
        </w:rPr>
        <w:t>-</w:t>
      </w:r>
      <w:r>
        <w:rPr>
          <w:rFonts w:hint="default" w:ascii="Times New Roman" w:hAnsi="Times New Roman" w:eastAsia="Times New Roman" w:cs="Times New Roman"/>
          <w:b/>
          <w:bCs/>
          <w:spacing w:val="5"/>
          <w:sz w:val="20"/>
          <w:szCs w:val="20"/>
          <w:highlight w:val="none"/>
        </w:rPr>
        <w:t>2-</w:t>
      </w:r>
      <w:r>
        <w:rPr>
          <w:rFonts w:hint="default" w:ascii="Times New Roman" w:hAnsi="Times New Roman" w:eastAsia="宋体" w:cs="Times New Roman"/>
          <w:b/>
          <w:bCs/>
          <w:spacing w:val="5"/>
          <w:sz w:val="20"/>
          <w:szCs w:val="20"/>
          <w:highlight w:val="none"/>
          <w:lang w:val="en-US" w:eastAsia="zh-CN"/>
        </w:rPr>
        <w:t>2</w:t>
      </w:r>
      <w:r>
        <w:rPr>
          <w:rFonts w:hint="default" w:ascii="Times New Roman" w:hAnsi="Times New Roman" w:eastAsia="Times New Roman" w:cs="Times New Roman"/>
          <w:b/>
          <w:bCs/>
          <w:spacing w:val="5"/>
          <w:sz w:val="20"/>
          <w:szCs w:val="20"/>
          <w:highlight w:val="none"/>
        </w:rPr>
        <w:t xml:space="preserve">  </w:t>
      </w:r>
      <w: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t>现有项目水平衡图</w:t>
      </w:r>
      <w:r>
        <w:rPr>
          <w:rFonts w:hint="default" w:ascii="Times New Roman" w:hAnsi="Times New Roman" w:eastAsia="宋体" w:cs="Times New Roman"/>
          <w:spacing w:val="5"/>
          <w:sz w:val="20"/>
          <w:szCs w:val="20"/>
          <w:highlight w:val="none"/>
        </w:rPr>
        <w:t xml:space="preserve">  </w:t>
      </w:r>
      <w:r>
        <w:rPr>
          <w:rFonts w:hint="default" w:ascii="Times New Roman" w:hAnsi="Times New Roman" w:eastAsia="宋体" w:cs="Times New Roman"/>
          <w:b/>
          <w:bCs/>
          <w:spacing w:val="5"/>
          <w:sz w:val="20"/>
          <w:szCs w:val="20"/>
          <w:highlight w:val="none"/>
          <w:lang w:val="en-US" w:eastAsia="zh-CN"/>
        </w:rPr>
        <w:t>m</w:t>
      </w:r>
      <w:r>
        <w:rPr>
          <w:rFonts w:hint="default" w:ascii="Times New Roman" w:hAnsi="Times New Roman" w:eastAsia="宋体" w:cs="Times New Roman"/>
          <w:b/>
          <w:bCs/>
          <w:spacing w:val="5"/>
          <w:sz w:val="20"/>
          <w:szCs w:val="20"/>
          <w:highlight w:val="none"/>
          <w:vertAlign w:val="superscript"/>
          <w:lang w:val="en-US" w:eastAsia="zh-CN"/>
        </w:rPr>
        <w:t>3</w:t>
      </w:r>
      <w:r>
        <w:rPr>
          <w:rFonts w:hint="default" w:ascii="Times New Roman" w:hAnsi="Times New Roman" w:eastAsia="Times New Roman" w:cs="Times New Roman"/>
          <w:b/>
          <w:bCs/>
          <w:spacing w:val="5"/>
          <w:sz w:val="20"/>
          <w:szCs w:val="20"/>
          <w:highlight w:val="none"/>
        </w:rPr>
        <w:t>/d</w:t>
      </w:r>
    </w:p>
    <w:p>
      <w:pPr>
        <w:pStyle w:val="6"/>
        <w:rPr>
          <w:rFonts w:hint="default"/>
        </w:rPr>
      </w:pPr>
    </w:p>
    <w:p>
      <w:pPr>
        <w:pStyle w:val="11"/>
        <w:pageBreakBefore w:val="0"/>
        <w:widowControl w:val="0"/>
        <w:numPr>
          <w:ilvl w:val="2"/>
          <w:numId w:val="0"/>
        </w:numPr>
        <w:kinsoku/>
        <w:wordWrap/>
        <w:overflowPunct/>
        <w:topLinePunct w:val="0"/>
        <w:autoSpaceDE/>
        <w:autoSpaceDN/>
        <w:bidi w:val="0"/>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3.2.2  现有工程污染物排放及防治措施</w:t>
      </w:r>
    </w:p>
    <w:p>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outlineLvl w:val="9"/>
        <w:rPr>
          <w:rFonts w:hint="default" w:ascii="Times New Roman" w:hAnsi="Times New Roman" w:eastAsia="宋体" w:cs="Times New Roman"/>
          <w:b/>
          <w:bCs w:val="0"/>
          <w:snapToGrid/>
          <w:color w:val="auto"/>
          <w:kern w:val="2"/>
          <w:sz w:val="24"/>
          <w:szCs w:val="24"/>
          <w:lang w:val="en-US" w:eastAsia="zh-CN" w:bidi="ar-SA"/>
        </w:rPr>
      </w:pPr>
      <w:r>
        <w:rPr>
          <w:rFonts w:hint="default" w:ascii="Times New Roman" w:hAnsi="Times New Roman" w:eastAsia="宋体" w:cs="Times New Roman"/>
          <w:b/>
          <w:bCs w:val="0"/>
          <w:snapToGrid/>
          <w:color w:val="auto"/>
          <w:kern w:val="2"/>
          <w:sz w:val="24"/>
          <w:szCs w:val="24"/>
          <w:lang w:val="en-US" w:eastAsia="zh-CN" w:bidi="ar-SA"/>
        </w:rPr>
        <w:t>3.2.2.1  大气污染物排放情况及治理措施</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position w:val="17"/>
          <w:sz w:val="24"/>
          <w:szCs w:val="24"/>
        </w:rPr>
        <w:t>一、大气污染物排放情况及治理措施</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6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lang w:eastAsia="zh-CN"/>
        </w:rPr>
        <w:t>（</w:t>
      </w:r>
      <w:r>
        <w:rPr>
          <w:rFonts w:hint="default" w:ascii="Times New Roman" w:hAnsi="Times New Roman" w:eastAsia="Times New Roman" w:cs="Times New Roman"/>
          <w:spacing w:val="-3"/>
          <w:sz w:val="24"/>
          <w:szCs w:val="24"/>
        </w:rPr>
        <w:t>1</w:t>
      </w:r>
      <w:r>
        <w:rPr>
          <w:rFonts w:hint="default" w:ascii="Times New Roman" w:hAnsi="Times New Roman" w:eastAsia="宋体" w:cs="Times New Roman"/>
          <w:spacing w:val="-3"/>
          <w:sz w:val="24"/>
          <w:szCs w:val="24"/>
        </w:rPr>
        <w:t>）锅炉废气排放情况</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68" w:firstLineChars="200"/>
        <w:jc w:val="both"/>
        <w:textAlignment w:val="baseline"/>
        <w:rPr>
          <w:rFonts w:hint="default" w:ascii="Times New Roman" w:hAnsi="Times New Roman" w:eastAsia="宋体" w:cs="Times New Roman"/>
          <w:spacing w:val="-3"/>
          <w:sz w:val="24"/>
          <w:szCs w:val="24"/>
          <w:lang w:val="en-US" w:eastAsia="zh-CN"/>
        </w:rPr>
      </w:pPr>
      <w:r>
        <w:rPr>
          <w:rFonts w:hint="default" w:ascii="Times New Roman" w:hAnsi="Times New Roman" w:eastAsia="宋体" w:cs="Times New Roman"/>
          <w:spacing w:val="-3"/>
          <w:sz w:val="24"/>
          <w:szCs w:val="24"/>
        </w:rPr>
        <w:t>项目厂区</w:t>
      </w:r>
      <w:r>
        <w:rPr>
          <w:rFonts w:hint="default" w:ascii="Times New Roman" w:hAnsi="Times New Roman" w:eastAsia="宋体" w:cs="Times New Roman"/>
          <w:spacing w:val="-3"/>
          <w:sz w:val="24"/>
          <w:szCs w:val="24"/>
          <w:lang w:val="en-US" w:eastAsia="zh-CN"/>
        </w:rPr>
        <w:t xml:space="preserve">内现有 1t/h </w:t>
      </w:r>
      <w:r>
        <w:rPr>
          <w:rFonts w:hint="eastAsia" w:ascii="Times New Roman" w:hAnsi="Times New Roman" w:eastAsia="宋体" w:cs="Times New Roman"/>
          <w:spacing w:val="-3"/>
          <w:sz w:val="24"/>
          <w:szCs w:val="24"/>
          <w:lang w:val="en-US" w:eastAsia="zh-CN"/>
        </w:rPr>
        <w:t>燃油蒸汽锅炉</w:t>
      </w:r>
      <w:r>
        <w:rPr>
          <w:rFonts w:hint="default" w:ascii="Times New Roman" w:hAnsi="Times New Roman" w:eastAsia="宋体" w:cs="Times New Roman"/>
          <w:spacing w:val="-3"/>
          <w:sz w:val="24"/>
          <w:szCs w:val="24"/>
          <w:lang w:val="en-US" w:eastAsia="zh-CN"/>
        </w:rPr>
        <w:t>一台，锅炉</w:t>
      </w:r>
      <w:r>
        <w:rPr>
          <w:rFonts w:hint="default" w:ascii="Times New Roman" w:hAnsi="Times New Roman" w:eastAsia="宋体" w:cs="Times New Roman"/>
          <w:spacing w:val="-4"/>
          <w:sz w:val="24"/>
          <w:szCs w:val="24"/>
        </w:rPr>
        <w:t>尾气现通过</w:t>
      </w:r>
      <w:r>
        <w:rPr>
          <w:rFonts w:hint="eastAsia" w:ascii="Times New Roman" w:hAnsi="Times New Roman" w:eastAsia="宋体" w:cs="Times New Roman"/>
          <w:spacing w:val="-4"/>
          <w:sz w:val="24"/>
          <w:szCs w:val="24"/>
          <w:highlight w:val="none"/>
          <w:lang w:eastAsia="zh-CN"/>
        </w:rPr>
        <w:t xml:space="preserve"> </w:t>
      </w:r>
      <w:r>
        <w:rPr>
          <w:rFonts w:hint="eastAsia" w:ascii="Times New Roman" w:hAnsi="Times New Roman" w:eastAsia="宋体" w:cs="Times New Roman"/>
          <w:spacing w:val="-4"/>
          <w:sz w:val="24"/>
          <w:szCs w:val="24"/>
          <w:highlight w:val="none"/>
          <w:lang w:val="en-US" w:eastAsia="zh-CN"/>
        </w:rPr>
        <w:t>12</w:t>
      </w:r>
      <w:r>
        <w:rPr>
          <w:rFonts w:hint="eastAsia" w:ascii="Times New Roman" w:hAnsi="Times New Roman" w:eastAsia="宋体" w:cs="Times New Roman"/>
          <w:spacing w:val="-4"/>
          <w:sz w:val="24"/>
          <w:szCs w:val="24"/>
          <w:highlight w:val="none"/>
          <w:lang w:eastAsia="zh-CN"/>
        </w:rPr>
        <w:t>m高烟囱</w:t>
      </w:r>
      <w:r>
        <w:rPr>
          <w:rFonts w:hint="default" w:ascii="Times New Roman" w:hAnsi="Times New Roman" w:eastAsia="宋体" w:cs="Times New Roman"/>
          <w:spacing w:val="-4"/>
          <w:sz w:val="24"/>
          <w:szCs w:val="24"/>
        </w:rPr>
        <w:t>高空</w:t>
      </w:r>
      <w:r>
        <w:rPr>
          <w:rFonts w:hint="default" w:ascii="Times New Roman" w:hAnsi="Times New Roman" w:eastAsia="宋体" w:cs="Times New Roman"/>
          <w:spacing w:val="-3"/>
          <w:sz w:val="24"/>
          <w:szCs w:val="24"/>
        </w:rPr>
        <w:t>排放，</w:t>
      </w:r>
      <w:r>
        <w:rPr>
          <w:rFonts w:hint="default" w:ascii="Times New Roman" w:hAnsi="Times New Roman" w:eastAsia="宋体" w:cs="Times New Roman"/>
          <w:spacing w:val="-3"/>
          <w:sz w:val="24"/>
          <w:szCs w:val="24"/>
          <w:lang w:val="en-US" w:eastAsia="zh-CN"/>
        </w:rPr>
        <w:t>黑龙江克巽检测技术有限公司于 2023年 12 月 12  日对锅炉废气进行监测，由检测结果可知，</w:t>
      </w:r>
      <w:r>
        <w:rPr>
          <w:rFonts w:hint="eastAsia" w:ascii="Times New Roman" w:hAnsi="Times New Roman" w:eastAsia="宋体" w:cs="Times New Roman"/>
          <w:spacing w:val="-3"/>
          <w:sz w:val="24"/>
          <w:szCs w:val="24"/>
          <w:lang w:val="en-US" w:eastAsia="zh-CN"/>
        </w:rPr>
        <w:t>烟</w:t>
      </w:r>
      <w:r>
        <w:rPr>
          <w:rFonts w:hint="default" w:ascii="Times New Roman" w:hAnsi="Times New Roman" w:eastAsia="宋体" w:cs="Times New Roman"/>
          <w:spacing w:val="-3"/>
          <w:sz w:val="24"/>
          <w:szCs w:val="24"/>
          <w:lang w:val="en-US" w:eastAsia="zh-CN"/>
        </w:rPr>
        <w:t>气中颗粒物、二氧化硫、氮氧化物以及烟气黑度满足《锅炉大气污染物排放标准》（GB13271-2014）燃油锅炉表2排放标准。</w:t>
      </w:r>
    </w:p>
    <w:p>
      <w:pPr>
        <w:spacing w:before="117" w:line="228" w:lineRule="auto"/>
        <w:jc w:val="both"/>
        <w:rPr>
          <w:rFonts w:hint="default" w:ascii="Times New Roman" w:hAnsi="Times New Roman" w:eastAsia="宋体" w:cs="Times New Roman"/>
          <w:spacing w:val="8"/>
          <w:sz w:val="20"/>
          <w:szCs w:val="20"/>
          <w14:textOutline w14:w="3795" w14:cap="sq" w14:cmpd="sng">
            <w14:solidFill>
              <w14:srgbClr w14:val="000000"/>
            </w14:solidFill>
            <w14:prstDash w14:val="solid"/>
            <w14:bevel/>
          </w14:textOutline>
        </w:rPr>
      </w:pPr>
    </w:p>
    <w:p>
      <w:pPr>
        <w:pStyle w:val="6"/>
        <w:rPr>
          <w:rFonts w:hint="default"/>
        </w:rPr>
      </w:pPr>
    </w:p>
    <w:p>
      <w:pPr>
        <w:spacing w:before="117" w:line="228" w:lineRule="auto"/>
        <w:jc w:val="center"/>
        <w:rPr>
          <w:rFonts w:hint="default" w:ascii="Times New Roman" w:hAnsi="Times New Roman" w:eastAsia="宋体" w:cs="Times New Roman"/>
          <w:spacing w:val="8"/>
          <w:sz w:val="20"/>
          <w:szCs w:val="20"/>
          <w14:textOutline w14:w="3795" w14:cap="sq" w14:cmpd="sng">
            <w14:solidFill>
              <w14:srgbClr w14:val="000000"/>
            </w14:solidFill>
            <w14:prstDash w14:val="solid"/>
            <w14:bevel/>
          </w14:textOutline>
        </w:rPr>
      </w:pPr>
    </w:p>
    <w:p>
      <w:pPr>
        <w:spacing w:before="117" w:line="228" w:lineRule="auto"/>
        <w:jc w:val="center"/>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41"/>
          <w:sz w:val="20"/>
          <w:szCs w:val="20"/>
        </w:rPr>
        <w:t xml:space="preserve"> </w:t>
      </w:r>
      <w:r>
        <w:rPr>
          <w:rFonts w:hint="default" w:ascii="Times New Roman" w:hAnsi="Times New Roman" w:eastAsia="宋体" w:cs="Times New Roman"/>
          <w:b/>
          <w:bCs/>
          <w:spacing w:val="8"/>
          <w:sz w:val="20"/>
          <w:szCs w:val="20"/>
          <w:lang w:val="en-US" w:eastAsia="zh-CN"/>
        </w:rPr>
        <w:t>3</w:t>
      </w:r>
      <w:r>
        <w:rPr>
          <w:rFonts w:hint="eastAsia" w:ascii="Times New Roman" w:hAnsi="Times New Roman" w:eastAsia="宋体" w:cs="Times New Roman"/>
          <w:b/>
          <w:bCs/>
          <w:spacing w:val="8"/>
          <w:sz w:val="20"/>
          <w:szCs w:val="20"/>
          <w:lang w:val="en-US" w:eastAsia="zh-CN"/>
        </w:rPr>
        <w:t>-</w:t>
      </w:r>
      <w:r>
        <w:rPr>
          <w:rFonts w:hint="default" w:ascii="Times New Roman" w:hAnsi="Times New Roman" w:eastAsia="Times New Roman" w:cs="Times New Roman"/>
          <w:b/>
          <w:bCs/>
          <w:spacing w:val="8"/>
          <w:sz w:val="20"/>
          <w:szCs w:val="20"/>
        </w:rPr>
        <w:t xml:space="preserve">2-3  </w:t>
      </w:r>
      <w:r>
        <w:rPr>
          <w:rFonts w:hint="default" w:ascii="Times New Roman" w:hAnsi="Times New Roman" w:eastAsia="宋体" w:cs="Times New Roman"/>
          <w:spacing w:val="8"/>
          <w:sz w:val="20"/>
          <w:szCs w:val="20"/>
          <w:lang w:eastAsia="zh-CN"/>
          <w14:textOutline w14:w="3795" w14:cap="sq" w14:cmpd="sng">
            <w14:solidFill>
              <w14:srgbClr w14:val="000000"/>
            </w14:solidFill>
            <w14:prstDash w14:val="solid"/>
            <w14:bevel/>
          </w14:textOutline>
        </w:rPr>
        <w:t>燃油锅炉</w:t>
      </w:r>
      <w:r>
        <w:rPr>
          <w:rFonts w:hint="default" w:ascii="Times New Roman" w:hAnsi="Times New Roman" w:eastAsia="宋体" w:cs="Times New Roman"/>
          <w:spacing w:val="8"/>
          <w:sz w:val="20"/>
          <w:szCs w:val="20"/>
          <w14:textOutline w14:w="3795" w14:cap="sq" w14:cmpd="sng">
            <w14:solidFill>
              <w14:srgbClr w14:val="000000"/>
            </w14:solidFill>
            <w14:prstDash w14:val="solid"/>
            <w14:bevel/>
          </w14:textOutline>
        </w:rPr>
        <w:t>废气污染</w:t>
      </w: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物排放情况</w:t>
      </w:r>
    </w:p>
    <w:p>
      <w:pPr>
        <w:spacing w:line="14" w:lineRule="exact"/>
        <w:rPr>
          <w:rFonts w:hint="default" w:ascii="Times New Roman" w:hAnsi="Times New Roman" w:cs="Times New Roman"/>
        </w:rPr>
      </w:pPr>
    </w:p>
    <w:tbl>
      <w:tblPr>
        <w:tblStyle w:val="25"/>
        <w:tblW w:w="96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971"/>
        <w:gridCol w:w="1848"/>
        <w:gridCol w:w="1846"/>
        <w:gridCol w:w="1852"/>
        <w:gridCol w:w="11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tcBorders>
              <w:tl2br w:val="nil"/>
              <w:tr2bl w:val="nil"/>
            </w:tcBorders>
            <w:vAlign w:val="center"/>
          </w:tcPr>
          <w:p>
            <w:pPr>
              <w:pStyle w:val="32"/>
              <w:spacing w:line="240" w:lineRule="auto"/>
              <w:jc w:val="center"/>
              <w:rPr>
                <w:rFonts w:hint="default" w:ascii="Times New Roman" w:hAnsi="Times New Roman" w:eastAsia="宋体" w:cs="Times New Roman"/>
                <w:b/>
                <w:bCs/>
                <w:kern w:val="0"/>
                <w:sz w:val="21"/>
                <w:szCs w:val="21"/>
                <w:vertAlign w:val="baseline"/>
                <w:lang w:val="en-US" w:eastAsia="zh-CN"/>
              </w:rPr>
            </w:pPr>
            <w:r>
              <w:rPr>
                <w:rFonts w:hint="default" w:ascii="Times New Roman" w:hAnsi="Times New Roman" w:eastAsia="宋体" w:cs="Times New Roman"/>
                <w:b/>
                <w:bCs/>
                <w:color w:val="000000"/>
                <w:kern w:val="0"/>
                <w:sz w:val="21"/>
                <w:szCs w:val="21"/>
                <w:vertAlign w:val="baseline"/>
                <w:lang w:val="en-US" w:eastAsia="zh-CN" w:bidi="ar-SA"/>
              </w:rPr>
              <w:t>采样日期</w:t>
            </w:r>
          </w:p>
        </w:tc>
        <w:tc>
          <w:tcPr>
            <w:tcW w:w="5546" w:type="dxa"/>
            <w:gridSpan w:val="3"/>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kern w:val="0"/>
                <w:sz w:val="21"/>
                <w:szCs w:val="21"/>
                <w:vertAlign w:val="baseline"/>
                <w:lang w:val="en-US" w:eastAsia="zh-CN"/>
              </w:rPr>
              <w:t>2023.12.12</w:t>
            </w:r>
          </w:p>
        </w:tc>
        <w:tc>
          <w:tcPr>
            <w:tcW w:w="1121" w:type="dxa"/>
            <w:tcBorders>
              <w:tl2br w:val="nil"/>
              <w:tr2bl w:val="nil"/>
            </w:tcBorders>
            <w:vAlign w:val="center"/>
          </w:tcPr>
          <w:p>
            <w:pPr>
              <w:pStyle w:val="32"/>
              <w:spacing w:line="240" w:lineRule="auto"/>
              <w:jc w:val="center"/>
              <w:rPr>
                <w:rFonts w:hint="default" w:ascii="Times New Roman" w:hAnsi="Times New Roman" w:eastAsia="宋体" w:cs="Times New Roman"/>
                <w:b/>
                <w:bCs/>
                <w:kern w:val="0"/>
                <w:sz w:val="21"/>
                <w:szCs w:val="21"/>
                <w:vertAlign w:val="baseline"/>
                <w:lang w:val="en-US" w:eastAsia="zh-CN"/>
              </w:rPr>
            </w:pPr>
            <w:r>
              <w:rPr>
                <w:rFonts w:hint="default" w:ascii="Times New Roman" w:hAnsi="Times New Roman" w:eastAsia="宋体" w:cs="Times New Roman"/>
                <w:b/>
                <w:bCs/>
                <w:kern w:val="0"/>
                <w:sz w:val="21"/>
                <w:szCs w:val="21"/>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tcBorders>
              <w:tl2br w:val="nil"/>
              <w:tr2bl w:val="nil"/>
            </w:tcBorders>
            <w:vAlign w:val="center"/>
          </w:tcPr>
          <w:p>
            <w:pPr>
              <w:pStyle w:val="32"/>
              <w:spacing w:line="240" w:lineRule="auto"/>
              <w:jc w:val="center"/>
              <w:rPr>
                <w:rFonts w:hint="default" w:ascii="Times New Roman" w:hAnsi="Times New Roman" w:eastAsia="宋体" w:cs="Times New Roman"/>
                <w:b/>
                <w:bCs/>
                <w:kern w:val="0"/>
                <w:sz w:val="21"/>
                <w:szCs w:val="21"/>
                <w:vertAlign w:val="baseline"/>
                <w:lang w:val="en-US" w:eastAsia="zh-CN"/>
              </w:rPr>
            </w:pPr>
            <w:r>
              <w:rPr>
                <w:rFonts w:hint="default" w:ascii="Times New Roman" w:hAnsi="Times New Roman" w:eastAsia="宋体" w:cs="Times New Roman"/>
                <w:b/>
                <w:bCs/>
                <w:kern w:val="0"/>
                <w:sz w:val="21"/>
                <w:szCs w:val="21"/>
                <w:vertAlign w:val="baseline"/>
                <w:lang w:val="en-US" w:eastAsia="zh-CN"/>
              </w:rPr>
              <w:t>检测点位</w:t>
            </w:r>
          </w:p>
        </w:tc>
        <w:tc>
          <w:tcPr>
            <w:tcW w:w="5546" w:type="dxa"/>
            <w:gridSpan w:val="3"/>
            <w:tcBorders>
              <w:tl2br w:val="nil"/>
              <w:tr2bl w:val="nil"/>
            </w:tcBorders>
            <w:vAlign w:val="center"/>
          </w:tcPr>
          <w:p>
            <w:pPr>
              <w:pStyle w:val="32"/>
              <w:spacing w:line="240" w:lineRule="auto"/>
              <w:jc w:val="center"/>
              <w:rPr>
                <w:rFonts w:hint="default" w:ascii="Times New Roman" w:hAnsi="Times New Roman" w:eastAsia="宋体" w:cs="Times New Roman"/>
                <w:b/>
                <w:bCs/>
                <w:kern w:val="0"/>
                <w:sz w:val="21"/>
                <w:szCs w:val="21"/>
                <w:vertAlign w:val="baseline"/>
                <w:lang w:val="en-US" w:eastAsia="zh-CN"/>
              </w:rPr>
            </w:pPr>
            <w:r>
              <w:rPr>
                <w:rFonts w:hint="default" w:ascii="Times New Roman" w:hAnsi="Times New Roman" w:eastAsia="宋体" w:cs="Times New Roman"/>
                <w:b/>
                <w:bCs/>
                <w:kern w:val="0"/>
                <w:sz w:val="21"/>
                <w:szCs w:val="21"/>
                <w:vertAlign w:val="baseline"/>
                <w:lang w:val="en-US" w:eastAsia="zh-CN"/>
              </w:rPr>
              <w:t>燃油锅炉</w:t>
            </w:r>
            <w:r>
              <w:rPr>
                <w:rFonts w:hint="eastAsia" w:ascii="Times New Roman" w:eastAsia="宋体" w:cs="Times New Roman"/>
                <w:b/>
                <w:bCs/>
                <w:kern w:val="0"/>
                <w:sz w:val="21"/>
                <w:szCs w:val="21"/>
                <w:vertAlign w:val="baseline"/>
                <w:lang w:val="en-US" w:eastAsia="zh-CN"/>
              </w:rPr>
              <w:t>烟囱</w:t>
            </w:r>
          </w:p>
        </w:tc>
        <w:tc>
          <w:tcPr>
            <w:tcW w:w="1121" w:type="dxa"/>
            <w:tcBorders>
              <w:tl2br w:val="nil"/>
              <w:tr2bl w:val="nil"/>
            </w:tcBorders>
            <w:vAlign w:val="center"/>
          </w:tcPr>
          <w:p>
            <w:pPr>
              <w:pStyle w:val="32"/>
              <w:spacing w:line="240" w:lineRule="auto"/>
              <w:jc w:val="center"/>
              <w:rPr>
                <w:rFonts w:hint="default" w:ascii="Times New Roman" w:hAnsi="Times New Roman" w:eastAsia="宋体" w:cs="Times New Roman"/>
                <w:b/>
                <w:bCs/>
                <w:kern w:val="0"/>
                <w:sz w:val="21"/>
                <w:szCs w:val="21"/>
                <w:vertAlign w:val="baseline"/>
                <w:lang w:val="en-US" w:eastAsia="zh-CN"/>
              </w:rPr>
            </w:pPr>
            <w:r>
              <w:rPr>
                <w:rFonts w:hint="default" w:ascii="Times New Roman" w:hAnsi="Times New Roman" w:eastAsia="宋体" w:cs="Times New Roman"/>
                <w:b/>
                <w:bCs/>
                <w:kern w:val="0"/>
                <w:sz w:val="21"/>
                <w:szCs w:val="21"/>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vMerge w:val="restart"/>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kern w:val="0"/>
                <w:sz w:val="21"/>
                <w:szCs w:val="21"/>
                <w:vertAlign w:val="baseline"/>
                <w:lang w:val="en-US" w:eastAsia="zh-CN"/>
              </w:rPr>
              <w:t>检测项目</w:t>
            </w:r>
          </w:p>
        </w:tc>
        <w:tc>
          <w:tcPr>
            <w:tcW w:w="5546" w:type="dxa"/>
            <w:gridSpan w:val="3"/>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kern w:val="0"/>
                <w:sz w:val="21"/>
                <w:szCs w:val="21"/>
                <w:vertAlign w:val="baseline"/>
                <w:lang w:val="en-US" w:eastAsia="zh-CN"/>
              </w:rPr>
              <w:t>检测结果</w:t>
            </w:r>
          </w:p>
        </w:tc>
        <w:tc>
          <w:tcPr>
            <w:tcW w:w="1121"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kern w:val="0"/>
                <w:sz w:val="21"/>
                <w:szCs w:val="21"/>
                <w:vertAlign w:val="baseline"/>
                <w:lang w:val="en-US" w:eastAsia="zh-CN"/>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b w:val="0"/>
                <w:bCs w:val="0"/>
                <w:color w:val="000000"/>
                <w:kern w:val="0"/>
                <w:sz w:val="21"/>
                <w:szCs w:val="21"/>
                <w:vertAlign w:val="baseline"/>
                <w:lang w:val="en-US" w:eastAsia="zh-CN" w:bidi="ar-SA"/>
              </w:rPr>
            </w:pPr>
          </w:p>
        </w:tc>
        <w:tc>
          <w:tcPr>
            <w:tcW w:w="1848"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第1次</w:t>
            </w:r>
          </w:p>
        </w:tc>
        <w:tc>
          <w:tcPr>
            <w:tcW w:w="1846"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第2次</w:t>
            </w:r>
          </w:p>
        </w:tc>
        <w:tc>
          <w:tcPr>
            <w:tcW w:w="1852"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第3次</w:t>
            </w:r>
          </w:p>
        </w:tc>
        <w:tc>
          <w:tcPr>
            <w:tcW w:w="1121"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标干风量</w:t>
            </w:r>
          </w:p>
        </w:tc>
        <w:tc>
          <w:tcPr>
            <w:tcW w:w="1848" w:type="dxa"/>
            <w:tcBorders>
              <w:tl2br w:val="nil"/>
              <w:tr2bl w:val="nil"/>
            </w:tcBorders>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bidi="ar-SA"/>
              </w:rPr>
              <w:t>2236</w:t>
            </w:r>
          </w:p>
        </w:tc>
        <w:tc>
          <w:tcPr>
            <w:tcW w:w="1846" w:type="dxa"/>
            <w:tcBorders>
              <w:tl2br w:val="nil"/>
              <w:tr2bl w:val="nil"/>
            </w:tcBorders>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bidi="ar-SA"/>
              </w:rPr>
              <w:t>2145</w:t>
            </w:r>
          </w:p>
        </w:tc>
        <w:tc>
          <w:tcPr>
            <w:tcW w:w="1852" w:type="dxa"/>
            <w:tcBorders>
              <w:tl2br w:val="nil"/>
              <w:tr2bl w:val="nil"/>
            </w:tcBorders>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bidi="ar-SA"/>
              </w:rPr>
              <w:t>2078</w:t>
            </w:r>
          </w:p>
        </w:tc>
        <w:tc>
          <w:tcPr>
            <w:tcW w:w="1121" w:type="dxa"/>
            <w:tcBorders>
              <w:tl2br w:val="nil"/>
              <w:tr2bl w:val="nil"/>
            </w:tcBorders>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Nm</w:t>
            </w:r>
            <w:r>
              <w:rPr>
                <w:rFonts w:hint="default" w:ascii="Times New Roman" w:hAnsi="Times New Roman" w:eastAsia="宋体" w:cs="Times New Roman"/>
                <w:kern w:val="0"/>
                <w:sz w:val="21"/>
                <w:szCs w:val="21"/>
                <w:highlight w:val="none"/>
                <w:vertAlign w:val="superscript"/>
                <w:lang w:val="en-US" w:eastAsia="zh-CN"/>
              </w:rPr>
              <w:t>3</w:t>
            </w:r>
            <w:r>
              <w:rPr>
                <w:rFonts w:hint="default" w:ascii="Times New Roman" w:hAnsi="Times New Roman" w:eastAsia="宋体" w:cs="Times New Roman"/>
                <w:kern w:val="0"/>
                <w:sz w:val="21"/>
                <w:szCs w:val="21"/>
                <w:highlight w:val="none"/>
                <w:vertAlign w:val="baseline"/>
                <w:lang w:val="en-US" w:eastAsia="zh-CN"/>
              </w:rPr>
              <w:t>/h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rPr>
              <w:t>颗粒物实测排放浓度</w:t>
            </w:r>
          </w:p>
        </w:tc>
        <w:tc>
          <w:tcPr>
            <w:tcW w:w="1848" w:type="dxa"/>
            <w:tcBorders>
              <w:tl2br w:val="nil"/>
              <w:tr2bl w:val="nil"/>
            </w:tcBorders>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bidi="ar-SA"/>
              </w:rPr>
              <w:t>10.3</w:t>
            </w:r>
          </w:p>
        </w:tc>
        <w:tc>
          <w:tcPr>
            <w:tcW w:w="1846" w:type="dxa"/>
            <w:tcBorders>
              <w:tl2br w:val="nil"/>
              <w:tr2bl w:val="nil"/>
            </w:tcBorders>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bidi="ar-SA"/>
              </w:rPr>
              <w:t>10.2</w:t>
            </w:r>
          </w:p>
        </w:tc>
        <w:tc>
          <w:tcPr>
            <w:tcW w:w="1852" w:type="dxa"/>
            <w:tcBorders>
              <w:tl2br w:val="nil"/>
              <w:tr2bl w:val="nil"/>
            </w:tcBorders>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bidi="ar-SA"/>
              </w:rPr>
              <w:t>9.5</w:t>
            </w:r>
          </w:p>
        </w:tc>
        <w:tc>
          <w:tcPr>
            <w:tcW w:w="1121" w:type="dxa"/>
            <w:tcBorders>
              <w:tl2br w:val="nil"/>
              <w:tr2bl w:val="nil"/>
            </w:tcBorders>
            <w:vAlign w:val="center"/>
          </w:tcPr>
          <w:p>
            <w:pPr>
              <w:pStyle w:val="32"/>
              <w:spacing w:line="240" w:lineRule="auto"/>
              <w:jc w:val="center"/>
              <w:rPr>
                <w:rFonts w:hint="default" w:ascii="Times New Roman" w:hAnsi="Times New Roman" w:eastAsia="宋体" w:cs="Times New Roman"/>
                <w:color w:val="000000"/>
                <w:kern w:val="0"/>
                <w:sz w:val="21"/>
                <w:szCs w:val="21"/>
                <w:highlight w:val="none"/>
                <w:vertAlign w:val="baseline"/>
                <w:lang w:val="en-US" w:eastAsia="zh-CN" w:bidi="ar-SA"/>
              </w:rPr>
            </w:pPr>
            <w:r>
              <w:rPr>
                <w:rFonts w:hint="default" w:ascii="Times New Roman" w:hAnsi="Times New Roman" w:eastAsia="宋体" w:cs="Times New Roman"/>
                <w:kern w:val="0"/>
                <w:sz w:val="21"/>
                <w:szCs w:val="21"/>
                <w:highlight w:val="none"/>
                <w:vertAlign w:val="baseline"/>
                <w:lang w:val="en-US" w:eastAsia="zh-CN"/>
              </w:rPr>
              <w:t>mg/m</w:t>
            </w:r>
            <w:r>
              <w:rPr>
                <w:rFonts w:hint="default" w:ascii="Times New Roman" w:hAnsi="Times New Roman" w:eastAsia="宋体" w:cs="Times New Roman"/>
                <w:kern w:val="0"/>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颗粒物基准氧含量排放浓度</w:t>
            </w:r>
          </w:p>
        </w:tc>
        <w:tc>
          <w:tcPr>
            <w:tcW w:w="1848" w:type="dxa"/>
            <w:tcBorders>
              <w:tl2br w:val="nil"/>
              <w:tr2bl w:val="nil"/>
            </w:tcBorders>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10.7</w:t>
            </w:r>
          </w:p>
        </w:tc>
        <w:tc>
          <w:tcPr>
            <w:tcW w:w="1846" w:type="dxa"/>
            <w:tcBorders>
              <w:tl2br w:val="nil"/>
              <w:tr2bl w:val="nil"/>
            </w:tcBorders>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10.6</w:t>
            </w:r>
          </w:p>
        </w:tc>
        <w:tc>
          <w:tcPr>
            <w:tcW w:w="1852" w:type="dxa"/>
            <w:tcBorders>
              <w:tl2br w:val="nil"/>
              <w:tr2bl w:val="nil"/>
            </w:tcBorders>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9.7</w:t>
            </w:r>
          </w:p>
        </w:tc>
        <w:tc>
          <w:tcPr>
            <w:tcW w:w="1121" w:type="dxa"/>
            <w:tcBorders>
              <w:tl2br w:val="nil"/>
              <w:tr2bl w:val="nil"/>
            </w:tcBorders>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mg/m</w:t>
            </w:r>
            <w:r>
              <w:rPr>
                <w:rFonts w:hint="default" w:ascii="Times New Roman" w:hAnsi="Times New Roman" w:eastAsia="宋体" w:cs="Times New Roman"/>
                <w:kern w:val="0"/>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highlight w:val="none"/>
                <w:vertAlign w:val="baseline"/>
                <w:lang w:val="en-US" w:eastAsia="zh-CN"/>
              </w:rPr>
              <w:t>颗粒物排放速率</w:t>
            </w:r>
          </w:p>
        </w:tc>
        <w:tc>
          <w:tcPr>
            <w:tcW w:w="1848"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0.023</w:t>
            </w:r>
          </w:p>
        </w:tc>
        <w:tc>
          <w:tcPr>
            <w:tcW w:w="1846"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0.002</w:t>
            </w:r>
          </w:p>
        </w:tc>
        <w:tc>
          <w:tcPr>
            <w:tcW w:w="1852"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0.020</w:t>
            </w:r>
          </w:p>
        </w:tc>
        <w:tc>
          <w:tcPr>
            <w:tcW w:w="1121" w:type="dxa"/>
            <w:vAlign w:val="center"/>
          </w:tcPr>
          <w:p>
            <w:pPr>
              <w:pStyle w:val="32"/>
              <w:spacing w:line="240" w:lineRule="auto"/>
              <w:jc w:val="center"/>
              <w:rPr>
                <w:rFonts w:hint="default" w:ascii="Times New Roman" w:hAnsi="Times New Roman" w:eastAsia="宋体" w:cs="Times New Roman"/>
                <w:color w:val="000000"/>
                <w:kern w:val="0"/>
                <w:sz w:val="21"/>
                <w:szCs w:val="21"/>
                <w:highlight w:val="none"/>
                <w:vertAlign w:val="baseline"/>
                <w:lang w:val="en-US" w:eastAsia="zh-CN" w:bidi="ar-SA"/>
              </w:rPr>
            </w:pPr>
            <w:r>
              <w:rPr>
                <w:rFonts w:hint="default" w:ascii="Times New Roman" w:hAnsi="Times New Roman" w:eastAsia="宋体" w:cs="Times New Roman"/>
                <w:kern w:val="0"/>
                <w:sz w:val="21"/>
                <w:szCs w:val="21"/>
                <w:highlight w:val="none"/>
                <w:vertAlign w:val="baseline"/>
                <w:lang w:val="en-US" w:eastAsia="zh-CN"/>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rPr>
              <w:t>二氧化硫实测排放浓度</w:t>
            </w:r>
          </w:p>
        </w:tc>
        <w:tc>
          <w:tcPr>
            <w:tcW w:w="1848"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36</w:t>
            </w:r>
          </w:p>
        </w:tc>
        <w:tc>
          <w:tcPr>
            <w:tcW w:w="1846"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31</w:t>
            </w:r>
          </w:p>
        </w:tc>
        <w:tc>
          <w:tcPr>
            <w:tcW w:w="1852"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30</w:t>
            </w:r>
          </w:p>
        </w:tc>
        <w:tc>
          <w:tcPr>
            <w:tcW w:w="1121" w:type="dxa"/>
            <w:vAlign w:val="center"/>
          </w:tcPr>
          <w:p>
            <w:pPr>
              <w:pStyle w:val="32"/>
              <w:spacing w:line="240" w:lineRule="auto"/>
              <w:jc w:val="center"/>
              <w:rPr>
                <w:rFonts w:hint="default" w:ascii="Times New Roman" w:hAnsi="Times New Roman" w:eastAsia="宋体" w:cs="Times New Roman"/>
                <w:color w:val="000000"/>
                <w:kern w:val="0"/>
                <w:sz w:val="21"/>
                <w:szCs w:val="21"/>
                <w:highlight w:val="none"/>
                <w:vertAlign w:val="baseline"/>
                <w:lang w:val="en-US" w:eastAsia="zh-CN" w:bidi="ar-SA"/>
              </w:rPr>
            </w:pPr>
            <w:r>
              <w:rPr>
                <w:rFonts w:hint="default" w:ascii="Times New Roman" w:hAnsi="Times New Roman" w:eastAsia="宋体" w:cs="Times New Roman"/>
                <w:kern w:val="0"/>
                <w:sz w:val="21"/>
                <w:szCs w:val="21"/>
                <w:highlight w:val="none"/>
                <w:vertAlign w:val="baseline"/>
                <w:lang w:val="en-US" w:eastAsia="zh-CN"/>
              </w:rPr>
              <w:t>mg/m</w:t>
            </w:r>
            <w:r>
              <w:rPr>
                <w:rFonts w:hint="default" w:ascii="Times New Roman" w:hAnsi="Times New Roman" w:eastAsia="宋体" w:cs="Times New Roman"/>
                <w:kern w:val="0"/>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rPr>
              <w:t>二氧化硫基准氧含量排放浓度</w:t>
            </w:r>
          </w:p>
        </w:tc>
        <w:tc>
          <w:tcPr>
            <w:tcW w:w="1848"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38</w:t>
            </w:r>
          </w:p>
        </w:tc>
        <w:tc>
          <w:tcPr>
            <w:tcW w:w="1846"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32</w:t>
            </w:r>
          </w:p>
        </w:tc>
        <w:tc>
          <w:tcPr>
            <w:tcW w:w="1852"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31</w:t>
            </w:r>
          </w:p>
        </w:tc>
        <w:tc>
          <w:tcPr>
            <w:tcW w:w="1121" w:type="dxa"/>
            <w:vAlign w:val="center"/>
          </w:tcPr>
          <w:p>
            <w:pPr>
              <w:pStyle w:val="32"/>
              <w:spacing w:line="240" w:lineRule="auto"/>
              <w:jc w:val="center"/>
              <w:rPr>
                <w:rFonts w:hint="default" w:ascii="Times New Roman" w:hAnsi="Times New Roman" w:eastAsia="宋体" w:cs="Times New Roman"/>
                <w:color w:val="000000"/>
                <w:kern w:val="0"/>
                <w:sz w:val="21"/>
                <w:szCs w:val="21"/>
                <w:highlight w:val="none"/>
                <w:vertAlign w:val="baseline"/>
                <w:lang w:val="en-US" w:eastAsia="zh-CN" w:bidi="ar-SA"/>
              </w:rPr>
            </w:pPr>
            <w:r>
              <w:rPr>
                <w:rFonts w:hint="default" w:ascii="Times New Roman" w:hAnsi="Times New Roman" w:eastAsia="宋体" w:cs="Times New Roman"/>
                <w:kern w:val="0"/>
                <w:sz w:val="21"/>
                <w:szCs w:val="21"/>
                <w:highlight w:val="none"/>
                <w:vertAlign w:val="baseline"/>
                <w:lang w:val="en-US" w:eastAsia="zh-CN"/>
              </w:rPr>
              <w:t>mg/m</w:t>
            </w:r>
            <w:r>
              <w:rPr>
                <w:rFonts w:hint="default" w:ascii="Times New Roman" w:hAnsi="Times New Roman" w:eastAsia="宋体" w:cs="Times New Roman"/>
                <w:kern w:val="0"/>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highlight w:val="none"/>
                <w:vertAlign w:val="baseline"/>
                <w:lang w:val="en-US" w:eastAsia="zh-CN"/>
              </w:rPr>
              <w:t>二氧化硫排放速率</w:t>
            </w:r>
          </w:p>
        </w:tc>
        <w:tc>
          <w:tcPr>
            <w:tcW w:w="1848"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0.080</w:t>
            </w:r>
          </w:p>
        </w:tc>
        <w:tc>
          <w:tcPr>
            <w:tcW w:w="1846"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0.066</w:t>
            </w:r>
          </w:p>
        </w:tc>
        <w:tc>
          <w:tcPr>
            <w:tcW w:w="1852"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0.062</w:t>
            </w:r>
          </w:p>
        </w:tc>
        <w:tc>
          <w:tcPr>
            <w:tcW w:w="1121" w:type="dxa"/>
            <w:vAlign w:val="center"/>
          </w:tcPr>
          <w:p>
            <w:pPr>
              <w:pStyle w:val="32"/>
              <w:spacing w:line="240" w:lineRule="auto"/>
              <w:jc w:val="center"/>
              <w:rPr>
                <w:rFonts w:hint="default" w:ascii="Times New Roman" w:hAnsi="Times New Roman" w:eastAsia="宋体" w:cs="Times New Roman"/>
                <w:color w:val="000000"/>
                <w:kern w:val="0"/>
                <w:sz w:val="21"/>
                <w:szCs w:val="21"/>
                <w:highlight w:val="none"/>
                <w:vertAlign w:val="baseline"/>
                <w:lang w:val="en-US" w:eastAsia="zh-CN" w:bidi="ar-SA"/>
              </w:rPr>
            </w:pPr>
            <w:r>
              <w:rPr>
                <w:rFonts w:hint="default" w:ascii="Times New Roman" w:hAnsi="Times New Roman" w:eastAsia="宋体" w:cs="Times New Roman"/>
                <w:kern w:val="0"/>
                <w:sz w:val="21"/>
                <w:szCs w:val="21"/>
                <w:highlight w:val="none"/>
                <w:vertAlign w:val="baseline"/>
                <w:lang w:val="en-US" w:eastAsia="zh-CN"/>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rPr>
              <w:t>氮氧化物实测排放浓度</w:t>
            </w:r>
          </w:p>
        </w:tc>
        <w:tc>
          <w:tcPr>
            <w:tcW w:w="1848"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103</w:t>
            </w:r>
          </w:p>
        </w:tc>
        <w:tc>
          <w:tcPr>
            <w:tcW w:w="1846"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105</w:t>
            </w:r>
          </w:p>
        </w:tc>
        <w:tc>
          <w:tcPr>
            <w:tcW w:w="1852"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99</w:t>
            </w:r>
          </w:p>
        </w:tc>
        <w:tc>
          <w:tcPr>
            <w:tcW w:w="1121" w:type="dxa"/>
            <w:vAlign w:val="center"/>
          </w:tcPr>
          <w:p>
            <w:pPr>
              <w:pStyle w:val="32"/>
              <w:spacing w:line="240" w:lineRule="auto"/>
              <w:jc w:val="center"/>
              <w:rPr>
                <w:rFonts w:hint="default" w:ascii="Times New Roman" w:hAnsi="Times New Roman" w:eastAsia="宋体" w:cs="Times New Roman"/>
                <w:color w:val="000000"/>
                <w:kern w:val="0"/>
                <w:sz w:val="21"/>
                <w:szCs w:val="21"/>
                <w:highlight w:val="none"/>
                <w:vertAlign w:val="baseline"/>
                <w:lang w:val="en-US" w:eastAsia="zh-CN" w:bidi="ar-SA"/>
              </w:rPr>
            </w:pPr>
            <w:r>
              <w:rPr>
                <w:rFonts w:hint="default" w:ascii="Times New Roman" w:hAnsi="Times New Roman" w:eastAsia="宋体" w:cs="Times New Roman"/>
                <w:kern w:val="0"/>
                <w:sz w:val="21"/>
                <w:szCs w:val="21"/>
                <w:highlight w:val="none"/>
                <w:vertAlign w:val="baseline"/>
                <w:lang w:val="en-US" w:eastAsia="zh-CN"/>
              </w:rPr>
              <w:t>mg/m</w:t>
            </w:r>
            <w:r>
              <w:rPr>
                <w:rFonts w:hint="default" w:ascii="Times New Roman" w:hAnsi="Times New Roman" w:eastAsia="宋体" w:cs="Times New Roman"/>
                <w:kern w:val="0"/>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rPr>
              <w:t>氮氧化物基准氧含量排放浓度</w:t>
            </w:r>
          </w:p>
        </w:tc>
        <w:tc>
          <w:tcPr>
            <w:tcW w:w="1848"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107</w:t>
            </w:r>
          </w:p>
        </w:tc>
        <w:tc>
          <w:tcPr>
            <w:tcW w:w="1846"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109</w:t>
            </w:r>
          </w:p>
        </w:tc>
        <w:tc>
          <w:tcPr>
            <w:tcW w:w="1852"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101</w:t>
            </w:r>
          </w:p>
        </w:tc>
        <w:tc>
          <w:tcPr>
            <w:tcW w:w="1121" w:type="dxa"/>
            <w:vAlign w:val="center"/>
          </w:tcPr>
          <w:p>
            <w:pPr>
              <w:pStyle w:val="32"/>
              <w:spacing w:line="240" w:lineRule="auto"/>
              <w:jc w:val="center"/>
              <w:rPr>
                <w:rFonts w:hint="default" w:ascii="Times New Roman" w:hAnsi="Times New Roman" w:eastAsia="宋体" w:cs="Times New Roman"/>
                <w:color w:val="000000"/>
                <w:kern w:val="0"/>
                <w:sz w:val="21"/>
                <w:szCs w:val="21"/>
                <w:highlight w:val="none"/>
                <w:vertAlign w:val="baseline"/>
                <w:lang w:val="en-US" w:eastAsia="zh-CN" w:bidi="ar-SA"/>
              </w:rPr>
            </w:pPr>
            <w:r>
              <w:rPr>
                <w:rFonts w:hint="default" w:ascii="Times New Roman" w:hAnsi="Times New Roman" w:eastAsia="宋体" w:cs="Times New Roman"/>
                <w:kern w:val="0"/>
                <w:sz w:val="21"/>
                <w:szCs w:val="21"/>
                <w:highlight w:val="none"/>
                <w:vertAlign w:val="baseline"/>
                <w:lang w:val="en-US" w:eastAsia="zh-CN"/>
              </w:rPr>
              <w:t>mg/m</w:t>
            </w:r>
            <w:r>
              <w:rPr>
                <w:rFonts w:hint="default" w:ascii="Times New Roman" w:hAnsi="Times New Roman" w:eastAsia="宋体" w:cs="Times New Roman"/>
                <w:kern w:val="0"/>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highlight w:val="none"/>
                <w:vertAlign w:val="baseline"/>
                <w:lang w:val="en-US" w:eastAsia="zh-CN"/>
              </w:rPr>
              <w:t>氮氧化物排放速率</w:t>
            </w:r>
          </w:p>
        </w:tc>
        <w:tc>
          <w:tcPr>
            <w:tcW w:w="1848"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0.230</w:t>
            </w:r>
          </w:p>
        </w:tc>
        <w:tc>
          <w:tcPr>
            <w:tcW w:w="1846"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0.225</w:t>
            </w:r>
          </w:p>
        </w:tc>
        <w:tc>
          <w:tcPr>
            <w:tcW w:w="1852"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0.206</w:t>
            </w:r>
          </w:p>
        </w:tc>
        <w:tc>
          <w:tcPr>
            <w:tcW w:w="1121" w:type="dxa"/>
            <w:vAlign w:val="center"/>
          </w:tcPr>
          <w:p>
            <w:pPr>
              <w:pStyle w:val="32"/>
              <w:spacing w:line="240" w:lineRule="auto"/>
              <w:jc w:val="center"/>
              <w:rPr>
                <w:rFonts w:hint="default" w:ascii="Times New Roman" w:hAnsi="Times New Roman" w:eastAsia="宋体" w:cs="Times New Roman"/>
                <w:color w:val="000000"/>
                <w:kern w:val="0"/>
                <w:sz w:val="21"/>
                <w:szCs w:val="21"/>
                <w:highlight w:val="none"/>
                <w:vertAlign w:val="baseline"/>
                <w:lang w:val="en-US" w:eastAsia="zh-CN" w:bidi="ar-SA"/>
              </w:rPr>
            </w:pPr>
            <w:r>
              <w:rPr>
                <w:rFonts w:hint="default" w:ascii="Times New Roman" w:hAnsi="Times New Roman" w:eastAsia="宋体" w:cs="Times New Roman"/>
                <w:kern w:val="0"/>
                <w:sz w:val="21"/>
                <w:szCs w:val="21"/>
                <w:highlight w:val="none"/>
                <w:vertAlign w:val="baseline"/>
                <w:lang w:val="en-US" w:eastAsia="zh-CN"/>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实测氧含量</w:t>
            </w:r>
          </w:p>
        </w:tc>
        <w:tc>
          <w:tcPr>
            <w:tcW w:w="1848"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bidi="ar-SA"/>
              </w:rPr>
              <w:t>4.2</w:t>
            </w:r>
          </w:p>
        </w:tc>
        <w:tc>
          <w:tcPr>
            <w:tcW w:w="1846"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bidi="ar-SA"/>
              </w:rPr>
              <w:t>4.1</w:t>
            </w:r>
          </w:p>
        </w:tc>
        <w:tc>
          <w:tcPr>
            <w:tcW w:w="1852"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bidi="ar-SA"/>
              </w:rPr>
              <w:t>3.9</w:t>
            </w:r>
          </w:p>
        </w:tc>
        <w:tc>
          <w:tcPr>
            <w:tcW w:w="1121" w:type="dxa"/>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标干风量</w:t>
            </w:r>
          </w:p>
        </w:tc>
        <w:tc>
          <w:tcPr>
            <w:tcW w:w="1848" w:type="dxa"/>
            <w:vAlign w:val="center"/>
          </w:tcPr>
          <w:p>
            <w:pPr>
              <w:widowControl w:val="0"/>
              <w:spacing w:line="240" w:lineRule="auto"/>
              <w:jc w:val="center"/>
              <w:rPr>
                <w:rFonts w:hint="default" w:ascii="Times New Roman" w:hAnsi="Times New Roman" w:cs="Times New Roman"/>
                <w:color w:val="auto"/>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bidi="ar-SA"/>
              </w:rPr>
              <w:t>2236</w:t>
            </w:r>
          </w:p>
        </w:tc>
        <w:tc>
          <w:tcPr>
            <w:tcW w:w="1846" w:type="dxa"/>
            <w:vAlign w:val="center"/>
          </w:tcPr>
          <w:p>
            <w:pPr>
              <w:widowControl w:val="0"/>
              <w:spacing w:line="240" w:lineRule="auto"/>
              <w:jc w:val="center"/>
              <w:rPr>
                <w:rFonts w:hint="default" w:ascii="Times New Roman" w:hAnsi="Times New Roman" w:cs="Times New Roman"/>
                <w:color w:val="auto"/>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bidi="ar-SA"/>
              </w:rPr>
              <w:t>2145</w:t>
            </w:r>
          </w:p>
        </w:tc>
        <w:tc>
          <w:tcPr>
            <w:tcW w:w="1852" w:type="dxa"/>
            <w:vAlign w:val="center"/>
          </w:tcPr>
          <w:p>
            <w:pPr>
              <w:widowControl w:val="0"/>
              <w:spacing w:line="240" w:lineRule="auto"/>
              <w:jc w:val="center"/>
              <w:rPr>
                <w:rFonts w:hint="default" w:ascii="Times New Roman" w:hAnsi="Times New Roman" w:cs="Times New Roman"/>
                <w:color w:val="auto"/>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bidi="ar-SA"/>
              </w:rPr>
              <w:t>2078</w:t>
            </w:r>
          </w:p>
        </w:tc>
        <w:tc>
          <w:tcPr>
            <w:tcW w:w="1121" w:type="dxa"/>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Nm</w:t>
            </w:r>
            <w:r>
              <w:rPr>
                <w:rFonts w:hint="default" w:ascii="Times New Roman" w:hAnsi="Times New Roman" w:eastAsia="宋体" w:cs="Times New Roman"/>
                <w:kern w:val="0"/>
                <w:sz w:val="21"/>
                <w:szCs w:val="21"/>
                <w:highlight w:val="none"/>
                <w:vertAlign w:val="superscript"/>
                <w:lang w:val="en-US" w:eastAsia="zh-CN"/>
              </w:rPr>
              <w:t>3</w:t>
            </w:r>
            <w:r>
              <w:rPr>
                <w:rFonts w:hint="default" w:ascii="Times New Roman" w:hAnsi="Times New Roman" w:eastAsia="宋体" w:cs="Times New Roman"/>
                <w:kern w:val="0"/>
                <w:sz w:val="21"/>
                <w:szCs w:val="21"/>
                <w:highlight w:val="none"/>
                <w:vertAlign w:val="baseline"/>
                <w:lang w:val="en-US" w:eastAsia="zh-CN"/>
              </w:rPr>
              <w:t>/h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基准氧含量</w:t>
            </w:r>
          </w:p>
        </w:tc>
        <w:tc>
          <w:tcPr>
            <w:tcW w:w="1848" w:type="dxa"/>
            <w:vAlign w:val="center"/>
          </w:tcPr>
          <w:p>
            <w:pPr>
              <w:pStyle w:val="32"/>
              <w:spacing w:line="240" w:lineRule="auto"/>
              <w:jc w:val="center"/>
              <w:rPr>
                <w:rFonts w:hint="default" w:ascii="Times New Roman" w:hAnsi="Times New Roman"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3.5</w:t>
            </w:r>
          </w:p>
        </w:tc>
        <w:tc>
          <w:tcPr>
            <w:tcW w:w="1846" w:type="dxa"/>
            <w:vAlign w:val="center"/>
          </w:tcPr>
          <w:p>
            <w:pPr>
              <w:widowControl w:val="0"/>
              <w:spacing w:line="240" w:lineRule="auto"/>
              <w:jc w:val="center"/>
              <w:rPr>
                <w:rFonts w:hint="default" w:ascii="Times New Roman" w:hAnsi="Times New Roman" w:cs="Times New Roman"/>
                <w:color w:val="auto"/>
                <w:sz w:val="21"/>
                <w:szCs w:val="21"/>
                <w:highlight w:val="none"/>
                <w:vertAlign w:val="baseline"/>
                <w:lang w:val="en-US" w:eastAsia="zh-CN" w:bidi="ar-SA"/>
              </w:rPr>
            </w:pPr>
            <w:r>
              <w:rPr>
                <w:rFonts w:hint="default" w:ascii="Times New Roman" w:hAnsi="Times New Roman" w:cs="Times New Roman"/>
                <w:color w:val="auto"/>
                <w:kern w:val="2"/>
                <w:sz w:val="21"/>
                <w:szCs w:val="21"/>
                <w:highlight w:val="none"/>
                <w:vertAlign w:val="baseline"/>
                <w:lang w:val="en-US" w:eastAsia="zh-CN" w:bidi="ar-SA"/>
              </w:rPr>
              <w:t>3.5</w:t>
            </w:r>
          </w:p>
        </w:tc>
        <w:tc>
          <w:tcPr>
            <w:tcW w:w="1852" w:type="dxa"/>
            <w:vAlign w:val="center"/>
          </w:tcPr>
          <w:p>
            <w:pPr>
              <w:widowControl w:val="0"/>
              <w:spacing w:line="240" w:lineRule="auto"/>
              <w:jc w:val="center"/>
              <w:rPr>
                <w:rFonts w:hint="default" w:ascii="Times New Roman" w:hAnsi="Times New Roman" w:cs="Times New Roman"/>
                <w:color w:val="auto"/>
                <w:sz w:val="21"/>
                <w:szCs w:val="21"/>
                <w:highlight w:val="none"/>
                <w:vertAlign w:val="baseline"/>
                <w:lang w:val="en-US" w:eastAsia="zh-CN" w:bidi="ar-SA"/>
              </w:rPr>
            </w:pPr>
            <w:r>
              <w:rPr>
                <w:rFonts w:hint="default" w:ascii="Times New Roman" w:hAnsi="Times New Roman" w:cs="Times New Roman"/>
                <w:color w:val="auto"/>
                <w:kern w:val="2"/>
                <w:sz w:val="21"/>
                <w:szCs w:val="21"/>
                <w:highlight w:val="none"/>
                <w:vertAlign w:val="baseline"/>
                <w:lang w:val="en-US" w:eastAsia="zh-CN" w:bidi="ar-SA"/>
              </w:rPr>
              <w:t>3.5</w:t>
            </w:r>
          </w:p>
        </w:tc>
        <w:tc>
          <w:tcPr>
            <w:tcW w:w="1121" w:type="dxa"/>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97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i w:val="0"/>
                <w:color w:val="000000"/>
                <w:kern w:val="0"/>
                <w:sz w:val="21"/>
                <w:szCs w:val="21"/>
                <w:u w:val="none"/>
                <w:lang w:val="en-US" w:eastAsia="zh-CN" w:bidi="ar"/>
              </w:rPr>
              <w:t>烟气黑度</w:t>
            </w:r>
          </w:p>
        </w:tc>
        <w:tc>
          <w:tcPr>
            <w:tcW w:w="1848" w:type="dxa"/>
            <w:vAlign w:val="center"/>
          </w:tcPr>
          <w:p>
            <w:pPr>
              <w:widowControl w:val="0"/>
              <w:spacing w:line="240" w:lineRule="auto"/>
              <w:jc w:val="center"/>
              <w:rPr>
                <w:rFonts w:hint="default" w:ascii="Times New Roman" w:hAnsi="Times New Roman"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＜1</w:t>
            </w:r>
          </w:p>
        </w:tc>
        <w:tc>
          <w:tcPr>
            <w:tcW w:w="1846" w:type="dxa"/>
            <w:vAlign w:val="center"/>
          </w:tcPr>
          <w:p>
            <w:pPr>
              <w:widowControl w:val="0"/>
              <w:spacing w:line="240" w:lineRule="auto"/>
              <w:jc w:val="center"/>
              <w:rPr>
                <w:rFonts w:hint="default" w:ascii="Times New Roman" w:hAnsi="Times New Roman"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＜1</w:t>
            </w:r>
          </w:p>
        </w:tc>
        <w:tc>
          <w:tcPr>
            <w:tcW w:w="1852" w:type="dxa"/>
            <w:vAlign w:val="center"/>
          </w:tcPr>
          <w:p>
            <w:pPr>
              <w:widowControl w:val="0"/>
              <w:spacing w:line="240" w:lineRule="auto"/>
              <w:jc w:val="center"/>
              <w:rPr>
                <w:rFonts w:hint="default" w:ascii="Times New Roman" w:hAnsi="Times New Roman"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＜1</w:t>
            </w:r>
          </w:p>
        </w:tc>
        <w:tc>
          <w:tcPr>
            <w:tcW w:w="1121" w:type="dxa"/>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林格曼级</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lang w:eastAsia="zh-CN"/>
        </w:rPr>
        <w:t>（</w:t>
      </w:r>
      <w:r>
        <w:rPr>
          <w:rFonts w:hint="default" w:ascii="Times New Roman" w:hAnsi="Times New Roman" w:eastAsia="Times New Roman" w:cs="Times New Roman"/>
          <w:spacing w:val="-1"/>
          <w:sz w:val="24"/>
          <w:szCs w:val="24"/>
        </w:rPr>
        <w:t>2</w:t>
      </w:r>
      <w:r>
        <w:rPr>
          <w:rFonts w:hint="default" w:ascii="Times New Roman" w:hAnsi="Times New Roman" w:eastAsia="宋体" w:cs="Times New Roman"/>
          <w:spacing w:val="-1"/>
          <w:sz w:val="24"/>
          <w:szCs w:val="24"/>
        </w:rPr>
        <w:t>）恶臭气体污染物排放情况</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现有工程恶臭</w:t>
      </w:r>
      <w:r>
        <w:rPr>
          <w:rFonts w:hint="default" w:ascii="Times New Roman" w:hAnsi="Times New Roman" w:eastAsia="宋体" w:cs="Times New Roman"/>
          <w:spacing w:val="-1"/>
          <w:sz w:val="24"/>
          <w:szCs w:val="24"/>
          <w:lang w:val="en-US" w:eastAsia="zh-CN"/>
        </w:rPr>
        <w:t>气体主要来源于污水处理站、待宰圈、屠宰车间等，通过及时清理猪粪，喷洒除臭剂，恶臭气体无组织排放。黑龙江克巽检测技术有限公司于 2023年12月 12  日对恶臭气体进行监测</w:t>
      </w:r>
      <w:r>
        <w:rPr>
          <w:rFonts w:hint="eastAsia" w:ascii="Times New Roman" w:hAnsi="Times New Roman" w:eastAsia="宋体" w:cs="Times New Roman"/>
          <w:spacing w:val="-1"/>
          <w:sz w:val="24"/>
          <w:szCs w:val="24"/>
          <w:lang w:val="en-US" w:eastAsia="zh-CN"/>
        </w:rPr>
        <w:t>，监测结果见表3-2-4</w:t>
      </w:r>
      <w:r>
        <w:rPr>
          <w:rFonts w:hint="default" w:ascii="Times New Roman" w:hAnsi="Times New Roman" w:eastAsia="宋体" w:cs="Times New Roman"/>
          <w:spacing w:val="-1"/>
          <w:sz w:val="24"/>
          <w:szCs w:val="24"/>
          <w:lang w:val="en-US" w:eastAsia="zh-CN"/>
        </w:rPr>
        <w:t>。</w:t>
      </w:r>
    </w:p>
    <w:p>
      <w:pPr>
        <w:spacing w:before="117" w:line="228" w:lineRule="auto"/>
        <w:jc w:val="center"/>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40"/>
          <w:sz w:val="20"/>
          <w:szCs w:val="20"/>
        </w:rPr>
        <w:t xml:space="preserve"> </w:t>
      </w:r>
      <w:r>
        <w:rPr>
          <w:rFonts w:hint="default" w:ascii="Times New Roman" w:hAnsi="Times New Roman" w:eastAsia="宋体" w:cs="Times New Roman"/>
          <w:b/>
          <w:bCs/>
          <w:spacing w:val="8"/>
          <w:sz w:val="20"/>
          <w:szCs w:val="20"/>
          <w:lang w:val="en-US" w:eastAsia="zh-CN"/>
        </w:rPr>
        <w:t>3</w:t>
      </w:r>
      <w:r>
        <w:rPr>
          <w:rFonts w:hint="eastAsia" w:ascii="Times New Roman" w:hAnsi="Times New Roman" w:eastAsia="宋体" w:cs="Times New Roman"/>
          <w:b/>
          <w:bCs/>
          <w:spacing w:val="8"/>
          <w:sz w:val="20"/>
          <w:szCs w:val="20"/>
          <w:lang w:val="en-US" w:eastAsia="zh-CN"/>
        </w:rPr>
        <w:t>-</w:t>
      </w:r>
      <w:r>
        <w:rPr>
          <w:rFonts w:hint="default" w:ascii="Times New Roman" w:hAnsi="Times New Roman" w:eastAsia="Times New Roman" w:cs="Times New Roman"/>
          <w:b/>
          <w:bCs/>
          <w:spacing w:val="8"/>
          <w:sz w:val="20"/>
          <w:szCs w:val="20"/>
        </w:rPr>
        <w:t xml:space="preserve">2-4  </w:t>
      </w:r>
      <w:r>
        <w:rPr>
          <w:rFonts w:hint="default" w:ascii="Times New Roman" w:hAnsi="Times New Roman" w:eastAsia="宋体" w:cs="Times New Roman"/>
          <w:spacing w:val="8"/>
          <w:sz w:val="20"/>
          <w:szCs w:val="20"/>
          <w14:textOutline w14:w="3795" w14:cap="sq" w14:cmpd="sng">
            <w14:solidFill>
              <w14:srgbClr w14:val="000000"/>
            </w14:solidFill>
            <w14:prstDash w14:val="solid"/>
            <w14:bevel/>
          </w14:textOutline>
        </w:rPr>
        <w:t>现有工程</w:t>
      </w:r>
      <w:r>
        <w:rPr>
          <w:rFonts w:hint="default" w:ascii="Times New Roman" w:hAnsi="Times New Roman" w:eastAsia="宋体" w:cs="Times New Roman"/>
          <w:spacing w:val="8"/>
          <w:sz w:val="20"/>
          <w:szCs w:val="20"/>
          <w:lang w:val="en-US" w:eastAsia="zh-CN"/>
          <w14:textOutline w14:w="3795" w14:cap="sq" w14:cmpd="sng">
            <w14:solidFill>
              <w14:srgbClr w14:val="000000"/>
            </w14:solidFill>
            <w14:prstDash w14:val="solid"/>
            <w14:bevel/>
          </w14:textOutline>
        </w:rPr>
        <w:t>无</w:t>
      </w:r>
      <w:r>
        <w:rPr>
          <w:rFonts w:hint="default" w:ascii="Times New Roman" w:hAnsi="Times New Roman" w:eastAsia="宋体" w:cs="Times New Roman"/>
          <w:spacing w:val="8"/>
          <w:sz w:val="20"/>
          <w:szCs w:val="20"/>
          <w14:textOutline w14:w="3795" w14:cap="sq" w14:cmpd="sng">
            <w14:solidFill>
              <w14:srgbClr w14:val="000000"/>
            </w14:solidFill>
            <w14:prstDash w14:val="solid"/>
            <w14:bevel/>
          </w14:textOutline>
        </w:rPr>
        <w:t>组织废气污染</w:t>
      </w: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物排放情况</w:t>
      </w:r>
    </w:p>
    <w:p>
      <w:pPr>
        <w:spacing w:line="14" w:lineRule="exact"/>
        <w:rPr>
          <w:rFonts w:hint="default" w:ascii="Times New Roman" w:hAnsi="Times New Roman" w:cs="Times New Roman"/>
        </w:rPr>
      </w:pPr>
    </w:p>
    <w:tbl>
      <w:tblPr>
        <w:tblStyle w:val="25"/>
        <w:tblW w:w="96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62"/>
        <w:gridCol w:w="1115"/>
        <w:gridCol w:w="2045"/>
        <w:gridCol w:w="2045"/>
        <w:gridCol w:w="2045"/>
        <w:gridCol w:w="9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25" w:hRule="atLeast"/>
          <w:jc w:val="center"/>
        </w:trPr>
        <w:tc>
          <w:tcPr>
            <w:tcW w:w="2577" w:type="dxa"/>
            <w:gridSpan w:val="2"/>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kern w:val="0"/>
                <w:sz w:val="21"/>
                <w:szCs w:val="21"/>
                <w:vertAlign w:val="baseline"/>
                <w:lang w:val="en-US" w:eastAsia="zh-CN"/>
              </w:rPr>
              <w:t>采样日期</w:t>
            </w:r>
          </w:p>
        </w:tc>
        <w:tc>
          <w:tcPr>
            <w:tcW w:w="6135" w:type="dxa"/>
            <w:gridSpan w:val="3"/>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kern w:val="0"/>
                <w:sz w:val="21"/>
                <w:szCs w:val="21"/>
                <w:vertAlign w:val="baseline"/>
                <w:lang w:val="en-US" w:eastAsia="zh-CN"/>
              </w:rPr>
              <w:t>2023.12.12</w:t>
            </w:r>
          </w:p>
        </w:tc>
        <w:tc>
          <w:tcPr>
            <w:tcW w:w="926" w:type="dxa"/>
            <w:vMerge w:val="restart"/>
            <w:tcBorders>
              <w:tl2br w:val="nil"/>
              <w:tr2bl w:val="nil"/>
            </w:tcBorders>
            <w:vAlign w:val="center"/>
          </w:tcPr>
          <w:p>
            <w:pPr>
              <w:pStyle w:val="32"/>
              <w:spacing w:line="240" w:lineRule="auto"/>
              <w:jc w:val="center"/>
              <w:rPr>
                <w:rFonts w:hint="default" w:ascii="Times New Roman" w:hAnsi="Times New Roman" w:eastAsia="宋体" w:cs="Times New Roman"/>
                <w:b w:val="0"/>
                <w:bCs w:val="0"/>
                <w:color w:val="000000"/>
                <w:kern w:val="0"/>
                <w:sz w:val="21"/>
                <w:szCs w:val="21"/>
                <w:vertAlign w:val="baseline"/>
                <w:lang w:val="en-US" w:eastAsia="zh-CN" w:bidi="ar-SA"/>
              </w:rPr>
            </w:pPr>
            <w:r>
              <w:rPr>
                <w:rFonts w:hint="default" w:ascii="Times New Roman" w:hAnsi="Times New Roman" w:eastAsia="宋体" w:cs="Times New Roman"/>
                <w:b/>
                <w:bCs/>
                <w:kern w:val="0"/>
                <w:sz w:val="21"/>
                <w:szCs w:val="21"/>
                <w:vertAlign w:val="baseline"/>
                <w:lang w:val="en-US" w:eastAsia="zh-CN"/>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vMerge w:val="restart"/>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检测点位</w:t>
            </w:r>
          </w:p>
        </w:tc>
        <w:tc>
          <w:tcPr>
            <w:tcW w:w="1115" w:type="dxa"/>
            <w:vMerge w:val="restart"/>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检测项目</w:t>
            </w:r>
          </w:p>
        </w:tc>
        <w:tc>
          <w:tcPr>
            <w:tcW w:w="6135" w:type="dxa"/>
            <w:gridSpan w:val="3"/>
            <w:tcBorders>
              <w:tl2br w:val="nil"/>
              <w:tr2bl w:val="nil"/>
            </w:tcBorders>
            <w:vAlign w:val="center"/>
          </w:tcPr>
          <w:p>
            <w:pPr>
              <w:pStyle w:val="32"/>
              <w:spacing w:line="240" w:lineRule="auto"/>
              <w:jc w:val="center"/>
              <w:rPr>
                <w:rFonts w:hint="default" w:ascii="Times New Roman" w:hAnsi="Times New Roman" w:eastAsia="宋体" w:cs="Times New Roman"/>
                <w:b w:val="0"/>
                <w:bCs w:val="0"/>
                <w:color w:val="000000"/>
                <w:kern w:val="0"/>
                <w:sz w:val="21"/>
                <w:szCs w:val="21"/>
                <w:vertAlign w:val="baseline"/>
                <w:lang w:val="en-US" w:eastAsia="zh-CN" w:bidi="ar-SA"/>
              </w:rPr>
            </w:pPr>
            <w:r>
              <w:rPr>
                <w:rFonts w:hint="default" w:ascii="Times New Roman" w:hAnsi="Times New Roman" w:eastAsia="宋体" w:cs="Times New Roman"/>
                <w:b/>
                <w:bCs/>
                <w:kern w:val="0"/>
                <w:sz w:val="21"/>
                <w:szCs w:val="21"/>
                <w:vertAlign w:val="baseline"/>
                <w:lang w:val="en-US" w:eastAsia="zh-CN"/>
              </w:rPr>
              <w:t>检测结果</w:t>
            </w:r>
          </w:p>
        </w:tc>
        <w:tc>
          <w:tcPr>
            <w:tcW w:w="926"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b w:val="0"/>
                <w:bCs w:val="0"/>
                <w:color w:val="000000"/>
                <w:kern w:val="0"/>
                <w:sz w:val="21"/>
                <w:szCs w:val="21"/>
                <w:vertAlign w:val="baseli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p>
        </w:tc>
        <w:tc>
          <w:tcPr>
            <w:tcW w:w="1115"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p>
        </w:tc>
        <w:tc>
          <w:tcPr>
            <w:tcW w:w="2045"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第1次</w:t>
            </w:r>
          </w:p>
        </w:tc>
        <w:tc>
          <w:tcPr>
            <w:tcW w:w="2045"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第2次</w:t>
            </w:r>
          </w:p>
        </w:tc>
        <w:tc>
          <w:tcPr>
            <w:tcW w:w="2045"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第3次</w:t>
            </w:r>
          </w:p>
        </w:tc>
        <w:tc>
          <w:tcPr>
            <w:tcW w:w="926"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25" w:hRule="atLeast"/>
          <w:jc w:val="center"/>
        </w:trPr>
        <w:tc>
          <w:tcPr>
            <w:tcW w:w="1462"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厂界上风向1</w:t>
            </w:r>
          </w:p>
        </w:tc>
        <w:tc>
          <w:tcPr>
            <w:tcW w:w="1115" w:type="dxa"/>
            <w:vMerge w:val="restart"/>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氨</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0.01L</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0.01L</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0.01L</w:t>
            </w:r>
          </w:p>
        </w:tc>
        <w:tc>
          <w:tcPr>
            <w:tcW w:w="926" w:type="dxa"/>
            <w:tcBorders>
              <w:tl2br w:val="nil"/>
              <w:tr2bl w:val="nil"/>
            </w:tcBorders>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mg/m</w:t>
            </w:r>
            <w:r>
              <w:rPr>
                <w:rFonts w:hint="default" w:ascii="Times New Roman" w:hAnsi="Times New Roman" w:eastAsia="宋体" w:cs="Times New Roman"/>
                <w:kern w:val="0"/>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厂界下风向2</w:t>
            </w:r>
          </w:p>
        </w:tc>
        <w:tc>
          <w:tcPr>
            <w:tcW w:w="1115"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cs="Times New Roman"/>
                <w:color w:val="auto"/>
                <w:kern w:val="0"/>
                <w:sz w:val="21"/>
                <w:szCs w:val="21"/>
                <w:highlight w:val="none"/>
                <w:vertAlign w:val="baseline"/>
                <w:lang w:val="en-US" w:eastAsia="zh-CN" w:bidi="ar-SA"/>
              </w:rPr>
              <w:t>0.03</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cs="Times New Roman"/>
                <w:color w:val="auto"/>
                <w:kern w:val="0"/>
                <w:sz w:val="21"/>
                <w:szCs w:val="21"/>
                <w:highlight w:val="none"/>
                <w:vertAlign w:val="baseline"/>
                <w:lang w:val="en-US" w:eastAsia="zh-CN" w:bidi="ar-SA"/>
              </w:rPr>
              <w:t>0.04</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cs="Times New Roman"/>
                <w:color w:val="auto"/>
                <w:kern w:val="0"/>
                <w:sz w:val="21"/>
                <w:szCs w:val="21"/>
                <w:highlight w:val="none"/>
                <w:vertAlign w:val="baseline"/>
                <w:lang w:val="en-US" w:eastAsia="zh-CN" w:bidi="ar-SA"/>
              </w:rPr>
              <w:t>0.04</w:t>
            </w:r>
          </w:p>
        </w:tc>
        <w:tc>
          <w:tcPr>
            <w:tcW w:w="926" w:type="dxa"/>
            <w:tcBorders>
              <w:tl2br w:val="nil"/>
              <w:tr2bl w:val="nil"/>
            </w:tcBorders>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mg/m</w:t>
            </w:r>
            <w:r>
              <w:rPr>
                <w:rFonts w:hint="default" w:ascii="Times New Roman" w:hAnsi="Times New Roman" w:eastAsia="宋体" w:cs="Times New Roman"/>
                <w:kern w:val="0"/>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tcBorders>
              <w:tl2br w:val="nil"/>
              <w:tr2bl w:val="nil"/>
            </w:tcBorders>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厂界下风向3</w:t>
            </w:r>
          </w:p>
        </w:tc>
        <w:tc>
          <w:tcPr>
            <w:tcW w:w="1115"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cs="Times New Roman"/>
                <w:color w:val="auto"/>
                <w:kern w:val="0"/>
                <w:sz w:val="21"/>
                <w:szCs w:val="21"/>
                <w:highlight w:val="none"/>
                <w:vertAlign w:val="baseline"/>
                <w:lang w:val="en-US" w:eastAsia="zh-CN" w:bidi="ar-SA"/>
              </w:rPr>
              <w:t>0.06</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cs="Times New Roman"/>
                <w:color w:val="auto"/>
                <w:kern w:val="0"/>
                <w:sz w:val="21"/>
                <w:szCs w:val="21"/>
                <w:highlight w:val="none"/>
                <w:vertAlign w:val="baseline"/>
                <w:lang w:val="en-US" w:eastAsia="zh-CN" w:bidi="ar-SA"/>
              </w:rPr>
              <w:t>0.02</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cs="Times New Roman"/>
                <w:color w:val="auto"/>
                <w:kern w:val="0"/>
                <w:sz w:val="21"/>
                <w:szCs w:val="21"/>
                <w:highlight w:val="none"/>
                <w:vertAlign w:val="baseline"/>
                <w:lang w:val="en-US" w:eastAsia="zh-CN" w:bidi="ar-SA"/>
              </w:rPr>
              <w:t>0.05</w:t>
            </w:r>
          </w:p>
        </w:tc>
        <w:tc>
          <w:tcPr>
            <w:tcW w:w="926" w:type="dxa"/>
            <w:tcBorders>
              <w:tl2br w:val="nil"/>
              <w:tr2bl w:val="nil"/>
            </w:tcBorders>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mg/m</w:t>
            </w:r>
            <w:r>
              <w:rPr>
                <w:rFonts w:hint="default" w:ascii="Times New Roman" w:hAnsi="Times New Roman" w:eastAsia="宋体" w:cs="Times New Roman"/>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厂界下风向4</w:t>
            </w:r>
          </w:p>
        </w:tc>
        <w:tc>
          <w:tcPr>
            <w:tcW w:w="1115" w:type="dxa"/>
            <w:vMerge w:val="continue"/>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p>
        </w:tc>
        <w:tc>
          <w:tcPr>
            <w:tcW w:w="204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cs="Times New Roman"/>
                <w:color w:val="auto"/>
                <w:kern w:val="0"/>
                <w:sz w:val="21"/>
                <w:szCs w:val="21"/>
                <w:highlight w:val="none"/>
                <w:vertAlign w:val="baseline"/>
                <w:lang w:val="en-US" w:eastAsia="zh-CN" w:bidi="ar-SA"/>
              </w:rPr>
              <w:t>0.01</w:t>
            </w:r>
          </w:p>
        </w:tc>
        <w:tc>
          <w:tcPr>
            <w:tcW w:w="204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cs="Times New Roman"/>
                <w:color w:val="auto"/>
                <w:kern w:val="0"/>
                <w:sz w:val="21"/>
                <w:szCs w:val="21"/>
                <w:highlight w:val="none"/>
                <w:vertAlign w:val="baseline"/>
                <w:lang w:val="en-US" w:eastAsia="zh-CN" w:bidi="ar-SA"/>
              </w:rPr>
              <w:t>0.03</w:t>
            </w:r>
          </w:p>
        </w:tc>
        <w:tc>
          <w:tcPr>
            <w:tcW w:w="204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cs="Times New Roman"/>
                <w:color w:val="auto"/>
                <w:kern w:val="0"/>
                <w:sz w:val="21"/>
                <w:szCs w:val="21"/>
                <w:highlight w:val="none"/>
                <w:vertAlign w:val="baseline"/>
                <w:lang w:val="en-US" w:eastAsia="zh-CN" w:bidi="ar-SA"/>
              </w:rPr>
              <w:t>0.03</w:t>
            </w:r>
          </w:p>
        </w:tc>
        <w:tc>
          <w:tcPr>
            <w:tcW w:w="926" w:type="dxa"/>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mg/m</w:t>
            </w:r>
            <w:r>
              <w:rPr>
                <w:rFonts w:hint="default" w:ascii="Times New Roman" w:hAnsi="Times New Roman" w:eastAsia="宋体" w:cs="Times New Roman"/>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厂界上风向1</w:t>
            </w:r>
          </w:p>
        </w:tc>
        <w:tc>
          <w:tcPr>
            <w:tcW w:w="1115" w:type="dxa"/>
            <w:vMerge w:val="restart"/>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硫化氢</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0.001L</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0.001L</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0.001L</w:t>
            </w:r>
          </w:p>
        </w:tc>
        <w:tc>
          <w:tcPr>
            <w:tcW w:w="926" w:type="dxa"/>
            <w:tcBorders>
              <w:tl2br w:val="nil"/>
              <w:tr2bl w:val="nil"/>
            </w:tcBorders>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mg/m</w:t>
            </w:r>
            <w:r>
              <w:rPr>
                <w:rFonts w:hint="default" w:ascii="Times New Roman" w:hAnsi="Times New Roman" w:eastAsia="宋体" w:cs="Times New Roman"/>
                <w:kern w:val="0"/>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厂界下风向2</w:t>
            </w:r>
          </w:p>
        </w:tc>
        <w:tc>
          <w:tcPr>
            <w:tcW w:w="1115"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0.009</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0.010</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0.006</w:t>
            </w:r>
          </w:p>
        </w:tc>
        <w:tc>
          <w:tcPr>
            <w:tcW w:w="926" w:type="dxa"/>
            <w:tcBorders>
              <w:tl2br w:val="nil"/>
              <w:tr2bl w:val="nil"/>
            </w:tcBorders>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mg/m</w:t>
            </w:r>
            <w:r>
              <w:rPr>
                <w:rFonts w:hint="default" w:ascii="Times New Roman" w:hAnsi="Times New Roman" w:eastAsia="宋体" w:cs="Times New Roman"/>
                <w:kern w:val="0"/>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tcBorders>
              <w:tl2br w:val="nil"/>
              <w:tr2bl w:val="nil"/>
            </w:tcBorders>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厂界下风向3</w:t>
            </w:r>
          </w:p>
        </w:tc>
        <w:tc>
          <w:tcPr>
            <w:tcW w:w="1115"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0.007</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0.006</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0.008</w:t>
            </w:r>
          </w:p>
        </w:tc>
        <w:tc>
          <w:tcPr>
            <w:tcW w:w="926" w:type="dxa"/>
            <w:tcBorders>
              <w:tl2br w:val="nil"/>
              <w:tr2bl w:val="nil"/>
            </w:tcBorders>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mg/m</w:t>
            </w:r>
            <w:r>
              <w:rPr>
                <w:rFonts w:hint="default" w:ascii="Times New Roman" w:hAnsi="Times New Roman" w:eastAsia="宋体" w:cs="Times New Roman"/>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厂界下风向4</w:t>
            </w:r>
          </w:p>
        </w:tc>
        <w:tc>
          <w:tcPr>
            <w:tcW w:w="1115" w:type="dxa"/>
            <w:vMerge w:val="continue"/>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p>
        </w:tc>
        <w:tc>
          <w:tcPr>
            <w:tcW w:w="204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0.006</w:t>
            </w:r>
          </w:p>
        </w:tc>
        <w:tc>
          <w:tcPr>
            <w:tcW w:w="204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0.005</w:t>
            </w:r>
          </w:p>
        </w:tc>
        <w:tc>
          <w:tcPr>
            <w:tcW w:w="204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0.006</w:t>
            </w:r>
          </w:p>
        </w:tc>
        <w:tc>
          <w:tcPr>
            <w:tcW w:w="926" w:type="dxa"/>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mg/m</w:t>
            </w:r>
            <w:r>
              <w:rPr>
                <w:rFonts w:hint="default" w:ascii="Times New Roman" w:hAnsi="Times New Roman" w:eastAsia="宋体" w:cs="Times New Roman"/>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厂界上风向1</w:t>
            </w:r>
          </w:p>
        </w:tc>
        <w:tc>
          <w:tcPr>
            <w:tcW w:w="1115" w:type="dxa"/>
            <w:vMerge w:val="restart"/>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臭气浓度</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＜10</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＜10</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＜10</w:t>
            </w:r>
          </w:p>
        </w:tc>
        <w:tc>
          <w:tcPr>
            <w:tcW w:w="926" w:type="dxa"/>
            <w:tcBorders>
              <w:tl2br w:val="nil"/>
              <w:tr2bl w:val="nil"/>
            </w:tcBorders>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mg/m</w:t>
            </w:r>
            <w:r>
              <w:rPr>
                <w:rFonts w:hint="default" w:ascii="Times New Roman" w:hAnsi="Times New Roman" w:eastAsia="宋体" w:cs="Times New Roman"/>
                <w:kern w:val="0"/>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厂界下风向2</w:t>
            </w:r>
          </w:p>
        </w:tc>
        <w:tc>
          <w:tcPr>
            <w:tcW w:w="1115"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14</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12</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13</w:t>
            </w:r>
          </w:p>
        </w:tc>
        <w:tc>
          <w:tcPr>
            <w:tcW w:w="926" w:type="dxa"/>
            <w:tcBorders>
              <w:tl2br w:val="nil"/>
              <w:tr2bl w:val="nil"/>
            </w:tcBorders>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mg/m</w:t>
            </w:r>
            <w:r>
              <w:rPr>
                <w:rFonts w:hint="default" w:ascii="Times New Roman" w:hAnsi="Times New Roman" w:eastAsia="宋体" w:cs="Times New Roman"/>
                <w:kern w:val="0"/>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tcBorders>
              <w:tl2br w:val="nil"/>
              <w:tr2bl w:val="nil"/>
            </w:tcBorders>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厂界下风向3</w:t>
            </w:r>
          </w:p>
        </w:tc>
        <w:tc>
          <w:tcPr>
            <w:tcW w:w="1115"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15</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12</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15</w:t>
            </w:r>
          </w:p>
        </w:tc>
        <w:tc>
          <w:tcPr>
            <w:tcW w:w="926" w:type="dxa"/>
            <w:tcBorders>
              <w:tl2br w:val="nil"/>
              <w:tr2bl w:val="nil"/>
            </w:tcBorders>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mg/m</w:t>
            </w:r>
            <w:r>
              <w:rPr>
                <w:rFonts w:hint="default" w:ascii="Times New Roman" w:hAnsi="Times New Roman" w:eastAsia="宋体" w:cs="Times New Roman"/>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厂界下风向4</w:t>
            </w:r>
          </w:p>
        </w:tc>
        <w:tc>
          <w:tcPr>
            <w:tcW w:w="1115" w:type="dxa"/>
            <w:vMerge w:val="continue"/>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p>
        </w:tc>
        <w:tc>
          <w:tcPr>
            <w:tcW w:w="204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14</w:t>
            </w:r>
          </w:p>
        </w:tc>
        <w:tc>
          <w:tcPr>
            <w:tcW w:w="204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13</w:t>
            </w:r>
          </w:p>
        </w:tc>
        <w:tc>
          <w:tcPr>
            <w:tcW w:w="204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14</w:t>
            </w:r>
          </w:p>
        </w:tc>
        <w:tc>
          <w:tcPr>
            <w:tcW w:w="926" w:type="dxa"/>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mg/m</w:t>
            </w:r>
            <w:r>
              <w:rPr>
                <w:rFonts w:hint="default" w:ascii="Times New Roman" w:hAnsi="Times New Roman" w:eastAsia="宋体" w:cs="Times New Roman"/>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厂界上风向1</w:t>
            </w:r>
          </w:p>
        </w:tc>
        <w:tc>
          <w:tcPr>
            <w:tcW w:w="1115" w:type="dxa"/>
            <w:vMerge w:val="restart"/>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非甲烷总烃</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0.96</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default" w:ascii="Times New Roman" w:hAnsi="Times New Roman" w:cs="Times New Roman"/>
                <w:color w:val="auto"/>
                <w:kern w:val="0"/>
                <w:sz w:val="21"/>
                <w:szCs w:val="21"/>
                <w:highlight w:val="none"/>
                <w:vertAlign w:val="baseline"/>
                <w:lang w:val="en-US" w:eastAsia="zh-CN" w:bidi="ar-SA"/>
              </w:rPr>
              <w:t>1.03</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default" w:ascii="Times New Roman" w:hAnsi="Times New Roman" w:cs="Times New Roman"/>
                <w:color w:val="auto"/>
                <w:kern w:val="0"/>
                <w:sz w:val="21"/>
                <w:szCs w:val="21"/>
                <w:highlight w:val="none"/>
                <w:vertAlign w:val="baseline"/>
                <w:lang w:val="en-US" w:eastAsia="zh-CN" w:bidi="ar-SA"/>
              </w:rPr>
              <w:t>1.11</w:t>
            </w:r>
          </w:p>
        </w:tc>
        <w:tc>
          <w:tcPr>
            <w:tcW w:w="926" w:type="dxa"/>
            <w:tcBorders>
              <w:tl2br w:val="nil"/>
              <w:tr2bl w:val="nil"/>
            </w:tcBorders>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mg/m</w:t>
            </w:r>
            <w:r>
              <w:rPr>
                <w:rFonts w:hint="default" w:ascii="Times New Roman" w:hAnsi="Times New Roman" w:eastAsia="宋体" w:cs="Times New Roman"/>
                <w:kern w:val="0"/>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厂界下风向2</w:t>
            </w:r>
          </w:p>
        </w:tc>
        <w:tc>
          <w:tcPr>
            <w:tcW w:w="1115"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1.46</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1.25</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1.38</w:t>
            </w:r>
          </w:p>
        </w:tc>
        <w:tc>
          <w:tcPr>
            <w:tcW w:w="926" w:type="dxa"/>
            <w:tcBorders>
              <w:tl2br w:val="nil"/>
              <w:tr2bl w:val="nil"/>
            </w:tcBorders>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mg/m</w:t>
            </w:r>
            <w:r>
              <w:rPr>
                <w:rFonts w:hint="default" w:ascii="Times New Roman" w:hAnsi="Times New Roman" w:eastAsia="宋体" w:cs="Times New Roman"/>
                <w:kern w:val="0"/>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tcBorders>
              <w:tl2br w:val="nil"/>
              <w:tr2bl w:val="nil"/>
            </w:tcBorders>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厂界下风向3</w:t>
            </w:r>
          </w:p>
        </w:tc>
        <w:tc>
          <w:tcPr>
            <w:tcW w:w="1115"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1.42</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1.41</w:t>
            </w:r>
          </w:p>
        </w:tc>
        <w:tc>
          <w:tcPr>
            <w:tcW w:w="204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1.39</w:t>
            </w:r>
          </w:p>
        </w:tc>
        <w:tc>
          <w:tcPr>
            <w:tcW w:w="926" w:type="dxa"/>
            <w:tcBorders>
              <w:tl2br w:val="nil"/>
              <w:tr2bl w:val="nil"/>
            </w:tcBorders>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mg/m</w:t>
            </w:r>
            <w:r>
              <w:rPr>
                <w:rFonts w:hint="default" w:ascii="Times New Roman" w:hAnsi="Times New Roman" w:eastAsia="宋体" w:cs="Times New Roman"/>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厂界下风向4</w:t>
            </w:r>
          </w:p>
        </w:tc>
        <w:tc>
          <w:tcPr>
            <w:tcW w:w="1115" w:type="dxa"/>
            <w:vMerge w:val="continue"/>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p>
        </w:tc>
        <w:tc>
          <w:tcPr>
            <w:tcW w:w="204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1.29</w:t>
            </w:r>
          </w:p>
        </w:tc>
        <w:tc>
          <w:tcPr>
            <w:tcW w:w="204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1.34</w:t>
            </w:r>
          </w:p>
        </w:tc>
        <w:tc>
          <w:tcPr>
            <w:tcW w:w="204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1.40</w:t>
            </w:r>
          </w:p>
        </w:tc>
        <w:tc>
          <w:tcPr>
            <w:tcW w:w="926" w:type="dxa"/>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mg/m</w:t>
            </w:r>
            <w:r>
              <w:rPr>
                <w:rFonts w:hint="default" w:ascii="Times New Roman" w:hAnsi="Times New Roman" w:eastAsia="宋体" w:cs="Times New Roman"/>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2" w:type="dxa"/>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柴油储罐周边5</w:t>
            </w:r>
          </w:p>
        </w:tc>
        <w:tc>
          <w:tcPr>
            <w:tcW w:w="1115" w:type="dxa"/>
            <w:vMerge w:val="continue"/>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p>
        </w:tc>
        <w:tc>
          <w:tcPr>
            <w:tcW w:w="204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2.45</w:t>
            </w:r>
          </w:p>
        </w:tc>
        <w:tc>
          <w:tcPr>
            <w:tcW w:w="204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2.15</w:t>
            </w:r>
          </w:p>
        </w:tc>
        <w:tc>
          <w:tcPr>
            <w:tcW w:w="204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SA"/>
              </w:rPr>
              <w:t>2.22</w:t>
            </w:r>
          </w:p>
        </w:tc>
        <w:tc>
          <w:tcPr>
            <w:tcW w:w="926" w:type="dxa"/>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mg/m</w:t>
            </w:r>
            <w:r>
              <w:rPr>
                <w:rFonts w:hint="default" w:ascii="Times New Roman" w:hAnsi="Times New Roman" w:eastAsia="宋体" w:cs="Times New Roman"/>
                <w:sz w:val="21"/>
                <w:szCs w:val="21"/>
                <w:highlight w:val="none"/>
                <w:vertAlign w:val="superscript"/>
                <w:lang w:val="en-US" w:eastAsia="zh-CN"/>
              </w:rPr>
              <w:t>3</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lang w:val="en-US" w:eastAsia="zh-CN"/>
        </w:rPr>
        <w:t>由监测结果可知，</w:t>
      </w:r>
      <w:r>
        <w:rPr>
          <w:rFonts w:hint="eastAsia" w:ascii="Times New Roman" w:hAnsi="Times New Roman" w:eastAsia="宋体" w:cs="Times New Roman"/>
          <w:spacing w:val="-1"/>
          <w:sz w:val="24"/>
          <w:szCs w:val="24"/>
          <w:lang w:val="en-US" w:eastAsia="zh-CN"/>
        </w:rPr>
        <w:t>厂界</w:t>
      </w:r>
      <w:r>
        <w:rPr>
          <w:rFonts w:hint="default" w:ascii="Times New Roman" w:hAnsi="Times New Roman" w:eastAsia="宋体" w:cs="Times New Roman"/>
          <w:spacing w:val="-1"/>
          <w:sz w:val="24"/>
          <w:szCs w:val="24"/>
          <w:lang w:val="en-US" w:eastAsia="zh-CN"/>
        </w:rPr>
        <w:t>氨、硫化氢、臭气浓度满足《恶臭污染物排放标准》（GB 14554-93）中</w:t>
      </w:r>
      <w:r>
        <w:rPr>
          <w:rFonts w:hint="eastAsia" w:ascii="Times New Roman" w:hAnsi="Times New Roman" w:eastAsia="宋体" w:cs="Times New Roman"/>
          <w:spacing w:val="-1"/>
          <w:sz w:val="24"/>
          <w:szCs w:val="24"/>
          <w:lang w:val="en-US" w:eastAsia="zh-CN"/>
        </w:rPr>
        <w:t>表1二级</w:t>
      </w:r>
      <w:r>
        <w:rPr>
          <w:rFonts w:hint="default" w:ascii="Times New Roman" w:hAnsi="Times New Roman" w:eastAsia="宋体" w:cs="Times New Roman"/>
          <w:spacing w:val="-1"/>
          <w:sz w:val="24"/>
          <w:szCs w:val="24"/>
          <w:lang w:val="en-US" w:eastAsia="zh-CN"/>
        </w:rPr>
        <w:t>排放限值要求</w:t>
      </w:r>
      <w:r>
        <w:rPr>
          <w:rFonts w:hint="eastAsia" w:ascii="Times New Roman" w:hAnsi="Times New Roman" w:eastAsia="宋体" w:cs="Times New Roman"/>
          <w:spacing w:val="-1"/>
          <w:sz w:val="24"/>
          <w:szCs w:val="24"/>
          <w:lang w:val="en-US" w:eastAsia="zh-CN"/>
        </w:rPr>
        <w:t>。厂界非甲烷总烃排放浓度满足《大气污染物综合排放标准》（GB16297-1996）表2无组织排放浓度限值</w:t>
      </w:r>
      <w:r>
        <w:rPr>
          <w:rFonts w:hint="default" w:ascii="Times New Roman" w:hAnsi="Times New Roman" w:eastAsia="宋体" w:cs="Times New Roman"/>
          <w:spacing w:val="-1"/>
          <w:sz w:val="24"/>
          <w:szCs w:val="24"/>
          <w:lang w:val="en-US" w:eastAsia="zh-CN"/>
        </w:rPr>
        <w:t>。</w:t>
      </w:r>
      <w:r>
        <w:rPr>
          <w:rFonts w:hint="eastAsia" w:ascii="Times New Roman" w:hAnsi="Times New Roman" w:eastAsia="宋体" w:cs="Times New Roman"/>
          <w:spacing w:val="-1"/>
          <w:sz w:val="24"/>
          <w:szCs w:val="24"/>
          <w:lang w:val="en-US" w:eastAsia="zh-CN"/>
        </w:rPr>
        <w:t>厂区内</w:t>
      </w:r>
      <w:r>
        <w:rPr>
          <w:rFonts w:hint="default" w:ascii="Times New Roman" w:hAnsi="Times New Roman" w:eastAsia="宋体" w:cs="Times New Roman"/>
          <w:spacing w:val="-1"/>
          <w:sz w:val="24"/>
          <w:szCs w:val="24"/>
          <w:lang w:val="en-US" w:eastAsia="zh-CN"/>
        </w:rPr>
        <w:t>非甲烷总烃浓度满足《挥发性有机物无组织排放控制标准》（GB37822-2019）表A.1中排放限值标准。</w:t>
      </w:r>
    </w:p>
    <w:p>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outlineLvl w:val="9"/>
        <w:rPr>
          <w:rFonts w:hint="default" w:ascii="Times New Roman" w:hAnsi="Times New Roman" w:eastAsia="宋体" w:cs="Times New Roman"/>
          <w:b/>
          <w:bCs w:val="0"/>
          <w:snapToGrid/>
          <w:color w:val="auto"/>
          <w:kern w:val="2"/>
          <w:sz w:val="24"/>
          <w:szCs w:val="24"/>
          <w:lang w:val="en-US" w:eastAsia="zh-CN" w:bidi="ar-SA"/>
        </w:rPr>
      </w:pPr>
      <w:r>
        <w:rPr>
          <w:rFonts w:hint="default" w:ascii="Times New Roman" w:hAnsi="Times New Roman" w:eastAsia="宋体" w:cs="Times New Roman"/>
          <w:b/>
          <w:bCs w:val="0"/>
          <w:snapToGrid/>
          <w:color w:val="auto"/>
          <w:kern w:val="2"/>
          <w:sz w:val="24"/>
          <w:szCs w:val="24"/>
          <w:lang w:val="en-US" w:eastAsia="zh-CN" w:bidi="ar-SA"/>
        </w:rPr>
        <w:t>3.2.2.2  废水污染物排放情况及治理措施</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72" w:firstLineChars="200"/>
        <w:jc w:val="both"/>
        <w:textAlignment w:val="baseline"/>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该项目产生的废水主要为生活用水</w:t>
      </w:r>
      <w:r>
        <w:rPr>
          <w:rFonts w:hint="default" w:ascii="Times New Roman" w:hAnsi="Times New Roman" w:eastAsia="宋体" w:cs="Times New Roman"/>
          <w:spacing w:val="-2"/>
          <w:sz w:val="24"/>
          <w:szCs w:val="24"/>
          <w:lang w:eastAsia="zh-CN"/>
        </w:rPr>
        <w:t>、</w:t>
      </w:r>
      <w:r>
        <w:rPr>
          <w:rFonts w:hint="default" w:ascii="Times New Roman" w:hAnsi="Times New Roman" w:eastAsia="宋体" w:cs="Times New Roman"/>
          <w:spacing w:val="-2"/>
          <w:sz w:val="24"/>
          <w:szCs w:val="24"/>
        </w:rPr>
        <w:t>待宰圈冲洗排水</w:t>
      </w:r>
      <w:r>
        <w:rPr>
          <w:rFonts w:hint="default" w:ascii="Times New Roman" w:hAnsi="Times New Roman" w:eastAsia="宋体" w:cs="Times New Roman"/>
          <w:spacing w:val="-2"/>
          <w:sz w:val="24"/>
          <w:szCs w:val="24"/>
          <w:lang w:eastAsia="zh-CN"/>
        </w:rPr>
        <w:t>、</w:t>
      </w:r>
      <w:r>
        <w:rPr>
          <w:rFonts w:hint="default" w:ascii="Times New Roman" w:hAnsi="Times New Roman" w:eastAsia="宋体" w:cs="Times New Roman"/>
          <w:spacing w:val="-2"/>
          <w:sz w:val="24"/>
          <w:szCs w:val="24"/>
        </w:rPr>
        <w:t>屠宰车间排水</w:t>
      </w:r>
      <w:r>
        <w:rPr>
          <w:rFonts w:hint="default" w:ascii="Times New Roman" w:hAnsi="Times New Roman" w:eastAsia="宋体" w:cs="Times New Roman"/>
          <w:spacing w:val="-2"/>
          <w:sz w:val="24"/>
          <w:szCs w:val="24"/>
          <w:lang w:eastAsia="zh-CN"/>
        </w:rPr>
        <w:t>、</w:t>
      </w:r>
      <w:r>
        <w:rPr>
          <w:rFonts w:hint="default" w:ascii="Times New Roman" w:hAnsi="Times New Roman" w:eastAsia="宋体" w:cs="Times New Roman"/>
          <w:spacing w:val="-2"/>
          <w:sz w:val="24"/>
          <w:szCs w:val="24"/>
        </w:rPr>
        <w:t>锅炉排污水+软化处理废水</w:t>
      </w:r>
      <w:r>
        <w:rPr>
          <w:rFonts w:hint="default" w:ascii="Times New Roman" w:hAnsi="Times New Roman" w:eastAsia="宋体" w:cs="Times New Roman"/>
          <w:spacing w:val="-2"/>
          <w:sz w:val="24"/>
          <w:szCs w:val="24"/>
          <w:lang w:eastAsia="zh-CN"/>
        </w:rPr>
        <w:t>、</w:t>
      </w:r>
      <w:r>
        <w:rPr>
          <w:rFonts w:hint="default" w:ascii="Times New Roman" w:hAnsi="Times New Roman" w:eastAsia="宋体" w:cs="Times New Roman"/>
          <w:spacing w:val="-2"/>
          <w:sz w:val="24"/>
          <w:szCs w:val="24"/>
        </w:rPr>
        <w:t>车辆冲洗排水，废水经厂区污水管</w:t>
      </w:r>
      <w:r>
        <w:rPr>
          <w:rFonts w:hint="default" w:ascii="Times New Roman" w:hAnsi="Times New Roman" w:eastAsia="宋体" w:cs="Times New Roman"/>
          <w:spacing w:val="-2"/>
          <w:sz w:val="24"/>
          <w:szCs w:val="24"/>
          <w:lang w:val="en-US" w:eastAsia="zh-CN"/>
        </w:rPr>
        <w:t>道</w:t>
      </w:r>
      <w:r>
        <w:rPr>
          <w:rFonts w:hint="default" w:ascii="Times New Roman" w:hAnsi="Times New Roman" w:eastAsia="宋体" w:cs="Times New Roman"/>
          <w:spacing w:val="-2"/>
          <w:sz w:val="24"/>
          <w:szCs w:val="24"/>
        </w:rPr>
        <w:t>收集后，进入企业自建污水处理站处理达标后排入市政管网，随后进入</w:t>
      </w:r>
      <w:r>
        <w:rPr>
          <w:rFonts w:hint="default" w:ascii="Times New Roman" w:hAnsi="Times New Roman" w:eastAsia="宋体" w:cs="Times New Roman"/>
          <w:spacing w:val="-2"/>
          <w:sz w:val="24"/>
          <w:szCs w:val="24"/>
          <w:lang w:eastAsia="zh-CN"/>
        </w:rPr>
        <w:t>兴隆镇</w:t>
      </w:r>
      <w:r>
        <w:rPr>
          <w:rFonts w:hint="default" w:ascii="Times New Roman" w:hAnsi="Times New Roman" w:eastAsia="宋体" w:cs="Times New Roman"/>
          <w:spacing w:val="-2"/>
          <w:sz w:val="24"/>
          <w:szCs w:val="24"/>
        </w:rPr>
        <w:t>污水处理厂处理。</w:t>
      </w:r>
      <w:r>
        <w:rPr>
          <w:rFonts w:hint="default" w:ascii="Times New Roman" w:hAnsi="Times New Roman" w:eastAsia="宋体" w:cs="Times New Roman"/>
          <w:spacing w:val="-1"/>
          <w:sz w:val="24"/>
          <w:szCs w:val="24"/>
          <w:lang w:val="en-US" w:eastAsia="zh-CN"/>
        </w:rPr>
        <w:t>黑龙江克巽检测技术有限公司于 2023年12月</w:t>
      </w:r>
      <w:r>
        <w:rPr>
          <w:rFonts w:hint="eastAsia" w:ascii="Times New Roman" w:hAnsi="Times New Roman" w:eastAsia="宋体" w:cs="Times New Roman"/>
          <w:spacing w:val="-1"/>
          <w:sz w:val="24"/>
          <w:szCs w:val="24"/>
          <w:lang w:val="en-US" w:eastAsia="zh-CN"/>
        </w:rPr>
        <w:t>18</w:t>
      </w:r>
      <w:r>
        <w:rPr>
          <w:rFonts w:hint="default" w:ascii="Times New Roman" w:hAnsi="Times New Roman" w:eastAsia="宋体" w:cs="Times New Roman"/>
          <w:spacing w:val="-1"/>
          <w:sz w:val="24"/>
          <w:szCs w:val="24"/>
          <w:lang w:val="en-US" w:eastAsia="zh-CN"/>
        </w:rPr>
        <w:t>日对</w:t>
      </w:r>
      <w:r>
        <w:rPr>
          <w:rFonts w:hint="eastAsia" w:ascii="Times New Roman" w:hAnsi="Times New Roman" w:eastAsia="宋体" w:cs="Times New Roman"/>
          <w:spacing w:val="-1"/>
          <w:sz w:val="24"/>
          <w:szCs w:val="24"/>
          <w:lang w:val="en-US" w:eastAsia="zh-CN"/>
        </w:rPr>
        <w:t>生产废水</w:t>
      </w:r>
      <w:r>
        <w:rPr>
          <w:rFonts w:hint="default" w:ascii="Times New Roman" w:hAnsi="Times New Roman" w:eastAsia="宋体" w:cs="Times New Roman"/>
          <w:spacing w:val="-1"/>
          <w:sz w:val="24"/>
          <w:szCs w:val="24"/>
          <w:lang w:val="en-US" w:eastAsia="zh-CN"/>
        </w:rPr>
        <w:t>进行</w:t>
      </w:r>
      <w:r>
        <w:rPr>
          <w:rFonts w:hint="eastAsia" w:ascii="Times New Roman" w:hAnsi="Times New Roman" w:eastAsia="宋体" w:cs="Times New Roman"/>
          <w:spacing w:val="-1"/>
          <w:sz w:val="24"/>
          <w:szCs w:val="24"/>
          <w:lang w:val="en-US" w:eastAsia="zh-CN"/>
        </w:rPr>
        <w:t>了</w:t>
      </w:r>
      <w:r>
        <w:rPr>
          <w:rFonts w:hint="default" w:ascii="Times New Roman" w:hAnsi="Times New Roman" w:eastAsia="宋体" w:cs="Times New Roman"/>
          <w:spacing w:val="-1"/>
          <w:sz w:val="24"/>
          <w:szCs w:val="24"/>
          <w:lang w:val="en-US" w:eastAsia="zh-CN"/>
        </w:rPr>
        <w:t>监测</w:t>
      </w:r>
      <w:r>
        <w:rPr>
          <w:rFonts w:hint="eastAsia" w:ascii="Times New Roman" w:hAnsi="Times New Roman" w:eastAsia="宋体" w:cs="Times New Roman"/>
          <w:spacing w:val="-1"/>
          <w:sz w:val="24"/>
          <w:szCs w:val="24"/>
          <w:lang w:val="en-US" w:eastAsia="zh-CN"/>
        </w:rPr>
        <w:t>，</w:t>
      </w:r>
      <w:r>
        <w:rPr>
          <w:rFonts w:hint="default" w:ascii="Times New Roman" w:hAnsi="Times New Roman" w:eastAsia="宋体" w:cs="Times New Roman"/>
          <w:spacing w:val="-2"/>
          <w:sz w:val="24"/>
          <w:szCs w:val="24"/>
        </w:rPr>
        <w:t>由监测结果</w:t>
      </w:r>
      <w:r>
        <w:rPr>
          <w:rFonts w:hint="default" w:ascii="Times New Roman" w:hAnsi="Times New Roman" w:eastAsia="宋体" w:cs="Times New Roman"/>
          <w:spacing w:val="-2"/>
          <w:sz w:val="24"/>
          <w:szCs w:val="24"/>
          <w:lang w:val="en-US" w:eastAsia="zh-CN"/>
        </w:rPr>
        <w:t>可知</w:t>
      </w:r>
      <w:r>
        <w:rPr>
          <w:rFonts w:hint="default" w:ascii="Times New Roman" w:hAnsi="Times New Roman" w:eastAsia="宋体" w:cs="Times New Roman"/>
          <w:spacing w:val="-2"/>
          <w:sz w:val="24"/>
          <w:szCs w:val="24"/>
        </w:rPr>
        <w:t>，污水处理站废水排放浓度可以满足《肉类加工工业水污染物排放标准》（GB13457-92）中畜类屠宰加工三级标准和</w:t>
      </w:r>
      <w:r>
        <w:rPr>
          <w:rFonts w:hint="default" w:ascii="Times New Roman" w:hAnsi="Times New Roman" w:eastAsia="宋体" w:cs="Times New Roman"/>
          <w:spacing w:val="-2"/>
          <w:sz w:val="24"/>
          <w:szCs w:val="24"/>
          <w:lang w:eastAsia="zh-CN"/>
        </w:rPr>
        <w:t>兴隆镇</w:t>
      </w:r>
      <w:r>
        <w:rPr>
          <w:rFonts w:hint="default" w:ascii="Times New Roman" w:hAnsi="Times New Roman" w:eastAsia="宋体" w:cs="Times New Roman"/>
          <w:spacing w:val="-2"/>
          <w:sz w:val="24"/>
          <w:szCs w:val="24"/>
        </w:rPr>
        <w:t>污水处理厂的接管标准要求。</w:t>
      </w:r>
    </w:p>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eastAsia" w:ascii="Times New Roman" w:hAnsi="Times New Roman" w:eastAsia="宋体" w:cs="Times New Roman"/>
          <w:sz w:val="20"/>
          <w:szCs w:val="20"/>
          <w:lang w:eastAsia="zh-CN"/>
        </w:rPr>
      </w:pPr>
      <w:r>
        <w:rPr>
          <w:rFonts w:hint="default" w:ascii="Times New Roman" w:hAnsi="Times New Roman" w:eastAsia="宋体" w:cs="Times New Roman"/>
          <w:spacing w:val="8"/>
          <w:sz w:val="20"/>
          <w:szCs w:val="20"/>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40"/>
          <w:sz w:val="20"/>
          <w:szCs w:val="20"/>
        </w:rPr>
        <w:t xml:space="preserve"> </w:t>
      </w:r>
      <w:r>
        <w:rPr>
          <w:rFonts w:hint="default" w:ascii="Times New Roman" w:hAnsi="Times New Roman" w:eastAsia="宋体" w:cs="Times New Roman"/>
          <w:b/>
          <w:bCs/>
          <w:spacing w:val="8"/>
          <w:sz w:val="20"/>
          <w:szCs w:val="20"/>
          <w:lang w:val="en-US" w:eastAsia="zh-CN"/>
        </w:rPr>
        <w:t>3</w:t>
      </w:r>
      <w:r>
        <w:rPr>
          <w:rFonts w:hint="eastAsia" w:ascii="Times New Roman" w:hAnsi="Times New Roman" w:eastAsia="宋体" w:cs="Times New Roman"/>
          <w:b/>
          <w:bCs/>
          <w:spacing w:val="8"/>
          <w:sz w:val="20"/>
          <w:szCs w:val="20"/>
          <w:lang w:val="en-US" w:eastAsia="zh-CN"/>
        </w:rPr>
        <w:t>-</w:t>
      </w:r>
      <w:r>
        <w:rPr>
          <w:rFonts w:hint="default" w:ascii="Times New Roman" w:hAnsi="Times New Roman" w:eastAsia="Times New Roman" w:cs="Times New Roman"/>
          <w:b/>
          <w:bCs/>
          <w:spacing w:val="8"/>
          <w:sz w:val="20"/>
          <w:szCs w:val="20"/>
        </w:rPr>
        <w:t>2-</w:t>
      </w:r>
      <w:r>
        <w:rPr>
          <w:rFonts w:hint="default" w:ascii="Times New Roman" w:hAnsi="Times New Roman" w:eastAsia="宋体" w:cs="Times New Roman"/>
          <w:b/>
          <w:bCs/>
          <w:spacing w:val="8"/>
          <w:sz w:val="20"/>
          <w:szCs w:val="20"/>
          <w:lang w:val="en-US" w:eastAsia="zh-CN"/>
        </w:rPr>
        <w:t>5</w:t>
      </w:r>
      <w:r>
        <w:rPr>
          <w:rFonts w:hint="default" w:ascii="Times New Roman" w:hAnsi="Times New Roman" w:eastAsia="Times New Roman" w:cs="Times New Roman"/>
          <w:b/>
          <w:bCs/>
          <w:spacing w:val="8"/>
          <w:sz w:val="20"/>
          <w:szCs w:val="20"/>
        </w:rPr>
        <w:t xml:space="preserve">  </w:t>
      </w:r>
      <w:r>
        <w:rPr>
          <w:rFonts w:hint="default" w:ascii="Times New Roman" w:hAnsi="Times New Roman" w:eastAsia="宋体" w:cs="Times New Roman"/>
          <w:spacing w:val="8"/>
          <w:sz w:val="20"/>
          <w:szCs w:val="20"/>
          <w14:textOutline w14:w="3795" w14:cap="sq" w14:cmpd="sng">
            <w14:solidFill>
              <w14:srgbClr w14:val="000000"/>
            </w14:solidFill>
            <w14:prstDash w14:val="solid"/>
            <w14:bevel/>
          </w14:textOutline>
        </w:rPr>
        <w:t>现有工程废水监测结果表</w:t>
      </w:r>
      <w:r>
        <w:rPr>
          <w:rFonts w:hint="default" w:ascii="Times New Roman" w:hAnsi="Times New Roman" w:eastAsia="宋体" w:cs="Times New Roman"/>
          <w:spacing w:val="7"/>
          <w:sz w:val="20"/>
          <w:szCs w:val="20"/>
        </w:rPr>
        <w:t xml:space="preserve">  </w:t>
      </w: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单位：</w:t>
      </w:r>
      <w:r>
        <w:rPr>
          <w:rFonts w:hint="default" w:ascii="Times New Roman" w:hAnsi="Times New Roman" w:eastAsia="Times New Roman" w:cs="Times New Roman"/>
          <w:b/>
          <w:bCs/>
          <w:sz w:val="20"/>
          <w:szCs w:val="20"/>
        </w:rPr>
        <w:t>mg</w:t>
      </w:r>
      <w:r>
        <w:rPr>
          <w:rFonts w:hint="default" w:ascii="Times New Roman" w:hAnsi="Times New Roman" w:eastAsia="Times New Roman" w:cs="Times New Roman"/>
          <w:b/>
          <w:bCs/>
          <w:spacing w:val="7"/>
          <w:sz w:val="20"/>
          <w:szCs w:val="20"/>
        </w:rPr>
        <w:t>/L</w:t>
      </w:r>
    </w:p>
    <w:p>
      <w:pPr>
        <w:spacing w:line="22" w:lineRule="exact"/>
        <w:rPr>
          <w:rFonts w:hint="default" w:ascii="Times New Roman" w:hAnsi="Times New Roman" w:cs="Times New Roman"/>
        </w:rPr>
      </w:pPr>
    </w:p>
    <w:tbl>
      <w:tblPr>
        <w:tblStyle w:val="25"/>
        <w:tblW w:w="96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577"/>
        <w:gridCol w:w="766"/>
        <w:gridCol w:w="766"/>
        <w:gridCol w:w="766"/>
        <w:gridCol w:w="766"/>
        <w:gridCol w:w="3"/>
        <w:gridCol w:w="763"/>
        <w:gridCol w:w="766"/>
        <w:gridCol w:w="766"/>
        <w:gridCol w:w="773"/>
        <w:gridCol w:w="9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25" w:hRule="atLeast"/>
          <w:jc w:val="center"/>
        </w:trPr>
        <w:tc>
          <w:tcPr>
            <w:tcW w:w="2577"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kern w:val="0"/>
                <w:sz w:val="21"/>
                <w:szCs w:val="21"/>
                <w:vertAlign w:val="baseline"/>
                <w:lang w:val="en-US" w:eastAsia="zh-CN"/>
              </w:rPr>
              <w:t>取样日期</w:t>
            </w:r>
          </w:p>
        </w:tc>
        <w:tc>
          <w:tcPr>
            <w:tcW w:w="6135" w:type="dxa"/>
            <w:gridSpan w:val="9"/>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kern w:val="0"/>
                <w:sz w:val="21"/>
                <w:szCs w:val="21"/>
                <w:vertAlign w:val="baseline"/>
                <w:lang w:val="en-US" w:eastAsia="zh-CN"/>
              </w:rPr>
              <w:t>2023.12.18</w:t>
            </w:r>
          </w:p>
        </w:tc>
        <w:tc>
          <w:tcPr>
            <w:tcW w:w="926" w:type="dxa"/>
            <w:vMerge w:val="restart"/>
            <w:tcBorders>
              <w:tl2br w:val="nil"/>
              <w:tr2bl w:val="nil"/>
            </w:tcBorders>
            <w:vAlign w:val="center"/>
          </w:tcPr>
          <w:p>
            <w:pPr>
              <w:pStyle w:val="32"/>
              <w:spacing w:line="240" w:lineRule="auto"/>
              <w:jc w:val="center"/>
              <w:rPr>
                <w:rFonts w:hint="default" w:ascii="Times New Roman" w:hAnsi="Times New Roman" w:eastAsia="宋体" w:cs="Times New Roman"/>
                <w:b w:val="0"/>
                <w:bCs w:val="0"/>
                <w:color w:val="000000"/>
                <w:kern w:val="0"/>
                <w:sz w:val="21"/>
                <w:szCs w:val="21"/>
                <w:vertAlign w:val="baseline"/>
                <w:lang w:val="en-US" w:eastAsia="zh-CN" w:bidi="ar-SA"/>
              </w:rPr>
            </w:pPr>
            <w:r>
              <w:rPr>
                <w:rFonts w:hint="default" w:ascii="Times New Roman" w:hAnsi="Times New Roman" w:eastAsia="宋体" w:cs="Times New Roman"/>
                <w:b/>
                <w:bCs/>
                <w:kern w:val="0"/>
                <w:sz w:val="21"/>
                <w:szCs w:val="21"/>
                <w:vertAlign w:val="baseline"/>
                <w:lang w:val="en-US" w:eastAsia="zh-CN"/>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77"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检测点位（自述）</w:t>
            </w:r>
          </w:p>
        </w:tc>
        <w:tc>
          <w:tcPr>
            <w:tcW w:w="3067" w:type="dxa"/>
            <w:gridSpan w:val="5"/>
            <w:tcBorders>
              <w:tl2br w:val="nil"/>
              <w:tr2bl w:val="nil"/>
            </w:tcBorders>
            <w:vAlign w:val="center"/>
          </w:tcPr>
          <w:p>
            <w:pPr>
              <w:pStyle w:val="32"/>
              <w:spacing w:line="240" w:lineRule="auto"/>
              <w:jc w:val="center"/>
              <w:rPr>
                <w:rFonts w:hint="default" w:ascii="Times New Roman" w:hAnsi="Times New Roman" w:eastAsia="宋体" w:cs="Times New Roman"/>
                <w:b/>
                <w:bCs/>
                <w:kern w:val="0"/>
                <w:sz w:val="21"/>
                <w:szCs w:val="21"/>
                <w:vertAlign w:val="baseline"/>
                <w:lang w:val="en-US" w:eastAsia="zh-CN"/>
              </w:rPr>
            </w:pPr>
            <w:r>
              <w:rPr>
                <w:rFonts w:hint="default" w:ascii="Times New Roman" w:hAnsi="Times New Roman" w:eastAsia="宋体" w:cs="Times New Roman"/>
                <w:b/>
                <w:bCs/>
                <w:kern w:val="0"/>
                <w:sz w:val="21"/>
                <w:szCs w:val="21"/>
                <w:vertAlign w:val="baseline"/>
                <w:lang w:val="en-US" w:eastAsia="zh-CN"/>
              </w:rPr>
              <w:t>处理前</w:t>
            </w:r>
          </w:p>
        </w:tc>
        <w:tc>
          <w:tcPr>
            <w:tcW w:w="3068" w:type="dxa"/>
            <w:gridSpan w:val="4"/>
            <w:tcBorders>
              <w:tl2br w:val="nil"/>
              <w:tr2bl w:val="nil"/>
            </w:tcBorders>
            <w:vAlign w:val="center"/>
          </w:tcPr>
          <w:p>
            <w:pPr>
              <w:pStyle w:val="32"/>
              <w:spacing w:line="240" w:lineRule="auto"/>
              <w:jc w:val="center"/>
              <w:rPr>
                <w:rFonts w:hint="default" w:ascii="Times New Roman" w:hAnsi="Times New Roman" w:eastAsia="宋体" w:cs="Times New Roman"/>
                <w:b/>
                <w:bCs/>
                <w:kern w:val="0"/>
                <w:sz w:val="21"/>
                <w:szCs w:val="21"/>
                <w:vertAlign w:val="baseline"/>
                <w:lang w:val="en-US" w:eastAsia="zh-CN"/>
              </w:rPr>
            </w:pPr>
            <w:r>
              <w:rPr>
                <w:rFonts w:hint="default" w:ascii="Times New Roman" w:hAnsi="Times New Roman" w:eastAsia="宋体" w:cs="Times New Roman"/>
                <w:b/>
                <w:bCs/>
                <w:kern w:val="0"/>
                <w:sz w:val="21"/>
                <w:szCs w:val="21"/>
                <w:vertAlign w:val="baseline"/>
                <w:lang w:val="en-US" w:eastAsia="zh-CN"/>
              </w:rPr>
              <w:t>处理后</w:t>
            </w:r>
          </w:p>
        </w:tc>
        <w:tc>
          <w:tcPr>
            <w:tcW w:w="926"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b w:val="0"/>
                <w:bCs w:val="0"/>
                <w:color w:val="000000"/>
                <w:kern w:val="0"/>
                <w:sz w:val="21"/>
                <w:szCs w:val="21"/>
                <w:vertAlign w:val="baseli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77" w:type="dxa"/>
            <w:vMerge w:val="restart"/>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检测项目</w:t>
            </w:r>
          </w:p>
        </w:tc>
        <w:tc>
          <w:tcPr>
            <w:tcW w:w="6135" w:type="dxa"/>
            <w:gridSpan w:val="9"/>
            <w:tcBorders>
              <w:tl2br w:val="nil"/>
              <w:tr2bl w:val="nil"/>
            </w:tcBorders>
            <w:vAlign w:val="center"/>
          </w:tcPr>
          <w:p>
            <w:pPr>
              <w:pStyle w:val="32"/>
              <w:spacing w:line="240" w:lineRule="auto"/>
              <w:jc w:val="center"/>
              <w:rPr>
                <w:rFonts w:hint="default" w:ascii="Times New Roman" w:hAnsi="Times New Roman" w:eastAsia="宋体" w:cs="Times New Roman"/>
                <w:b w:val="0"/>
                <w:bCs w:val="0"/>
                <w:color w:val="000000"/>
                <w:kern w:val="0"/>
                <w:sz w:val="21"/>
                <w:szCs w:val="21"/>
                <w:vertAlign w:val="baseline"/>
                <w:lang w:val="en-US" w:eastAsia="zh-CN" w:bidi="ar-SA"/>
              </w:rPr>
            </w:pPr>
            <w:r>
              <w:rPr>
                <w:rFonts w:hint="default" w:ascii="Times New Roman" w:hAnsi="Times New Roman" w:eastAsia="宋体" w:cs="Times New Roman"/>
                <w:b/>
                <w:bCs/>
                <w:kern w:val="0"/>
                <w:sz w:val="21"/>
                <w:szCs w:val="21"/>
                <w:vertAlign w:val="baseline"/>
                <w:lang w:val="en-US" w:eastAsia="zh-CN"/>
              </w:rPr>
              <w:t>检测结果</w:t>
            </w:r>
          </w:p>
        </w:tc>
        <w:tc>
          <w:tcPr>
            <w:tcW w:w="926"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b w:val="0"/>
                <w:bCs w:val="0"/>
                <w:color w:val="000000"/>
                <w:kern w:val="0"/>
                <w:sz w:val="21"/>
                <w:szCs w:val="21"/>
                <w:vertAlign w:val="baseli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77"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p>
        </w:tc>
        <w:tc>
          <w:tcPr>
            <w:tcW w:w="766"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第1次</w:t>
            </w:r>
          </w:p>
        </w:tc>
        <w:tc>
          <w:tcPr>
            <w:tcW w:w="766"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第2次</w:t>
            </w:r>
          </w:p>
        </w:tc>
        <w:tc>
          <w:tcPr>
            <w:tcW w:w="766"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第3次</w:t>
            </w:r>
          </w:p>
        </w:tc>
        <w:tc>
          <w:tcPr>
            <w:tcW w:w="766"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第4次</w:t>
            </w:r>
          </w:p>
        </w:tc>
        <w:tc>
          <w:tcPr>
            <w:tcW w:w="766" w:type="dxa"/>
            <w:gridSpan w:val="2"/>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第1次</w:t>
            </w:r>
          </w:p>
        </w:tc>
        <w:tc>
          <w:tcPr>
            <w:tcW w:w="766"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第2次</w:t>
            </w:r>
          </w:p>
        </w:tc>
        <w:tc>
          <w:tcPr>
            <w:tcW w:w="766"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第3次</w:t>
            </w:r>
          </w:p>
        </w:tc>
        <w:tc>
          <w:tcPr>
            <w:tcW w:w="773"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color w:val="000000"/>
                <w:kern w:val="0"/>
                <w:sz w:val="21"/>
                <w:szCs w:val="21"/>
                <w:vertAlign w:val="baseline"/>
                <w:lang w:val="en-US" w:eastAsia="zh-CN" w:bidi="ar-SA"/>
              </w:rPr>
              <w:t>第4次</w:t>
            </w:r>
          </w:p>
        </w:tc>
        <w:tc>
          <w:tcPr>
            <w:tcW w:w="926"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77"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pH值</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7.3</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7.3</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7.2</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7.2</w:t>
            </w:r>
          </w:p>
        </w:tc>
        <w:tc>
          <w:tcPr>
            <w:tcW w:w="766" w:type="dxa"/>
            <w:gridSpan w:val="2"/>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7.5</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7.4</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7.4</w:t>
            </w:r>
          </w:p>
        </w:tc>
        <w:tc>
          <w:tcPr>
            <w:tcW w:w="773"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7.5</w:t>
            </w:r>
          </w:p>
        </w:tc>
        <w:tc>
          <w:tcPr>
            <w:tcW w:w="926" w:type="dxa"/>
            <w:tcBorders>
              <w:tl2br w:val="nil"/>
              <w:tr2bl w:val="nil"/>
            </w:tcBorders>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77"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悬浮物</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980</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985</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995</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980</w:t>
            </w:r>
          </w:p>
        </w:tc>
        <w:tc>
          <w:tcPr>
            <w:tcW w:w="766" w:type="dxa"/>
            <w:gridSpan w:val="2"/>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145</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150</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140</w:t>
            </w:r>
          </w:p>
        </w:tc>
        <w:tc>
          <w:tcPr>
            <w:tcW w:w="773"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160</w:t>
            </w:r>
          </w:p>
        </w:tc>
        <w:tc>
          <w:tcPr>
            <w:tcW w:w="926" w:type="dxa"/>
            <w:tcBorders>
              <w:tl2br w:val="nil"/>
              <w:tr2bl w:val="nil"/>
            </w:tcBorders>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77"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化学需氧量</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2.49×10</w:t>
            </w:r>
            <w:r>
              <w:rPr>
                <w:rFonts w:hint="eastAsia" w:ascii="Times New Roman" w:hAnsi="Times New Roman" w:cs="Times New Roman"/>
                <w:color w:val="auto"/>
                <w:kern w:val="0"/>
                <w:sz w:val="21"/>
                <w:szCs w:val="21"/>
                <w:highlight w:val="none"/>
                <w:vertAlign w:val="superscript"/>
                <w:lang w:val="en-US" w:eastAsia="zh-CN" w:bidi="ar-SA"/>
              </w:rPr>
              <w:t>3</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2.35×10</w:t>
            </w:r>
            <w:r>
              <w:rPr>
                <w:rFonts w:hint="eastAsia" w:ascii="Times New Roman" w:hAnsi="Times New Roman" w:cs="Times New Roman"/>
                <w:color w:val="auto"/>
                <w:kern w:val="0"/>
                <w:sz w:val="21"/>
                <w:szCs w:val="21"/>
                <w:highlight w:val="none"/>
                <w:vertAlign w:val="superscript"/>
                <w:lang w:val="en-US" w:eastAsia="zh-CN" w:bidi="ar-SA"/>
              </w:rPr>
              <w:t>3</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252×10</w:t>
            </w:r>
            <w:r>
              <w:rPr>
                <w:rFonts w:hint="eastAsia" w:ascii="Times New Roman" w:hAnsi="Times New Roman" w:cs="Times New Roman"/>
                <w:color w:val="auto"/>
                <w:kern w:val="0"/>
                <w:sz w:val="21"/>
                <w:szCs w:val="21"/>
                <w:highlight w:val="none"/>
                <w:vertAlign w:val="superscript"/>
                <w:lang w:val="en-US" w:eastAsia="zh-CN" w:bidi="ar-SA"/>
              </w:rPr>
              <w:t>3</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2.36×10</w:t>
            </w:r>
            <w:r>
              <w:rPr>
                <w:rFonts w:hint="eastAsia" w:ascii="Times New Roman" w:hAnsi="Times New Roman" w:cs="Times New Roman"/>
                <w:color w:val="auto"/>
                <w:kern w:val="0"/>
                <w:sz w:val="21"/>
                <w:szCs w:val="21"/>
                <w:highlight w:val="none"/>
                <w:vertAlign w:val="superscript"/>
                <w:lang w:val="en-US" w:eastAsia="zh-CN" w:bidi="ar-SA"/>
              </w:rPr>
              <w:t>3</w:t>
            </w:r>
          </w:p>
        </w:tc>
        <w:tc>
          <w:tcPr>
            <w:tcW w:w="766" w:type="dxa"/>
            <w:gridSpan w:val="2"/>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238</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226</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225</w:t>
            </w:r>
          </w:p>
        </w:tc>
        <w:tc>
          <w:tcPr>
            <w:tcW w:w="773"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230</w:t>
            </w:r>
          </w:p>
        </w:tc>
        <w:tc>
          <w:tcPr>
            <w:tcW w:w="926" w:type="dxa"/>
            <w:tcBorders>
              <w:tl2br w:val="nil"/>
              <w:tr2bl w:val="nil"/>
            </w:tcBorders>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77"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氨氮</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116</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103</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121</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110</w:t>
            </w:r>
          </w:p>
        </w:tc>
        <w:tc>
          <w:tcPr>
            <w:tcW w:w="766" w:type="dxa"/>
            <w:gridSpan w:val="2"/>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17.3</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18.6</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17.6</w:t>
            </w:r>
          </w:p>
        </w:tc>
        <w:tc>
          <w:tcPr>
            <w:tcW w:w="773"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17.6</w:t>
            </w:r>
          </w:p>
        </w:tc>
        <w:tc>
          <w:tcPr>
            <w:tcW w:w="926" w:type="dxa"/>
            <w:tcBorders>
              <w:tl2br w:val="nil"/>
              <w:tr2bl w:val="nil"/>
            </w:tcBorders>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77"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生化需氧量</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997</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987</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996</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993</w:t>
            </w:r>
          </w:p>
        </w:tc>
        <w:tc>
          <w:tcPr>
            <w:tcW w:w="766" w:type="dxa"/>
            <w:gridSpan w:val="2"/>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149</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150</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144</w:t>
            </w:r>
          </w:p>
        </w:tc>
        <w:tc>
          <w:tcPr>
            <w:tcW w:w="773"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145</w:t>
            </w:r>
          </w:p>
        </w:tc>
        <w:tc>
          <w:tcPr>
            <w:tcW w:w="926" w:type="dxa"/>
            <w:tcBorders>
              <w:tl2br w:val="nil"/>
              <w:tr2bl w:val="nil"/>
            </w:tcBorders>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77"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动植物油</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200</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200</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198</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198</w:t>
            </w:r>
          </w:p>
        </w:tc>
        <w:tc>
          <w:tcPr>
            <w:tcW w:w="766" w:type="dxa"/>
            <w:gridSpan w:val="2"/>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43.2</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45.7</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45.6</w:t>
            </w:r>
          </w:p>
        </w:tc>
        <w:tc>
          <w:tcPr>
            <w:tcW w:w="773"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43.8</w:t>
            </w:r>
          </w:p>
        </w:tc>
        <w:tc>
          <w:tcPr>
            <w:tcW w:w="926" w:type="dxa"/>
            <w:tcBorders>
              <w:tl2br w:val="nil"/>
              <w:tr2bl w:val="nil"/>
            </w:tcBorders>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77"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大肠菌群数</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≥24000</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≥24000</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≥24000</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≥24000</w:t>
            </w:r>
          </w:p>
        </w:tc>
        <w:tc>
          <w:tcPr>
            <w:tcW w:w="766" w:type="dxa"/>
            <w:gridSpan w:val="2"/>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≥24000</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≥24000</w:t>
            </w:r>
          </w:p>
        </w:tc>
        <w:tc>
          <w:tcPr>
            <w:tcW w:w="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≥24000</w:t>
            </w:r>
          </w:p>
        </w:tc>
        <w:tc>
          <w:tcPr>
            <w:tcW w:w="773"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≥24000</w:t>
            </w:r>
          </w:p>
        </w:tc>
        <w:tc>
          <w:tcPr>
            <w:tcW w:w="926" w:type="dxa"/>
            <w:tcBorders>
              <w:tl2br w:val="nil"/>
              <w:tr2bl w:val="nil"/>
            </w:tcBorders>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个/L</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outlineLvl w:val="9"/>
        <w:rPr>
          <w:rFonts w:hint="default" w:ascii="Times New Roman" w:hAnsi="Times New Roman" w:eastAsia="宋体" w:cs="Times New Roman"/>
          <w:b/>
          <w:bCs w:val="0"/>
          <w:snapToGrid/>
          <w:color w:val="auto"/>
          <w:kern w:val="2"/>
          <w:sz w:val="24"/>
          <w:szCs w:val="24"/>
          <w:lang w:val="en-US" w:eastAsia="zh-CN" w:bidi="ar-SA"/>
        </w:rPr>
      </w:pPr>
      <w:r>
        <w:rPr>
          <w:rFonts w:hint="default" w:ascii="Times New Roman" w:hAnsi="Times New Roman" w:eastAsia="宋体" w:cs="Times New Roman"/>
          <w:b/>
          <w:bCs w:val="0"/>
          <w:snapToGrid/>
          <w:color w:val="auto"/>
          <w:kern w:val="2"/>
          <w:sz w:val="24"/>
          <w:szCs w:val="24"/>
          <w:lang w:val="en-US" w:eastAsia="zh-CN" w:bidi="ar-SA"/>
        </w:rPr>
        <w:t>3.2.2.3  噪声污染情况及治理措施</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产生的噪声主要来自生产车间</w:t>
      </w:r>
      <w:r>
        <w:rPr>
          <w:rFonts w:hint="default" w:ascii="Times New Roman" w:hAnsi="Times New Roman" w:eastAsia="宋体" w:cs="Times New Roman"/>
          <w:spacing w:val="-2"/>
          <w:sz w:val="24"/>
          <w:szCs w:val="24"/>
          <w:lang w:val="en-US" w:eastAsia="zh-CN"/>
        </w:rPr>
        <w:t>内各</w:t>
      </w:r>
      <w:r>
        <w:rPr>
          <w:rFonts w:hint="default" w:ascii="Times New Roman" w:hAnsi="Times New Roman" w:eastAsia="宋体" w:cs="Times New Roman"/>
          <w:spacing w:val="-2"/>
          <w:sz w:val="24"/>
          <w:szCs w:val="24"/>
        </w:rPr>
        <w:t>设备噪声、待宰圈猪叫噪声以及污水处理站</w:t>
      </w:r>
      <w:r>
        <w:rPr>
          <w:rFonts w:hint="default" w:ascii="Times New Roman" w:hAnsi="Times New Roman" w:eastAsia="宋体" w:cs="Times New Roman"/>
          <w:spacing w:val="-2"/>
          <w:sz w:val="24"/>
          <w:szCs w:val="24"/>
          <w:lang w:val="en-US" w:eastAsia="zh-CN"/>
        </w:rPr>
        <w:t>水</w:t>
      </w:r>
      <w:r>
        <w:rPr>
          <w:rFonts w:hint="default" w:ascii="Times New Roman" w:hAnsi="Times New Roman" w:eastAsia="宋体" w:cs="Times New Roman"/>
          <w:spacing w:val="-2"/>
          <w:sz w:val="24"/>
          <w:szCs w:val="24"/>
        </w:rPr>
        <w:t>泵、风机等设备噪声，企业通过合理布置高噪声设备，采取必要的减振降噪措施等以降低噪声影响。根据</w:t>
      </w:r>
      <w:r>
        <w:rPr>
          <w:rFonts w:hint="default" w:ascii="Times New Roman" w:hAnsi="Times New Roman" w:eastAsia="宋体" w:cs="Times New Roman"/>
          <w:spacing w:val="-2"/>
          <w:sz w:val="24"/>
          <w:szCs w:val="24"/>
          <w:lang w:val="en-US" w:eastAsia="zh-CN"/>
        </w:rPr>
        <w:t>黑龙江克巽检测技术有限公司2023</w:t>
      </w:r>
      <w:r>
        <w:rPr>
          <w:rFonts w:hint="default" w:ascii="Times New Roman" w:hAnsi="Times New Roman" w:eastAsia="宋体" w:cs="Times New Roman"/>
          <w:spacing w:val="-2"/>
          <w:sz w:val="24"/>
          <w:szCs w:val="24"/>
        </w:rPr>
        <w:t xml:space="preserve">年 </w:t>
      </w:r>
      <w:r>
        <w:rPr>
          <w:rFonts w:hint="default" w:ascii="Times New Roman" w:hAnsi="Times New Roman" w:eastAsia="宋体" w:cs="Times New Roman"/>
          <w:spacing w:val="-2"/>
          <w:sz w:val="24"/>
          <w:szCs w:val="24"/>
          <w:lang w:val="en-US" w:eastAsia="zh-CN"/>
        </w:rPr>
        <w:t>12</w:t>
      </w:r>
      <w:r>
        <w:rPr>
          <w:rFonts w:hint="default" w:ascii="Times New Roman" w:hAnsi="Times New Roman" w:eastAsia="宋体" w:cs="Times New Roman"/>
          <w:spacing w:val="-2"/>
          <w:sz w:val="24"/>
          <w:szCs w:val="24"/>
        </w:rPr>
        <w:t>月</w:t>
      </w:r>
      <w:r>
        <w:rPr>
          <w:rFonts w:hint="default" w:ascii="Times New Roman" w:hAnsi="Times New Roman" w:eastAsia="宋体" w:cs="Times New Roman"/>
          <w:spacing w:val="-2"/>
          <w:sz w:val="24"/>
          <w:szCs w:val="24"/>
          <w:lang w:val="en-US" w:eastAsia="zh-CN"/>
        </w:rPr>
        <w:t>12日</w:t>
      </w:r>
      <w:r>
        <w:rPr>
          <w:rFonts w:hint="default" w:ascii="Times New Roman" w:hAnsi="Times New Roman" w:eastAsia="宋体" w:cs="Times New Roman"/>
          <w:spacing w:val="-2"/>
          <w:sz w:val="24"/>
          <w:szCs w:val="24"/>
        </w:rPr>
        <w:t>出具的监测报告结果</w:t>
      </w:r>
      <w:r>
        <w:rPr>
          <w:rFonts w:hint="default" w:ascii="Times New Roman" w:hAnsi="Times New Roman" w:eastAsia="宋体" w:cs="Times New Roman"/>
          <w:spacing w:val="-2"/>
          <w:sz w:val="24"/>
          <w:szCs w:val="24"/>
          <w:lang w:val="en-US" w:eastAsia="zh-CN"/>
        </w:rPr>
        <w:t>可知</w:t>
      </w:r>
      <w:r>
        <w:rPr>
          <w:rFonts w:hint="default" w:ascii="Times New Roman" w:hAnsi="Times New Roman" w:eastAsia="宋体" w:cs="Times New Roman"/>
          <w:spacing w:val="-2"/>
          <w:sz w:val="24"/>
          <w:szCs w:val="24"/>
        </w:rPr>
        <w:t>，现有工程昼间、夜间厂界噪声的监测结果详见下表。监测结果表明，现有工程厂界外四周昼夜噪声均能满足 GB12348－2008《工业企业厂界环境排放噪声标准》2 类标准要求。</w:t>
      </w:r>
    </w:p>
    <w:p>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eastAsia="宋体" w:cs="Times New Roman"/>
          <w:sz w:val="20"/>
          <w:szCs w:val="20"/>
        </w:rPr>
      </w:pP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25"/>
          <w:sz w:val="20"/>
          <w:szCs w:val="20"/>
        </w:rPr>
        <w:t xml:space="preserve"> </w:t>
      </w:r>
      <w:r>
        <w:rPr>
          <w:rFonts w:hint="default" w:ascii="Times New Roman" w:hAnsi="Times New Roman" w:eastAsia="宋体" w:cs="Times New Roman"/>
          <w:b/>
          <w:bCs/>
          <w:spacing w:val="7"/>
          <w:sz w:val="20"/>
          <w:szCs w:val="20"/>
          <w:lang w:val="en-US" w:eastAsia="zh-CN"/>
        </w:rPr>
        <w:t>3</w:t>
      </w:r>
      <w:r>
        <w:rPr>
          <w:rFonts w:hint="eastAsia" w:ascii="Times New Roman" w:hAnsi="Times New Roman" w:eastAsia="宋体" w:cs="Times New Roman"/>
          <w:b/>
          <w:bCs/>
          <w:spacing w:val="7"/>
          <w:sz w:val="20"/>
          <w:szCs w:val="20"/>
          <w:lang w:val="en-US" w:eastAsia="zh-CN"/>
        </w:rPr>
        <w:t>-</w:t>
      </w:r>
      <w:r>
        <w:rPr>
          <w:rFonts w:hint="default" w:ascii="Times New Roman" w:hAnsi="Times New Roman" w:eastAsia="Times New Roman" w:cs="Times New Roman"/>
          <w:b/>
          <w:bCs/>
          <w:spacing w:val="7"/>
          <w:sz w:val="20"/>
          <w:szCs w:val="20"/>
        </w:rPr>
        <w:t>2-</w:t>
      </w:r>
      <w:r>
        <w:rPr>
          <w:rFonts w:hint="default" w:ascii="Times New Roman" w:hAnsi="Times New Roman" w:eastAsia="宋体" w:cs="Times New Roman"/>
          <w:b/>
          <w:bCs/>
          <w:spacing w:val="7"/>
          <w:sz w:val="20"/>
          <w:szCs w:val="20"/>
          <w:lang w:val="en-US" w:eastAsia="zh-CN"/>
        </w:rPr>
        <w:t>6</w:t>
      </w:r>
      <w:r>
        <w:rPr>
          <w:rFonts w:hint="default" w:ascii="Times New Roman" w:hAnsi="Times New Roman" w:eastAsia="Times New Roman" w:cs="Times New Roman"/>
          <w:b/>
          <w:bCs/>
          <w:spacing w:val="7"/>
          <w:sz w:val="20"/>
          <w:szCs w:val="20"/>
        </w:rPr>
        <w:t xml:space="preserve">  </w:t>
      </w: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现有工程厂界噪声监测</w:t>
      </w:r>
      <w:r>
        <w:rPr>
          <w:rFonts w:hint="default" w:ascii="Times New Roman" w:hAnsi="Times New Roman" w:eastAsia="宋体" w:cs="Times New Roman"/>
          <w:spacing w:val="7"/>
          <w:sz w:val="20"/>
          <w:szCs w:val="20"/>
          <w:lang w:val="en-US" w:eastAsia="zh-CN"/>
          <w14:textOutline w14:w="3795" w14:cap="sq" w14:cmpd="sng">
            <w14:solidFill>
              <w14:srgbClr w14:val="000000"/>
            </w14:solidFill>
            <w14:prstDash w14:val="solid"/>
            <w14:bevel/>
          </w14:textOutline>
        </w:rPr>
        <w:t>结果表</w:t>
      </w:r>
      <w:r>
        <w:rPr>
          <w:rFonts w:hint="default" w:ascii="Times New Roman" w:hAnsi="Times New Roman" w:eastAsia="宋体" w:cs="Times New Roman"/>
          <w:spacing w:val="7"/>
          <w:sz w:val="20"/>
          <w:szCs w:val="20"/>
        </w:rPr>
        <w:t xml:space="preserve">   </w:t>
      </w: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单位</w:t>
      </w:r>
      <w:r>
        <w:rPr>
          <w:rFonts w:hint="default" w:ascii="Times New Roman" w:hAnsi="Times New Roman" w:eastAsia="宋体" w:cs="Times New Roman"/>
          <w:spacing w:val="-39"/>
          <w:sz w:val="20"/>
          <w:szCs w:val="20"/>
        </w:rPr>
        <w:t xml:space="preserve"> </w:t>
      </w:r>
      <w:r>
        <w:rPr>
          <w:rFonts w:hint="default" w:ascii="Times New Roman" w:hAnsi="Times New Roman" w:eastAsia="Times New Roman" w:cs="Times New Roman"/>
          <w:b/>
          <w:bCs/>
          <w:sz w:val="20"/>
          <w:szCs w:val="20"/>
        </w:rPr>
        <w:t>dB</w:t>
      </w: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w:t>
      </w:r>
      <w:r>
        <w:rPr>
          <w:rFonts w:hint="default" w:ascii="Times New Roman" w:hAnsi="Times New Roman" w:eastAsia="Times New Roman" w:cs="Times New Roman"/>
          <w:b/>
          <w:bCs/>
          <w:spacing w:val="7"/>
          <w:sz w:val="20"/>
          <w:szCs w:val="20"/>
        </w:rPr>
        <w:t>A</w:t>
      </w: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w:t>
      </w:r>
    </w:p>
    <w:p>
      <w:pPr>
        <w:spacing w:line="139" w:lineRule="auto"/>
        <w:rPr>
          <w:rFonts w:hint="default" w:ascii="Times New Roman" w:hAnsi="Times New Roman" w:cs="Times New Roman"/>
          <w:sz w:val="2"/>
        </w:rPr>
      </w:pPr>
    </w:p>
    <w:tbl>
      <w:tblPr>
        <w:tblStyle w:val="25"/>
        <w:tblW w:w="96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5"/>
        <w:gridCol w:w="2276"/>
        <w:gridCol w:w="2775"/>
        <w:gridCol w:w="2775"/>
        <w:gridCol w:w="11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1"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监测日期</w:t>
            </w:r>
          </w:p>
        </w:tc>
        <w:tc>
          <w:tcPr>
            <w:tcW w:w="5550" w:type="dxa"/>
            <w:gridSpan w:val="2"/>
            <w:tcBorders>
              <w:tl2br w:val="nil"/>
              <w:tr2bl w:val="nil"/>
            </w:tcBorders>
            <w:vAlign w:val="center"/>
          </w:tcPr>
          <w:p>
            <w:pPr>
              <w:pStyle w:val="32"/>
              <w:spacing w:line="240" w:lineRule="auto"/>
              <w:jc w:val="center"/>
              <w:rPr>
                <w:rFonts w:hint="default" w:ascii="Times New Roman" w:hAnsi="Times New Roman" w:eastAsia="宋体" w:cs="Times New Roman"/>
                <w:b/>
                <w:bCs/>
                <w:color w:val="000000"/>
                <w:kern w:val="0"/>
                <w:sz w:val="21"/>
                <w:szCs w:val="21"/>
                <w:vertAlign w:val="baseline"/>
                <w:lang w:val="en-US" w:eastAsia="zh-CN" w:bidi="ar-SA"/>
              </w:rPr>
            </w:pPr>
            <w:r>
              <w:rPr>
                <w:rFonts w:hint="default" w:ascii="Times New Roman" w:hAnsi="Times New Roman" w:eastAsia="宋体" w:cs="Times New Roman"/>
                <w:b/>
                <w:bCs/>
                <w:kern w:val="0"/>
                <w:sz w:val="21"/>
                <w:szCs w:val="21"/>
                <w:vertAlign w:val="baseline"/>
                <w:lang w:val="en-US" w:eastAsia="zh-CN"/>
              </w:rPr>
              <w:t>2023.12.12</w:t>
            </w:r>
          </w:p>
        </w:tc>
        <w:tc>
          <w:tcPr>
            <w:tcW w:w="1117" w:type="dxa"/>
            <w:vMerge w:val="restart"/>
            <w:tcBorders>
              <w:tl2br w:val="nil"/>
              <w:tr2bl w:val="nil"/>
            </w:tcBorders>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5"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序号</w:t>
            </w:r>
          </w:p>
        </w:tc>
        <w:tc>
          <w:tcPr>
            <w:tcW w:w="2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监测点位</w:t>
            </w:r>
          </w:p>
        </w:tc>
        <w:tc>
          <w:tcPr>
            <w:tcW w:w="2775"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昼间</w:t>
            </w:r>
          </w:p>
        </w:tc>
        <w:tc>
          <w:tcPr>
            <w:tcW w:w="2775" w:type="dxa"/>
            <w:tcBorders>
              <w:tl2br w:val="nil"/>
              <w:tr2bl w:val="nil"/>
            </w:tcBorders>
            <w:vAlign w:val="center"/>
          </w:tcPr>
          <w:p>
            <w:pPr>
              <w:pStyle w:val="32"/>
              <w:spacing w:line="240" w:lineRule="auto"/>
              <w:jc w:val="center"/>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夜间</w:t>
            </w:r>
          </w:p>
        </w:tc>
        <w:tc>
          <w:tcPr>
            <w:tcW w:w="1117" w:type="dxa"/>
            <w:vMerge w:val="continue"/>
            <w:tcBorders>
              <w:tl2br w:val="nil"/>
              <w:tr2bl w:val="nil"/>
            </w:tcBorders>
            <w:vAlign w:val="center"/>
          </w:tcPr>
          <w:p>
            <w:pPr>
              <w:pStyle w:val="32"/>
              <w:spacing w:line="240" w:lineRule="auto"/>
              <w:jc w:val="center"/>
              <w:rPr>
                <w:rFonts w:hint="default" w:ascii="Times New Roman" w:hAnsi="Times New Roman" w:eastAsia="宋体" w:cs="Times New Roman"/>
                <w:b/>
                <w:bCs/>
                <w:kern w:val="0"/>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5"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▲1</w:t>
            </w:r>
          </w:p>
        </w:tc>
        <w:tc>
          <w:tcPr>
            <w:tcW w:w="2276" w:type="dxa"/>
            <w:tcBorders>
              <w:tl2br w:val="nil"/>
              <w:tr2bl w:val="nil"/>
            </w:tcBorders>
            <w:vAlign w:val="center"/>
          </w:tcPr>
          <w:p>
            <w:pPr>
              <w:widowControl w:val="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color w:val="000000"/>
                <w:szCs w:val="21"/>
                <w:lang w:eastAsia="zh-CN"/>
              </w:rPr>
              <w:t>厂界东侧外</w:t>
            </w:r>
            <w:r>
              <w:rPr>
                <w:rFonts w:hint="default" w:ascii="Times New Roman" w:hAnsi="Times New Roman" w:eastAsia="宋体" w:cs="Times New Roman"/>
                <w:color w:val="000000"/>
                <w:szCs w:val="21"/>
                <w:lang w:val="en-US" w:eastAsia="zh-CN"/>
              </w:rPr>
              <w:t>1m</w:t>
            </w:r>
          </w:p>
        </w:tc>
        <w:tc>
          <w:tcPr>
            <w:tcW w:w="2775" w:type="dxa"/>
            <w:tcBorders>
              <w:tl2br w:val="nil"/>
              <w:tr2bl w:val="nil"/>
            </w:tcBorders>
            <w:vAlign w:val="center"/>
          </w:tcPr>
          <w:p>
            <w:pPr>
              <w:pStyle w:val="32"/>
              <w:spacing w:line="240" w:lineRule="auto"/>
              <w:ind w:left="0" w:leftChars="0" w:firstLine="0" w:firstLineChars="0"/>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56</w:t>
            </w:r>
          </w:p>
        </w:tc>
        <w:tc>
          <w:tcPr>
            <w:tcW w:w="2775" w:type="dxa"/>
            <w:tcBorders>
              <w:tl2br w:val="nil"/>
              <w:tr2bl w:val="nil"/>
            </w:tcBorders>
            <w:vAlign w:val="center"/>
          </w:tcPr>
          <w:p>
            <w:pPr>
              <w:pStyle w:val="32"/>
              <w:spacing w:line="240" w:lineRule="auto"/>
              <w:ind w:left="0" w:leftChars="0" w:firstLine="0" w:firstLineChars="0"/>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44</w:t>
            </w:r>
          </w:p>
        </w:tc>
        <w:tc>
          <w:tcPr>
            <w:tcW w:w="1117" w:type="dxa"/>
            <w:vMerge w:val="restart"/>
            <w:tcBorders>
              <w:tl2br w:val="nil"/>
              <w:tr2bl w:val="nil"/>
            </w:tcBorders>
            <w:vAlign w:val="center"/>
          </w:tcPr>
          <w:p>
            <w:pPr>
              <w:pStyle w:val="32"/>
              <w:spacing w:line="240" w:lineRule="auto"/>
              <w:jc w:val="center"/>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5" w:type="dxa"/>
            <w:tcBorders>
              <w:tl2br w:val="nil"/>
              <w:tr2bl w:val="nil"/>
            </w:tcBorders>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p>
        </w:tc>
        <w:tc>
          <w:tcPr>
            <w:tcW w:w="2276" w:type="dxa"/>
            <w:tcBorders>
              <w:tl2br w:val="nil"/>
              <w:tr2bl w:val="nil"/>
            </w:tcBorders>
            <w:vAlign w:val="center"/>
          </w:tcPr>
          <w:p>
            <w:pPr>
              <w:widowControl w:val="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color w:val="000000"/>
                <w:szCs w:val="21"/>
                <w:lang w:eastAsia="zh-CN"/>
              </w:rPr>
              <w:t>厂界南侧外</w:t>
            </w:r>
            <w:r>
              <w:rPr>
                <w:rFonts w:hint="default" w:ascii="Times New Roman" w:hAnsi="Times New Roman" w:eastAsia="宋体" w:cs="Times New Roman"/>
                <w:color w:val="000000"/>
                <w:szCs w:val="21"/>
                <w:lang w:val="en-US" w:eastAsia="zh-CN"/>
              </w:rPr>
              <w:t>1m</w:t>
            </w:r>
          </w:p>
        </w:tc>
        <w:tc>
          <w:tcPr>
            <w:tcW w:w="2775"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55</w:t>
            </w:r>
          </w:p>
        </w:tc>
        <w:tc>
          <w:tcPr>
            <w:tcW w:w="2775" w:type="dxa"/>
            <w:tcBorders>
              <w:tl2br w:val="nil"/>
              <w:tr2bl w:val="nil"/>
            </w:tcBorders>
            <w:vAlign w:val="center"/>
          </w:tcPr>
          <w:p>
            <w:pPr>
              <w:pStyle w:val="32"/>
              <w:spacing w:line="240" w:lineRule="auto"/>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45</w:t>
            </w:r>
          </w:p>
        </w:tc>
        <w:tc>
          <w:tcPr>
            <w:tcW w:w="1117" w:type="dxa"/>
            <w:vMerge w:val="continue"/>
            <w:tcBorders>
              <w:tl2br w:val="nil"/>
              <w:tr2bl w:val="nil"/>
            </w:tcBorders>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5" w:type="dxa"/>
            <w:tcBorders>
              <w:tl2br w:val="nil"/>
              <w:tr2bl w:val="nil"/>
            </w:tcBorders>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w:t>
            </w:r>
          </w:p>
        </w:tc>
        <w:tc>
          <w:tcPr>
            <w:tcW w:w="2276" w:type="dxa"/>
            <w:tcBorders>
              <w:tl2br w:val="nil"/>
              <w:tr2bl w:val="nil"/>
            </w:tcBorders>
            <w:vAlign w:val="center"/>
          </w:tcPr>
          <w:p>
            <w:pPr>
              <w:widowControl w:val="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color w:val="000000"/>
                <w:szCs w:val="21"/>
                <w:lang w:eastAsia="zh-CN"/>
              </w:rPr>
              <w:t>厂界</w:t>
            </w:r>
            <w:r>
              <w:rPr>
                <w:rFonts w:hint="default" w:ascii="Times New Roman" w:hAnsi="Times New Roman" w:eastAsia="宋体" w:cs="Times New Roman"/>
                <w:color w:val="000000"/>
                <w:szCs w:val="21"/>
                <w:lang w:val="en-US" w:eastAsia="zh-CN"/>
              </w:rPr>
              <w:t>西</w:t>
            </w:r>
            <w:r>
              <w:rPr>
                <w:rFonts w:hint="default" w:ascii="Times New Roman" w:hAnsi="Times New Roman" w:eastAsia="宋体" w:cs="Times New Roman"/>
                <w:color w:val="000000"/>
                <w:szCs w:val="21"/>
                <w:lang w:eastAsia="zh-CN"/>
              </w:rPr>
              <w:t>侧外</w:t>
            </w:r>
            <w:r>
              <w:rPr>
                <w:rFonts w:hint="default" w:ascii="Times New Roman" w:hAnsi="Times New Roman" w:eastAsia="宋体" w:cs="Times New Roman"/>
                <w:color w:val="000000"/>
                <w:szCs w:val="21"/>
                <w:lang w:val="en-US" w:eastAsia="zh-CN"/>
              </w:rPr>
              <w:t>1m</w:t>
            </w:r>
          </w:p>
        </w:tc>
        <w:tc>
          <w:tcPr>
            <w:tcW w:w="2775" w:type="dxa"/>
            <w:tcBorders>
              <w:tl2br w:val="nil"/>
              <w:tr2bl w:val="nil"/>
            </w:tcBorders>
            <w:vAlign w:val="center"/>
          </w:tcPr>
          <w:p>
            <w:pPr>
              <w:pStyle w:val="32"/>
              <w:spacing w:line="240" w:lineRule="auto"/>
              <w:ind w:left="0" w:leftChars="0" w:firstLine="0" w:firstLineChars="0"/>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58</w:t>
            </w:r>
          </w:p>
        </w:tc>
        <w:tc>
          <w:tcPr>
            <w:tcW w:w="2775" w:type="dxa"/>
            <w:tcBorders>
              <w:tl2br w:val="nil"/>
              <w:tr2bl w:val="nil"/>
            </w:tcBorders>
            <w:vAlign w:val="center"/>
          </w:tcPr>
          <w:p>
            <w:pPr>
              <w:pStyle w:val="32"/>
              <w:spacing w:line="240" w:lineRule="auto"/>
              <w:ind w:left="0" w:leftChars="0" w:firstLine="0" w:firstLineChars="0"/>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47</w:t>
            </w:r>
          </w:p>
        </w:tc>
        <w:tc>
          <w:tcPr>
            <w:tcW w:w="1117" w:type="dxa"/>
            <w:vMerge w:val="continue"/>
            <w:tcBorders>
              <w:tl2br w:val="nil"/>
              <w:tr2bl w:val="nil"/>
            </w:tcBorders>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5" w:type="dxa"/>
            <w:tcBorders>
              <w:tl2br w:val="nil"/>
              <w:tr2bl w:val="nil"/>
            </w:tcBorders>
            <w:vAlign w:val="center"/>
          </w:tcPr>
          <w:p>
            <w:pPr>
              <w:widowControl w:val="0"/>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w:t>
            </w:r>
          </w:p>
        </w:tc>
        <w:tc>
          <w:tcPr>
            <w:tcW w:w="2276" w:type="dxa"/>
            <w:tcBorders>
              <w:tl2br w:val="nil"/>
              <w:tr2bl w:val="nil"/>
            </w:tcBorders>
            <w:vAlign w:val="center"/>
          </w:tcPr>
          <w:p>
            <w:pPr>
              <w:widowControl w:val="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color w:val="000000"/>
                <w:szCs w:val="21"/>
                <w:lang w:eastAsia="zh-CN"/>
              </w:rPr>
              <w:t>厂界</w:t>
            </w:r>
            <w:r>
              <w:rPr>
                <w:rFonts w:hint="default" w:ascii="Times New Roman" w:hAnsi="Times New Roman" w:eastAsia="宋体" w:cs="Times New Roman"/>
                <w:color w:val="000000"/>
                <w:szCs w:val="21"/>
                <w:lang w:val="en-US" w:eastAsia="zh-CN"/>
              </w:rPr>
              <w:t>北</w:t>
            </w:r>
            <w:r>
              <w:rPr>
                <w:rFonts w:hint="default" w:ascii="Times New Roman" w:hAnsi="Times New Roman" w:eastAsia="宋体" w:cs="Times New Roman"/>
                <w:color w:val="000000"/>
                <w:szCs w:val="21"/>
                <w:lang w:eastAsia="zh-CN"/>
              </w:rPr>
              <w:t>侧外</w:t>
            </w:r>
            <w:r>
              <w:rPr>
                <w:rFonts w:hint="default" w:ascii="Times New Roman" w:hAnsi="Times New Roman" w:eastAsia="宋体" w:cs="Times New Roman"/>
                <w:color w:val="000000"/>
                <w:szCs w:val="21"/>
                <w:lang w:val="en-US" w:eastAsia="zh-CN"/>
              </w:rPr>
              <w:t>1m</w:t>
            </w:r>
          </w:p>
        </w:tc>
        <w:tc>
          <w:tcPr>
            <w:tcW w:w="2775" w:type="dxa"/>
            <w:tcBorders>
              <w:tl2br w:val="nil"/>
              <w:tr2bl w:val="nil"/>
            </w:tcBorders>
            <w:vAlign w:val="center"/>
          </w:tcPr>
          <w:p>
            <w:pPr>
              <w:pStyle w:val="32"/>
              <w:spacing w:line="240" w:lineRule="auto"/>
              <w:ind w:left="0" w:leftChars="0" w:firstLine="0" w:firstLineChars="0"/>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55</w:t>
            </w:r>
          </w:p>
        </w:tc>
        <w:tc>
          <w:tcPr>
            <w:tcW w:w="2775" w:type="dxa"/>
            <w:tcBorders>
              <w:tl2br w:val="nil"/>
              <w:tr2bl w:val="nil"/>
            </w:tcBorders>
            <w:vAlign w:val="center"/>
          </w:tcPr>
          <w:p>
            <w:pPr>
              <w:pStyle w:val="32"/>
              <w:spacing w:line="240" w:lineRule="auto"/>
              <w:ind w:left="0" w:leftChars="0" w:firstLine="0" w:firstLineChars="0"/>
              <w:jc w:val="center"/>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45</w:t>
            </w:r>
          </w:p>
        </w:tc>
        <w:tc>
          <w:tcPr>
            <w:tcW w:w="1117" w:type="dxa"/>
            <w:vMerge w:val="continue"/>
            <w:tcBorders>
              <w:tl2br w:val="nil"/>
              <w:tr2bl w:val="nil"/>
            </w:tcBorders>
            <w:vAlign w:val="center"/>
          </w:tcPr>
          <w:p>
            <w:pPr>
              <w:widowControl w:val="0"/>
              <w:spacing w:line="240" w:lineRule="auto"/>
              <w:jc w:val="center"/>
              <w:rPr>
                <w:rFonts w:hint="default" w:ascii="Times New Roman" w:hAnsi="Times New Roman" w:eastAsia="宋体" w:cs="Times New Roman"/>
                <w:sz w:val="21"/>
                <w:szCs w:val="21"/>
                <w:highlight w:val="none"/>
                <w:vertAlign w:val="baseline"/>
                <w:lang w:val="en-US" w:eastAsia="zh-CN"/>
              </w:rPr>
            </w:pPr>
          </w:p>
        </w:tc>
      </w:tr>
    </w:tbl>
    <w:p>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outlineLvl w:val="9"/>
        <w:rPr>
          <w:rFonts w:hint="default" w:ascii="Times New Roman" w:hAnsi="Times New Roman" w:eastAsia="宋体" w:cs="Times New Roman"/>
          <w:b/>
          <w:bCs w:val="0"/>
          <w:snapToGrid/>
          <w:color w:val="auto"/>
          <w:kern w:val="2"/>
          <w:sz w:val="24"/>
          <w:szCs w:val="24"/>
          <w:lang w:val="en-US" w:eastAsia="zh-CN" w:bidi="ar-SA"/>
        </w:rPr>
      </w:pPr>
      <w:r>
        <w:rPr>
          <w:rFonts w:hint="default" w:ascii="Times New Roman" w:hAnsi="Times New Roman" w:eastAsia="宋体" w:cs="Times New Roman"/>
          <w:b/>
          <w:bCs w:val="0"/>
          <w:snapToGrid/>
          <w:color w:val="auto"/>
          <w:kern w:val="2"/>
          <w:sz w:val="24"/>
          <w:szCs w:val="24"/>
          <w:lang w:val="en-US" w:eastAsia="zh-CN" w:bidi="ar-SA"/>
        </w:rPr>
        <w:t>3.2.2.4  固废污染情况及治理措施</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sz w:val="24"/>
          <w:szCs w:val="24"/>
          <w:highlight w:val="magenta"/>
          <w:lang w:val="en-US" w:eastAsia="zh-CN"/>
        </w:rPr>
      </w:pP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猪粪便在待宰圈防渗池内临时贮存，每天清运一次，外售有机肥厂进行堆肥处理；屠宰加工车间产生的猪毛在专用容器内储存，外售至毛刷厂</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肠胃内容物</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通过</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风送设备排至肠内物收集池</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封闭贮存，</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外运有机肥厂堆肥处理；修整过程中产生的脂肪进行外售处理</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分割过程产生的病变内脏、腺体送至巴彦县燊缘无害化处理有限公司处理；检疫室产生的检疫废物属于危险废物（类别HW01，代码841-005-01），单独收集，用有明显标识的塑料袋盛装，暂存于危险废物贮存点，交由哈尔滨国环医疗固体废物无害化集中处置中心有限公司进行处理；</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非正常工况下对发现的病猪进行急宰；送至</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巴彦县燊缘无害化处理有限公司</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处理</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污水处理站污泥和栅渣</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(HW01)经离心式脱水机脱水、漂白粉消毒后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送垃圾填埋场填埋</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锅炉房产生的废离子交换树脂由厂家回收。隔油工段废油脂和落地油委托巴彦县燊缘无害化处理有限公司进行处置。生活垃圾交由环卫部门处置。</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b/>
          <w:bCs/>
          <w:spacing w:val="6"/>
          <w:sz w:val="20"/>
          <w:szCs w:val="20"/>
          <w:lang w:val="en-US" w:eastAsia="zh-CN"/>
        </w:rPr>
      </w:pPr>
      <w:r>
        <w:rPr>
          <w:rFonts w:hint="default" w:ascii="Times New Roman" w:hAnsi="Times New Roman" w:eastAsia="宋体" w:cs="Times New Roman"/>
          <w:spacing w:val="-2"/>
          <w:sz w:val="24"/>
          <w:szCs w:val="24"/>
          <w:highlight w:val="none"/>
        </w:rPr>
        <w:t>各固废产生和处置情况见下表：</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Times New Roman" w:cs="Times New Roman"/>
          <w:sz w:val="20"/>
          <w:szCs w:val="20"/>
        </w:rPr>
      </w:pPr>
      <w:r>
        <w:rPr>
          <w:rFonts w:hint="default" w:ascii="Times New Roman" w:hAnsi="Times New Roman" w:eastAsia="宋体" w:cs="Times New Roman"/>
          <w:b/>
          <w:bCs/>
          <w:spacing w:val="6"/>
          <w:sz w:val="20"/>
          <w:szCs w:val="20"/>
          <w:lang w:val="en-US" w:eastAsia="zh-CN"/>
        </w:rPr>
        <w:t>表3</w:t>
      </w:r>
      <w:r>
        <w:rPr>
          <w:rFonts w:hint="eastAsia" w:ascii="Times New Roman" w:hAnsi="Times New Roman" w:eastAsia="宋体" w:cs="Times New Roman"/>
          <w:b/>
          <w:bCs/>
          <w:spacing w:val="6"/>
          <w:sz w:val="20"/>
          <w:szCs w:val="20"/>
          <w:lang w:val="en-US" w:eastAsia="zh-CN"/>
        </w:rPr>
        <w:t>-</w:t>
      </w:r>
      <w:r>
        <w:rPr>
          <w:rFonts w:hint="default" w:ascii="Times New Roman" w:hAnsi="Times New Roman" w:eastAsia="宋体" w:cs="Times New Roman"/>
          <w:b/>
          <w:bCs/>
          <w:spacing w:val="6"/>
          <w:sz w:val="20"/>
          <w:szCs w:val="20"/>
          <w:lang w:val="en-US" w:eastAsia="zh-CN"/>
        </w:rPr>
        <w:t xml:space="preserve">2-7  </w:t>
      </w:r>
      <w:r>
        <w:rPr>
          <w:rFonts w:hint="default" w:ascii="Times New Roman" w:hAnsi="Times New Roman" w:eastAsia="Times New Roman" w:cs="Times New Roman"/>
          <w:b/>
          <w:bCs/>
          <w:spacing w:val="6"/>
          <w:sz w:val="20"/>
          <w:szCs w:val="20"/>
        </w:rPr>
        <w:t xml:space="preserve">  </w:t>
      </w: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现有工程固废汇总表</w:t>
      </w:r>
      <w:r>
        <w:rPr>
          <w:rFonts w:hint="default" w:ascii="Times New Roman" w:hAnsi="Times New Roman" w:eastAsia="宋体" w:cs="Times New Roman"/>
          <w:spacing w:val="6"/>
          <w:sz w:val="20"/>
          <w:szCs w:val="20"/>
        </w:rPr>
        <w:t xml:space="preserve"> </w:t>
      </w: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单位：</w:t>
      </w:r>
      <w:r>
        <w:rPr>
          <w:rFonts w:hint="default" w:ascii="Times New Roman" w:hAnsi="Times New Roman" w:eastAsia="Times New Roman" w:cs="Times New Roman"/>
          <w:b/>
          <w:bCs/>
          <w:spacing w:val="6"/>
          <w:sz w:val="20"/>
          <w:szCs w:val="20"/>
        </w:rPr>
        <w:t>t/a</w:t>
      </w:r>
    </w:p>
    <w:p>
      <w:pPr>
        <w:spacing w:line="143" w:lineRule="auto"/>
        <w:rPr>
          <w:rFonts w:hint="default" w:ascii="Times New Roman" w:hAnsi="Times New Roman" w:cs="Times New Roman"/>
          <w:sz w:val="2"/>
        </w:rPr>
      </w:pPr>
    </w:p>
    <w:tbl>
      <w:tblPr>
        <w:tblStyle w:val="34"/>
        <w:tblW w:w="503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89"/>
        <w:gridCol w:w="1970"/>
        <w:gridCol w:w="2048"/>
        <w:gridCol w:w="837"/>
        <w:gridCol w:w="376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jc w:val="center"/>
        </w:trPr>
        <w:tc>
          <w:tcPr>
            <w:tcW w:w="320" w:type="pct"/>
            <w:vAlign w:val="top"/>
          </w:tcPr>
          <w:p>
            <w:pPr>
              <w:spacing w:before="35" w:line="21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序号</w:t>
            </w:r>
          </w:p>
        </w:tc>
        <w:tc>
          <w:tcPr>
            <w:tcW w:w="1069" w:type="pct"/>
            <w:vAlign w:val="top"/>
          </w:tcPr>
          <w:p>
            <w:pPr>
              <w:spacing w:before="35" w:line="21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名称</w:t>
            </w:r>
          </w:p>
        </w:tc>
        <w:tc>
          <w:tcPr>
            <w:tcW w:w="1111" w:type="pct"/>
            <w:vAlign w:val="top"/>
          </w:tcPr>
          <w:p>
            <w:pPr>
              <w:spacing w:before="35" w:line="21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废物类别</w:t>
            </w:r>
          </w:p>
        </w:tc>
        <w:tc>
          <w:tcPr>
            <w:tcW w:w="454" w:type="pct"/>
            <w:vAlign w:val="top"/>
          </w:tcPr>
          <w:p>
            <w:pPr>
              <w:spacing w:before="35" w:line="21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产生量</w:t>
            </w:r>
          </w:p>
        </w:tc>
        <w:tc>
          <w:tcPr>
            <w:tcW w:w="2044" w:type="pct"/>
            <w:vAlign w:val="top"/>
          </w:tcPr>
          <w:p>
            <w:pPr>
              <w:spacing w:before="35" w:line="21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处置方式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5" w:hRule="atLeast"/>
          <w:jc w:val="center"/>
        </w:trPr>
        <w:tc>
          <w:tcPr>
            <w:tcW w:w="320" w:type="pct"/>
            <w:vAlign w:val="top"/>
          </w:tcPr>
          <w:p>
            <w:pPr>
              <w:spacing w:before="202"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1</w:t>
            </w:r>
          </w:p>
        </w:tc>
        <w:tc>
          <w:tcPr>
            <w:tcW w:w="10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rPr>
            </w:pPr>
            <w:r>
              <w:rPr>
                <w:rFonts w:hint="eastAsia" w:ascii="Times New Roman" w:hAnsi="Times New Roman" w:eastAsia="宋体" w:cs="Times New Roman"/>
                <w:color w:val="auto"/>
                <w:spacing w:val="0"/>
                <w:sz w:val="21"/>
                <w:szCs w:val="21"/>
                <w:lang w:val="en-US" w:eastAsia="zh-CN"/>
              </w:rPr>
              <w:t>猪粪便</w:t>
            </w:r>
          </w:p>
        </w:tc>
        <w:tc>
          <w:tcPr>
            <w:tcW w:w="11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一般固废</w:t>
            </w:r>
          </w:p>
        </w:tc>
        <w:tc>
          <w:tcPr>
            <w:tcW w:w="454" w:type="pct"/>
            <w:vAlign w:val="top"/>
          </w:tcPr>
          <w:p>
            <w:pPr>
              <w:spacing w:before="197" w:line="189" w:lineRule="auto"/>
              <w:jc w:val="center"/>
              <w:rPr>
                <w:rFonts w:hint="default" w:ascii="Times New Roman" w:hAnsi="Times New Roman" w:eastAsia="宋体" w:cs="Times New Roman"/>
                <w:sz w:val="22"/>
                <w:szCs w:val="22"/>
                <w:highlight w:val="none"/>
                <w:lang w:val="en-US" w:eastAsia="zh-CN"/>
              </w:rPr>
            </w:pPr>
            <w:r>
              <w:rPr>
                <w:rFonts w:hint="eastAsia" w:ascii="Times New Roman" w:hAnsi="Times New Roman" w:eastAsia="宋体" w:cs="Times New Roman"/>
                <w:spacing w:val="-4"/>
                <w:sz w:val="22"/>
                <w:szCs w:val="22"/>
                <w:highlight w:val="none"/>
                <w:lang w:val="en-US" w:eastAsia="zh-CN"/>
              </w:rPr>
              <w:t>4.58</w:t>
            </w:r>
          </w:p>
        </w:tc>
        <w:tc>
          <w:tcPr>
            <w:tcW w:w="20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rPr>
            </w:pPr>
            <w:r>
              <w:rPr>
                <w:rFonts w:hint="default" w:ascii="Times New Roman" w:hAnsi="Times New Roman" w:eastAsia="宋体" w:cs="Times New Roman"/>
                <w:color w:val="auto"/>
                <w:sz w:val="21"/>
                <w:szCs w:val="21"/>
                <w:lang w:val="en-US" w:eastAsia="zh-CN"/>
              </w:rPr>
              <w:t>猪粪便在待宰圈防渗池内临时贮存，每天清运一次，外售有机肥厂进行堆肥处理</w:t>
            </w:r>
            <w:r>
              <w:rPr>
                <w:rFonts w:hint="eastAsia" w:ascii="Times New Roman" w:hAnsi="Times New Roman" w:eastAsia="宋体" w:cs="Times New Roman"/>
                <w:color w:val="auto"/>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320" w:type="pct"/>
            <w:vAlign w:val="top"/>
          </w:tcPr>
          <w:p>
            <w:pPr>
              <w:spacing w:before="203"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2</w:t>
            </w:r>
          </w:p>
        </w:tc>
        <w:tc>
          <w:tcPr>
            <w:tcW w:w="10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0"/>
                <w:szCs w:val="20"/>
                <w:highlight w:val="none"/>
                <w:lang w:eastAsia="zh-CN"/>
              </w:rPr>
            </w:pPr>
            <w:r>
              <w:rPr>
                <w:rFonts w:hint="eastAsia" w:ascii="Times New Roman" w:hAnsi="Times New Roman" w:eastAsia="宋体" w:cs="Times New Roman"/>
                <w:color w:val="auto"/>
                <w:spacing w:val="0"/>
                <w:sz w:val="21"/>
                <w:szCs w:val="21"/>
                <w:lang w:val="en-US" w:eastAsia="zh-CN"/>
              </w:rPr>
              <w:t>检疫废物</w:t>
            </w:r>
          </w:p>
        </w:tc>
        <w:tc>
          <w:tcPr>
            <w:tcW w:w="11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危险废物</w:t>
            </w:r>
          </w:p>
        </w:tc>
        <w:tc>
          <w:tcPr>
            <w:tcW w:w="454" w:type="pct"/>
            <w:vAlign w:val="top"/>
          </w:tcPr>
          <w:p>
            <w:pPr>
              <w:spacing w:before="199" w:line="189" w:lineRule="auto"/>
              <w:jc w:val="center"/>
              <w:rPr>
                <w:rFonts w:hint="eastAsia" w:ascii="Times New Roman" w:hAnsi="Times New Roman" w:eastAsia="宋体" w:cs="Times New Roman"/>
                <w:sz w:val="22"/>
                <w:szCs w:val="22"/>
                <w:highlight w:val="none"/>
                <w:lang w:eastAsia="zh-CN"/>
              </w:rPr>
            </w:pPr>
            <w:r>
              <w:rPr>
                <w:rFonts w:hint="eastAsia" w:ascii="Times New Roman" w:hAnsi="Times New Roman" w:eastAsia="宋体" w:cs="Times New Roman"/>
                <w:spacing w:val="-5"/>
                <w:sz w:val="22"/>
                <w:szCs w:val="22"/>
                <w:highlight w:val="none"/>
                <w:lang w:val="en-US" w:eastAsia="zh-CN"/>
              </w:rPr>
              <w:t>7</w:t>
            </w:r>
          </w:p>
        </w:tc>
        <w:tc>
          <w:tcPr>
            <w:tcW w:w="20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rPr>
            </w:pPr>
            <w:r>
              <w:rPr>
                <w:rFonts w:hint="eastAsia" w:hAnsi="Times New Roman"/>
                <w:color w:val="auto"/>
              </w:rPr>
              <w:t>检疫废物属于危险废</w:t>
            </w:r>
            <w:r>
              <w:rPr>
                <w:rFonts w:hint="default" w:ascii="Times New Roman" w:hAnsi="Times New Roman" w:cs="Times New Roman"/>
                <w:color w:val="auto"/>
              </w:rPr>
              <w:t>物（</w:t>
            </w:r>
            <w:r>
              <w:rPr>
                <w:rFonts w:hint="default" w:ascii="Times New Roman" w:hAnsi="Times New Roman" w:cs="Times New Roman"/>
                <w:color w:val="auto"/>
                <w:highlight w:val="none"/>
              </w:rPr>
              <w:t>类别HW01，代码841-005-01），单独收集，用有明显标识的塑料袋盛装，暂存于</w:t>
            </w:r>
            <w:r>
              <w:rPr>
                <w:rFonts w:hint="default" w:ascii="Times New Roman" w:hAnsi="Times New Roman" w:cs="Times New Roman"/>
                <w:color w:val="auto"/>
                <w:highlight w:val="none"/>
                <w:lang w:eastAsia="zh-CN"/>
              </w:rPr>
              <w:t>危险废物贮存点</w:t>
            </w:r>
            <w:r>
              <w:rPr>
                <w:rFonts w:hint="default" w:ascii="Times New Roman" w:hAnsi="Times New Roman" w:cs="Times New Roman"/>
                <w:color w:val="auto"/>
                <w:highlight w:val="none"/>
              </w:rPr>
              <w:t>，交由</w:t>
            </w:r>
            <w:r>
              <w:rPr>
                <w:rFonts w:hint="default" w:ascii="Times New Roman" w:hAnsi="Times New Roman" w:eastAsia="宋体" w:cs="Times New Roman"/>
                <w:color w:val="auto"/>
                <w:sz w:val="21"/>
                <w:szCs w:val="21"/>
                <w:highlight w:val="none"/>
                <w:lang w:val="en-US" w:eastAsia="zh-CN"/>
              </w:rPr>
              <w:t>哈尔滨国环医疗固体废物无害化集中处置中心有限公司</w:t>
            </w:r>
            <w:r>
              <w:rPr>
                <w:rFonts w:hint="default" w:ascii="Times New Roman" w:hAnsi="Times New Roman" w:cs="Times New Roman"/>
                <w:color w:val="auto"/>
              </w:rPr>
              <w:t>进行处置。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320" w:type="pct"/>
            <w:vAlign w:val="top"/>
          </w:tcPr>
          <w:p>
            <w:pPr>
              <w:spacing w:before="215"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3</w:t>
            </w:r>
          </w:p>
        </w:tc>
        <w:tc>
          <w:tcPr>
            <w:tcW w:w="10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color w:val="auto"/>
                <w:spacing w:val="0"/>
                <w:sz w:val="21"/>
                <w:szCs w:val="21"/>
                <w:lang w:val="en-US" w:eastAsia="zh-CN"/>
              </w:rPr>
              <w:t>猪毛</w:t>
            </w:r>
          </w:p>
        </w:tc>
        <w:tc>
          <w:tcPr>
            <w:tcW w:w="11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rPr>
            </w:pPr>
            <w:r>
              <w:rPr>
                <w:rFonts w:hint="eastAsia" w:ascii="Times New Roman" w:hAnsi="Times New Roman" w:eastAsia="宋体" w:cs="Times New Roman"/>
                <w:sz w:val="20"/>
                <w:szCs w:val="20"/>
                <w:highlight w:val="none"/>
                <w:lang w:val="en-US" w:eastAsia="zh-CN"/>
              </w:rPr>
              <w:t>一般固废</w:t>
            </w:r>
          </w:p>
        </w:tc>
        <w:tc>
          <w:tcPr>
            <w:tcW w:w="454" w:type="pct"/>
            <w:vAlign w:val="top"/>
          </w:tcPr>
          <w:p>
            <w:pPr>
              <w:spacing w:before="209" w:line="189" w:lineRule="auto"/>
              <w:jc w:val="center"/>
              <w:rPr>
                <w:rFonts w:hint="default" w:ascii="Times New Roman" w:hAnsi="Times New Roman" w:eastAsia="宋体" w:cs="Times New Roman"/>
                <w:sz w:val="22"/>
                <w:szCs w:val="22"/>
                <w:highlight w:val="none"/>
                <w:lang w:val="en-US" w:eastAsia="zh-CN"/>
              </w:rPr>
            </w:pPr>
            <w:r>
              <w:rPr>
                <w:rFonts w:hint="eastAsia" w:ascii="Times New Roman" w:hAnsi="Times New Roman" w:eastAsia="宋体" w:cs="Times New Roman"/>
                <w:sz w:val="22"/>
                <w:szCs w:val="22"/>
                <w:highlight w:val="none"/>
                <w:lang w:val="en-US" w:eastAsia="zh-CN"/>
              </w:rPr>
              <w:t>67.5</w:t>
            </w:r>
          </w:p>
        </w:tc>
        <w:tc>
          <w:tcPr>
            <w:tcW w:w="20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color w:val="auto"/>
                <w:sz w:val="21"/>
                <w:szCs w:val="21"/>
                <w:lang w:val="en-US" w:eastAsia="zh-CN"/>
              </w:rPr>
              <w:t>屠宰加工车间产生的猪毛在专用容器内储存，外售至毛刷厂</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jc w:val="center"/>
        </w:trPr>
        <w:tc>
          <w:tcPr>
            <w:tcW w:w="320" w:type="pct"/>
            <w:vAlign w:val="top"/>
          </w:tcPr>
          <w:p>
            <w:pPr>
              <w:spacing w:before="204"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1"/>
                <w:sz w:val="20"/>
                <w:szCs w:val="20"/>
                <w:highlight w:val="none"/>
              </w:rPr>
              <w:t>4</w:t>
            </w:r>
          </w:p>
        </w:tc>
        <w:tc>
          <w:tcPr>
            <w:tcW w:w="10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rPr>
            </w:pPr>
            <w:r>
              <w:rPr>
                <w:rFonts w:hint="eastAsia" w:ascii="Times New Roman" w:hAnsi="Times New Roman" w:eastAsia="宋体" w:cs="Times New Roman"/>
                <w:color w:val="auto"/>
                <w:spacing w:val="0"/>
                <w:sz w:val="21"/>
                <w:szCs w:val="21"/>
                <w:lang w:val="en-US" w:eastAsia="zh-CN"/>
              </w:rPr>
              <w:t>肠胃内容物</w:t>
            </w:r>
          </w:p>
        </w:tc>
        <w:tc>
          <w:tcPr>
            <w:tcW w:w="11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一般固废</w:t>
            </w:r>
          </w:p>
        </w:tc>
        <w:tc>
          <w:tcPr>
            <w:tcW w:w="454" w:type="pct"/>
            <w:vAlign w:val="top"/>
          </w:tcPr>
          <w:p>
            <w:pPr>
              <w:spacing w:before="201"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Times New Roman" w:cs="Times New Roman"/>
                <w:sz w:val="22"/>
                <w:szCs w:val="22"/>
                <w:highlight w:val="none"/>
              </w:rPr>
              <w:t>1</w:t>
            </w:r>
            <w:r>
              <w:rPr>
                <w:rFonts w:hint="eastAsia" w:ascii="Times New Roman" w:hAnsi="Times New Roman" w:eastAsia="宋体" w:cs="Times New Roman"/>
                <w:sz w:val="22"/>
                <w:szCs w:val="22"/>
                <w:highlight w:val="none"/>
                <w:lang w:val="en-US" w:eastAsia="zh-CN"/>
              </w:rPr>
              <w:t>0.8</w:t>
            </w:r>
          </w:p>
        </w:tc>
        <w:tc>
          <w:tcPr>
            <w:tcW w:w="20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color w:val="auto"/>
                <w:sz w:val="21"/>
                <w:szCs w:val="21"/>
                <w:lang w:val="en-US" w:eastAsia="zh-CN"/>
              </w:rPr>
              <w:t>肠胃内容物</w:t>
            </w:r>
            <w:r>
              <w:rPr>
                <w:rFonts w:hint="default" w:ascii="Times New Roman" w:hAnsi="Times New Roman" w:eastAsia="宋体" w:cs="Times New Roman"/>
                <w:color w:val="auto"/>
                <w:spacing w:val="0"/>
                <w:sz w:val="21"/>
                <w:szCs w:val="21"/>
                <w:lang w:eastAsia="zh-CN"/>
              </w:rPr>
              <w:t>通过</w:t>
            </w:r>
            <w:r>
              <w:rPr>
                <w:rFonts w:hint="default" w:ascii="Times New Roman" w:hAnsi="Times New Roman" w:eastAsia="宋体" w:cs="Times New Roman"/>
                <w:color w:val="auto"/>
                <w:spacing w:val="0"/>
                <w:sz w:val="21"/>
                <w:szCs w:val="21"/>
              </w:rPr>
              <w:t>风送设备排至肠内物收集池</w:t>
            </w:r>
            <w:r>
              <w:rPr>
                <w:rFonts w:hint="default" w:ascii="Times New Roman" w:hAnsi="Times New Roman" w:eastAsia="宋体" w:cs="Times New Roman"/>
                <w:color w:val="auto"/>
                <w:spacing w:val="0"/>
                <w:sz w:val="21"/>
                <w:szCs w:val="21"/>
                <w:lang w:eastAsia="zh-CN"/>
              </w:rPr>
              <w:t>封闭贮存，</w:t>
            </w:r>
            <w:r>
              <w:rPr>
                <w:rFonts w:hint="default" w:ascii="Times New Roman" w:hAnsi="Times New Roman" w:eastAsia="宋体" w:cs="Times New Roman"/>
                <w:color w:val="auto"/>
                <w:sz w:val="21"/>
                <w:szCs w:val="21"/>
                <w:lang w:val="en-US" w:eastAsia="zh-CN"/>
              </w:rPr>
              <w:t>外运堆肥处理；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320" w:type="pct"/>
            <w:vAlign w:val="top"/>
          </w:tcPr>
          <w:p>
            <w:pPr>
              <w:spacing w:before="211" w:line="192"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5</w:t>
            </w:r>
          </w:p>
        </w:tc>
        <w:tc>
          <w:tcPr>
            <w:tcW w:w="10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rPr>
            </w:pPr>
            <w:r>
              <w:rPr>
                <w:rFonts w:hint="eastAsia" w:ascii="Times New Roman" w:hAnsi="Times New Roman" w:eastAsia="宋体" w:cs="Times New Roman"/>
                <w:color w:val="auto"/>
                <w:sz w:val="21"/>
                <w:szCs w:val="21"/>
                <w:lang w:val="en-US" w:eastAsia="zh-CN"/>
              </w:rPr>
              <w:t>污水处理站污泥和栅渣</w:t>
            </w:r>
          </w:p>
        </w:tc>
        <w:tc>
          <w:tcPr>
            <w:tcW w:w="11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000000"/>
                <w:kern w:val="0"/>
                <w:sz w:val="20"/>
                <w:szCs w:val="20"/>
                <w:highlight w:val="none"/>
                <w:lang w:val="en-US" w:eastAsia="en-US" w:bidi="ar-SA"/>
              </w:rPr>
            </w:pPr>
            <w:r>
              <w:rPr>
                <w:rFonts w:hint="eastAsia" w:ascii="Times New Roman" w:hAnsi="Times New Roman" w:eastAsia="宋体" w:cs="Times New Roman"/>
                <w:sz w:val="20"/>
                <w:szCs w:val="20"/>
                <w:highlight w:val="none"/>
                <w:lang w:val="en-US" w:eastAsia="zh-CN"/>
              </w:rPr>
              <w:t>一般固废</w:t>
            </w:r>
          </w:p>
        </w:tc>
        <w:tc>
          <w:tcPr>
            <w:tcW w:w="454" w:type="pct"/>
            <w:vAlign w:val="top"/>
          </w:tcPr>
          <w:p>
            <w:pPr>
              <w:spacing w:before="202" w:line="189" w:lineRule="auto"/>
              <w:jc w:val="center"/>
              <w:rPr>
                <w:rFonts w:hint="default" w:ascii="Times New Roman" w:hAnsi="Times New Roman" w:eastAsia="宋体" w:cs="Times New Roman"/>
                <w:sz w:val="22"/>
                <w:szCs w:val="22"/>
                <w:highlight w:val="none"/>
                <w:lang w:val="en-US" w:eastAsia="zh-CN"/>
              </w:rPr>
            </w:pPr>
            <w:r>
              <w:rPr>
                <w:rFonts w:hint="eastAsia" w:ascii="Times New Roman" w:hAnsi="Times New Roman" w:eastAsia="宋体" w:cs="Times New Roman"/>
                <w:sz w:val="22"/>
                <w:szCs w:val="22"/>
                <w:highlight w:val="none"/>
                <w:lang w:val="en-US" w:eastAsia="zh-CN"/>
              </w:rPr>
              <w:t>2.11</w:t>
            </w:r>
          </w:p>
        </w:tc>
        <w:tc>
          <w:tcPr>
            <w:tcW w:w="20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rPr>
            </w:pPr>
            <w:r>
              <w:rPr>
                <w:rFonts w:hint="eastAsia" w:ascii="Times New Roman" w:hAnsi="Times New Roman" w:eastAsia="宋体" w:cs="Times New Roman"/>
                <w:color w:val="auto"/>
                <w:sz w:val="21"/>
                <w:szCs w:val="21"/>
                <w:lang w:val="en-US" w:eastAsia="zh-CN"/>
              </w:rPr>
              <w:t>污水处理站污泥和栅渣</w:t>
            </w:r>
            <w:r>
              <w:rPr>
                <w:rFonts w:hint="default" w:ascii="Times New Roman" w:hAnsi="Times New Roman" w:cs="Times New Roman"/>
                <w:color w:val="auto"/>
                <w:sz w:val="21"/>
                <w:szCs w:val="21"/>
                <w:highlight w:val="none"/>
              </w:rPr>
              <w:t>(HW01)经离心式脱水机脱水、</w:t>
            </w:r>
            <w:r>
              <w:rPr>
                <w:rFonts w:hint="eastAsia" w:ascii="Times New Roman" w:hAnsi="Times New Roman" w:eastAsia="宋体" w:cs="Times New Roman"/>
                <w:color w:val="auto"/>
                <w:sz w:val="21"/>
                <w:szCs w:val="21"/>
                <w:highlight w:val="none"/>
                <w:lang w:val="en-US" w:eastAsia="zh-CN"/>
              </w:rPr>
              <w:t>送至生活垃圾填埋场</w:t>
            </w:r>
            <w:r>
              <w:rPr>
                <w:rFonts w:hint="default" w:ascii="Times New Roman" w:hAnsi="Times New Roman" w:cs="Times New Roman"/>
                <w:color w:val="auto"/>
                <w:sz w:val="21"/>
                <w:szCs w:val="21"/>
                <w:highlight w:val="none"/>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589" w:type="dxa"/>
            <w:vAlign w:val="top"/>
          </w:tcPr>
          <w:p>
            <w:pPr>
              <w:spacing w:before="211" w:line="192" w:lineRule="auto"/>
              <w:jc w:val="center"/>
              <w:rPr>
                <w:rFonts w:hint="eastAsia"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6</w:t>
            </w:r>
          </w:p>
        </w:tc>
        <w:tc>
          <w:tcPr>
            <w:tcW w:w="10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rPr>
            </w:pPr>
            <w:r>
              <w:rPr>
                <w:rFonts w:hint="default" w:ascii="Times New Roman" w:hAnsi="Times New Roman" w:eastAsia="宋体" w:cs="Times New Roman"/>
                <w:color w:val="auto"/>
                <w:sz w:val="21"/>
                <w:szCs w:val="21"/>
                <w:lang w:val="en-US" w:eastAsia="zh-CN"/>
              </w:rPr>
              <w:t>废油脂和落地油</w:t>
            </w:r>
          </w:p>
        </w:tc>
        <w:tc>
          <w:tcPr>
            <w:tcW w:w="11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rPr>
            </w:pPr>
            <w:r>
              <w:rPr>
                <w:rFonts w:hint="eastAsia" w:ascii="Times New Roman" w:hAnsi="Times New Roman" w:eastAsia="宋体" w:cs="Times New Roman"/>
                <w:sz w:val="20"/>
                <w:szCs w:val="20"/>
                <w:highlight w:val="none"/>
                <w:lang w:val="en-US" w:eastAsia="zh-CN"/>
              </w:rPr>
              <w:t>一般固废</w:t>
            </w:r>
          </w:p>
        </w:tc>
        <w:tc>
          <w:tcPr>
            <w:tcW w:w="454" w:type="pct"/>
            <w:vAlign w:val="top"/>
          </w:tcPr>
          <w:p>
            <w:pPr>
              <w:spacing w:before="167" w:line="228" w:lineRule="auto"/>
              <w:jc w:val="center"/>
              <w:rPr>
                <w:rFonts w:hint="default" w:ascii="Times New Roman" w:hAnsi="Times New Roman" w:eastAsia="宋体" w:cs="Times New Roman"/>
                <w:sz w:val="22"/>
                <w:szCs w:val="22"/>
                <w:highlight w:val="none"/>
                <w:lang w:val="en-US" w:eastAsia="zh-CN"/>
              </w:rPr>
            </w:pPr>
            <w:r>
              <w:rPr>
                <w:rFonts w:hint="eastAsia" w:ascii="Times New Roman" w:hAnsi="Times New Roman" w:eastAsia="宋体" w:cs="Times New Roman"/>
                <w:sz w:val="22"/>
                <w:szCs w:val="22"/>
                <w:highlight w:val="none"/>
                <w:lang w:val="en-US" w:eastAsia="zh-CN"/>
              </w:rPr>
              <w:t>0.34</w:t>
            </w:r>
          </w:p>
        </w:tc>
        <w:tc>
          <w:tcPr>
            <w:tcW w:w="20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rPr>
            </w:pPr>
            <w:r>
              <w:rPr>
                <w:rFonts w:hint="default" w:ascii="Times New Roman" w:hAnsi="Times New Roman" w:eastAsia="宋体" w:cs="Times New Roman"/>
                <w:color w:val="auto"/>
                <w:sz w:val="21"/>
                <w:szCs w:val="21"/>
                <w:lang w:val="en-US" w:eastAsia="zh-CN"/>
              </w:rPr>
              <w:t>隔油工段废油脂和落地油委托</w:t>
            </w:r>
            <w:r>
              <w:rPr>
                <w:rFonts w:hint="eastAsia" w:ascii="Times New Roman" w:hAnsi="Times New Roman" w:eastAsia="宋体" w:cs="Times New Roman"/>
                <w:color w:val="auto"/>
                <w:sz w:val="21"/>
                <w:szCs w:val="21"/>
                <w:highlight w:val="none"/>
                <w:lang w:val="en-US" w:eastAsia="zh-CN"/>
              </w:rPr>
              <w:t>巴彦县燊缘无害化处理有限公司</w:t>
            </w:r>
            <w:r>
              <w:rPr>
                <w:rFonts w:hint="default" w:ascii="Times New Roman" w:hAnsi="Times New Roman" w:eastAsia="宋体" w:cs="Times New Roman"/>
                <w:color w:val="auto"/>
                <w:sz w:val="21"/>
                <w:szCs w:val="21"/>
                <w:lang w:val="en-US" w:eastAsia="zh-CN"/>
              </w:rPr>
              <w:t>进行处置</w:t>
            </w:r>
            <w:r>
              <w:rPr>
                <w:rFonts w:hint="eastAsia" w:ascii="Times New Roman" w:hAnsi="Times New Roman" w:eastAsia="宋体" w:cs="Times New Roman"/>
                <w:color w:val="auto"/>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320" w:type="pct"/>
            <w:vAlign w:val="top"/>
          </w:tcPr>
          <w:p>
            <w:pPr>
              <w:spacing w:before="210" w:line="192"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7</w:t>
            </w:r>
          </w:p>
        </w:tc>
        <w:tc>
          <w:tcPr>
            <w:tcW w:w="10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rPr>
            </w:pPr>
            <w:r>
              <w:rPr>
                <w:rFonts w:hint="eastAsia" w:ascii="Times New Roman" w:hAnsi="Times New Roman" w:eastAsia="宋体" w:cs="Times New Roman"/>
                <w:color w:val="auto"/>
                <w:spacing w:val="0"/>
                <w:sz w:val="21"/>
                <w:szCs w:val="21"/>
                <w:lang w:val="en-US" w:eastAsia="zh-CN"/>
              </w:rPr>
              <w:t>生活垃圾</w:t>
            </w:r>
          </w:p>
        </w:tc>
        <w:tc>
          <w:tcPr>
            <w:tcW w:w="11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rPr>
            </w:pPr>
            <w:r>
              <w:rPr>
                <w:rFonts w:hint="eastAsia" w:ascii="Times New Roman" w:hAnsi="Times New Roman" w:eastAsia="宋体" w:cs="Times New Roman"/>
                <w:sz w:val="20"/>
                <w:szCs w:val="20"/>
                <w:highlight w:val="none"/>
                <w:lang w:val="en-US" w:eastAsia="zh-CN"/>
              </w:rPr>
              <w:t>一般固废</w:t>
            </w:r>
          </w:p>
        </w:tc>
        <w:tc>
          <w:tcPr>
            <w:tcW w:w="454" w:type="pct"/>
            <w:vAlign w:val="top"/>
          </w:tcPr>
          <w:p>
            <w:pPr>
              <w:spacing w:before="204" w:line="189" w:lineRule="auto"/>
              <w:jc w:val="center"/>
              <w:rPr>
                <w:rFonts w:hint="default" w:ascii="Times New Roman" w:hAnsi="Times New Roman" w:eastAsia="宋体" w:cs="Times New Roman"/>
                <w:sz w:val="22"/>
                <w:szCs w:val="22"/>
                <w:highlight w:val="none"/>
                <w:lang w:val="en-US" w:eastAsia="zh-CN"/>
              </w:rPr>
            </w:pPr>
            <w:r>
              <w:rPr>
                <w:rFonts w:hint="eastAsia" w:ascii="Times New Roman" w:hAnsi="Times New Roman" w:eastAsia="宋体" w:cs="Times New Roman"/>
                <w:sz w:val="22"/>
                <w:szCs w:val="22"/>
                <w:highlight w:val="none"/>
                <w:lang w:val="en-US" w:eastAsia="zh-CN"/>
              </w:rPr>
              <w:t>0.135</w:t>
            </w:r>
          </w:p>
        </w:tc>
        <w:tc>
          <w:tcPr>
            <w:tcW w:w="20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color w:val="auto"/>
                <w:sz w:val="21"/>
                <w:szCs w:val="21"/>
                <w:lang w:val="en-US" w:eastAsia="zh-CN"/>
              </w:rPr>
              <w:t>生活垃圾交由环卫部门处置</w:t>
            </w:r>
            <w:r>
              <w:rPr>
                <w:rFonts w:hint="eastAsia" w:ascii="Times New Roman" w:hAnsi="Times New Roman" w:eastAsia="宋体" w:cs="Times New Roman"/>
                <w:color w:val="auto"/>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320" w:type="pct"/>
            <w:vAlign w:val="top"/>
          </w:tcPr>
          <w:p>
            <w:pPr>
              <w:spacing w:before="210" w:line="192" w:lineRule="auto"/>
              <w:jc w:val="center"/>
              <w:rPr>
                <w:rFonts w:hint="eastAsia"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8</w:t>
            </w:r>
          </w:p>
        </w:tc>
        <w:tc>
          <w:tcPr>
            <w:tcW w:w="10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color w:val="auto"/>
                <w:spacing w:val="0"/>
                <w:sz w:val="21"/>
                <w:szCs w:val="21"/>
                <w:lang w:val="en-US" w:eastAsia="zh-CN"/>
              </w:rPr>
              <w:t>废离子交换树脂</w:t>
            </w:r>
          </w:p>
        </w:tc>
        <w:tc>
          <w:tcPr>
            <w:tcW w:w="11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napToGrid w:val="0"/>
                <w:color w:val="000000"/>
                <w:kern w:val="0"/>
                <w:sz w:val="20"/>
                <w:szCs w:val="20"/>
                <w:highlight w:val="none"/>
                <w:lang w:val="en-US" w:eastAsia="zh-CN" w:bidi="ar-SA"/>
              </w:rPr>
            </w:pPr>
            <w:r>
              <w:rPr>
                <w:rFonts w:hint="eastAsia" w:ascii="Times New Roman" w:hAnsi="Times New Roman" w:eastAsia="宋体" w:cs="Times New Roman"/>
                <w:sz w:val="20"/>
                <w:szCs w:val="20"/>
                <w:highlight w:val="none"/>
                <w:lang w:val="en-US" w:eastAsia="zh-CN"/>
              </w:rPr>
              <w:t>一般固废</w:t>
            </w:r>
          </w:p>
        </w:tc>
        <w:tc>
          <w:tcPr>
            <w:tcW w:w="454" w:type="pct"/>
            <w:vAlign w:val="top"/>
          </w:tcPr>
          <w:p>
            <w:pPr>
              <w:spacing w:before="204" w:line="189" w:lineRule="auto"/>
              <w:jc w:val="center"/>
              <w:rPr>
                <w:rFonts w:hint="default" w:ascii="Times New Roman" w:hAnsi="Times New Roman" w:eastAsia="宋体" w:cs="Times New Roman"/>
                <w:spacing w:val="-2"/>
                <w:sz w:val="22"/>
                <w:szCs w:val="22"/>
                <w:highlight w:val="none"/>
                <w:lang w:val="en-US" w:eastAsia="zh-CN"/>
              </w:rPr>
            </w:pPr>
            <w:r>
              <w:rPr>
                <w:rFonts w:hint="eastAsia" w:ascii="Times New Roman" w:hAnsi="Times New Roman" w:eastAsia="宋体" w:cs="Times New Roman"/>
                <w:spacing w:val="-2"/>
                <w:sz w:val="22"/>
                <w:szCs w:val="22"/>
                <w:highlight w:val="none"/>
                <w:lang w:val="en-US" w:eastAsia="zh-CN"/>
              </w:rPr>
              <w:t>0.14</w:t>
            </w:r>
          </w:p>
        </w:tc>
        <w:tc>
          <w:tcPr>
            <w:tcW w:w="20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8"/>
                <w:sz w:val="20"/>
                <w:szCs w:val="20"/>
                <w:highlight w:val="none"/>
                <w:lang w:val="en-US" w:eastAsia="zh-CN"/>
              </w:rPr>
            </w:pPr>
            <w:r>
              <w:rPr>
                <w:rFonts w:hint="default" w:ascii="Times New Roman" w:hAnsi="Times New Roman" w:eastAsia="宋体" w:cs="Times New Roman"/>
                <w:color w:val="auto"/>
                <w:sz w:val="21"/>
                <w:szCs w:val="21"/>
                <w:lang w:val="en-US" w:eastAsia="zh-CN"/>
              </w:rPr>
              <w:t>锅炉房产生的废离子交换树脂由厂家回收</w:t>
            </w:r>
            <w:r>
              <w:rPr>
                <w:rFonts w:hint="eastAsia" w:ascii="Times New Roman" w:hAnsi="Times New Roman" w:eastAsia="宋体" w:cs="Times New Roman"/>
                <w:color w:val="auto"/>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320" w:type="pct"/>
            <w:vAlign w:val="top"/>
          </w:tcPr>
          <w:p>
            <w:pPr>
              <w:spacing w:before="210" w:line="192" w:lineRule="auto"/>
              <w:jc w:val="center"/>
              <w:rPr>
                <w:rFonts w:hint="eastAsia"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9</w:t>
            </w:r>
          </w:p>
        </w:tc>
        <w:tc>
          <w:tcPr>
            <w:tcW w:w="106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color w:val="auto"/>
                <w:spacing w:val="0"/>
                <w:sz w:val="21"/>
                <w:szCs w:val="21"/>
                <w:lang w:val="en-US" w:eastAsia="zh-CN"/>
              </w:rPr>
              <w:t>非正常工况下病猪</w:t>
            </w:r>
          </w:p>
        </w:tc>
        <w:tc>
          <w:tcPr>
            <w:tcW w:w="111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000000"/>
                <w:kern w:val="0"/>
                <w:sz w:val="20"/>
                <w:szCs w:val="20"/>
                <w:highlight w:val="none"/>
                <w:lang w:val="en-US" w:eastAsia="en-US" w:bidi="ar-SA"/>
              </w:rPr>
            </w:pPr>
            <w:r>
              <w:rPr>
                <w:rFonts w:hint="eastAsia" w:ascii="Times New Roman" w:hAnsi="Times New Roman" w:eastAsia="宋体" w:cs="Times New Roman"/>
                <w:sz w:val="20"/>
                <w:szCs w:val="20"/>
                <w:highlight w:val="none"/>
                <w:lang w:val="en-US" w:eastAsia="zh-CN"/>
              </w:rPr>
              <w:t>危险废物</w:t>
            </w:r>
          </w:p>
        </w:tc>
        <w:tc>
          <w:tcPr>
            <w:tcW w:w="454" w:type="pct"/>
            <w:vAlign w:val="top"/>
          </w:tcPr>
          <w:p>
            <w:pPr>
              <w:spacing w:before="204" w:line="189" w:lineRule="auto"/>
              <w:jc w:val="center"/>
              <w:rPr>
                <w:rFonts w:hint="default" w:ascii="Times New Roman" w:hAnsi="Times New Roman" w:eastAsia="宋体" w:cs="Times New Roman"/>
                <w:spacing w:val="-2"/>
                <w:sz w:val="22"/>
                <w:szCs w:val="22"/>
                <w:highlight w:val="none"/>
                <w:lang w:val="en-US" w:eastAsia="zh-CN"/>
              </w:rPr>
            </w:pPr>
            <w:r>
              <w:rPr>
                <w:rFonts w:hint="eastAsia" w:ascii="Times New Roman" w:hAnsi="Times New Roman" w:eastAsia="宋体" w:cs="Times New Roman"/>
                <w:spacing w:val="-2"/>
                <w:sz w:val="22"/>
                <w:szCs w:val="22"/>
                <w:highlight w:val="none"/>
                <w:lang w:val="en-US" w:eastAsia="zh-CN"/>
              </w:rPr>
              <w:t>0.3</w:t>
            </w:r>
          </w:p>
        </w:tc>
        <w:tc>
          <w:tcPr>
            <w:tcW w:w="20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8"/>
                <w:sz w:val="20"/>
                <w:szCs w:val="20"/>
                <w:highlight w:val="none"/>
                <w:lang w:val="en-US" w:eastAsia="zh-CN"/>
              </w:rPr>
            </w:pPr>
            <w:r>
              <w:rPr>
                <w:rFonts w:hint="default" w:ascii="Times New Roman" w:hAnsi="Times New Roman" w:eastAsia="宋体" w:cs="Times New Roman"/>
                <w:color w:val="auto"/>
                <w:sz w:val="21"/>
                <w:szCs w:val="21"/>
                <w:lang w:val="en-US" w:eastAsia="zh-CN"/>
              </w:rPr>
              <w:t>非正常工况下对发现的病猪进行急宰</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送至</w:t>
            </w:r>
            <w:r>
              <w:rPr>
                <w:rFonts w:hint="eastAsia" w:ascii="Times New Roman" w:hAnsi="Times New Roman" w:eastAsia="宋体" w:cs="Times New Roman"/>
                <w:color w:val="auto"/>
                <w:sz w:val="21"/>
                <w:szCs w:val="21"/>
                <w:lang w:val="en-US" w:eastAsia="zh-CN"/>
              </w:rPr>
              <w:t>巴彦县燊缘无害化处理有限公司</w:t>
            </w:r>
            <w:r>
              <w:rPr>
                <w:rFonts w:hint="default" w:ascii="Times New Roman" w:hAnsi="Times New Roman" w:eastAsia="宋体" w:cs="Times New Roman"/>
                <w:color w:val="auto"/>
                <w:sz w:val="21"/>
                <w:szCs w:val="21"/>
                <w:lang w:val="en-US" w:eastAsia="zh-CN"/>
              </w:rPr>
              <w:t>处理。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jc w:val="center"/>
        </w:trPr>
        <w:tc>
          <w:tcPr>
            <w:tcW w:w="320" w:type="pct"/>
            <w:vAlign w:val="top"/>
          </w:tcPr>
          <w:p>
            <w:pPr>
              <w:spacing w:before="38" w:line="216"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合计</w:t>
            </w:r>
          </w:p>
        </w:tc>
        <w:tc>
          <w:tcPr>
            <w:tcW w:w="1069" w:type="pct"/>
            <w:vAlign w:val="top"/>
          </w:tcPr>
          <w:p>
            <w:pPr>
              <w:spacing w:before="69" w:line="199"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w:t>
            </w:r>
          </w:p>
        </w:tc>
        <w:tc>
          <w:tcPr>
            <w:tcW w:w="1111" w:type="pct"/>
            <w:vAlign w:val="top"/>
          </w:tcPr>
          <w:p>
            <w:pPr>
              <w:spacing w:before="69" w:line="199"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w:t>
            </w:r>
          </w:p>
        </w:tc>
        <w:tc>
          <w:tcPr>
            <w:tcW w:w="454" w:type="pct"/>
            <w:vAlign w:val="top"/>
          </w:tcPr>
          <w:p>
            <w:pPr>
              <w:spacing w:before="73"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pacing w:val="3"/>
                <w:sz w:val="20"/>
                <w:szCs w:val="20"/>
                <w:highlight w:val="none"/>
                <w:lang w:val="en-US" w:eastAsia="zh-CN"/>
              </w:rPr>
              <w:t>92.905</w:t>
            </w:r>
          </w:p>
        </w:tc>
        <w:tc>
          <w:tcPr>
            <w:tcW w:w="2044" w:type="pct"/>
            <w:vAlign w:val="top"/>
          </w:tcPr>
          <w:p>
            <w:pPr>
              <w:spacing w:before="69" w:line="199"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w:t>
            </w:r>
          </w:p>
        </w:tc>
      </w:tr>
    </w:tbl>
    <w:p>
      <w:pPr>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宋体" w:cs="Times New Roman"/>
          <w:b/>
          <w:bCs/>
          <w:snapToGrid/>
          <w:color w:val="auto"/>
          <w:kern w:val="44"/>
          <w:sz w:val="30"/>
          <w:szCs w:val="30"/>
          <w:lang w:val="en-US" w:eastAsia="zh-CN"/>
        </w:rPr>
      </w:pPr>
      <w:bookmarkStart w:id="73" w:name="_Toc6147"/>
      <w:r>
        <w:rPr>
          <w:rFonts w:hint="default" w:ascii="Times New Roman" w:hAnsi="Times New Roman" w:eastAsia="宋体" w:cs="Times New Roman"/>
          <w:b/>
          <w:bCs/>
          <w:snapToGrid/>
          <w:color w:val="auto"/>
          <w:kern w:val="44"/>
          <w:sz w:val="30"/>
          <w:szCs w:val="30"/>
          <w:lang w:val="en-US" w:eastAsia="zh-CN"/>
        </w:rPr>
        <w:t>3.3  现有工程存在的环保问题及整改措施</w:t>
      </w:r>
      <w:bookmarkEnd w:id="73"/>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position w:val="17"/>
          <w:sz w:val="24"/>
          <w:szCs w:val="24"/>
        </w:rPr>
        <w:t>根据前文分析及现场调查，现有工程正常运行，各类污染</w:t>
      </w:r>
      <w:r>
        <w:rPr>
          <w:rFonts w:hint="default" w:ascii="Times New Roman" w:hAnsi="Times New Roman" w:eastAsia="宋体" w:cs="Times New Roman"/>
          <w:spacing w:val="-2"/>
          <w:position w:val="17"/>
          <w:sz w:val="24"/>
          <w:szCs w:val="24"/>
        </w:rPr>
        <w:t>物均可做到达标排放，各</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z w:val="24"/>
          <w:szCs w:val="24"/>
        </w:rPr>
        <w:t>排污口已按要求进行了规范化设置，现有工程存在主要问</w:t>
      </w:r>
      <w:r>
        <w:rPr>
          <w:rFonts w:hint="default" w:ascii="Times New Roman" w:hAnsi="Times New Roman" w:eastAsia="宋体" w:cs="Times New Roman"/>
          <w:spacing w:val="-1"/>
          <w:sz w:val="24"/>
          <w:szCs w:val="24"/>
        </w:rPr>
        <w:t>题及拟采取的措施如下：</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38"/>
          <w:sz w:val="20"/>
          <w:szCs w:val="20"/>
        </w:rPr>
        <w:t xml:space="preserve"> </w:t>
      </w:r>
      <w:r>
        <w:rPr>
          <w:rFonts w:hint="default" w:ascii="Times New Roman" w:hAnsi="Times New Roman" w:eastAsia="宋体" w:cs="Times New Roman"/>
          <w:b/>
          <w:bCs/>
          <w:spacing w:val="8"/>
          <w:sz w:val="20"/>
          <w:szCs w:val="20"/>
          <w:lang w:val="en-US" w:eastAsia="zh-CN"/>
        </w:rPr>
        <w:t>3</w:t>
      </w:r>
      <w:r>
        <w:rPr>
          <w:rFonts w:hint="eastAsia" w:ascii="Times New Roman" w:hAnsi="Times New Roman" w:eastAsia="宋体" w:cs="Times New Roman"/>
          <w:b/>
          <w:bCs/>
          <w:spacing w:val="8"/>
          <w:sz w:val="20"/>
          <w:szCs w:val="20"/>
          <w:lang w:val="en-US" w:eastAsia="zh-CN"/>
        </w:rPr>
        <w:t>-</w:t>
      </w:r>
      <w:r>
        <w:rPr>
          <w:rFonts w:hint="default" w:ascii="Times New Roman" w:hAnsi="Times New Roman" w:eastAsia="Times New Roman" w:cs="Times New Roman"/>
          <w:b/>
          <w:bCs/>
          <w:spacing w:val="8"/>
          <w:sz w:val="20"/>
          <w:szCs w:val="20"/>
        </w:rPr>
        <w:t xml:space="preserve">3-1    </w:t>
      </w:r>
      <w:r>
        <w:rPr>
          <w:rFonts w:hint="default" w:ascii="Times New Roman" w:hAnsi="Times New Roman" w:eastAsia="宋体" w:cs="Times New Roman"/>
          <w:spacing w:val="8"/>
          <w:sz w:val="20"/>
          <w:szCs w:val="20"/>
          <w14:textOutline w14:w="3795" w14:cap="sq" w14:cmpd="sng">
            <w14:solidFill>
              <w14:srgbClr w14:val="000000"/>
            </w14:solidFill>
            <w14:prstDash w14:val="solid"/>
            <w14:bevel/>
          </w14:textOutline>
        </w:rPr>
        <w:t>现有工程存在的主要环保问题及整改措施一览表</w:t>
      </w:r>
    </w:p>
    <w:p>
      <w:pPr>
        <w:spacing w:line="14" w:lineRule="exact"/>
        <w:rPr>
          <w:rFonts w:hint="default" w:ascii="Times New Roman" w:hAnsi="Times New Roman" w:cs="Times New Roman"/>
        </w:rPr>
      </w:pPr>
    </w:p>
    <w:tbl>
      <w:tblPr>
        <w:tblStyle w:val="34"/>
        <w:tblW w:w="919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17"/>
        <w:gridCol w:w="3446"/>
        <w:gridCol w:w="3886"/>
        <w:gridCol w:w="124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jc w:val="center"/>
        </w:trPr>
        <w:tc>
          <w:tcPr>
            <w:tcW w:w="617" w:type="dxa"/>
            <w:vAlign w:val="top"/>
          </w:tcPr>
          <w:p>
            <w:pPr>
              <w:spacing w:before="55" w:line="229" w:lineRule="auto"/>
              <w:ind w:left="101"/>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序号</w:t>
            </w:r>
          </w:p>
        </w:tc>
        <w:tc>
          <w:tcPr>
            <w:tcW w:w="3446" w:type="dxa"/>
            <w:vAlign w:val="top"/>
          </w:tcPr>
          <w:p>
            <w:pPr>
              <w:spacing w:before="55" w:line="228" w:lineRule="auto"/>
              <w:ind w:left="1296"/>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存在问题</w:t>
            </w:r>
          </w:p>
        </w:tc>
        <w:tc>
          <w:tcPr>
            <w:tcW w:w="3886" w:type="dxa"/>
            <w:vAlign w:val="top"/>
          </w:tcPr>
          <w:p>
            <w:pPr>
              <w:spacing w:before="55" w:line="228" w:lineRule="auto"/>
              <w:ind w:left="1517"/>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整改内容</w:t>
            </w:r>
          </w:p>
        </w:tc>
        <w:tc>
          <w:tcPr>
            <w:tcW w:w="1241" w:type="dxa"/>
            <w:vAlign w:val="top"/>
          </w:tcPr>
          <w:p>
            <w:pPr>
              <w:spacing w:before="55" w:line="228" w:lineRule="auto"/>
              <w:ind w:left="203"/>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整改期限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17" w:type="dxa"/>
            <w:vAlign w:val="top"/>
          </w:tcPr>
          <w:p>
            <w:pPr>
              <w:spacing w:before="210" w:line="192" w:lineRule="auto"/>
              <w:ind w:left="274" w:leftChars="0"/>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z w:val="20"/>
                <w:szCs w:val="20"/>
                <w:highlight w:val="none"/>
                <w:lang w:val="en-US" w:eastAsia="zh-CN"/>
              </w:rPr>
              <w:t>1</w:t>
            </w:r>
          </w:p>
        </w:tc>
        <w:tc>
          <w:tcPr>
            <w:tcW w:w="3446" w:type="dxa"/>
            <w:vAlign w:val="top"/>
          </w:tcPr>
          <w:p>
            <w:pPr>
              <w:spacing w:before="209"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厂区无事故应急池</w:t>
            </w:r>
          </w:p>
        </w:tc>
        <w:tc>
          <w:tcPr>
            <w:tcW w:w="3886" w:type="dxa"/>
            <w:vAlign w:val="top"/>
          </w:tcPr>
          <w:p>
            <w:pPr>
              <w:spacing w:before="210" w:line="192"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z w:val="20"/>
                <w:szCs w:val="20"/>
                <w:highlight w:val="none"/>
                <w:lang w:val="en-US" w:eastAsia="zh-CN"/>
              </w:rPr>
              <w:t>新建一座140m</w:t>
            </w:r>
            <w:r>
              <w:rPr>
                <w:rFonts w:hint="default" w:ascii="Times New Roman" w:hAnsi="Times New Roman" w:eastAsia="宋体" w:cs="Times New Roman"/>
                <w:sz w:val="20"/>
                <w:szCs w:val="20"/>
                <w:highlight w:val="none"/>
                <w:vertAlign w:val="superscript"/>
                <w:lang w:val="en-US" w:eastAsia="zh-CN"/>
              </w:rPr>
              <w:t>3</w:t>
            </w:r>
            <w:r>
              <w:rPr>
                <w:rFonts w:hint="default" w:ascii="Times New Roman" w:hAnsi="Times New Roman" w:eastAsia="宋体" w:cs="Times New Roman"/>
                <w:sz w:val="20"/>
                <w:szCs w:val="20"/>
                <w:highlight w:val="none"/>
                <w:lang w:val="en-US" w:eastAsia="zh-CN"/>
              </w:rPr>
              <w:t>事故池</w:t>
            </w:r>
          </w:p>
        </w:tc>
        <w:tc>
          <w:tcPr>
            <w:tcW w:w="1241" w:type="dxa"/>
            <w:vAlign w:val="top"/>
          </w:tcPr>
          <w:p>
            <w:pPr>
              <w:spacing w:before="52" w:line="258" w:lineRule="auto"/>
              <w:ind w:right="37"/>
              <w:jc w:val="center"/>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6"/>
                <w:sz w:val="20"/>
                <w:szCs w:val="20"/>
                <w:highlight w:val="none"/>
              </w:rPr>
              <w:t>202</w:t>
            </w:r>
            <w:r>
              <w:rPr>
                <w:rFonts w:hint="default" w:ascii="Times New Roman" w:hAnsi="Times New Roman" w:eastAsia="宋体" w:cs="Times New Roman"/>
                <w:spacing w:val="6"/>
                <w:sz w:val="20"/>
                <w:szCs w:val="20"/>
                <w:highlight w:val="none"/>
                <w:lang w:val="en-US" w:eastAsia="zh-CN"/>
              </w:rPr>
              <w:t>4</w:t>
            </w:r>
            <w:r>
              <w:rPr>
                <w:rFonts w:hint="default" w:ascii="Times New Roman" w:hAnsi="Times New Roman" w:eastAsia="宋体" w:cs="Times New Roman"/>
                <w:spacing w:val="6"/>
                <w:sz w:val="20"/>
                <w:szCs w:val="20"/>
                <w:highlight w:val="none"/>
              </w:rPr>
              <w:t>年</w:t>
            </w:r>
            <w:r>
              <w:rPr>
                <w:rFonts w:hint="default" w:ascii="Times New Roman" w:hAnsi="Times New Roman" w:eastAsia="Times New Roman" w:cs="Times New Roman"/>
                <w:spacing w:val="6"/>
                <w:sz w:val="20"/>
                <w:szCs w:val="20"/>
                <w:highlight w:val="none"/>
              </w:rPr>
              <w:t>9</w:t>
            </w:r>
            <w:r>
              <w:rPr>
                <w:rFonts w:hint="default" w:ascii="Times New Roman" w:hAnsi="Times New Roman" w:eastAsia="宋体" w:cs="Times New Roman"/>
                <w:spacing w:val="6"/>
                <w:sz w:val="20"/>
                <w:szCs w:val="20"/>
                <w:highlight w:val="none"/>
              </w:rPr>
              <w:t>月底</w:t>
            </w:r>
            <w:r>
              <w:rPr>
                <w:rFonts w:hint="default" w:ascii="Times New Roman" w:hAnsi="Times New Roman" w:eastAsia="宋体" w:cs="Times New Roman"/>
                <w:spacing w:val="1"/>
                <w:sz w:val="20"/>
                <w:szCs w:val="20"/>
                <w:highlight w:val="none"/>
              </w:rPr>
              <w:t xml:space="preserve"> </w:t>
            </w:r>
            <w:r>
              <w:rPr>
                <w:rFonts w:hint="default" w:ascii="Times New Roman" w:hAnsi="Times New Roman" w:eastAsia="宋体" w:cs="Times New Roman"/>
                <w:spacing w:val="5"/>
                <w:sz w:val="20"/>
                <w:szCs w:val="20"/>
                <w:highlight w:val="none"/>
              </w:rPr>
              <w:t>前完成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jc w:val="center"/>
        </w:trPr>
        <w:tc>
          <w:tcPr>
            <w:tcW w:w="617" w:type="dxa"/>
            <w:vAlign w:val="top"/>
          </w:tcPr>
          <w:p>
            <w:pPr>
              <w:spacing w:before="210" w:line="192" w:lineRule="auto"/>
              <w:ind w:left="274" w:leftChars="0"/>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z w:val="20"/>
                <w:szCs w:val="20"/>
                <w:highlight w:val="none"/>
                <w:lang w:val="en-US" w:eastAsia="zh-CN"/>
              </w:rPr>
              <w:t>2</w:t>
            </w:r>
          </w:p>
        </w:tc>
        <w:tc>
          <w:tcPr>
            <w:tcW w:w="3446" w:type="dxa"/>
            <w:vAlign w:val="top"/>
          </w:tcPr>
          <w:p>
            <w:pPr>
              <w:spacing w:before="52" w:line="227" w:lineRule="auto"/>
              <w:ind w:left="37"/>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9"/>
                <w:sz w:val="20"/>
                <w:szCs w:val="20"/>
                <w:highlight w:val="none"/>
                <w:lang w:val="en-US" w:eastAsia="zh-CN"/>
              </w:rPr>
              <w:t>待宰圈及屠宰车间未设置恶臭气体收集净化装置</w:t>
            </w:r>
          </w:p>
        </w:tc>
        <w:tc>
          <w:tcPr>
            <w:tcW w:w="3886" w:type="dxa"/>
            <w:vAlign w:val="top"/>
          </w:tcPr>
          <w:p>
            <w:pPr>
              <w:spacing w:before="210" w:line="192" w:lineRule="auto"/>
              <w:jc w:val="both"/>
              <w:rPr>
                <w:rFonts w:hint="default" w:ascii="Times New Roman" w:hAnsi="Times New Roman" w:eastAsia="宋体" w:cs="Times New Roman"/>
                <w:snapToGrid w:val="0"/>
                <w:color w:val="000000"/>
                <w:kern w:val="0"/>
                <w:sz w:val="20"/>
                <w:szCs w:val="20"/>
                <w:highlight w:val="none"/>
                <w:lang w:val="en-US" w:eastAsia="zh-CN" w:bidi="ar-SA"/>
              </w:rPr>
            </w:pPr>
            <w:r>
              <w:rPr>
                <w:rFonts w:hint="default" w:ascii="Times New Roman" w:hAnsi="Times New Roman" w:eastAsia="宋体" w:cs="Times New Roman"/>
                <w:sz w:val="20"/>
                <w:szCs w:val="20"/>
                <w:highlight w:val="none"/>
                <w:lang w:val="en-US" w:eastAsia="zh-CN"/>
              </w:rPr>
              <w:t>废气治理措施优化为“恶臭气体集中收集经活性炭吸附后，由15m高排气筒排放，收集率约80%左右，净化效率70%</w:t>
            </w:r>
          </w:p>
        </w:tc>
        <w:tc>
          <w:tcPr>
            <w:tcW w:w="1241" w:type="dxa"/>
            <w:vAlign w:val="top"/>
          </w:tcPr>
          <w:p>
            <w:pPr>
              <w:spacing w:before="207" w:line="258" w:lineRule="auto"/>
              <w:ind w:left="311" w:right="37" w:hanging="271"/>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6"/>
                <w:sz w:val="20"/>
                <w:szCs w:val="20"/>
                <w:highlight w:val="none"/>
              </w:rPr>
              <w:t>202</w:t>
            </w:r>
            <w:r>
              <w:rPr>
                <w:rFonts w:hint="default" w:ascii="Times New Roman" w:hAnsi="Times New Roman" w:eastAsia="宋体" w:cs="Times New Roman"/>
                <w:spacing w:val="6"/>
                <w:sz w:val="20"/>
                <w:szCs w:val="20"/>
                <w:highlight w:val="none"/>
                <w:lang w:val="en-US" w:eastAsia="zh-CN"/>
              </w:rPr>
              <w:t>4</w:t>
            </w:r>
            <w:r>
              <w:rPr>
                <w:rFonts w:hint="default" w:ascii="Times New Roman" w:hAnsi="Times New Roman" w:eastAsia="宋体" w:cs="Times New Roman"/>
                <w:spacing w:val="6"/>
                <w:sz w:val="20"/>
                <w:szCs w:val="20"/>
                <w:highlight w:val="none"/>
              </w:rPr>
              <w:t>年</w:t>
            </w:r>
            <w:r>
              <w:rPr>
                <w:rFonts w:hint="default" w:ascii="Times New Roman" w:hAnsi="Times New Roman" w:eastAsia="Times New Roman" w:cs="Times New Roman"/>
                <w:spacing w:val="6"/>
                <w:sz w:val="20"/>
                <w:szCs w:val="20"/>
                <w:highlight w:val="none"/>
              </w:rPr>
              <w:t>9</w:t>
            </w:r>
            <w:r>
              <w:rPr>
                <w:rFonts w:hint="default" w:ascii="Times New Roman" w:hAnsi="Times New Roman" w:eastAsia="宋体" w:cs="Times New Roman"/>
                <w:spacing w:val="6"/>
                <w:sz w:val="20"/>
                <w:szCs w:val="20"/>
                <w:highlight w:val="none"/>
              </w:rPr>
              <w:t>月底</w:t>
            </w:r>
            <w:r>
              <w:rPr>
                <w:rFonts w:hint="default" w:ascii="Times New Roman" w:hAnsi="Times New Roman" w:eastAsia="宋体" w:cs="Times New Roman"/>
                <w:spacing w:val="1"/>
                <w:sz w:val="20"/>
                <w:szCs w:val="20"/>
                <w:highlight w:val="none"/>
              </w:rPr>
              <w:t xml:space="preserve"> </w:t>
            </w:r>
            <w:r>
              <w:rPr>
                <w:rFonts w:hint="default" w:ascii="Times New Roman" w:hAnsi="Times New Roman" w:eastAsia="宋体" w:cs="Times New Roman"/>
                <w:spacing w:val="5"/>
                <w:sz w:val="20"/>
                <w:szCs w:val="20"/>
                <w:highlight w:val="none"/>
              </w:rPr>
              <w:t>前完成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11" w:hRule="atLeast"/>
          <w:jc w:val="center"/>
        </w:trPr>
        <w:tc>
          <w:tcPr>
            <w:tcW w:w="617" w:type="dxa"/>
            <w:vAlign w:val="top"/>
          </w:tcPr>
          <w:p>
            <w:pPr>
              <w:spacing w:before="210" w:line="192" w:lineRule="auto"/>
              <w:ind w:left="274" w:leftChars="0"/>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3</w:t>
            </w:r>
          </w:p>
        </w:tc>
        <w:tc>
          <w:tcPr>
            <w:tcW w:w="3446" w:type="dxa"/>
            <w:vAlign w:val="top"/>
          </w:tcPr>
          <w:p>
            <w:pPr>
              <w:spacing w:before="209" w:line="228" w:lineRule="auto"/>
              <w:jc w:val="center"/>
              <w:rPr>
                <w:rFonts w:hint="default" w:ascii="Times New Roman" w:hAnsi="Times New Roman" w:eastAsia="宋体" w:cs="Times New Roman"/>
                <w:spacing w:val="5"/>
                <w:sz w:val="20"/>
                <w:szCs w:val="20"/>
                <w:highlight w:val="none"/>
                <w:lang w:val="en-US" w:eastAsia="zh-CN"/>
              </w:rPr>
            </w:pPr>
            <w:r>
              <w:rPr>
                <w:rFonts w:hint="default" w:ascii="Times New Roman" w:hAnsi="Times New Roman" w:eastAsia="宋体" w:cs="Times New Roman"/>
                <w:spacing w:val="8"/>
                <w:sz w:val="20"/>
                <w:szCs w:val="20"/>
                <w:highlight w:val="none"/>
                <w:lang w:val="en-US" w:eastAsia="zh-CN"/>
              </w:rPr>
              <w:t>柴油储罐周边未设置20cm高围堰</w:t>
            </w:r>
          </w:p>
        </w:tc>
        <w:tc>
          <w:tcPr>
            <w:tcW w:w="3886" w:type="dxa"/>
            <w:vAlign w:val="top"/>
          </w:tcPr>
          <w:p>
            <w:pPr>
              <w:spacing w:before="211" w:line="268" w:lineRule="auto"/>
              <w:ind w:right="26"/>
              <w:jc w:val="center"/>
              <w:rPr>
                <w:rFonts w:hint="default" w:ascii="Times New Roman" w:hAnsi="Times New Roman" w:eastAsia="宋体" w:cs="Times New Roman"/>
                <w:spacing w:val="4"/>
                <w:sz w:val="20"/>
                <w:szCs w:val="20"/>
                <w:highlight w:val="none"/>
              </w:rPr>
            </w:pPr>
            <w:r>
              <w:rPr>
                <w:rFonts w:hint="default" w:ascii="Times New Roman" w:hAnsi="Times New Roman" w:eastAsia="宋体" w:cs="Times New Roman"/>
                <w:color w:val="auto"/>
                <w:spacing w:val="0"/>
                <w:sz w:val="21"/>
                <w:szCs w:val="21"/>
                <w:highlight w:val="none"/>
                <w:lang w:val="en-US" w:eastAsia="zh-CN"/>
              </w:rPr>
              <w:t>柴油储罐周边设置20cm高围堰，周边地面及围堰铺设2mm高密度聚乙烯膜，上层水泥底面硬化，</w:t>
            </w:r>
            <w:r>
              <w:rPr>
                <w:rFonts w:hint="default" w:ascii="Times New Roman" w:hAnsi="Times New Roman" w:eastAsia="宋体" w:cs="Times New Roman"/>
                <w:color w:val="auto"/>
                <w:spacing w:val="0"/>
                <w:sz w:val="21"/>
                <w:szCs w:val="21"/>
                <w:highlight w:val="none"/>
              </w:rPr>
              <w:t>等效黏土</w:t>
            </w:r>
            <w:r>
              <w:rPr>
                <w:rFonts w:hint="default" w:ascii="Times New Roman" w:hAnsi="Times New Roman" w:eastAsia="宋体" w:cs="Times New Roman"/>
                <w:color w:val="auto"/>
                <w:spacing w:val="0"/>
                <w:sz w:val="21"/>
                <w:szCs w:val="21"/>
                <w:highlight w:val="none"/>
                <w:lang w:val="en-US" w:eastAsia="zh-CN"/>
              </w:rPr>
              <w:t>层厚度≥6.0m，</w:t>
            </w:r>
            <w:r>
              <w:rPr>
                <w:rFonts w:hint="default" w:ascii="Times New Roman" w:hAnsi="Times New Roman" w:eastAsia="宋体" w:cs="Times New Roman"/>
                <w:color w:val="auto"/>
                <w:spacing w:val="0"/>
                <w:sz w:val="21"/>
                <w:szCs w:val="21"/>
                <w:highlight w:val="none"/>
              </w:rPr>
              <w:t>防渗系数≤10</w:t>
            </w:r>
            <w:r>
              <w:rPr>
                <w:rFonts w:hint="default" w:ascii="Times New Roman" w:hAnsi="Times New Roman" w:eastAsia="宋体" w:cs="Times New Roman"/>
                <w:color w:val="auto"/>
                <w:spacing w:val="0"/>
                <w:sz w:val="21"/>
                <w:szCs w:val="21"/>
                <w:highlight w:val="none"/>
                <w:vertAlign w:val="superscript"/>
                <w:lang w:val="en-US" w:eastAsia="zh-CN"/>
              </w:rPr>
              <w:t>-7</w:t>
            </w:r>
            <w:r>
              <w:rPr>
                <w:rFonts w:hint="default" w:ascii="Times New Roman" w:hAnsi="Times New Roman" w:eastAsia="宋体" w:cs="Times New Roman"/>
                <w:color w:val="auto"/>
                <w:spacing w:val="0"/>
                <w:sz w:val="21"/>
                <w:szCs w:val="21"/>
                <w:highlight w:val="none"/>
              </w:rPr>
              <w:t>cm/s</w:t>
            </w:r>
          </w:p>
        </w:tc>
        <w:tc>
          <w:tcPr>
            <w:tcW w:w="1241" w:type="dxa"/>
            <w:vAlign w:val="top"/>
          </w:tcPr>
          <w:p>
            <w:pPr>
              <w:spacing w:before="65" w:line="258" w:lineRule="auto"/>
              <w:ind w:left="311" w:right="37" w:hanging="271"/>
              <w:rPr>
                <w:rFonts w:hint="default" w:ascii="Times New Roman" w:hAnsi="Times New Roman" w:eastAsia="Times New Roman" w:cs="Times New Roman"/>
                <w:spacing w:val="6"/>
                <w:sz w:val="20"/>
                <w:szCs w:val="20"/>
                <w:highlight w:val="none"/>
              </w:rPr>
            </w:pPr>
            <w:r>
              <w:rPr>
                <w:rFonts w:hint="default" w:ascii="Times New Roman" w:hAnsi="Times New Roman" w:eastAsia="Times New Roman" w:cs="Times New Roman"/>
                <w:spacing w:val="6"/>
                <w:sz w:val="20"/>
                <w:szCs w:val="20"/>
                <w:highlight w:val="none"/>
              </w:rPr>
              <w:t>202</w:t>
            </w:r>
            <w:r>
              <w:rPr>
                <w:rFonts w:hint="default" w:ascii="Times New Roman" w:hAnsi="Times New Roman" w:eastAsia="宋体" w:cs="Times New Roman"/>
                <w:spacing w:val="6"/>
                <w:sz w:val="20"/>
                <w:szCs w:val="20"/>
                <w:highlight w:val="none"/>
                <w:lang w:val="en-US" w:eastAsia="zh-CN"/>
              </w:rPr>
              <w:t>4</w:t>
            </w:r>
            <w:r>
              <w:rPr>
                <w:rFonts w:hint="default" w:ascii="Times New Roman" w:hAnsi="Times New Roman" w:eastAsia="宋体" w:cs="Times New Roman"/>
                <w:spacing w:val="6"/>
                <w:sz w:val="20"/>
                <w:szCs w:val="20"/>
                <w:highlight w:val="none"/>
              </w:rPr>
              <w:t>年</w:t>
            </w:r>
            <w:r>
              <w:rPr>
                <w:rFonts w:hint="default" w:ascii="Times New Roman" w:hAnsi="Times New Roman" w:eastAsia="Times New Roman" w:cs="Times New Roman"/>
                <w:spacing w:val="6"/>
                <w:sz w:val="20"/>
                <w:szCs w:val="20"/>
                <w:highlight w:val="none"/>
              </w:rPr>
              <w:t>9</w:t>
            </w:r>
            <w:r>
              <w:rPr>
                <w:rFonts w:hint="default" w:ascii="Times New Roman" w:hAnsi="Times New Roman" w:eastAsia="宋体" w:cs="Times New Roman"/>
                <w:spacing w:val="6"/>
                <w:sz w:val="20"/>
                <w:szCs w:val="20"/>
                <w:highlight w:val="none"/>
              </w:rPr>
              <w:t>月底</w:t>
            </w:r>
            <w:r>
              <w:rPr>
                <w:rFonts w:hint="default" w:ascii="Times New Roman" w:hAnsi="Times New Roman" w:eastAsia="宋体" w:cs="Times New Roman"/>
                <w:spacing w:val="1"/>
                <w:sz w:val="20"/>
                <w:szCs w:val="20"/>
                <w:highlight w:val="none"/>
              </w:rPr>
              <w:t xml:space="preserve"> </w:t>
            </w:r>
            <w:r>
              <w:rPr>
                <w:rFonts w:hint="default" w:ascii="Times New Roman" w:hAnsi="Times New Roman" w:eastAsia="宋体" w:cs="Times New Roman"/>
                <w:spacing w:val="5"/>
                <w:sz w:val="20"/>
                <w:szCs w:val="20"/>
                <w:highlight w:val="none"/>
              </w:rPr>
              <w:t>前完成</w:t>
            </w:r>
          </w:p>
        </w:tc>
      </w:tr>
    </w:tbl>
    <w:p>
      <w:pPr>
        <w:pStyle w:val="6"/>
        <w:rPr>
          <w:rFonts w:hint="default" w:ascii="Times New Roman" w:hAnsi="Times New Roman" w:cs="Times New Roman"/>
        </w:rPr>
      </w:pPr>
    </w:p>
    <w:p>
      <w:pPr>
        <w:rPr>
          <w:rFonts w:hint="default" w:ascii="Times New Roman" w:hAnsi="Times New Roman" w:cs="Times New Roman"/>
        </w:rPr>
        <w:sectPr>
          <w:headerReference r:id="rId9" w:type="default"/>
          <w:pgSz w:w="11906" w:h="16839"/>
          <w:pgMar w:top="1203" w:right="1384" w:bottom="1157" w:left="1384" w:header="962" w:footer="992" w:gutter="0"/>
          <w:pgBorders>
            <w:top w:val="none" w:sz="0" w:space="0"/>
            <w:left w:val="none" w:sz="0" w:space="0"/>
            <w:bottom w:val="none" w:sz="0" w:space="0"/>
            <w:right w:val="none" w:sz="0" w:space="0"/>
          </w:pgBorders>
          <w:pgNumType w:fmt="decimal"/>
          <w:cols w:space="720" w:num="1"/>
        </w:sectPr>
      </w:pPr>
    </w:p>
    <w:p>
      <w:pPr>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宋体" w:cs="Times New Roman"/>
          <w:b/>
          <w:bCs/>
          <w:snapToGrid/>
          <w:color w:val="auto"/>
          <w:kern w:val="44"/>
          <w:sz w:val="30"/>
          <w:szCs w:val="30"/>
          <w:lang w:val="en-US" w:eastAsia="zh-CN"/>
        </w:rPr>
      </w:pPr>
      <w:bookmarkStart w:id="74" w:name="_Toc26861"/>
      <w:r>
        <w:rPr>
          <w:rFonts w:hint="default" w:ascii="Times New Roman" w:hAnsi="Times New Roman" w:eastAsia="宋体" w:cs="Times New Roman"/>
          <w:b/>
          <w:bCs/>
          <w:snapToGrid/>
          <w:color w:val="auto"/>
          <w:kern w:val="44"/>
          <w:sz w:val="30"/>
          <w:szCs w:val="30"/>
          <w:lang w:val="en-US" w:eastAsia="zh-CN"/>
        </w:rPr>
        <w:t>3.4 改扩建项目工程概况</w:t>
      </w:r>
      <w:bookmarkEnd w:id="74"/>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92" w:firstLineChars="200"/>
        <w:jc w:val="both"/>
        <w:textAlignment w:val="baseline"/>
        <w:outlineLvl w:val="2"/>
        <w:rPr>
          <w:rFonts w:hint="default" w:ascii="Times New Roman" w:hAnsi="Times New Roman" w:eastAsia="宋体" w:cs="Times New Roman"/>
          <w:sz w:val="24"/>
          <w:szCs w:val="24"/>
        </w:rPr>
      </w:pPr>
      <w:r>
        <w:rPr>
          <w:rFonts w:hint="default" w:ascii="Times New Roman" w:hAnsi="Times New Roman" w:eastAsia="Times New Roman" w:cs="Times New Roman"/>
          <w:b/>
          <w:bCs/>
          <w:spacing w:val="3"/>
          <w:sz w:val="24"/>
          <w:szCs w:val="24"/>
        </w:rPr>
        <w:t>3.</w:t>
      </w:r>
      <w:r>
        <w:rPr>
          <w:rFonts w:hint="default" w:ascii="Times New Roman" w:hAnsi="Times New Roman" w:eastAsia="宋体" w:cs="Times New Roman"/>
          <w:b/>
          <w:bCs/>
          <w:spacing w:val="3"/>
          <w:sz w:val="24"/>
          <w:szCs w:val="24"/>
          <w:lang w:val="en-US" w:eastAsia="zh-CN"/>
        </w:rPr>
        <w:t>4</w:t>
      </w:r>
      <w:r>
        <w:rPr>
          <w:rFonts w:hint="default" w:ascii="Times New Roman" w:hAnsi="Times New Roman" w:eastAsia="Times New Roman" w:cs="Times New Roman"/>
          <w:b/>
          <w:bCs/>
          <w:spacing w:val="3"/>
          <w:sz w:val="24"/>
          <w:szCs w:val="24"/>
        </w:rPr>
        <w:t>.1</w:t>
      </w:r>
      <w:r>
        <w:rPr>
          <w:rFonts w:hint="default" w:ascii="Times New Roman" w:hAnsi="Times New Roman" w:eastAsia="Times New Roman" w:cs="Times New Roman"/>
          <w:b/>
          <w:bCs/>
          <w:spacing w:val="31"/>
          <w:w w:val="101"/>
          <w:sz w:val="24"/>
          <w:szCs w:val="24"/>
        </w:rPr>
        <w:t xml:space="preserve"> </w:t>
      </w:r>
      <w:r>
        <w:rPr>
          <w:rFonts w:hint="default" w:ascii="Times New Roman" w:hAnsi="Times New Roman" w:eastAsia="宋体" w:cs="Times New Roman"/>
          <w:spacing w:val="3"/>
          <w:sz w:val="24"/>
          <w:szCs w:val="24"/>
          <w14:textOutline w14:w="4358" w14:cap="sq" w14:cmpd="sng">
            <w14:solidFill>
              <w14:srgbClr w14:val="000000"/>
            </w14:solidFill>
            <w14:prstDash w14:val="solid"/>
            <w14:bevel/>
          </w14:textOutline>
        </w:rPr>
        <w:t>项目基本情况</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项目名称：哈尔滨华康肉制品加工有限责任公司扩建项目；</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建设单位：</w:t>
      </w:r>
      <w:r>
        <w:rPr>
          <w:rFonts w:hint="default" w:ascii="Times New Roman" w:hAnsi="Times New Roman" w:eastAsia="宋体" w:cs="Times New Roman"/>
          <w:spacing w:val="-1"/>
          <w:sz w:val="24"/>
          <w:szCs w:val="24"/>
          <w:lang w:eastAsia="zh-CN"/>
        </w:rPr>
        <w:t>哈尔滨华康肉制品加工有限责任公司</w:t>
      </w:r>
      <w:r>
        <w:rPr>
          <w:rFonts w:hint="default" w:ascii="Times New Roman" w:hAnsi="Times New Roman" w:eastAsia="宋体" w:cs="Times New Roman"/>
          <w:spacing w:val="-1"/>
          <w:sz w:val="24"/>
          <w:szCs w:val="24"/>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项目性质：改扩建；</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行业类别：[C1351]牲畜屠宰；</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项目投资：项目总投资为</w:t>
      </w:r>
      <w:r>
        <w:rPr>
          <w:rFonts w:hint="default" w:ascii="Times New Roman" w:hAnsi="Times New Roman" w:eastAsia="宋体" w:cs="Times New Roman"/>
          <w:spacing w:val="-1"/>
          <w:sz w:val="24"/>
          <w:szCs w:val="24"/>
          <w:lang w:val="en-US" w:eastAsia="zh-CN"/>
        </w:rPr>
        <w:t>12000</w:t>
      </w:r>
      <w:r>
        <w:rPr>
          <w:rFonts w:hint="default" w:ascii="Times New Roman" w:hAnsi="Times New Roman" w:eastAsia="宋体" w:cs="Times New Roman"/>
          <w:spacing w:val="-1"/>
          <w:sz w:val="24"/>
          <w:szCs w:val="24"/>
        </w:rPr>
        <w:t>万元，其中环保投资</w:t>
      </w:r>
      <w:r>
        <w:rPr>
          <w:rFonts w:hint="eastAsia" w:ascii="Times New Roman" w:hAnsi="Times New Roman" w:eastAsia="宋体" w:cs="Times New Roman"/>
          <w:spacing w:val="-1"/>
          <w:sz w:val="24"/>
          <w:szCs w:val="24"/>
          <w:highlight w:val="none"/>
          <w:lang w:val="en-US" w:eastAsia="zh-CN"/>
        </w:rPr>
        <w:t>200</w:t>
      </w:r>
      <w:r>
        <w:rPr>
          <w:rFonts w:hint="default" w:ascii="Times New Roman" w:hAnsi="Times New Roman" w:eastAsia="宋体" w:cs="Times New Roman"/>
          <w:spacing w:val="-1"/>
          <w:sz w:val="24"/>
          <w:szCs w:val="24"/>
          <w:highlight w:val="none"/>
        </w:rPr>
        <w:t>万元</w:t>
      </w:r>
      <w:r>
        <w:rPr>
          <w:rFonts w:hint="default" w:ascii="Times New Roman" w:hAnsi="Times New Roman" w:eastAsia="宋体" w:cs="Times New Roman"/>
          <w:spacing w:val="-1"/>
          <w:sz w:val="24"/>
          <w:szCs w:val="24"/>
          <w:highlight w:val="none"/>
          <w:lang w:eastAsia="zh-CN"/>
        </w:rPr>
        <w:t>，</w:t>
      </w:r>
      <w:r>
        <w:rPr>
          <w:rFonts w:hint="default" w:ascii="Times New Roman" w:hAnsi="Times New Roman" w:eastAsia="宋体" w:cs="Times New Roman"/>
          <w:spacing w:val="-1"/>
          <w:sz w:val="24"/>
          <w:szCs w:val="24"/>
          <w:highlight w:val="none"/>
          <w:lang w:val="en-US" w:eastAsia="zh-CN"/>
        </w:rPr>
        <w:t>占总投资的</w:t>
      </w:r>
      <w:r>
        <w:rPr>
          <w:rFonts w:hint="eastAsia" w:ascii="Times New Roman" w:hAnsi="Times New Roman" w:eastAsia="宋体" w:cs="Times New Roman"/>
          <w:spacing w:val="-1"/>
          <w:sz w:val="24"/>
          <w:szCs w:val="24"/>
          <w:highlight w:val="none"/>
          <w:lang w:val="en-US" w:eastAsia="zh-CN"/>
        </w:rPr>
        <w:t>2</w:t>
      </w:r>
      <w:r>
        <w:rPr>
          <w:rFonts w:hint="default" w:ascii="Times New Roman" w:hAnsi="Times New Roman" w:eastAsia="宋体" w:cs="Times New Roman"/>
          <w:spacing w:val="-1"/>
          <w:sz w:val="24"/>
          <w:szCs w:val="24"/>
          <w:highlight w:val="none"/>
          <w:lang w:val="en-US" w:eastAsia="zh-CN"/>
        </w:rPr>
        <w:t>%</w:t>
      </w:r>
      <w:r>
        <w:rPr>
          <w:rFonts w:hint="default" w:ascii="Times New Roman" w:hAnsi="Times New Roman" w:eastAsia="宋体" w:cs="Times New Roman"/>
          <w:spacing w:val="-1"/>
          <w:sz w:val="24"/>
          <w:szCs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工作时间：全年工作 3</w:t>
      </w:r>
      <w:r>
        <w:rPr>
          <w:rFonts w:hint="default" w:ascii="Times New Roman" w:hAnsi="Times New Roman" w:eastAsia="宋体" w:cs="Times New Roman"/>
          <w:spacing w:val="-1"/>
          <w:sz w:val="24"/>
          <w:szCs w:val="24"/>
          <w:lang w:val="en-US" w:eastAsia="zh-CN"/>
        </w:rPr>
        <w:t>40</w:t>
      </w:r>
      <w:r>
        <w:rPr>
          <w:rFonts w:hint="default" w:ascii="Times New Roman" w:hAnsi="Times New Roman" w:eastAsia="宋体" w:cs="Times New Roman"/>
          <w:spacing w:val="-1"/>
          <w:sz w:val="24"/>
          <w:szCs w:val="24"/>
        </w:rPr>
        <w:t xml:space="preserve"> 天、每天工作 </w:t>
      </w:r>
      <w:r>
        <w:rPr>
          <w:rFonts w:hint="default" w:ascii="Times New Roman" w:hAnsi="Times New Roman" w:eastAsia="宋体" w:cs="Times New Roman"/>
          <w:spacing w:val="-1"/>
          <w:sz w:val="24"/>
          <w:szCs w:val="24"/>
          <w:lang w:val="en-US" w:eastAsia="zh-CN"/>
        </w:rPr>
        <w:t>12</w:t>
      </w:r>
      <w:r>
        <w:rPr>
          <w:rFonts w:hint="default" w:ascii="Times New Roman" w:hAnsi="Times New Roman" w:eastAsia="宋体" w:cs="Times New Roman"/>
          <w:spacing w:val="-1"/>
          <w:sz w:val="24"/>
          <w:szCs w:val="24"/>
        </w:rPr>
        <w:t>小时</w:t>
      </w:r>
      <w:r>
        <w:rPr>
          <w:rFonts w:hint="default" w:ascii="Times New Roman" w:hAnsi="Times New Roman" w:eastAsia="宋体" w:cs="Times New Roman"/>
          <w:spacing w:val="-1"/>
          <w:sz w:val="24"/>
          <w:szCs w:val="24"/>
          <w:lang w:eastAsia="zh-CN"/>
        </w:rPr>
        <w:t>、</w:t>
      </w:r>
      <w:r>
        <w:rPr>
          <w:rFonts w:hint="default" w:ascii="Times New Roman" w:hAnsi="Times New Roman" w:eastAsia="宋体" w:cs="Times New Roman"/>
          <w:spacing w:val="-1"/>
          <w:sz w:val="24"/>
          <w:szCs w:val="24"/>
          <w:lang w:val="en-US" w:eastAsia="zh-CN"/>
        </w:rPr>
        <w:t>一班制</w:t>
      </w:r>
      <w:r>
        <w:rPr>
          <w:rFonts w:hint="default" w:ascii="Times New Roman" w:hAnsi="Times New Roman" w:eastAsia="宋体" w:cs="Times New Roman"/>
          <w:spacing w:val="-1"/>
          <w:sz w:val="24"/>
          <w:szCs w:val="24"/>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lang w:eastAsia="zh-CN"/>
        </w:rPr>
      </w:pPr>
      <w:r>
        <w:rPr>
          <w:rFonts w:hint="default" w:ascii="Times New Roman" w:hAnsi="Times New Roman" w:eastAsia="宋体" w:cs="Times New Roman"/>
          <w:spacing w:val="-1"/>
          <w:sz w:val="24"/>
          <w:szCs w:val="24"/>
        </w:rPr>
        <w:t>工作人员：</w:t>
      </w:r>
      <w:r>
        <w:rPr>
          <w:rFonts w:hint="default" w:ascii="Times New Roman" w:hAnsi="Times New Roman" w:eastAsia="宋体" w:cs="Times New Roman"/>
          <w:spacing w:val="-1"/>
          <w:sz w:val="24"/>
          <w:szCs w:val="24"/>
          <w:lang w:val="en-US" w:eastAsia="zh-CN"/>
        </w:rPr>
        <w:t>改扩建工程不新增工作人员，全厂</w:t>
      </w:r>
      <w:r>
        <w:rPr>
          <w:rFonts w:hint="default" w:ascii="Times New Roman" w:hAnsi="Times New Roman" w:eastAsia="宋体" w:cs="Times New Roman"/>
          <w:spacing w:val="-1"/>
          <w:sz w:val="24"/>
          <w:szCs w:val="24"/>
        </w:rPr>
        <w:t>劳动定员为</w:t>
      </w:r>
      <w:r>
        <w:rPr>
          <w:rFonts w:hint="default" w:ascii="Times New Roman" w:hAnsi="Times New Roman" w:eastAsia="宋体" w:cs="Times New Roman"/>
          <w:spacing w:val="-1"/>
          <w:sz w:val="24"/>
          <w:szCs w:val="24"/>
          <w:lang w:val="en-US" w:eastAsia="zh-CN"/>
        </w:rPr>
        <w:t>40</w:t>
      </w:r>
      <w:r>
        <w:rPr>
          <w:rFonts w:hint="default" w:ascii="Times New Roman" w:hAnsi="Times New Roman" w:eastAsia="宋体" w:cs="Times New Roman"/>
          <w:spacing w:val="-1"/>
          <w:sz w:val="24"/>
          <w:szCs w:val="24"/>
        </w:rPr>
        <w:t>人</w:t>
      </w:r>
      <w:r>
        <w:rPr>
          <w:rFonts w:hint="default" w:ascii="Times New Roman" w:hAnsi="Times New Roman" w:eastAsia="宋体" w:cs="Times New Roman"/>
          <w:spacing w:val="-1"/>
          <w:sz w:val="24"/>
          <w:szCs w:val="24"/>
          <w:lang w:eastAsia="zh-CN"/>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76" w:firstLineChars="200"/>
        <w:jc w:val="both"/>
        <w:textAlignment w:val="baseline"/>
        <w:rPr>
          <w:rFonts w:hint="default" w:ascii="Times New Roman" w:hAnsi="Times New Roman" w:eastAsia="宋体" w:cs="Times New Roman"/>
          <w:spacing w:val="-1"/>
          <w:sz w:val="24"/>
          <w:szCs w:val="24"/>
          <w:lang w:val="en-US" w:eastAsia="zh-CN"/>
        </w:rPr>
      </w:pPr>
      <w:r>
        <w:rPr>
          <w:rFonts w:hint="default" w:ascii="Times New Roman" w:hAnsi="Times New Roman" w:eastAsia="宋体" w:cs="Times New Roman"/>
          <w:spacing w:val="-1"/>
          <w:sz w:val="24"/>
          <w:szCs w:val="24"/>
        </w:rPr>
        <w:t>占地面积：全厂总占地面积约</w:t>
      </w:r>
      <w:r>
        <w:rPr>
          <w:rFonts w:hint="default" w:ascii="Times New Roman" w:hAnsi="Times New Roman" w:eastAsia="宋体" w:cs="Times New Roman"/>
          <w:spacing w:val="-1"/>
          <w:sz w:val="24"/>
          <w:szCs w:val="24"/>
          <w:lang w:val="en-US" w:eastAsia="zh-CN"/>
        </w:rPr>
        <w:t>3864</w:t>
      </w:r>
      <w:r>
        <w:rPr>
          <w:rFonts w:hint="default" w:ascii="Times New Roman" w:hAnsi="Times New Roman" w:eastAsia="宋体" w:cs="Times New Roman"/>
          <w:spacing w:val="-1"/>
          <w:sz w:val="24"/>
          <w:szCs w:val="24"/>
        </w:rPr>
        <w:t>m</w:t>
      </w:r>
      <w:r>
        <w:rPr>
          <w:rFonts w:hint="default" w:ascii="Times New Roman" w:hAnsi="Times New Roman" w:eastAsia="宋体" w:cs="Times New Roman"/>
          <w:spacing w:val="-1"/>
          <w:sz w:val="24"/>
          <w:szCs w:val="24"/>
          <w:vertAlign w:val="superscript"/>
        </w:rPr>
        <w:t>2</w:t>
      </w:r>
      <w:r>
        <w:rPr>
          <w:rFonts w:hint="default" w:ascii="Times New Roman" w:hAnsi="Times New Roman" w:eastAsia="宋体" w:cs="Times New Roman"/>
          <w:spacing w:val="-1"/>
          <w:sz w:val="24"/>
          <w:szCs w:val="24"/>
        </w:rPr>
        <w:t>，建筑面积约</w:t>
      </w:r>
      <w:r>
        <w:rPr>
          <w:rFonts w:hint="default" w:ascii="Times New Roman" w:hAnsi="Times New Roman" w:eastAsia="宋体" w:cs="Times New Roman"/>
          <w:spacing w:val="-1"/>
          <w:sz w:val="24"/>
          <w:szCs w:val="24"/>
          <w:lang w:val="en-US" w:eastAsia="zh-CN"/>
        </w:rPr>
        <w:t>3000</w:t>
      </w:r>
      <w:r>
        <w:rPr>
          <w:rFonts w:hint="default" w:ascii="Times New Roman" w:hAnsi="Times New Roman" w:eastAsia="宋体" w:cs="Times New Roman"/>
          <w:spacing w:val="-1"/>
          <w:sz w:val="24"/>
          <w:szCs w:val="24"/>
        </w:rPr>
        <w:t>m</w:t>
      </w:r>
      <w:r>
        <w:rPr>
          <w:rFonts w:hint="default" w:ascii="Times New Roman" w:hAnsi="Times New Roman" w:eastAsia="宋体" w:cs="Times New Roman"/>
          <w:spacing w:val="-1"/>
          <w:sz w:val="24"/>
          <w:szCs w:val="24"/>
          <w:vertAlign w:val="superscript"/>
        </w:rPr>
        <w:t>2</w:t>
      </w:r>
      <w:r>
        <w:rPr>
          <w:rFonts w:hint="default" w:ascii="Times New Roman" w:hAnsi="Times New Roman" w:eastAsia="宋体" w:cs="Times New Roman"/>
          <w:spacing w:val="-1"/>
          <w:sz w:val="24"/>
          <w:szCs w:val="24"/>
          <w:lang w:eastAsia="zh-CN"/>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highlight w:val="none"/>
          <w:lang w:eastAsia="zh-CN"/>
        </w:rPr>
      </w:pPr>
      <w:r>
        <w:rPr>
          <w:rFonts w:hint="default" w:ascii="Times New Roman" w:hAnsi="Times New Roman" w:eastAsia="宋体" w:cs="Times New Roman"/>
          <w:spacing w:val="-1"/>
          <w:sz w:val="24"/>
          <w:szCs w:val="24"/>
        </w:rPr>
        <w:t>建设地点：</w:t>
      </w:r>
      <w:r>
        <w:rPr>
          <w:rFonts w:hint="default" w:ascii="Times New Roman" w:hAnsi="Times New Roman" w:eastAsia="宋体" w:cs="Times New Roman"/>
          <w:spacing w:val="-1"/>
          <w:sz w:val="24"/>
          <w:szCs w:val="24"/>
          <w:lang w:eastAsia="zh-CN"/>
        </w:rPr>
        <w:t>哈尔滨华康肉制品加工有限责任公司</w:t>
      </w:r>
      <w:r>
        <w:rPr>
          <w:rFonts w:hint="default" w:ascii="Times New Roman" w:hAnsi="Times New Roman" w:eastAsia="宋体" w:cs="Times New Roman"/>
          <w:spacing w:val="-1"/>
          <w:sz w:val="24"/>
          <w:szCs w:val="24"/>
        </w:rPr>
        <w:t>位于</w:t>
      </w:r>
      <w:r>
        <w:rPr>
          <w:rFonts w:hint="default" w:ascii="Times New Roman" w:hAnsi="Times New Roman" w:eastAsia="宋体" w:cs="Times New Roman"/>
          <w:spacing w:val="-1"/>
          <w:sz w:val="24"/>
          <w:szCs w:val="24"/>
          <w:lang w:eastAsia="zh-CN"/>
        </w:rPr>
        <w:t>哈尔滨市巴彦县兴隆镇中兴村南门外</w:t>
      </w:r>
      <w:r>
        <w:rPr>
          <w:rFonts w:hint="default" w:ascii="Times New Roman" w:hAnsi="Times New Roman" w:eastAsia="宋体" w:cs="Times New Roman"/>
          <w:spacing w:val="-1"/>
          <w:sz w:val="24"/>
          <w:szCs w:val="24"/>
        </w:rPr>
        <w:t>，</w:t>
      </w:r>
      <w:r>
        <w:rPr>
          <w:rFonts w:hint="default" w:ascii="Times New Roman" w:hAnsi="Times New Roman" w:eastAsia="宋体" w:cs="Times New Roman"/>
          <w:spacing w:val="-1"/>
          <w:sz w:val="24"/>
          <w:szCs w:val="24"/>
          <w:lang w:val="en-US" w:eastAsia="zh-CN"/>
        </w:rPr>
        <w:t>项目北</w:t>
      </w:r>
      <w:r>
        <w:rPr>
          <w:rFonts w:hint="default" w:ascii="Times New Roman" w:hAnsi="Times New Roman" w:eastAsia="宋体" w:cs="Times New Roman"/>
          <w:spacing w:val="-1"/>
          <w:sz w:val="24"/>
          <w:szCs w:val="24"/>
        </w:rPr>
        <w:t>侧为</w:t>
      </w:r>
      <w:r>
        <w:rPr>
          <w:rFonts w:hint="default" w:ascii="Times New Roman" w:hAnsi="Times New Roman" w:eastAsia="宋体" w:cs="Times New Roman"/>
          <w:spacing w:val="-1"/>
          <w:sz w:val="24"/>
          <w:szCs w:val="24"/>
          <w:highlight w:val="none"/>
          <w:lang w:val="en-US" w:eastAsia="zh-CN"/>
        </w:rPr>
        <w:t>农田</w:t>
      </w:r>
      <w:r>
        <w:rPr>
          <w:rFonts w:hint="default" w:ascii="Times New Roman" w:hAnsi="Times New Roman" w:eastAsia="宋体" w:cs="Times New Roman"/>
          <w:spacing w:val="-1"/>
          <w:sz w:val="24"/>
          <w:szCs w:val="24"/>
          <w:highlight w:val="none"/>
        </w:rPr>
        <w:t xml:space="preserve">； </w:t>
      </w:r>
      <w:r>
        <w:rPr>
          <w:rFonts w:hint="default" w:ascii="Times New Roman" w:hAnsi="Times New Roman" w:eastAsia="宋体" w:cs="Times New Roman"/>
          <w:spacing w:val="-1"/>
          <w:sz w:val="24"/>
          <w:szCs w:val="24"/>
          <w:highlight w:val="none"/>
          <w:lang w:val="en-US" w:eastAsia="zh-CN"/>
        </w:rPr>
        <w:t>东</w:t>
      </w:r>
      <w:r>
        <w:rPr>
          <w:rFonts w:hint="default" w:ascii="Times New Roman" w:hAnsi="Times New Roman" w:eastAsia="宋体" w:cs="Times New Roman"/>
          <w:spacing w:val="-1"/>
          <w:sz w:val="24"/>
          <w:szCs w:val="24"/>
          <w:highlight w:val="none"/>
        </w:rPr>
        <w:t>侧为</w:t>
      </w:r>
      <w:r>
        <w:rPr>
          <w:rFonts w:hint="default" w:ascii="Times New Roman" w:hAnsi="Times New Roman" w:eastAsia="宋体" w:cs="Times New Roman"/>
          <w:spacing w:val="-1"/>
          <w:sz w:val="24"/>
          <w:szCs w:val="24"/>
          <w:highlight w:val="none"/>
          <w:lang w:val="en-US" w:eastAsia="zh-CN"/>
        </w:rPr>
        <w:t>农田</w:t>
      </w:r>
      <w:r>
        <w:rPr>
          <w:rFonts w:hint="default" w:ascii="Times New Roman" w:hAnsi="Times New Roman" w:eastAsia="宋体" w:cs="Times New Roman"/>
          <w:spacing w:val="-1"/>
          <w:sz w:val="24"/>
          <w:szCs w:val="24"/>
          <w:highlight w:val="none"/>
        </w:rPr>
        <w:t>，</w:t>
      </w:r>
      <w:r>
        <w:rPr>
          <w:rFonts w:hint="default" w:ascii="Times New Roman" w:hAnsi="Times New Roman" w:eastAsia="宋体" w:cs="Times New Roman"/>
          <w:spacing w:val="-1"/>
          <w:sz w:val="24"/>
          <w:szCs w:val="24"/>
          <w:highlight w:val="none"/>
          <w:lang w:val="en-US" w:eastAsia="zh-CN"/>
        </w:rPr>
        <w:t>南</w:t>
      </w:r>
      <w:r>
        <w:rPr>
          <w:rFonts w:hint="default" w:ascii="Times New Roman" w:hAnsi="Times New Roman" w:eastAsia="宋体" w:cs="Times New Roman"/>
          <w:spacing w:val="-1"/>
          <w:sz w:val="24"/>
          <w:szCs w:val="24"/>
          <w:highlight w:val="none"/>
        </w:rPr>
        <w:t>侧为</w:t>
      </w:r>
      <w:r>
        <w:rPr>
          <w:rFonts w:hint="default" w:ascii="Times New Roman" w:hAnsi="Times New Roman" w:eastAsia="宋体" w:cs="Times New Roman"/>
          <w:spacing w:val="-1"/>
          <w:sz w:val="24"/>
          <w:szCs w:val="24"/>
          <w:highlight w:val="none"/>
          <w:lang w:val="en-US" w:eastAsia="zh-CN"/>
        </w:rPr>
        <w:t>农田</w:t>
      </w:r>
      <w:r>
        <w:rPr>
          <w:rFonts w:hint="default" w:ascii="Times New Roman" w:hAnsi="Times New Roman" w:eastAsia="宋体" w:cs="Times New Roman"/>
          <w:spacing w:val="-1"/>
          <w:sz w:val="24"/>
          <w:szCs w:val="24"/>
          <w:highlight w:val="none"/>
        </w:rPr>
        <w:t>；</w:t>
      </w:r>
      <w:r>
        <w:rPr>
          <w:rFonts w:hint="default" w:ascii="Times New Roman" w:hAnsi="Times New Roman" w:eastAsia="宋体" w:cs="Times New Roman"/>
          <w:spacing w:val="-1"/>
          <w:sz w:val="24"/>
          <w:szCs w:val="24"/>
          <w:highlight w:val="none"/>
          <w:lang w:val="en-US" w:eastAsia="zh-CN"/>
        </w:rPr>
        <w:t>西</w:t>
      </w:r>
      <w:r>
        <w:rPr>
          <w:rFonts w:hint="default" w:ascii="Times New Roman" w:hAnsi="Times New Roman" w:eastAsia="宋体" w:cs="Times New Roman"/>
          <w:spacing w:val="-1"/>
          <w:sz w:val="24"/>
          <w:szCs w:val="24"/>
          <w:highlight w:val="none"/>
        </w:rPr>
        <w:t>侧为</w:t>
      </w:r>
      <w:r>
        <w:rPr>
          <w:rFonts w:hint="default" w:ascii="Times New Roman" w:hAnsi="Times New Roman" w:eastAsia="宋体" w:cs="Times New Roman"/>
          <w:spacing w:val="-1"/>
          <w:sz w:val="24"/>
          <w:szCs w:val="24"/>
          <w:highlight w:val="none"/>
          <w:lang w:val="en-US" w:eastAsia="zh-CN"/>
        </w:rPr>
        <w:t>西兴公路（三级公路）</w:t>
      </w:r>
      <w:r>
        <w:rPr>
          <w:rFonts w:hint="default" w:ascii="Times New Roman" w:hAnsi="Times New Roman" w:eastAsia="宋体" w:cs="Times New Roman"/>
          <w:spacing w:val="-1"/>
          <w:sz w:val="24"/>
          <w:szCs w:val="24"/>
          <w:highlight w:val="none"/>
        </w:rPr>
        <w:t>（详见图 3</w:t>
      </w:r>
      <w:r>
        <w:rPr>
          <w:rFonts w:hint="eastAsia" w:ascii="Times New Roman" w:hAnsi="Times New Roman" w:eastAsia="宋体" w:cs="Times New Roman"/>
          <w:spacing w:val="-1"/>
          <w:sz w:val="24"/>
          <w:szCs w:val="24"/>
          <w:highlight w:val="none"/>
          <w:lang w:val="en-US" w:eastAsia="zh-CN"/>
        </w:rPr>
        <w:t>-</w:t>
      </w:r>
      <w:r>
        <w:rPr>
          <w:rFonts w:hint="default" w:ascii="Times New Roman" w:hAnsi="Times New Roman" w:eastAsia="宋体" w:cs="Times New Roman"/>
          <w:spacing w:val="-1"/>
          <w:sz w:val="24"/>
          <w:szCs w:val="24"/>
          <w:highlight w:val="none"/>
          <w:lang w:val="en-US" w:eastAsia="zh-CN"/>
        </w:rPr>
        <w:t>4</w:t>
      </w:r>
      <w:r>
        <w:rPr>
          <w:rFonts w:hint="default" w:ascii="Times New Roman" w:hAnsi="Times New Roman" w:eastAsia="宋体" w:cs="Times New Roman"/>
          <w:spacing w:val="-1"/>
          <w:sz w:val="24"/>
          <w:szCs w:val="24"/>
          <w:highlight w:val="none"/>
        </w:rPr>
        <w:t>- 1 项目地理位置及厂址周边情况图）</w:t>
      </w:r>
      <w:r>
        <w:rPr>
          <w:rFonts w:hint="default" w:ascii="Times New Roman" w:hAnsi="Times New Roman" w:eastAsia="宋体" w:cs="Times New Roman"/>
          <w:spacing w:val="-1"/>
          <w:sz w:val="24"/>
          <w:szCs w:val="24"/>
          <w:highlight w:val="none"/>
          <w:lang w:eastAsia="zh-CN"/>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lang w:val="en-US" w:eastAsia="zh-CN"/>
        </w:rPr>
      </w:pPr>
      <w:r>
        <w:rPr>
          <w:rFonts w:hint="default" w:ascii="Times New Roman" w:hAnsi="Times New Roman" w:eastAsia="宋体" w:cs="Times New Roman"/>
          <w:spacing w:val="-1"/>
          <w:sz w:val="24"/>
          <w:szCs w:val="24"/>
          <w:highlight w:val="none"/>
          <w:lang w:val="en-US" w:eastAsia="zh-CN"/>
        </w:rPr>
        <w:t>建设规模：</w:t>
      </w:r>
      <w:r>
        <w:rPr>
          <w:rFonts w:hint="default" w:ascii="Times New Roman" w:hAnsi="Times New Roman" w:eastAsia="宋体" w:cs="Times New Roman"/>
          <w:spacing w:val="-1"/>
          <w:sz w:val="24"/>
          <w:szCs w:val="24"/>
          <w:lang w:val="en-US" w:eastAsia="zh-CN"/>
        </w:rPr>
        <w:t>本项目主要</w:t>
      </w:r>
      <w:r>
        <w:rPr>
          <w:rFonts w:hint="default" w:ascii="Times New Roman" w:hAnsi="Times New Roman" w:eastAsia="宋体" w:cs="Times New Roman"/>
          <w:spacing w:val="-1"/>
          <w:sz w:val="24"/>
          <w:szCs w:val="24"/>
          <w:highlight w:val="none"/>
          <w:lang w:val="en-US" w:eastAsia="zh-CN"/>
        </w:rPr>
        <w:t>对</w:t>
      </w:r>
      <w:r>
        <w:rPr>
          <w:rFonts w:hint="default" w:ascii="Times New Roman" w:hAnsi="Times New Roman" w:eastAsia="宋体" w:cs="Times New Roman"/>
          <w:spacing w:val="-1"/>
          <w:sz w:val="24"/>
          <w:szCs w:val="24"/>
          <w:lang w:val="en-US" w:eastAsia="zh-CN"/>
        </w:rPr>
        <w:t>事故池、屠宰加工生产线进行升级改造</w:t>
      </w:r>
      <w:r>
        <w:rPr>
          <w:rFonts w:hint="default" w:ascii="Times New Roman" w:hAnsi="Times New Roman" w:eastAsia="宋体" w:cs="Times New Roman"/>
          <w:spacing w:val="-1"/>
          <w:sz w:val="24"/>
          <w:szCs w:val="24"/>
        </w:rPr>
        <w:t>，</w:t>
      </w:r>
      <w:r>
        <w:rPr>
          <w:rFonts w:hint="default" w:ascii="Times New Roman" w:hAnsi="Times New Roman" w:eastAsia="宋体" w:cs="Times New Roman"/>
          <w:spacing w:val="-1"/>
          <w:sz w:val="24"/>
          <w:szCs w:val="24"/>
          <w:lang w:val="en-US" w:eastAsia="zh-CN"/>
        </w:rPr>
        <w:t>改扩建后，该项目由年屠宰加工9000头生猪扩建为年屠宰加工16万头生猪。</w:t>
      </w:r>
    </w:p>
    <w:p>
      <w:pPr>
        <w:pStyle w:val="29"/>
        <w:jc w:val="center"/>
        <w:rPr>
          <w:rFonts w:hint="default" w:ascii="Times New Roman" w:hAnsi="Times New Roman" w:cs="Times New Roman"/>
          <w:lang w:eastAsia="zh-CN"/>
        </w:rPr>
      </w:pPr>
      <w:r>
        <w:rPr>
          <w:rFonts w:hint="default" w:ascii="Times New Roman" w:hAnsi="Times New Roman" w:cs="Times New Roman"/>
        </w:rPr>
        <w:drawing>
          <wp:inline distT="0" distB="0" distL="114300" distR="114300">
            <wp:extent cx="5455285" cy="3876040"/>
            <wp:effectExtent l="0" t="0" r="12065" b="1016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33"/>
                    <a:stretch>
                      <a:fillRect/>
                    </a:stretch>
                  </pic:blipFill>
                  <pic:spPr>
                    <a:xfrm>
                      <a:off x="0" y="0"/>
                      <a:ext cx="5455285" cy="387604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36" w:firstLineChars="200"/>
        <w:jc w:val="center"/>
        <w:textAlignment w:val="baseline"/>
        <w:rPr>
          <w:rFonts w:hint="default" w:ascii="Times New Roman" w:hAnsi="Times New Roman" w:eastAsia="宋体" w:cs="Times New Roman"/>
          <w:spacing w:val="4"/>
          <w:sz w:val="21"/>
          <w:szCs w:val="21"/>
          <w14:textOutline w14:w="3795" w14:cap="sq" w14:cmpd="sng">
            <w14:solidFill>
              <w14:srgbClr w14:val="000000"/>
            </w14:solidFill>
            <w14:prstDash w14:val="solid"/>
            <w14:bevel/>
          </w14:textOutline>
        </w:rPr>
      </w:pPr>
      <w:r>
        <w:rPr>
          <w:rFonts w:hint="default" w:ascii="Times New Roman" w:hAnsi="Times New Roman" w:eastAsia="宋体" w:cs="Times New Roman"/>
          <w:spacing w:val="4"/>
          <w:sz w:val="21"/>
          <w:szCs w:val="21"/>
          <w14:textOutline w14:w="3795" w14:cap="sq" w14:cmpd="sng">
            <w14:solidFill>
              <w14:srgbClr w14:val="000000"/>
            </w14:solidFill>
            <w14:prstDash w14:val="solid"/>
            <w14:bevel/>
          </w14:textOutline>
        </w:rPr>
        <w:t>图</w:t>
      </w:r>
      <w:r>
        <w:rPr>
          <w:rFonts w:hint="default" w:ascii="Times New Roman" w:hAnsi="Times New Roman" w:eastAsia="宋体" w:cs="Times New Roman"/>
          <w:spacing w:val="-31"/>
          <w:sz w:val="21"/>
          <w:szCs w:val="21"/>
        </w:rPr>
        <w:t xml:space="preserve"> </w:t>
      </w:r>
      <w:r>
        <w:rPr>
          <w:rFonts w:hint="default" w:ascii="Times New Roman" w:hAnsi="Times New Roman" w:eastAsia="Times New Roman" w:cs="Times New Roman"/>
          <w:b/>
          <w:bCs/>
          <w:spacing w:val="4"/>
          <w:sz w:val="21"/>
          <w:szCs w:val="21"/>
        </w:rPr>
        <w:t>3</w:t>
      </w:r>
      <w:r>
        <w:rPr>
          <w:rFonts w:hint="eastAsia" w:ascii="Times New Roman" w:hAnsi="Times New Roman" w:eastAsia="宋体" w:cs="Times New Roman"/>
          <w:b/>
          <w:bCs/>
          <w:spacing w:val="4"/>
          <w:sz w:val="21"/>
          <w:szCs w:val="21"/>
          <w:lang w:val="en-US" w:eastAsia="zh-CN"/>
        </w:rPr>
        <w:t>-</w:t>
      </w:r>
      <w:r>
        <w:rPr>
          <w:rFonts w:hint="default" w:ascii="Times New Roman" w:hAnsi="Times New Roman" w:eastAsia="宋体" w:cs="Times New Roman"/>
          <w:b/>
          <w:bCs/>
          <w:spacing w:val="4"/>
          <w:sz w:val="21"/>
          <w:szCs w:val="21"/>
          <w:lang w:val="en-US" w:eastAsia="zh-CN"/>
        </w:rPr>
        <w:t>4</w:t>
      </w:r>
      <w:r>
        <w:rPr>
          <w:rFonts w:hint="default" w:ascii="Times New Roman" w:hAnsi="Times New Roman" w:eastAsia="Times New Roman" w:cs="Times New Roman"/>
          <w:b/>
          <w:bCs/>
          <w:spacing w:val="4"/>
          <w:sz w:val="21"/>
          <w:szCs w:val="21"/>
        </w:rPr>
        <w:t>-1    项目地理位置及厂址周边情况图</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outlineLvl w:val="2"/>
        <w:rPr>
          <w:rFonts w:hint="default" w:ascii="Times New Roman" w:hAnsi="Times New Roman" w:eastAsia="黑体" w:cs="Times New Roman"/>
          <w:sz w:val="24"/>
          <w:szCs w:val="24"/>
        </w:rPr>
      </w:pPr>
      <w:r>
        <w:rPr>
          <w:rFonts w:hint="default" w:ascii="Times New Roman" w:hAnsi="Times New Roman" w:eastAsia="Times New Roman" w:cs="Times New Roman"/>
          <w:spacing w:val="-1"/>
          <w:sz w:val="24"/>
          <w:szCs w:val="24"/>
        </w:rPr>
        <w:t>3.</w:t>
      </w:r>
      <w:r>
        <w:rPr>
          <w:rFonts w:hint="default" w:ascii="Times New Roman" w:hAnsi="Times New Roman" w:eastAsia="宋体" w:cs="Times New Roman"/>
          <w:spacing w:val="-1"/>
          <w:sz w:val="24"/>
          <w:szCs w:val="24"/>
          <w:lang w:val="en-US" w:eastAsia="zh-CN"/>
        </w:rPr>
        <w:t>4</w:t>
      </w:r>
      <w:r>
        <w:rPr>
          <w:rFonts w:hint="default" w:ascii="Times New Roman" w:hAnsi="Times New Roman" w:eastAsia="Times New Roman" w:cs="Times New Roman"/>
          <w:spacing w:val="-1"/>
          <w:sz w:val="24"/>
          <w:szCs w:val="24"/>
        </w:rPr>
        <w:t xml:space="preserve">.2  </w:t>
      </w:r>
      <w:r>
        <w:rPr>
          <w:rFonts w:hint="default" w:ascii="Times New Roman" w:hAnsi="Times New Roman" w:eastAsia="黑体" w:cs="Times New Roman"/>
          <w:spacing w:val="-1"/>
          <w:sz w:val="24"/>
          <w:szCs w:val="24"/>
        </w:rPr>
        <w:t>项目组成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highlight w:val="none"/>
          <w:lang w:val="en-US" w:eastAsia="zh-CN"/>
        </w:rPr>
      </w:pPr>
      <w:r>
        <w:rPr>
          <w:rFonts w:hint="default" w:ascii="Times New Roman" w:hAnsi="Times New Roman" w:eastAsia="宋体" w:cs="Times New Roman"/>
          <w:spacing w:val="-1"/>
          <w:sz w:val="24"/>
          <w:szCs w:val="24"/>
          <w:highlight w:val="none"/>
          <w:lang w:val="en-US" w:eastAsia="zh-CN"/>
        </w:rPr>
        <w:t>本项目为哈尔滨华康肉制品加工有限责任公司扩建项目，位于哈尔滨华康肉制品加工有限责任公司内。本次改扩建主要建设内容如下，本项目组成一览表见表3.4-1。</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436" w:firstLineChars="200"/>
        <w:jc w:val="center"/>
        <w:textAlignment w:val="baseline"/>
        <w:rPr>
          <w:rFonts w:hint="eastAsia" w:ascii="Times New Roman" w:hAnsi="Times New Roman" w:eastAsia="宋体" w:cs="Times New Roman"/>
          <w:b/>
          <w:bCs/>
          <w:spacing w:val="4"/>
          <w:sz w:val="21"/>
          <w:szCs w:val="21"/>
          <w:lang w:val="en-US" w:eastAsia="zh-CN"/>
        </w:rPr>
      </w:pPr>
      <w:r>
        <w:rPr>
          <w:rFonts w:hint="default" w:ascii="Times New Roman" w:hAnsi="Times New Roman" w:eastAsia="Times New Roman" w:cs="Times New Roman"/>
          <w:b/>
          <w:bCs/>
          <w:spacing w:val="4"/>
          <w:sz w:val="21"/>
          <w:szCs w:val="21"/>
        </w:rPr>
        <w:t>表 3</w:t>
      </w:r>
      <w:r>
        <w:rPr>
          <w:rFonts w:hint="eastAsia" w:ascii="Times New Roman" w:hAnsi="Times New Roman" w:eastAsia="宋体" w:cs="Times New Roman"/>
          <w:b/>
          <w:bCs/>
          <w:spacing w:val="4"/>
          <w:sz w:val="21"/>
          <w:szCs w:val="21"/>
          <w:lang w:val="en-US" w:eastAsia="zh-CN"/>
        </w:rPr>
        <w:t>-</w:t>
      </w:r>
      <w:r>
        <w:rPr>
          <w:rFonts w:hint="default" w:ascii="Times New Roman" w:hAnsi="Times New Roman" w:eastAsia="宋体" w:cs="Times New Roman"/>
          <w:b/>
          <w:bCs/>
          <w:spacing w:val="4"/>
          <w:sz w:val="21"/>
          <w:szCs w:val="21"/>
          <w:lang w:val="en-US" w:eastAsia="zh-CN"/>
        </w:rPr>
        <w:t>4</w:t>
      </w:r>
      <w:r>
        <w:rPr>
          <w:rFonts w:hint="default" w:ascii="Times New Roman" w:hAnsi="Times New Roman" w:eastAsia="Times New Roman" w:cs="Times New Roman"/>
          <w:b/>
          <w:bCs/>
          <w:spacing w:val="4"/>
          <w:sz w:val="21"/>
          <w:szCs w:val="21"/>
        </w:rPr>
        <w:t xml:space="preserve">-1   </w:t>
      </w:r>
      <w:r>
        <w:rPr>
          <w:rFonts w:hint="default" w:ascii="Times New Roman" w:hAnsi="Times New Roman" w:eastAsia="宋体" w:cs="Times New Roman"/>
          <w:b/>
          <w:bCs/>
          <w:spacing w:val="4"/>
          <w:sz w:val="21"/>
          <w:szCs w:val="21"/>
          <w:lang w:val="en-US" w:eastAsia="zh-CN"/>
        </w:rPr>
        <w:t>工程</w:t>
      </w:r>
      <w:r>
        <w:rPr>
          <w:rFonts w:hint="default" w:ascii="Times New Roman" w:hAnsi="Times New Roman" w:eastAsia="Times New Roman" w:cs="Times New Roman"/>
          <w:b/>
          <w:bCs/>
          <w:spacing w:val="4"/>
          <w:sz w:val="21"/>
          <w:szCs w:val="21"/>
        </w:rPr>
        <w:t>组成一览表</w:t>
      </w:r>
    </w:p>
    <w:p>
      <w:pPr>
        <w:spacing w:line="19" w:lineRule="exact"/>
        <w:rPr>
          <w:rFonts w:hint="default" w:ascii="Times New Roman" w:hAnsi="Times New Roman" w:cs="Times New Roman"/>
        </w:rPr>
      </w:pPr>
    </w:p>
    <w:tbl>
      <w:tblPr>
        <w:tblStyle w:val="34"/>
        <w:tblW w:w="507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27"/>
        <w:gridCol w:w="763"/>
        <w:gridCol w:w="3512"/>
        <w:gridCol w:w="3512"/>
        <w:gridCol w:w="123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7" w:hRule="atLeast"/>
        </w:trPr>
        <w:tc>
          <w:tcPr>
            <w:tcW w:w="226" w:type="pct"/>
            <w:vAlign w:val="top"/>
          </w:tcPr>
          <w:p>
            <w:pPr>
              <w:spacing w:before="60" w:line="317"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pacing w:val="3"/>
                <w:position w:val="8"/>
                <w:sz w:val="21"/>
                <w:szCs w:val="21"/>
              </w:rPr>
              <w:t>工程</w:t>
            </w:r>
          </w:p>
          <w:p>
            <w:pPr>
              <w:spacing w:line="227"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类别</w:t>
            </w: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6"/>
                <w:sz w:val="21"/>
                <w:szCs w:val="21"/>
                <w:lang w:val="en-US" w:eastAsia="zh-CN"/>
              </w:rPr>
            </w:pPr>
            <w:r>
              <w:rPr>
                <w:rFonts w:hint="default" w:ascii="Times New Roman" w:hAnsi="Times New Roman" w:eastAsia="宋体" w:cs="Times New Roman"/>
                <w:spacing w:val="6"/>
                <w:sz w:val="21"/>
                <w:szCs w:val="21"/>
                <w:lang w:val="en-US" w:eastAsia="zh-CN"/>
              </w:rPr>
              <w:t>工程</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6"/>
                <w:sz w:val="21"/>
                <w:szCs w:val="21"/>
                <w:lang w:val="en-US" w:eastAsia="zh-CN"/>
              </w:rPr>
            </w:pPr>
            <w:r>
              <w:rPr>
                <w:rFonts w:hint="default" w:ascii="Times New Roman" w:hAnsi="Times New Roman" w:eastAsia="宋体" w:cs="Times New Roman"/>
                <w:spacing w:val="6"/>
                <w:sz w:val="21"/>
                <w:szCs w:val="21"/>
                <w:lang w:val="en-US" w:eastAsia="zh-CN"/>
              </w:rPr>
              <w:t>名称</w:t>
            </w:r>
          </w:p>
        </w:tc>
        <w:tc>
          <w:tcPr>
            <w:tcW w:w="1859" w:type="pct"/>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pacing w:val="6"/>
                <w:sz w:val="21"/>
                <w:szCs w:val="2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pacing w:val="6"/>
                <w:sz w:val="21"/>
                <w:szCs w:val="2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6"/>
                <w:sz w:val="21"/>
                <w:szCs w:val="21"/>
                <w:lang w:val="en-US" w:eastAsia="zh-CN"/>
              </w:rPr>
            </w:pPr>
            <w:r>
              <w:rPr>
                <w:rFonts w:hint="eastAsia" w:ascii="Times New Roman" w:hAnsi="Times New Roman" w:eastAsia="宋体" w:cs="Times New Roman"/>
                <w:spacing w:val="6"/>
                <w:sz w:val="21"/>
                <w:szCs w:val="21"/>
                <w:lang w:val="en-US" w:eastAsia="zh-CN"/>
              </w:rPr>
              <w:t>现有工程</w:t>
            </w:r>
          </w:p>
        </w:tc>
        <w:tc>
          <w:tcPr>
            <w:tcW w:w="1859" w:type="pct"/>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9"/>
                <w:sz w:val="21"/>
                <w:szCs w:val="21"/>
              </w:rPr>
            </w:pP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9"/>
                <w:sz w:val="21"/>
                <w:szCs w:val="21"/>
              </w:rPr>
            </w:pP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9"/>
                <w:sz w:val="21"/>
                <w:szCs w:val="21"/>
              </w:rPr>
              <w:t>改扩建</w:t>
            </w:r>
            <w:r>
              <w:rPr>
                <w:rFonts w:hint="default" w:ascii="Times New Roman" w:hAnsi="Times New Roman" w:eastAsia="宋体" w:cs="Times New Roman"/>
                <w:spacing w:val="9"/>
                <w:sz w:val="21"/>
                <w:szCs w:val="21"/>
                <w:lang w:val="en-US" w:eastAsia="zh-CN"/>
              </w:rPr>
              <w:t>后全厂</w:t>
            </w:r>
          </w:p>
        </w:tc>
        <w:tc>
          <w:tcPr>
            <w:tcW w:w="651" w:type="pct"/>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6"/>
                <w:sz w:val="21"/>
                <w:szCs w:val="21"/>
              </w:rPr>
            </w:pP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6"/>
                <w:sz w:val="21"/>
                <w:szCs w:val="21"/>
              </w:rPr>
            </w:pP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依托情况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16" w:hRule="atLeast"/>
        </w:trPr>
        <w:tc>
          <w:tcPr>
            <w:tcW w:w="22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主体</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auto"/>
                <w:spacing w:val="0"/>
                <w:sz w:val="21"/>
                <w:szCs w:val="21"/>
                <w:lang w:val="en-US" w:eastAsia="zh-CN"/>
              </w:rPr>
              <w:t>工程</w:t>
            </w: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6"/>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屠宰加工车间</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highlight w:val="none"/>
              </w:rPr>
            </w:pPr>
            <w:r>
              <w:rPr>
                <w:rFonts w:hint="default" w:ascii="Times New Roman" w:hAnsi="Times New Roman" w:eastAsia="宋体" w:cs="Times New Roman"/>
                <w:spacing w:val="4"/>
                <w:sz w:val="21"/>
                <w:szCs w:val="21"/>
                <w:highlight w:val="none"/>
              </w:rPr>
              <w:t>建筑面积</w:t>
            </w:r>
            <w:r>
              <w:rPr>
                <w:rFonts w:hint="default" w:ascii="Times New Roman" w:hAnsi="Times New Roman" w:eastAsia="宋体" w:cs="Times New Roman"/>
                <w:spacing w:val="4"/>
                <w:sz w:val="21"/>
                <w:szCs w:val="21"/>
                <w:highlight w:val="none"/>
                <w:lang w:val="en-US" w:eastAsia="zh-CN"/>
              </w:rPr>
              <w:t>900m</w:t>
            </w:r>
            <w:r>
              <w:rPr>
                <w:rFonts w:hint="default" w:ascii="Times New Roman" w:hAnsi="Times New Roman" w:eastAsia="宋体" w:cs="Times New Roman"/>
                <w:spacing w:val="4"/>
                <w:sz w:val="21"/>
                <w:szCs w:val="21"/>
                <w:highlight w:val="none"/>
                <w:vertAlign w:val="superscript"/>
                <w:lang w:val="en-US" w:eastAsia="zh-CN"/>
              </w:rPr>
              <w:t>2</w:t>
            </w:r>
            <w:r>
              <w:rPr>
                <w:rFonts w:hint="default" w:ascii="Times New Roman" w:hAnsi="Times New Roman" w:eastAsia="宋体" w:cs="Times New Roman"/>
                <w:spacing w:val="4"/>
                <w:sz w:val="21"/>
                <w:szCs w:val="21"/>
                <w:highlight w:val="none"/>
                <w:lang w:val="en-US" w:eastAsia="zh-CN"/>
              </w:rPr>
              <w:t>，二层建筑，</w:t>
            </w:r>
            <w:r>
              <w:rPr>
                <w:rFonts w:hint="eastAsia" w:ascii="Times New Roman" w:hAnsi="Times New Roman" w:eastAsia="宋体" w:cs="Times New Roman"/>
                <w:spacing w:val="4"/>
                <w:sz w:val="21"/>
                <w:szCs w:val="21"/>
                <w:highlight w:val="none"/>
                <w:lang w:val="en-US" w:eastAsia="zh-CN"/>
              </w:rPr>
              <w:t>高度约4.6米。</w:t>
            </w:r>
            <w:r>
              <w:rPr>
                <w:rFonts w:hint="default" w:ascii="Times New Roman" w:hAnsi="Times New Roman" w:eastAsia="宋体" w:cs="Times New Roman"/>
                <w:spacing w:val="4"/>
                <w:sz w:val="21"/>
                <w:szCs w:val="21"/>
                <w:highlight w:val="none"/>
              </w:rPr>
              <w:t>砖构厂房，</w:t>
            </w:r>
            <w:r>
              <w:rPr>
                <w:rFonts w:hint="default" w:ascii="Times New Roman" w:hAnsi="Times New Roman" w:eastAsia="宋体" w:cs="Times New Roman"/>
                <w:spacing w:val="4"/>
                <w:sz w:val="21"/>
                <w:szCs w:val="21"/>
                <w:highlight w:val="none"/>
                <w:lang w:val="en-US" w:eastAsia="zh-CN"/>
              </w:rPr>
              <w:t>屠宰车间位于1层</w:t>
            </w:r>
            <w:r>
              <w:rPr>
                <w:rFonts w:hint="default" w:ascii="Times New Roman" w:hAnsi="Times New Roman" w:eastAsia="宋体" w:cs="Times New Roman"/>
                <w:spacing w:val="4"/>
                <w:sz w:val="21"/>
                <w:szCs w:val="21"/>
                <w:highlight w:val="none"/>
              </w:rPr>
              <w:t>，用于生猪屠宰</w:t>
            </w:r>
            <w:r>
              <w:rPr>
                <w:rFonts w:hint="default" w:ascii="Times New Roman" w:hAnsi="Times New Roman" w:eastAsia="宋体" w:cs="Times New Roman"/>
                <w:spacing w:val="4"/>
                <w:sz w:val="21"/>
                <w:szCs w:val="21"/>
                <w:highlight w:val="none"/>
                <w:lang w:eastAsia="zh-CN"/>
              </w:rPr>
              <w:t>，</w:t>
            </w:r>
            <w:r>
              <w:rPr>
                <w:rFonts w:hint="default" w:ascii="Times New Roman" w:hAnsi="Times New Roman" w:eastAsia="宋体" w:cs="Times New Roman"/>
                <w:spacing w:val="4"/>
                <w:sz w:val="21"/>
                <w:szCs w:val="21"/>
                <w:highlight w:val="none"/>
                <w:lang w:val="en-US" w:eastAsia="zh-CN"/>
              </w:rPr>
              <w:t>车间内设置</w:t>
            </w:r>
            <w:r>
              <w:rPr>
                <w:rFonts w:hint="default" w:ascii="Times New Roman" w:hAnsi="Times New Roman" w:eastAsia="宋体" w:cs="Times New Roman"/>
                <w:spacing w:val="4"/>
                <w:sz w:val="21"/>
                <w:szCs w:val="21"/>
                <w:highlight w:val="none"/>
              </w:rPr>
              <w:t>倒脏间、血池，用于内脏的分类及猪血的收集，年屠宰生猪</w:t>
            </w:r>
            <w:r>
              <w:rPr>
                <w:rFonts w:hint="default" w:ascii="Times New Roman" w:hAnsi="Times New Roman" w:eastAsia="宋体" w:cs="Times New Roman"/>
                <w:spacing w:val="4"/>
                <w:sz w:val="21"/>
                <w:szCs w:val="21"/>
                <w:highlight w:val="none"/>
                <w:lang w:val="en-US" w:eastAsia="zh-CN"/>
              </w:rPr>
              <w:t>9000</w:t>
            </w:r>
            <w:r>
              <w:rPr>
                <w:rFonts w:hint="default" w:ascii="Times New Roman" w:hAnsi="Times New Roman" w:eastAsia="宋体" w:cs="Times New Roman"/>
                <w:spacing w:val="4"/>
                <w:sz w:val="21"/>
                <w:szCs w:val="21"/>
                <w:highlight w:val="none"/>
              </w:rPr>
              <w:t>头</w:t>
            </w:r>
            <w:r>
              <w:rPr>
                <w:rFonts w:hint="default" w:ascii="Times New Roman" w:hAnsi="Times New Roman" w:eastAsia="宋体" w:cs="Times New Roman"/>
                <w:spacing w:val="4"/>
                <w:sz w:val="21"/>
                <w:szCs w:val="21"/>
                <w:highlight w:val="none"/>
                <w:lang w:eastAsia="zh-CN"/>
              </w:rPr>
              <w:t>。</w:t>
            </w:r>
          </w:p>
          <w:p>
            <w:pPr>
              <w:keepNext w:val="0"/>
              <w:keepLines w:val="0"/>
              <w:pageBreakBefore w:val="0"/>
              <w:widowControl/>
              <w:kinsoku w:val="0"/>
              <w:wordWrap/>
              <w:overflowPunct/>
              <w:topLinePunct w:val="0"/>
              <w:autoSpaceDE w:val="0"/>
              <w:autoSpaceDN w:val="0"/>
              <w:bidi w:val="0"/>
              <w:adjustRightInd w:val="0"/>
              <w:snapToGrid w:val="0"/>
              <w:spacing w:line="240" w:lineRule="auto"/>
              <w:ind w:right="0" w:rightChars="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spacing w:val="4"/>
                <w:sz w:val="21"/>
                <w:szCs w:val="21"/>
                <w:highlight w:val="none"/>
                <w:lang w:val="en-US" w:eastAsia="zh-CN"/>
              </w:rPr>
              <w:t>加工</w:t>
            </w:r>
            <w:r>
              <w:rPr>
                <w:rFonts w:hint="default" w:ascii="Times New Roman" w:hAnsi="Times New Roman" w:eastAsia="宋体" w:cs="Times New Roman"/>
                <w:spacing w:val="4"/>
                <w:sz w:val="21"/>
                <w:szCs w:val="21"/>
                <w:highlight w:val="none"/>
                <w:lang w:val="en-US" w:eastAsia="zh-CN"/>
              </w:rPr>
              <w:t>车间位于2层，</w:t>
            </w:r>
            <w:r>
              <w:rPr>
                <w:rFonts w:hint="default" w:ascii="Times New Roman" w:hAnsi="Times New Roman" w:eastAsia="宋体" w:cs="Times New Roman"/>
                <w:spacing w:val="4"/>
                <w:sz w:val="21"/>
                <w:szCs w:val="21"/>
                <w:highlight w:val="none"/>
              </w:rPr>
              <w:t>用于整理分离内脏、</w:t>
            </w:r>
            <w:r>
              <w:rPr>
                <w:rFonts w:hint="default" w:ascii="Times New Roman" w:hAnsi="Times New Roman" w:eastAsia="宋体" w:cs="Times New Roman"/>
                <w:spacing w:val="4"/>
                <w:sz w:val="21"/>
                <w:szCs w:val="21"/>
                <w:highlight w:val="none"/>
                <w:lang w:val="en-US" w:eastAsia="zh-CN"/>
              </w:rPr>
              <w:t>胴体、</w:t>
            </w:r>
            <w:r>
              <w:rPr>
                <w:rFonts w:hint="default" w:ascii="Times New Roman" w:hAnsi="Times New Roman" w:eastAsia="宋体" w:cs="Times New Roman"/>
                <w:spacing w:val="4"/>
                <w:sz w:val="21"/>
                <w:szCs w:val="21"/>
                <w:highlight w:val="none"/>
              </w:rPr>
              <w:t>头蹄尾</w:t>
            </w:r>
            <w:r>
              <w:rPr>
                <w:rFonts w:hint="default" w:ascii="Times New Roman" w:hAnsi="Times New Roman" w:eastAsia="宋体" w:cs="Times New Roman"/>
                <w:spacing w:val="4"/>
                <w:sz w:val="21"/>
                <w:szCs w:val="21"/>
                <w:highlight w:val="none"/>
                <w:lang w:eastAsia="zh-CN"/>
              </w:rPr>
              <w:t>、</w:t>
            </w:r>
            <w:r>
              <w:rPr>
                <w:rFonts w:hint="default" w:ascii="Times New Roman" w:hAnsi="Times New Roman" w:eastAsia="宋体" w:cs="Times New Roman"/>
                <w:spacing w:val="4"/>
                <w:sz w:val="21"/>
                <w:szCs w:val="21"/>
                <w:highlight w:val="none"/>
              </w:rPr>
              <w:t>板油和不可食用内脏等</w:t>
            </w:r>
            <w:r>
              <w:rPr>
                <w:rFonts w:hint="default" w:ascii="Times New Roman" w:hAnsi="Times New Roman" w:eastAsia="宋体" w:cs="Times New Roman"/>
                <w:spacing w:val="4"/>
                <w:sz w:val="21"/>
                <w:szCs w:val="21"/>
                <w:highlight w:val="none"/>
                <w:lang w:eastAsia="zh-CN"/>
              </w:rPr>
              <w:t>。</w:t>
            </w:r>
          </w:p>
        </w:tc>
        <w:tc>
          <w:tcPr>
            <w:tcW w:w="1859" w:type="pct"/>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both"/>
              <w:textAlignment w:val="baseline"/>
              <w:rPr>
                <w:rFonts w:hint="default" w:ascii="Times New Roman" w:hAnsi="Times New Roman" w:eastAsia="宋体" w:cs="Times New Roman"/>
                <w:spacing w:val="4"/>
                <w:sz w:val="21"/>
                <w:szCs w:val="21"/>
                <w:highlight w:val="none"/>
              </w:rPr>
            </w:pPr>
            <w:r>
              <w:rPr>
                <w:rFonts w:hint="default" w:ascii="Times New Roman" w:hAnsi="Times New Roman" w:eastAsia="宋体" w:cs="Times New Roman"/>
                <w:spacing w:val="4"/>
                <w:sz w:val="21"/>
                <w:szCs w:val="21"/>
                <w:highlight w:val="none"/>
              </w:rPr>
              <w:t>建筑面积</w:t>
            </w:r>
            <w:r>
              <w:rPr>
                <w:rFonts w:hint="default" w:ascii="Times New Roman" w:hAnsi="Times New Roman" w:eastAsia="宋体" w:cs="Times New Roman"/>
                <w:spacing w:val="4"/>
                <w:sz w:val="21"/>
                <w:szCs w:val="21"/>
                <w:highlight w:val="none"/>
                <w:lang w:val="en-US" w:eastAsia="zh-CN"/>
              </w:rPr>
              <w:t>900m</w:t>
            </w:r>
            <w:r>
              <w:rPr>
                <w:rFonts w:hint="default" w:ascii="Times New Roman" w:hAnsi="Times New Roman" w:eastAsia="宋体" w:cs="Times New Roman"/>
                <w:spacing w:val="4"/>
                <w:sz w:val="21"/>
                <w:szCs w:val="21"/>
                <w:highlight w:val="none"/>
                <w:vertAlign w:val="superscript"/>
                <w:lang w:val="en-US" w:eastAsia="zh-CN"/>
              </w:rPr>
              <w:t>2</w:t>
            </w:r>
            <w:r>
              <w:rPr>
                <w:rFonts w:hint="default" w:ascii="Times New Roman" w:hAnsi="Times New Roman" w:eastAsia="宋体" w:cs="Times New Roman"/>
                <w:spacing w:val="4"/>
                <w:sz w:val="21"/>
                <w:szCs w:val="21"/>
                <w:highlight w:val="none"/>
                <w:lang w:val="en-US" w:eastAsia="zh-CN"/>
              </w:rPr>
              <w:t>，二层建筑，</w:t>
            </w:r>
            <w:r>
              <w:rPr>
                <w:rFonts w:hint="eastAsia" w:ascii="Times New Roman" w:hAnsi="Times New Roman" w:eastAsia="宋体" w:cs="Times New Roman"/>
                <w:spacing w:val="4"/>
                <w:sz w:val="21"/>
                <w:szCs w:val="21"/>
                <w:highlight w:val="none"/>
                <w:lang w:val="en-US" w:eastAsia="zh-CN"/>
              </w:rPr>
              <w:t>高度约4.6米，</w:t>
            </w:r>
            <w:r>
              <w:rPr>
                <w:rFonts w:hint="default" w:ascii="Times New Roman" w:hAnsi="Times New Roman" w:eastAsia="宋体" w:cs="Times New Roman"/>
                <w:spacing w:val="4"/>
                <w:sz w:val="21"/>
                <w:szCs w:val="21"/>
                <w:highlight w:val="none"/>
              </w:rPr>
              <w:t>砖构厂房，</w:t>
            </w:r>
            <w:r>
              <w:rPr>
                <w:rFonts w:hint="default" w:ascii="Times New Roman" w:hAnsi="Times New Roman" w:eastAsia="宋体" w:cs="Times New Roman"/>
                <w:spacing w:val="4"/>
                <w:sz w:val="21"/>
                <w:szCs w:val="21"/>
                <w:highlight w:val="none"/>
                <w:lang w:val="en-US" w:eastAsia="zh-CN"/>
              </w:rPr>
              <w:t>屠宰车间位于1层，本项目</w:t>
            </w:r>
            <w:r>
              <w:rPr>
                <w:rFonts w:hint="default" w:ascii="Times New Roman" w:hAnsi="Times New Roman" w:eastAsia="宋体" w:cs="Times New Roman"/>
                <w:spacing w:val="4"/>
                <w:sz w:val="21"/>
                <w:szCs w:val="21"/>
                <w:highlight w:val="none"/>
              </w:rPr>
              <w:t>对现有</w:t>
            </w:r>
            <w:r>
              <w:rPr>
                <w:rFonts w:hint="default" w:ascii="Times New Roman" w:hAnsi="Times New Roman" w:eastAsia="宋体" w:cs="Times New Roman"/>
                <w:spacing w:val="4"/>
                <w:sz w:val="21"/>
                <w:szCs w:val="21"/>
                <w:highlight w:val="none"/>
                <w:lang w:val="en-US" w:eastAsia="zh-CN"/>
              </w:rPr>
              <w:t>生产线</w:t>
            </w:r>
            <w:r>
              <w:rPr>
                <w:rFonts w:hint="default" w:ascii="Times New Roman" w:hAnsi="Times New Roman" w:eastAsia="宋体" w:cs="Times New Roman"/>
                <w:spacing w:val="4"/>
                <w:sz w:val="21"/>
                <w:szCs w:val="21"/>
                <w:highlight w:val="none"/>
              </w:rPr>
              <w:t>进行</w:t>
            </w:r>
            <w:r>
              <w:rPr>
                <w:rFonts w:hint="eastAsia" w:ascii="Times New Roman" w:hAnsi="Times New Roman" w:eastAsia="宋体" w:cs="Times New Roman"/>
                <w:spacing w:val="4"/>
                <w:sz w:val="21"/>
                <w:szCs w:val="21"/>
                <w:highlight w:val="none"/>
                <w:lang w:val="en-US" w:eastAsia="zh-CN"/>
              </w:rPr>
              <w:t>改造</w:t>
            </w:r>
            <w:r>
              <w:rPr>
                <w:rFonts w:hint="default" w:ascii="Times New Roman" w:hAnsi="Times New Roman" w:eastAsia="宋体" w:cs="Times New Roman"/>
                <w:spacing w:val="4"/>
                <w:sz w:val="21"/>
                <w:szCs w:val="21"/>
                <w:highlight w:val="none"/>
                <w:lang w:val="en-US" w:eastAsia="zh-CN"/>
              </w:rPr>
              <w:t>，</w:t>
            </w:r>
            <w:r>
              <w:rPr>
                <w:rFonts w:hint="eastAsia" w:ascii="Times New Roman" w:hAnsi="Times New Roman" w:eastAsia="宋体" w:cs="Times New Roman"/>
                <w:spacing w:val="4"/>
                <w:sz w:val="21"/>
                <w:szCs w:val="21"/>
                <w:highlight w:val="none"/>
                <w:lang w:val="en-US" w:eastAsia="zh-CN"/>
              </w:rPr>
              <w:t>建设一条自动化生产线</w:t>
            </w:r>
            <w:r>
              <w:rPr>
                <w:rFonts w:hint="default" w:ascii="Times New Roman" w:hAnsi="Times New Roman" w:eastAsia="宋体" w:cs="Times New Roman"/>
                <w:spacing w:val="4"/>
                <w:sz w:val="21"/>
                <w:szCs w:val="21"/>
                <w:highlight w:val="none"/>
              </w:rPr>
              <w:t>，用于生猪屠宰</w:t>
            </w:r>
            <w:r>
              <w:rPr>
                <w:rFonts w:hint="default" w:ascii="Times New Roman" w:hAnsi="Times New Roman" w:eastAsia="宋体" w:cs="Times New Roman"/>
                <w:spacing w:val="4"/>
                <w:sz w:val="21"/>
                <w:szCs w:val="21"/>
                <w:highlight w:val="none"/>
                <w:lang w:eastAsia="zh-CN"/>
              </w:rPr>
              <w:t>，</w:t>
            </w:r>
            <w:r>
              <w:rPr>
                <w:rFonts w:hint="default" w:ascii="Times New Roman" w:hAnsi="Times New Roman" w:eastAsia="宋体" w:cs="Times New Roman"/>
                <w:spacing w:val="4"/>
                <w:sz w:val="21"/>
                <w:szCs w:val="21"/>
                <w:highlight w:val="none"/>
                <w:lang w:val="en-US" w:eastAsia="zh-CN"/>
              </w:rPr>
              <w:t>车间内设置</w:t>
            </w:r>
            <w:r>
              <w:rPr>
                <w:rFonts w:hint="default" w:ascii="Times New Roman" w:hAnsi="Times New Roman" w:eastAsia="宋体" w:cs="Times New Roman"/>
                <w:spacing w:val="4"/>
                <w:sz w:val="21"/>
                <w:szCs w:val="21"/>
                <w:highlight w:val="none"/>
              </w:rPr>
              <w:t>倒脏间、血池，用于内脏的分类及猪血的收集，建成后可年屠宰生猪</w:t>
            </w:r>
            <w:r>
              <w:rPr>
                <w:rFonts w:hint="default" w:ascii="Times New Roman" w:hAnsi="Times New Roman" w:eastAsia="宋体" w:cs="Times New Roman"/>
                <w:spacing w:val="4"/>
                <w:sz w:val="21"/>
                <w:szCs w:val="21"/>
                <w:highlight w:val="none"/>
                <w:lang w:val="en-US" w:eastAsia="zh-CN"/>
              </w:rPr>
              <w:t>16</w:t>
            </w:r>
            <w:r>
              <w:rPr>
                <w:rFonts w:hint="default" w:ascii="Times New Roman" w:hAnsi="Times New Roman" w:eastAsia="宋体" w:cs="Times New Roman"/>
                <w:spacing w:val="4"/>
                <w:sz w:val="21"/>
                <w:szCs w:val="21"/>
                <w:highlight w:val="none"/>
              </w:rPr>
              <w:t>万头</w:t>
            </w:r>
            <w:r>
              <w:rPr>
                <w:rFonts w:hint="default" w:ascii="Times New Roman" w:hAnsi="Times New Roman" w:eastAsia="宋体" w:cs="Times New Roman"/>
                <w:spacing w:val="4"/>
                <w:sz w:val="21"/>
                <w:szCs w:val="21"/>
                <w:highlight w:val="none"/>
                <w:lang w:eastAsia="zh-CN"/>
              </w:rPr>
              <w:t>。</w:t>
            </w:r>
          </w:p>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both"/>
              <w:textAlignment w:val="baseline"/>
              <w:rPr>
                <w:rFonts w:hint="default" w:ascii="Times New Roman" w:hAnsi="Times New Roman" w:eastAsia="宋体" w:cs="Times New Roman"/>
                <w:spacing w:val="4"/>
                <w:sz w:val="21"/>
                <w:szCs w:val="21"/>
                <w:highlight w:val="none"/>
                <w:lang w:eastAsia="zh-CN"/>
              </w:rPr>
            </w:pPr>
            <w:r>
              <w:rPr>
                <w:rFonts w:hint="default" w:ascii="Times New Roman" w:hAnsi="Times New Roman" w:eastAsia="宋体" w:cs="Times New Roman"/>
                <w:spacing w:val="4"/>
                <w:sz w:val="21"/>
                <w:szCs w:val="21"/>
                <w:highlight w:val="none"/>
                <w:lang w:val="en-US" w:eastAsia="zh-CN"/>
              </w:rPr>
              <w:t>加工车间位于2层，</w:t>
            </w:r>
            <w:r>
              <w:rPr>
                <w:rFonts w:hint="default" w:ascii="Times New Roman" w:hAnsi="Times New Roman" w:eastAsia="宋体" w:cs="Times New Roman"/>
                <w:spacing w:val="4"/>
                <w:sz w:val="21"/>
                <w:szCs w:val="21"/>
                <w:highlight w:val="none"/>
              </w:rPr>
              <w:t>用于整理分离内脏、</w:t>
            </w:r>
            <w:r>
              <w:rPr>
                <w:rFonts w:hint="default" w:ascii="Times New Roman" w:hAnsi="Times New Roman" w:eastAsia="宋体" w:cs="Times New Roman"/>
                <w:spacing w:val="4"/>
                <w:sz w:val="21"/>
                <w:szCs w:val="21"/>
                <w:highlight w:val="none"/>
                <w:lang w:val="en-US" w:eastAsia="zh-CN"/>
              </w:rPr>
              <w:t>胴体、</w:t>
            </w:r>
            <w:r>
              <w:rPr>
                <w:rFonts w:hint="default" w:ascii="Times New Roman" w:hAnsi="Times New Roman" w:eastAsia="宋体" w:cs="Times New Roman"/>
                <w:spacing w:val="4"/>
                <w:sz w:val="21"/>
                <w:szCs w:val="21"/>
                <w:highlight w:val="none"/>
              </w:rPr>
              <w:t>头蹄尾</w:t>
            </w:r>
            <w:r>
              <w:rPr>
                <w:rFonts w:hint="default" w:ascii="Times New Roman" w:hAnsi="Times New Roman" w:eastAsia="宋体" w:cs="Times New Roman"/>
                <w:spacing w:val="4"/>
                <w:sz w:val="21"/>
                <w:szCs w:val="21"/>
                <w:highlight w:val="none"/>
                <w:lang w:eastAsia="zh-CN"/>
              </w:rPr>
              <w:t>、</w:t>
            </w:r>
            <w:r>
              <w:rPr>
                <w:rFonts w:hint="default" w:ascii="Times New Roman" w:hAnsi="Times New Roman" w:eastAsia="宋体" w:cs="Times New Roman"/>
                <w:spacing w:val="4"/>
                <w:sz w:val="21"/>
                <w:szCs w:val="21"/>
                <w:highlight w:val="none"/>
              </w:rPr>
              <w:t>板油和不可食用内脏等</w:t>
            </w:r>
            <w:r>
              <w:rPr>
                <w:rFonts w:hint="default" w:ascii="Times New Roman" w:hAnsi="Times New Roman" w:eastAsia="宋体" w:cs="Times New Roman"/>
                <w:spacing w:val="4"/>
                <w:sz w:val="21"/>
                <w:szCs w:val="21"/>
                <w:highlight w:val="none"/>
                <w:lang w:eastAsia="zh-CN"/>
              </w:rPr>
              <w:t>。</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6"/>
                <w:sz w:val="21"/>
                <w:szCs w:val="21"/>
                <w:lang w:val="en-US" w:eastAsia="zh-CN"/>
              </w:rPr>
            </w:pPr>
            <w:r>
              <w:rPr>
                <w:rFonts w:hint="default" w:ascii="Times New Roman" w:hAnsi="Times New Roman" w:eastAsia="宋体" w:cs="Times New Roman"/>
                <w:color w:val="auto"/>
                <w:spacing w:val="0"/>
                <w:sz w:val="21"/>
                <w:szCs w:val="21"/>
                <w:lang w:val="en-US" w:eastAsia="zh-CN"/>
              </w:rPr>
              <w:t>依托现有，新购生产线设备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9"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待宰圈</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建筑面积</w:t>
            </w:r>
            <w:r>
              <w:rPr>
                <w:rFonts w:hint="default" w:ascii="Times New Roman" w:hAnsi="Times New Roman" w:eastAsia="宋体" w:cs="Times New Roman"/>
                <w:color w:val="auto"/>
                <w:spacing w:val="0"/>
                <w:sz w:val="21"/>
                <w:szCs w:val="21"/>
                <w:lang w:val="en-US" w:eastAsia="zh-CN"/>
              </w:rPr>
              <w:t>500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w:t>
            </w:r>
            <w:r>
              <w:rPr>
                <w:rFonts w:hint="default" w:ascii="Times New Roman" w:hAnsi="Times New Roman" w:eastAsia="宋体" w:cs="Times New Roman"/>
                <w:color w:val="auto"/>
                <w:spacing w:val="0"/>
                <w:sz w:val="21"/>
                <w:szCs w:val="21"/>
                <w:lang w:val="en-US" w:eastAsia="zh-CN"/>
              </w:rPr>
              <w:t>单层建筑</w:t>
            </w:r>
            <w:r>
              <w:rPr>
                <w:rFonts w:hint="eastAsia" w:ascii="Times New Roman" w:hAnsi="Times New Roman" w:eastAsia="宋体" w:cs="Times New Roman"/>
                <w:color w:val="auto"/>
                <w:spacing w:val="0"/>
                <w:sz w:val="21"/>
                <w:szCs w:val="21"/>
                <w:lang w:val="en-US" w:eastAsia="zh-CN"/>
              </w:rPr>
              <w:t>，高度约2.9米</w:t>
            </w:r>
            <w:r>
              <w:rPr>
                <w:rFonts w:hint="default" w:ascii="Times New Roman" w:hAnsi="Times New Roman" w:eastAsia="宋体" w:cs="Times New Roman"/>
                <w:color w:val="auto"/>
                <w:spacing w:val="0"/>
                <w:sz w:val="21"/>
                <w:szCs w:val="21"/>
                <w:lang w:eastAsia="zh-CN"/>
              </w:rPr>
              <w:t>。</w:t>
            </w:r>
            <w:r>
              <w:rPr>
                <w:rFonts w:hint="default" w:ascii="Times New Roman" w:hAnsi="Times New Roman" w:eastAsia="宋体" w:cs="Times New Roman"/>
                <w:color w:val="auto"/>
                <w:spacing w:val="0"/>
                <w:sz w:val="21"/>
                <w:szCs w:val="21"/>
                <w:lang w:val="en-US" w:eastAsia="zh-CN"/>
              </w:rPr>
              <w:t>待宰圈内</w:t>
            </w:r>
            <w:r>
              <w:rPr>
                <w:rFonts w:hint="default" w:ascii="Times New Roman" w:hAnsi="Times New Roman" w:eastAsia="宋体" w:cs="Times New Roman"/>
                <w:color w:val="auto"/>
                <w:spacing w:val="0"/>
                <w:sz w:val="21"/>
                <w:szCs w:val="21"/>
              </w:rPr>
              <w:t>建设观察栏和隔离栏</w:t>
            </w:r>
            <w:r>
              <w:rPr>
                <w:rFonts w:hint="default" w:ascii="Times New Roman" w:hAnsi="Times New Roman" w:eastAsia="宋体" w:cs="Times New Roman"/>
                <w:color w:val="auto"/>
                <w:spacing w:val="0"/>
                <w:sz w:val="21"/>
                <w:szCs w:val="21"/>
                <w:lang w:eastAsia="zh-CN"/>
              </w:rPr>
              <w:t>，</w:t>
            </w:r>
            <w:r>
              <w:rPr>
                <w:rFonts w:hint="default" w:ascii="Times New Roman" w:hAnsi="Times New Roman" w:eastAsia="宋体" w:cs="Times New Roman"/>
                <w:color w:val="auto"/>
                <w:spacing w:val="0"/>
                <w:sz w:val="21"/>
                <w:szCs w:val="21"/>
              </w:rPr>
              <w:t>同时在存猪栏部分建设检疫室，用于生猪检疫</w:t>
            </w:r>
            <w:r>
              <w:rPr>
                <w:rFonts w:hint="default" w:ascii="Times New Roman" w:hAnsi="Times New Roman" w:eastAsia="宋体" w:cs="Times New Roman"/>
                <w:color w:val="auto"/>
                <w:spacing w:val="0"/>
                <w:sz w:val="21"/>
                <w:szCs w:val="21"/>
                <w:highlight w:val="none"/>
                <w:lang w:eastAsia="zh-CN"/>
              </w:rPr>
              <w:t>。</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color w:val="auto"/>
                <w:spacing w:val="0"/>
                <w:sz w:val="21"/>
                <w:szCs w:val="21"/>
              </w:rPr>
              <w:t>建筑面积</w:t>
            </w:r>
            <w:r>
              <w:rPr>
                <w:rFonts w:hint="default" w:ascii="Times New Roman" w:hAnsi="Times New Roman" w:eastAsia="宋体" w:cs="Times New Roman"/>
                <w:color w:val="auto"/>
                <w:spacing w:val="0"/>
                <w:sz w:val="21"/>
                <w:szCs w:val="21"/>
                <w:lang w:val="en-US" w:eastAsia="zh-CN"/>
              </w:rPr>
              <w:t>500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w:t>
            </w:r>
            <w:r>
              <w:rPr>
                <w:rFonts w:hint="default" w:ascii="Times New Roman" w:hAnsi="Times New Roman" w:eastAsia="宋体" w:cs="Times New Roman"/>
                <w:color w:val="auto"/>
                <w:spacing w:val="0"/>
                <w:sz w:val="21"/>
                <w:szCs w:val="21"/>
                <w:lang w:val="en-US" w:eastAsia="zh-CN"/>
              </w:rPr>
              <w:t>单层建筑</w:t>
            </w:r>
            <w:r>
              <w:rPr>
                <w:rFonts w:hint="eastAsia" w:ascii="Times New Roman" w:hAnsi="Times New Roman" w:eastAsia="宋体" w:cs="Times New Roman"/>
                <w:color w:val="auto"/>
                <w:spacing w:val="0"/>
                <w:sz w:val="21"/>
                <w:szCs w:val="21"/>
                <w:lang w:val="en-US" w:eastAsia="zh-CN"/>
              </w:rPr>
              <w:t>，高度约2.9米</w:t>
            </w:r>
            <w:r>
              <w:rPr>
                <w:rFonts w:hint="default" w:ascii="Times New Roman" w:hAnsi="Times New Roman" w:eastAsia="宋体" w:cs="Times New Roman"/>
                <w:color w:val="auto"/>
                <w:spacing w:val="0"/>
                <w:sz w:val="21"/>
                <w:szCs w:val="21"/>
                <w:lang w:eastAsia="zh-CN"/>
              </w:rPr>
              <w:t>。</w:t>
            </w:r>
            <w:r>
              <w:rPr>
                <w:rFonts w:hint="default" w:ascii="Times New Roman" w:hAnsi="Times New Roman" w:eastAsia="宋体" w:cs="Times New Roman"/>
                <w:color w:val="auto"/>
                <w:spacing w:val="0"/>
                <w:sz w:val="21"/>
                <w:szCs w:val="21"/>
                <w:lang w:val="en-US" w:eastAsia="zh-CN"/>
              </w:rPr>
              <w:t>待宰圈内</w:t>
            </w:r>
            <w:r>
              <w:rPr>
                <w:rFonts w:hint="default" w:ascii="Times New Roman" w:hAnsi="Times New Roman" w:eastAsia="宋体" w:cs="Times New Roman"/>
                <w:color w:val="auto"/>
                <w:spacing w:val="0"/>
                <w:sz w:val="21"/>
                <w:szCs w:val="21"/>
              </w:rPr>
              <w:t>建设观察栏和隔离栏</w:t>
            </w:r>
            <w:r>
              <w:rPr>
                <w:rFonts w:hint="default" w:ascii="Times New Roman" w:hAnsi="Times New Roman" w:eastAsia="宋体" w:cs="Times New Roman"/>
                <w:color w:val="auto"/>
                <w:spacing w:val="0"/>
                <w:sz w:val="21"/>
                <w:szCs w:val="21"/>
                <w:lang w:eastAsia="zh-CN"/>
              </w:rPr>
              <w:t>，</w:t>
            </w:r>
            <w:r>
              <w:rPr>
                <w:rFonts w:hint="default" w:ascii="Times New Roman" w:hAnsi="Times New Roman" w:eastAsia="宋体" w:cs="Times New Roman"/>
                <w:color w:val="auto"/>
                <w:spacing w:val="0"/>
                <w:sz w:val="21"/>
                <w:szCs w:val="21"/>
              </w:rPr>
              <w:t>同时在存猪栏部分建设检疫室，用于生猪检疫</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待宰</w:t>
            </w:r>
            <w:r>
              <w:rPr>
                <w:rFonts w:hint="default" w:ascii="Times New Roman" w:hAnsi="Times New Roman" w:eastAsia="宋体" w:cs="Times New Roman"/>
                <w:color w:val="auto"/>
                <w:spacing w:val="0"/>
                <w:sz w:val="21"/>
                <w:szCs w:val="21"/>
                <w:highlight w:val="none"/>
                <w:lang w:val="en-US" w:eastAsia="zh-CN"/>
              </w:rPr>
              <w:t>圈</w:t>
            </w:r>
            <w:r>
              <w:rPr>
                <w:rFonts w:hint="default" w:ascii="Times New Roman" w:hAnsi="Times New Roman" w:eastAsia="宋体" w:cs="Times New Roman"/>
                <w:color w:val="auto"/>
                <w:spacing w:val="0"/>
                <w:sz w:val="21"/>
                <w:szCs w:val="21"/>
                <w:highlight w:val="none"/>
              </w:rPr>
              <w:t>每批次容纳数量约</w:t>
            </w:r>
            <w:r>
              <w:rPr>
                <w:rFonts w:hint="eastAsia" w:ascii="Times New Roman" w:hAnsi="Times New Roman" w:eastAsia="宋体" w:cs="Times New Roman"/>
                <w:color w:val="auto"/>
                <w:spacing w:val="0"/>
                <w:sz w:val="21"/>
                <w:szCs w:val="21"/>
                <w:highlight w:val="none"/>
                <w:lang w:val="en-US" w:eastAsia="zh-CN"/>
              </w:rPr>
              <w:t>650</w:t>
            </w:r>
            <w:r>
              <w:rPr>
                <w:rFonts w:hint="default" w:ascii="Times New Roman" w:hAnsi="Times New Roman" w:eastAsia="宋体" w:cs="Times New Roman"/>
                <w:color w:val="auto"/>
                <w:spacing w:val="0"/>
                <w:sz w:val="21"/>
                <w:szCs w:val="21"/>
                <w:highlight w:val="none"/>
              </w:rPr>
              <w:t>头</w:t>
            </w:r>
            <w:r>
              <w:rPr>
                <w:rFonts w:hint="default" w:ascii="Times New Roman" w:hAnsi="Times New Roman" w:eastAsia="宋体" w:cs="Times New Roman"/>
                <w:color w:val="auto"/>
                <w:spacing w:val="0"/>
                <w:sz w:val="21"/>
                <w:szCs w:val="21"/>
                <w:highlight w:val="none"/>
                <w:lang w:eastAsia="zh-CN"/>
              </w:rPr>
              <w:t>。</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依托现有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6"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急宰间</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急宰间位于待宰圈东侧，建筑面积20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lang w:val="en-US" w:eastAsia="zh-CN"/>
              </w:rPr>
              <w:t>，单</w:t>
            </w:r>
            <w:r>
              <w:rPr>
                <w:rFonts w:hint="default" w:ascii="Times New Roman" w:hAnsi="Times New Roman" w:eastAsia="宋体" w:cs="Times New Roman"/>
                <w:color w:val="auto"/>
                <w:spacing w:val="0"/>
                <w:sz w:val="21"/>
                <w:szCs w:val="21"/>
              </w:rPr>
              <w:t>层</w:t>
            </w:r>
            <w:r>
              <w:rPr>
                <w:rFonts w:hint="default" w:ascii="Times New Roman" w:hAnsi="Times New Roman" w:eastAsia="宋体" w:cs="Times New Roman"/>
                <w:color w:val="auto"/>
                <w:spacing w:val="0"/>
                <w:sz w:val="21"/>
                <w:szCs w:val="21"/>
                <w:lang w:val="en-US" w:eastAsia="zh-CN"/>
              </w:rPr>
              <w:t>建筑</w:t>
            </w:r>
            <w:r>
              <w:rPr>
                <w:rFonts w:hint="default" w:ascii="Times New Roman" w:hAnsi="Times New Roman" w:eastAsia="宋体" w:cs="Times New Roman"/>
                <w:color w:val="auto"/>
                <w:spacing w:val="0"/>
                <w:sz w:val="21"/>
                <w:szCs w:val="21"/>
              </w:rPr>
              <w:t>，</w:t>
            </w:r>
            <w:r>
              <w:rPr>
                <w:rFonts w:hint="eastAsia" w:ascii="Times New Roman" w:hAnsi="Times New Roman" w:eastAsia="宋体" w:cs="Times New Roman"/>
                <w:color w:val="auto"/>
                <w:spacing w:val="0"/>
                <w:sz w:val="21"/>
                <w:szCs w:val="21"/>
                <w:lang w:val="en-US" w:eastAsia="zh-CN"/>
              </w:rPr>
              <w:t>高度约3米。</w:t>
            </w:r>
            <w:r>
              <w:rPr>
                <w:rFonts w:hint="default" w:ascii="Times New Roman" w:hAnsi="Times New Roman" w:eastAsia="宋体" w:cs="Times New Roman"/>
                <w:color w:val="auto"/>
                <w:spacing w:val="0"/>
                <w:sz w:val="21"/>
                <w:szCs w:val="21"/>
                <w:lang w:val="en-US" w:eastAsia="zh-CN"/>
              </w:rPr>
              <w:t>全封闭设置</w:t>
            </w:r>
            <w:r>
              <w:rPr>
                <w:rFonts w:hint="eastAsia" w:ascii="Times New Roman" w:hAnsi="Times New Roman" w:eastAsia="宋体" w:cs="Times New Roman"/>
                <w:color w:val="auto"/>
                <w:spacing w:val="0"/>
                <w:sz w:val="21"/>
                <w:szCs w:val="21"/>
                <w:lang w:val="en-US" w:eastAsia="zh-CN"/>
              </w:rPr>
              <w:t>。</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急宰间位于待宰圈东侧，建筑面积20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lang w:val="en-US" w:eastAsia="zh-CN"/>
              </w:rPr>
              <w:t>，单</w:t>
            </w:r>
            <w:r>
              <w:rPr>
                <w:rFonts w:hint="default" w:ascii="Times New Roman" w:hAnsi="Times New Roman" w:eastAsia="宋体" w:cs="Times New Roman"/>
                <w:color w:val="auto"/>
                <w:spacing w:val="0"/>
                <w:sz w:val="21"/>
                <w:szCs w:val="21"/>
              </w:rPr>
              <w:t>层</w:t>
            </w:r>
            <w:r>
              <w:rPr>
                <w:rFonts w:hint="default" w:ascii="Times New Roman" w:hAnsi="Times New Roman" w:eastAsia="宋体" w:cs="Times New Roman"/>
                <w:color w:val="auto"/>
                <w:spacing w:val="0"/>
                <w:sz w:val="21"/>
                <w:szCs w:val="21"/>
                <w:lang w:val="en-US" w:eastAsia="zh-CN"/>
              </w:rPr>
              <w:t>建筑</w:t>
            </w:r>
            <w:r>
              <w:rPr>
                <w:rFonts w:hint="default" w:ascii="Times New Roman" w:hAnsi="Times New Roman" w:eastAsia="宋体" w:cs="Times New Roman"/>
                <w:color w:val="auto"/>
                <w:spacing w:val="0"/>
                <w:sz w:val="21"/>
                <w:szCs w:val="21"/>
              </w:rPr>
              <w:t>，</w:t>
            </w:r>
            <w:r>
              <w:rPr>
                <w:rFonts w:hint="eastAsia" w:ascii="Times New Roman" w:hAnsi="Times New Roman" w:eastAsia="宋体" w:cs="Times New Roman"/>
                <w:color w:val="auto"/>
                <w:spacing w:val="0"/>
                <w:sz w:val="21"/>
                <w:szCs w:val="21"/>
                <w:lang w:val="en-US" w:eastAsia="zh-CN"/>
              </w:rPr>
              <w:t>高度约3米。</w:t>
            </w:r>
            <w:r>
              <w:rPr>
                <w:rFonts w:hint="default" w:ascii="Times New Roman" w:hAnsi="Times New Roman" w:eastAsia="宋体" w:cs="Times New Roman"/>
                <w:color w:val="auto"/>
                <w:spacing w:val="0"/>
                <w:sz w:val="21"/>
                <w:szCs w:val="21"/>
                <w:lang w:val="en-US" w:eastAsia="zh-CN"/>
              </w:rPr>
              <w:t>全封闭设置</w:t>
            </w:r>
            <w:r>
              <w:rPr>
                <w:rFonts w:hint="eastAsia" w:ascii="Times New Roman" w:hAnsi="Times New Roman" w:eastAsia="宋体" w:cs="Times New Roman"/>
                <w:color w:val="auto"/>
                <w:spacing w:val="0"/>
                <w:sz w:val="21"/>
                <w:szCs w:val="21"/>
                <w:lang w:val="en-US" w:eastAsia="zh-CN"/>
              </w:rPr>
              <w:t>。</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color w:val="auto"/>
                <w:spacing w:val="0"/>
                <w:sz w:val="21"/>
                <w:szCs w:val="21"/>
                <w:lang w:val="en-US" w:eastAsia="zh-CN"/>
              </w:rPr>
              <w:t>依托现有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22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储运</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工程</w:t>
            </w: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冷库</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系统</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冷库位于屠宰车间</w:t>
            </w:r>
            <w:r>
              <w:rPr>
                <w:rFonts w:hint="default" w:ascii="Times New Roman" w:hAnsi="Times New Roman" w:eastAsia="宋体" w:cs="Times New Roman"/>
                <w:color w:val="auto"/>
                <w:spacing w:val="0"/>
                <w:sz w:val="21"/>
                <w:szCs w:val="21"/>
                <w:lang w:val="en-US" w:eastAsia="zh-CN"/>
              </w:rPr>
              <w:t>南</w:t>
            </w:r>
            <w:r>
              <w:rPr>
                <w:rFonts w:hint="default" w:ascii="Times New Roman" w:hAnsi="Times New Roman" w:eastAsia="宋体" w:cs="Times New Roman"/>
                <w:color w:val="auto"/>
                <w:spacing w:val="0"/>
                <w:sz w:val="21"/>
                <w:szCs w:val="21"/>
              </w:rPr>
              <w:t>侧，</w:t>
            </w:r>
            <w:r>
              <w:rPr>
                <w:rFonts w:hint="eastAsia" w:ascii="Times New Roman" w:hAnsi="Times New Roman" w:eastAsia="宋体" w:cs="Times New Roman"/>
                <w:color w:val="auto"/>
                <w:spacing w:val="0"/>
                <w:sz w:val="21"/>
                <w:szCs w:val="21"/>
                <w:lang w:val="en-US" w:eastAsia="zh-CN"/>
              </w:rPr>
              <w:t>高度约5.3米。</w:t>
            </w:r>
            <w:r>
              <w:rPr>
                <w:rFonts w:hint="default" w:ascii="Times New Roman" w:hAnsi="Times New Roman" w:eastAsia="宋体" w:cs="Times New Roman"/>
                <w:color w:val="auto"/>
                <w:spacing w:val="0"/>
                <w:sz w:val="21"/>
                <w:szCs w:val="21"/>
              </w:rPr>
              <w:t>冷库尺寸：长20米宽18米高度4</w:t>
            </w:r>
            <w:r>
              <w:rPr>
                <w:rFonts w:hint="default" w:ascii="Times New Roman" w:hAnsi="Times New Roman" w:eastAsia="宋体" w:cs="Times New Roman"/>
                <w:color w:val="auto"/>
                <w:spacing w:val="0"/>
                <w:sz w:val="21"/>
                <w:szCs w:val="21"/>
                <w:lang w:val="en-US" w:eastAsia="zh-CN"/>
              </w:rPr>
              <w:t>.0</w:t>
            </w:r>
            <w:r>
              <w:rPr>
                <w:rFonts w:hint="default" w:ascii="Times New Roman" w:hAnsi="Times New Roman" w:eastAsia="宋体" w:cs="Times New Roman"/>
                <w:color w:val="auto"/>
                <w:spacing w:val="0"/>
                <w:sz w:val="21"/>
                <w:szCs w:val="21"/>
              </w:rPr>
              <w:t>米，采</w:t>
            </w:r>
            <w:r>
              <w:rPr>
                <w:rFonts w:hint="default" w:ascii="Times New Roman" w:hAnsi="Times New Roman" w:eastAsia="宋体" w:cs="Times New Roman"/>
                <w:color w:val="auto"/>
                <w:spacing w:val="0"/>
                <w:sz w:val="21"/>
                <w:szCs w:val="21"/>
                <w:lang w:eastAsia="zh-CN"/>
              </w:rPr>
              <w:t>用</w:t>
            </w:r>
            <w:r>
              <w:rPr>
                <w:rFonts w:hint="default" w:ascii="Times New Roman" w:hAnsi="Times New Roman" w:eastAsia="宋体" w:cs="Times New Roman"/>
                <w:color w:val="auto"/>
                <w:spacing w:val="0"/>
                <w:sz w:val="21"/>
                <w:szCs w:val="21"/>
                <w:highlight w:val="none"/>
                <w:lang w:val="en-US" w:eastAsia="zh-CN"/>
              </w:rPr>
              <w:t>R404A</w:t>
            </w:r>
            <w:r>
              <w:rPr>
                <w:rFonts w:hint="default" w:ascii="Times New Roman" w:hAnsi="Times New Roman" w:eastAsia="宋体" w:cs="Times New Roman"/>
                <w:color w:val="auto"/>
                <w:spacing w:val="0"/>
                <w:sz w:val="21"/>
                <w:szCs w:val="21"/>
                <w:highlight w:val="none"/>
                <w:lang w:eastAsia="zh-CN"/>
              </w:rPr>
              <w:t>制冷剂</w:t>
            </w:r>
            <w:r>
              <w:rPr>
                <w:rFonts w:hint="default" w:ascii="Times New Roman" w:hAnsi="Times New Roman" w:eastAsia="宋体" w:cs="Times New Roman"/>
                <w:color w:val="auto"/>
                <w:spacing w:val="0"/>
                <w:sz w:val="21"/>
                <w:szCs w:val="21"/>
                <w:highlight w:val="none"/>
              </w:rPr>
              <w:t>制冷</w:t>
            </w:r>
            <w:r>
              <w:rPr>
                <w:rFonts w:hint="default" w:ascii="Times New Roman" w:hAnsi="Times New Roman" w:eastAsia="宋体" w:cs="Times New Roman"/>
                <w:color w:val="auto"/>
                <w:spacing w:val="0"/>
                <w:sz w:val="21"/>
                <w:szCs w:val="21"/>
              </w:rPr>
              <w:t>，</w:t>
            </w:r>
            <w:r>
              <w:rPr>
                <w:rFonts w:hint="default" w:ascii="Times New Roman" w:hAnsi="Times New Roman" w:eastAsia="宋体" w:cs="Times New Roman"/>
                <w:color w:val="auto"/>
                <w:spacing w:val="0"/>
                <w:sz w:val="21"/>
                <w:szCs w:val="21"/>
                <w:lang w:val="en-US" w:eastAsia="zh-CN"/>
              </w:rPr>
              <w:t>30</w:t>
            </w:r>
            <w:r>
              <w:rPr>
                <w:rFonts w:hint="default" w:ascii="Times New Roman" w:hAnsi="Times New Roman" w:eastAsia="宋体" w:cs="Times New Roman"/>
                <w:color w:val="auto"/>
                <w:spacing w:val="0"/>
                <w:sz w:val="21"/>
                <w:szCs w:val="21"/>
              </w:rPr>
              <w:t>kg/</w:t>
            </w:r>
            <w:r>
              <w:rPr>
                <w:rFonts w:hint="default" w:ascii="Times New Roman" w:hAnsi="Times New Roman" w:eastAsia="宋体" w:cs="Times New Roman"/>
                <w:color w:val="auto"/>
                <w:spacing w:val="0"/>
                <w:sz w:val="21"/>
                <w:szCs w:val="21"/>
                <w:lang w:eastAsia="zh-CN"/>
              </w:rPr>
              <w:t>瓶</w:t>
            </w:r>
            <w:r>
              <w:rPr>
                <w:rFonts w:hint="default" w:ascii="Times New Roman" w:hAnsi="Times New Roman" w:eastAsia="宋体" w:cs="Times New Roman"/>
                <w:color w:val="auto"/>
                <w:spacing w:val="0"/>
                <w:sz w:val="21"/>
                <w:szCs w:val="21"/>
              </w:rPr>
              <w:t>，6瓶/a</w:t>
            </w:r>
            <w:r>
              <w:rPr>
                <w:rFonts w:hint="default" w:ascii="Times New Roman" w:hAnsi="Times New Roman" w:eastAsia="宋体" w:cs="Times New Roman"/>
                <w:color w:val="auto"/>
                <w:spacing w:val="0"/>
                <w:sz w:val="21"/>
                <w:szCs w:val="21"/>
                <w:lang w:eastAsia="zh-CN"/>
              </w:rPr>
              <w:t>，制冷剂定期补充，即用即买，厂区不储存。</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pacing w:val="4"/>
                <w:sz w:val="21"/>
                <w:szCs w:val="21"/>
                <w:highlight w:val="none"/>
                <w:lang w:val="en-US"/>
              </w:rPr>
            </w:pPr>
            <w:r>
              <w:rPr>
                <w:rFonts w:hint="default" w:ascii="Times New Roman" w:hAnsi="Times New Roman" w:eastAsia="宋体" w:cs="Times New Roman"/>
                <w:color w:val="auto"/>
                <w:spacing w:val="0"/>
                <w:sz w:val="21"/>
                <w:szCs w:val="21"/>
                <w:highlight w:val="none"/>
              </w:rPr>
              <w:t>冷库位于屠宰车间</w:t>
            </w:r>
            <w:r>
              <w:rPr>
                <w:rFonts w:hint="default" w:ascii="Times New Roman" w:hAnsi="Times New Roman" w:eastAsia="宋体" w:cs="Times New Roman"/>
                <w:color w:val="auto"/>
                <w:spacing w:val="0"/>
                <w:sz w:val="21"/>
                <w:szCs w:val="21"/>
                <w:highlight w:val="none"/>
                <w:lang w:val="en-US" w:eastAsia="zh-CN"/>
              </w:rPr>
              <w:t>南</w:t>
            </w:r>
            <w:r>
              <w:rPr>
                <w:rFonts w:hint="default" w:ascii="Times New Roman" w:hAnsi="Times New Roman" w:eastAsia="宋体" w:cs="Times New Roman"/>
                <w:color w:val="auto"/>
                <w:spacing w:val="0"/>
                <w:sz w:val="21"/>
                <w:szCs w:val="21"/>
                <w:highlight w:val="none"/>
              </w:rPr>
              <w:t>侧，</w:t>
            </w:r>
            <w:r>
              <w:rPr>
                <w:rFonts w:hint="eastAsia" w:ascii="Times New Roman" w:hAnsi="Times New Roman" w:eastAsia="宋体" w:cs="Times New Roman"/>
                <w:color w:val="auto"/>
                <w:spacing w:val="0"/>
                <w:sz w:val="21"/>
                <w:szCs w:val="21"/>
                <w:lang w:val="en-US" w:eastAsia="zh-CN"/>
              </w:rPr>
              <w:t>高度约5.3米。</w:t>
            </w:r>
            <w:r>
              <w:rPr>
                <w:rFonts w:hint="default" w:ascii="Times New Roman" w:hAnsi="Times New Roman" w:eastAsia="宋体" w:cs="Times New Roman"/>
                <w:color w:val="auto"/>
                <w:spacing w:val="0"/>
                <w:sz w:val="21"/>
                <w:szCs w:val="21"/>
                <w:highlight w:val="none"/>
              </w:rPr>
              <w:t>冷库尺寸：长20米宽18米高度4</w:t>
            </w:r>
            <w:r>
              <w:rPr>
                <w:rFonts w:hint="default" w:ascii="Times New Roman" w:hAnsi="Times New Roman" w:eastAsia="宋体" w:cs="Times New Roman"/>
                <w:color w:val="auto"/>
                <w:spacing w:val="0"/>
                <w:sz w:val="21"/>
                <w:szCs w:val="21"/>
                <w:highlight w:val="none"/>
                <w:lang w:val="en-US" w:eastAsia="zh-CN"/>
              </w:rPr>
              <w:t>.0</w:t>
            </w:r>
            <w:r>
              <w:rPr>
                <w:rFonts w:hint="default" w:ascii="Times New Roman" w:hAnsi="Times New Roman" w:eastAsia="宋体" w:cs="Times New Roman"/>
                <w:color w:val="auto"/>
                <w:spacing w:val="0"/>
                <w:sz w:val="21"/>
                <w:szCs w:val="21"/>
                <w:highlight w:val="none"/>
              </w:rPr>
              <w:t>米，采</w:t>
            </w:r>
            <w:r>
              <w:rPr>
                <w:rFonts w:hint="default" w:ascii="Times New Roman" w:hAnsi="Times New Roman" w:eastAsia="宋体" w:cs="Times New Roman"/>
                <w:color w:val="auto"/>
                <w:spacing w:val="0"/>
                <w:sz w:val="21"/>
                <w:szCs w:val="21"/>
                <w:highlight w:val="none"/>
                <w:lang w:eastAsia="zh-CN"/>
              </w:rPr>
              <w:t>用</w:t>
            </w:r>
            <w:r>
              <w:rPr>
                <w:rFonts w:hint="default" w:ascii="Times New Roman" w:hAnsi="Times New Roman" w:eastAsia="宋体" w:cs="Times New Roman"/>
                <w:color w:val="auto"/>
                <w:spacing w:val="0"/>
                <w:sz w:val="21"/>
                <w:szCs w:val="21"/>
                <w:highlight w:val="none"/>
                <w:lang w:val="en-US" w:eastAsia="zh-CN"/>
              </w:rPr>
              <w:t>R404A</w:t>
            </w:r>
            <w:r>
              <w:rPr>
                <w:rFonts w:hint="default" w:ascii="Times New Roman" w:hAnsi="Times New Roman" w:eastAsia="宋体" w:cs="Times New Roman"/>
                <w:color w:val="auto"/>
                <w:spacing w:val="0"/>
                <w:sz w:val="21"/>
                <w:szCs w:val="21"/>
                <w:highlight w:val="none"/>
                <w:lang w:eastAsia="zh-CN"/>
              </w:rPr>
              <w:t>制冷剂</w:t>
            </w:r>
            <w:r>
              <w:rPr>
                <w:rFonts w:hint="default" w:ascii="Times New Roman" w:hAnsi="Times New Roman" w:eastAsia="宋体" w:cs="Times New Roman"/>
                <w:color w:val="auto"/>
                <w:spacing w:val="0"/>
                <w:sz w:val="21"/>
                <w:szCs w:val="21"/>
                <w:highlight w:val="none"/>
              </w:rPr>
              <w:t>制冷，</w:t>
            </w:r>
            <w:r>
              <w:rPr>
                <w:rFonts w:hint="default" w:ascii="Times New Roman" w:hAnsi="Times New Roman" w:eastAsia="宋体" w:cs="Times New Roman"/>
                <w:color w:val="auto"/>
                <w:spacing w:val="0"/>
                <w:sz w:val="21"/>
                <w:szCs w:val="21"/>
                <w:highlight w:val="none"/>
                <w:lang w:val="en-US" w:eastAsia="zh-CN"/>
              </w:rPr>
              <w:t>30</w:t>
            </w:r>
            <w:r>
              <w:rPr>
                <w:rFonts w:hint="default" w:ascii="Times New Roman" w:hAnsi="Times New Roman" w:eastAsia="宋体" w:cs="Times New Roman"/>
                <w:color w:val="auto"/>
                <w:spacing w:val="0"/>
                <w:sz w:val="21"/>
                <w:szCs w:val="21"/>
                <w:highlight w:val="none"/>
              </w:rPr>
              <w:t>kg/</w:t>
            </w:r>
            <w:r>
              <w:rPr>
                <w:rFonts w:hint="default" w:ascii="Times New Roman" w:hAnsi="Times New Roman" w:eastAsia="宋体" w:cs="Times New Roman"/>
                <w:color w:val="auto"/>
                <w:spacing w:val="0"/>
                <w:sz w:val="21"/>
                <w:szCs w:val="21"/>
                <w:highlight w:val="none"/>
                <w:lang w:eastAsia="zh-CN"/>
              </w:rPr>
              <w:t>瓶</w:t>
            </w:r>
            <w:r>
              <w:rPr>
                <w:rFonts w:hint="default" w:ascii="Times New Roman" w:hAnsi="Times New Roman" w:eastAsia="宋体" w:cs="Times New Roman"/>
                <w:color w:val="auto"/>
                <w:spacing w:val="0"/>
                <w:sz w:val="21"/>
                <w:szCs w:val="21"/>
                <w:highlight w:val="none"/>
              </w:rPr>
              <w:t>，6瓶/a</w:t>
            </w:r>
            <w:r>
              <w:rPr>
                <w:rFonts w:hint="default" w:ascii="Times New Roman" w:hAnsi="Times New Roman" w:eastAsia="宋体" w:cs="Times New Roman"/>
                <w:color w:val="auto"/>
                <w:spacing w:val="0"/>
                <w:sz w:val="21"/>
                <w:szCs w:val="21"/>
                <w:highlight w:val="none"/>
                <w:lang w:eastAsia="zh-CN"/>
              </w:rPr>
              <w:t>，制冷剂定期补充，即用即买，厂区不储存。</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依托现有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2"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储罐</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锅炉房东侧设有一座1.5</w:t>
            </w:r>
            <w:r>
              <w:rPr>
                <w:rFonts w:hint="eastAsia" w:ascii="Times New Roman" w:hAnsi="Times New Roman" w:eastAsia="宋体" w:cs="Times New Roman"/>
                <w:color w:val="auto"/>
                <w:spacing w:val="0"/>
                <w:sz w:val="21"/>
                <w:szCs w:val="21"/>
                <w:highlight w:val="none"/>
                <w:lang w:val="en-US" w:eastAsia="zh-CN"/>
              </w:rPr>
              <w:t>4</w:t>
            </w:r>
            <w:r>
              <w:rPr>
                <w:rFonts w:hint="default" w:ascii="Times New Roman" w:hAnsi="Times New Roman" w:eastAsia="宋体" w:cs="Times New Roman"/>
                <w:color w:val="auto"/>
                <w:spacing w:val="0"/>
                <w:sz w:val="21"/>
                <w:szCs w:val="21"/>
                <w:highlight w:val="none"/>
                <w:lang w:val="en-US" w:eastAsia="zh-CN"/>
              </w:rPr>
              <w:t>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vertAlign w:val="baseline"/>
                <w:lang w:val="en-US" w:eastAsia="zh-CN"/>
              </w:rPr>
              <w:t>柴油储罐，罐体直径1.</w:t>
            </w:r>
            <w:r>
              <w:rPr>
                <w:rFonts w:hint="eastAsia" w:ascii="Times New Roman" w:hAnsi="Times New Roman" w:eastAsia="宋体" w:cs="Times New Roman"/>
                <w:color w:val="auto"/>
                <w:spacing w:val="0"/>
                <w:sz w:val="21"/>
                <w:szCs w:val="21"/>
                <w:highlight w:val="none"/>
                <w:vertAlign w:val="baseline"/>
                <w:lang w:val="en-US" w:eastAsia="zh-CN"/>
              </w:rPr>
              <w:t>4</w:t>
            </w:r>
            <w:r>
              <w:rPr>
                <w:rFonts w:hint="default" w:ascii="Times New Roman" w:hAnsi="Times New Roman" w:eastAsia="宋体" w:cs="Times New Roman"/>
                <w:color w:val="auto"/>
                <w:spacing w:val="0"/>
                <w:sz w:val="21"/>
                <w:szCs w:val="21"/>
                <w:highlight w:val="none"/>
                <w:vertAlign w:val="baseline"/>
                <w:lang w:val="en-US" w:eastAsia="zh-CN"/>
              </w:rPr>
              <w:t>m，长度1m，最大存储柴油1.</w:t>
            </w:r>
            <w:r>
              <w:rPr>
                <w:rFonts w:hint="eastAsia" w:ascii="Times New Roman" w:hAnsi="Times New Roman" w:eastAsia="宋体" w:cs="Times New Roman"/>
                <w:color w:val="auto"/>
                <w:spacing w:val="0"/>
                <w:sz w:val="21"/>
                <w:szCs w:val="21"/>
                <w:highlight w:val="none"/>
                <w:vertAlign w:val="baseline"/>
                <w:lang w:val="en-US" w:eastAsia="zh-CN"/>
              </w:rPr>
              <w:t>2</w:t>
            </w:r>
            <w:r>
              <w:rPr>
                <w:rFonts w:hint="default" w:ascii="Times New Roman" w:hAnsi="Times New Roman" w:eastAsia="宋体" w:cs="Times New Roman"/>
                <w:color w:val="auto"/>
                <w:spacing w:val="0"/>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lang w:eastAsia="zh-CN"/>
              </w:rPr>
              <w:t>。</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pacing w:val="4"/>
                <w:sz w:val="21"/>
                <w:szCs w:val="21"/>
                <w:highlight w:val="none"/>
              </w:rPr>
            </w:pPr>
            <w:r>
              <w:rPr>
                <w:rFonts w:hint="default" w:ascii="Times New Roman" w:hAnsi="Times New Roman" w:eastAsia="宋体" w:cs="Times New Roman"/>
                <w:color w:val="auto"/>
                <w:spacing w:val="0"/>
                <w:sz w:val="21"/>
                <w:szCs w:val="21"/>
                <w:highlight w:val="none"/>
                <w:lang w:val="en-US" w:eastAsia="zh-CN"/>
              </w:rPr>
              <w:t>锅炉房东侧设有一座1.5</w:t>
            </w:r>
            <w:r>
              <w:rPr>
                <w:rFonts w:hint="eastAsia" w:ascii="Times New Roman" w:hAnsi="Times New Roman" w:eastAsia="宋体" w:cs="Times New Roman"/>
                <w:color w:val="auto"/>
                <w:spacing w:val="0"/>
                <w:sz w:val="21"/>
                <w:szCs w:val="21"/>
                <w:highlight w:val="none"/>
                <w:lang w:val="en-US" w:eastAsia="zh-CN"/>
              </w:rPr>
              <w:t>4</w:t>
            </w:r>
            <w:r>
              <w:rPr>
                <w:rFonts w:hint="default" w:ascii="Times New Roman" w:hAnsi="Times New Roman" w:eastAsia="宋体" w:cs="Times New Roman"/>
                <w:color w:val="auto"/>
                <w:spacing w:val="0"/>
                <w:sz w:val="21"/>
                <w:szCs w:val="21"/>
                <w:highlight w:val="none"/>
                <w:lang w:val="en-US" w:eastAsia="zh-CN"/>
              </w:rPr>
              <w:t>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vertAlign w:val="baseline"/>
                <w:lang w:val="en-US" w:eastAsia="zh-CN"/>
              </w:rPr>
              <w:t>柴油储罐，罐体直径1.</w:t>
            </w:r>
            <w:r>
              <w:rPr>
                <w:rFonts w:hint="eastAsia" w:ascii="Times New Roman" w:hAnsi="Times New Roman" w:eastAsia="宋体" w:cs="Times New Roman"/>
                <w:color w:val="auto"/>
                <w:spacing w:val="0"/>
                <w:sz w:val="21"/>
                <w:szCs w:val="21"/>
                <w:highlight w:val="none"/>
                <w:vertAlign w:val="baseline"/>
                <w:lang w:val="en-US" w:eastAsia="zh-CN"/>
              </w:rPr>
              <w:t>4</w:t>
            </w:r>
            <w:r>
              <w:rPr>
                <w:rFonts w:hint="default" w:ascii="Times New Roman" w:hAnsi="Times New Roman" w:eastAsia="宋体" w:cs="Times New Roman"/>
                <w:color w:val="auto"/>
                <w:spacing w:val="0"/>
                <w:sz w:val="21"/>
                <w:szCs w:val="21"/>
                <w:highlight w:val="none"/>
                <w:vertAlign w:val="baseline"/>
                <w:lang w:val="en-US" w:eastAsia="zh-CN"/>
              </w:rPr>
              <w:t>m，长度1m，最大存储柴油1.</w:t>
            </w:r>
            <w:r>
              <w:rPr>
                <w:rFonts w:hint="eastAsia" w:ascii="Times New Roman" w:hAnsi="Times New Roman" w:eastAsia="宋体" w:cs="Times New Roman"/>
                <w:color w:val="auto"/>
                <w:spacing w:val="0"/>
                <w:sz w:val="21"/>
                <w:szCs w:val="21"/>
                <w:highlight w:val="none"/>
                <w:vertAlign w:val="baseline"/>
                <w:lang w:val="en-US" w:eastAsia="zh-CN"/>
              </w:rPr>
              <w:t>2</w:t>
            </w:r>
            <w:r>
              <w:rPr>
                <w:rFonts w:hint="default" w:ascii="Times New Roman" w:hAnsi="Times New Roman" w:eastAsia="宋体" w:cs="Times New Roman"/>
                <w:color w:val="auto"/>
                <w:spacing w:val="0"/>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lang w:eastAsia="zh-CN"/>
              </w:rPr>
              <w:t>。</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依托现有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一般</w:t>
            </w:r>
            <w:r>
              <w:rPr>
                <w:rFonts w:hint="default" w:ascii="Times New Roman" w:hAnsi="Times New Roman" w:eastAsia="宋体" w:cs="Times New Roman"/>
                <w:color w:val="auto"/>
                <w:spacing w:val="0"/>
                <w:sz w:val="21"/>
                <w:szCs w:val="21"/>
              </w:rPr>
              <w:t>固废暂存间</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建筑面积为</w:t>
            </w:r>
            <w:r>
              <w:rPr>
                <w:rFonts w:hint="default" w:ascii="Times New Roman" w:hAnsi="Times New Roman" w:eastAsia="宋体" w:cs="Times New Roman"/>
                <w:color w:val="auto"/>
                <w:spacing w:val="0"/>
                <w:sz w:val="21"/>
                <w:szCs w:val="21"/>
                <w:lang w:val="en-US" w:eastAsia="zh-CN"/>
              </w:rPr>
              <w:t>20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，用于暂存项目产生的一般固体废物</w:t>
            </w:r>
            <w:r>
              <w:rPr>
                <w:rFonts w:hint="default" w:ascii="Times New Roman" w:hAnsi="Times New Roman" w:eastAsia="宋体" w:cs="Times New Roman"/>
                <w:color w:val="auto"/>
                <w:spacing w:val="0"/>
                <w:sz w:val="21"/>
                <w:szCs w:val="21"/>
                <w:lang w:eastAsia="zh-CN"/>
              </w:rPr>
              <w:t>，最大贮存能力</w:t>
            </w:r>
            <w:r>
              <w:rPr>
                <w:rFonts w:hint="default" w:ascii="Times New Roman" w:hAnsi="Times New Roman" w:eastAsia="宋体" w:cs="Times New Roman"/>
                <w:color w:val="auto"/>
                <w:spacing w:val="0"/>
                <w:sz w:val="21"/>
                <w:szCs w:val="21"/>
                <w:lang w:val="en-US" w:eastAsia="zh-CN"/>
              </w:rPr>
              <w:t>5t。</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pacing w:val="4"/>
                <w:sz w:val="21"/>
                <w:szCs w:val="21"/>
                <w:lang w:val="en-US"/>
              </w:rPr>
            </w:pPr>
            <w:r>
              <w:rPr>
                <w:rFonts w:hint="default" w:ascii="Times New Roman" w:hAnsi="Times New Roman" w:eastAsia="宋体" w:cs="Times New Roman"/>
                <w:color w:val="auto"/>
                <w:spacing w:val="0"/>
                <w:sz w:val="21"/>
                <w:szCs w:val="21"/>
              </w:rPr>
              <w:t>建筑面积为</w:t>
            </w:r>
            <w:r>
              <w:rPr>
                <w:rFonts w:hint="default" w:ascii="Times New Roman" w:hAnsi="Times New Roman" w:eastAsia="宋体" w:cs="Times New Roman"/>
                <w:color w:val="auto"/>
                <w:spacing w:val="0"/>
                <w:sz w:val="21"/>
                <w:szCs w:val="21"/>
                <w:lang w:val="en-US" w:eastAsia="zh-CN"/>
              </w:rPr>
              <w:t>20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，用于暂存项目产生的一般固体废物</w:t>
            </w:r>
            <w:r>
              <w:rPr>
                <w:rFonts w:hint="default" w:ascii="Times New Roman" w:hAnsi="Times New Roman" w:eastAsia="宋体" w:cs="Times New Roman"/>
                <w:color w:val="auto"/>
                <w:spacing w:val="0"/>
                <w:sz w:val="21"/>
                <w:szCs w:val="21"/>
                <w:lang w:eastAsia="zh-CN"/>
              </w:rPr>
              <w:t>，最大贮存能力</w:t>
            </w:r>
            <w:r>
              <w:rPr>
                <w:rFonts w:hint="default" w:ascii="Times New Roman" w:hAnsi="Times New Roman" w:eastAsia="宋体" w:cs="Times New Roman"/>
                <w:color w:val="auto"/>
                <w:spacing w:val="0"/>
                <w:sz w:val="21"/>
                <w:szCs w:val="21"/>
                <w:lang w:val="en-US" w:eastAsia="zh-CN"/>
              </w:rPr>
              <w:t>5t。</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依托现有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危险废物贮存点</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建筑面积为</w:t>
            </w:r>
            <w:r>
              <w:rPr>
                <w:rFonts w:hint="default" w:ascii="Times New Roman" w:hAnsi="Times New Roman" w:eastAsia="宋体" w:cs="Times New Roman"/>
                <w:color w:val="auto"/>
                <w:spacing w:val="0"/>
                <w:sz w:val="21"/>
                <w:szCs w:val="21"/>
                <w:lang w:val="en-US" w:eastAsia="zh-CN"/>
              </w:rPr>
              <w:t>20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，用于暂存项目产生的</w:t>
            </w:r>
            <w:r>
              <w:rPr>
                <w:rFonts w:hint="default" w:ascii="Times New Roman" w:hAnsi="Times New Roman" w:eastAsia="宋体" w:cs="Times New Roman"/>
                <w:color w:val="auto"/>
                <w:spacing w:val="0"/>
                <w:sz w:val="21"/>
                <w:szCs w:val="21"/>
                <w:lang w:val="en-US" w:eastAsia="zh-CN"/>
              </w:rPr>
              <w:t>危险</w:t>
            </w:r>
            <w:r>
              <w:rPr>
                <w:rFonts w:hint="default" w:ascii="Times New Roman" w:hAnsi="Times New Roman" w:eastAsia="宋体" w:cs="Times New Roman"/>
                <w:color w:val="auto"/>
                <w:spacing w:val="0"/>
                <w:sz w:val="21"/>
                <w:szCs w:val="21"/>
              </w:rPr>
              <w:t>废物</w:t>
            </w:r>
            <w:r>
              <w:rPr>
                <w:rFonts w:hint="default" w:ascii="Times New Roman" w:hAnsi="Times New Roman" w:eastAsia="宋体" w:cs="Times New Roman"/>
                <w:color w:val="auto"/>
                <w:spacing w:val="0"/>
                <w:sz w:val="21"/>
                <w:szCs w:val="21"/>
                <w:lang w:eastAsia="zh-CN"/>
              </w:rPr>
              <w:t>，最大贮存能力</w:t>
            </w:r>
            <w:r>
              <w:rPr>
                <w:rFonts w:hint="default" w:ascii="Times New Roman" w:hAnsi="Times New Roman" w:eastAsia="宋体" w:cs="Times New Roman"/>
                <w:color w:val="auto"/>
                <w:spacing w:val="0"/>
                <w:sz w:val="21"/>
                <w:szCs w:val="21"/>
                <w:lang w:val="en-US" w:eastAsia="zh-CN"/>
              </w:rPr>
              <w:t>5t。</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建筑面积为</w:t>
            </w:r>
            <w:r>
              <w:rPr>
                <w:rFonts w:hint="default" w:ascii="Times New Roman" w:hAnsi="Times New Roman" w:eastAsia="宋体" w:cs="Times New Roman"/>
                <w:color w:val="auto"/>
                <w:spacing w:val="0"/>
                <w:sz w:val="21"/>
                <w:szCs w:val="21"/>
                <w:lang w:val="en-US" w:eastAsia="zh-CN"/>
              </w:rPr>
              <w:t>20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，用于暂存项目产生的</w:t>
            </w:r>
            <w:r>
              <w:rPr>
                <w:rFonts w:hint="default" w:ascii="Times New Roman" w:hAnsi="Times New Roman" w:eastAsia="宋体" w:cs="Times New Roman"/>
                <w:color w:val="auto"/>
                <w:spacing w:val="0"/>
                <w:sz w:val="21"/>
                <w:szCs w:val="21"/>
                <w:lang w:val="en-US" w:eastAsia="zh-CN"/>
              </w:rPr>
              <w:t>危险</w:t>
            </w:r>
            <w:r>
              <w:rPr>
                <w:rFonts w:hint="default" w:ascii="Times New Roman" w:hAnsi="Times New Roman" w:eastAsia="宋体" w:cs="Times New Roman"/>
                <w:color w:val="auto"/>
                <w:spacing w:val="0"/>
                <w:sz w:val="21"/>
                <w:szCs w:val="21"/>
              </w:rPr>
              <w:t>废物</w:t>
            </w:r>
            <w:r>
              <w:rPr>
                <w:rFonts w:hint="default" w:ascii="Times New Roman" w:hAnsi="Times New Roman" w:eastAsia="宋体" w:cs="Times New Roman"/>
                <w:color w:val="auto"/>
                <w:spacing w:val="0"/>
                <w:sz w:val="21"/>
                <w:szCs w:val="21"/>
                <w:lang w:eastAsia="zh-CN"/>
              </w:rPr>
              <w:t>，最大贮存能力</w:t>
            </w:r>
            <w:r>
              <w:rPr>
                <w:rFonts w:hint="default" w:ascii="Times New Roman" w:hAnsi="Times New Roman" w:eastAsia="宋体" w:cs="Times New Roman"/>
                <w:color w:val="auto"/>
                <w:spacing w:val="0"/>
                <w:sz w:val="21"/>
                <w:szCs w:val="21"/>
                <w:lang w:val="en-US" w:eastAsia="zh-CN"/>
              </w:rPr>
              <w:t>5t。</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依托现有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6" w:hRule="atLeast"/>
        </w:trPr>
        <w:tc>
          <w:tcPr>
            <w:tcW w:w="22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公用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工程</w:t>
            </w: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供热</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系统</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厂区生产热源由一台1t/h燃油蒸汽锅炉提供，锅炉房内配备软化水制备装置。冬季生活供暖采取电采暖。</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pacing w:val="4"/>
                <w:sz w:val="21"/>
                <w:szCs w:val="21"/>
                <w:lang w:val="en-US"/>
              </w:rPr>
            </w:pPr>
            <w:r>
              <w:rPr>
                <w:rFonts w:hint="default" w:ascii="Times New Roman" w:hAnsi="Times New Roman" w:eastAsia="宋体" w:cs="Times New Roman"/>
                <w:color w:val="auto"/>
                <w:spacing w:val="0"/>
                <w:sz w:val="21"/>
                <w:szCs w:val="21"/>
                <w:lang w:val="en-US" w:eastAsia="zh-CN"/>
              </w:rPr>
              <w:t>厂区生产热源由一台1t/h燃油蒸汽锅炉提供，锅炉房内配备软化水制备装置。冬季生活供暖采取电采暖。</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lang w:val="en-US"/>
              </w:rPr>
            </w:pPr>
            <w:r>
              <w:rPr>
                <w:rFonts w:hint="default" w:ascii="Times New Roman" w:hAnsi="Times New Roman" w:eastAsia="宋体" w:cs="Times New Roman"/>
                <w:color w:val="auto"/>
                <w:spacing w:val="0"/>
                <w:sz w:val="21"/>
                <w:szCs w:val="21"/>
                <w:lang w:val="en-US" w:eastAsia="zh-CN"/>
              </w:rPr>
              <w:t>依托现有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 w:hRule="atLeast"/>
        </w:trPr>
        <w:tc>
          <w:tcPr>
            <w:tcW w:w="2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给水</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系统</w:t>
            </w:r>
          </w:p>
        </w:tc>
        <w:tc>
          <w:tcPr>
            <w:tcW w:w="1859"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rightChars="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spacing w:val="4"/>
                <w:sz w:val="21"/>
                <w:szCs w:val="21"/>
              </w:rPr>
              <w:t>市政供水</w:t>
            </w:r>
          </w:p>
        </w:tc>
        <w:tc>
          <w:tcPr>
            <w:tcW w:w="1859"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both"/>
              <w:textAlignment w:val="baseline"/>
              <w:rPr>
                <w:rFonts w:hint="default" w:ascii="Times New Roman" w:hAnsi="Times New Roman" w:eastAsia="宋体" w:cs="Times New Roman"/>
                <w:spacing w:val="4"/>
                <w:sz w:val="21"/>
                <w:szCs w:val="21"/>
                <w:highlight w:val="none"/>
                <w:lang w:eastAsia="zh-CN"/>
              </w:rPr>
            </w:pPr>
            <w:r>
              <w:rPr>
                <w:rFonts w:hint="default" w:ascii="Times New Roman" w:hAnsi="Times New Roman" w:eastAsia="宋体" w:cs="Times New Roman"/>
                <w:spacing w:val="4"/>
                <w:sz w:val="21"/>
                <w:szCs w:val="21"/>
                <w:highlight w:val="none"/>
              </w:rPr>
              <w:t>由</w:t>
            </w:r>
            <w:r>
              <w:rPr>
                <w:rFonts w:hint="default" w:ascii="Times New Roman" w:hAnsi="Times New Roman" w:eastAsia="宋体" w:cs="Times New Roman"/>
                <w:spacing w:val="4"/>
                <w:sz w:val="21"/>
                <w:szCs w:val="21"/>
                <w:highlight w:val="none"/>
                <w:lang w:eastAsia="zh-CN"/>
              </w:rPr>
              <w:t>兴隆镇</w:t>
            </w:r>
            <w:r>
              <w:rPr>
                <w:rFonts w:hint="default" w:ascii="Times New Roman" w:hAnsi="Times New Roman" w:eastAsia="宋体" w:cs="Times New Roman"/>
                <w:spacing w:val="4"/>
                <w:sz w:val="21"/>
                <w:szCs w:val="21"/>
                <w:highlight w:val="none"/>
              </w:rPr>
              <w:t>自来水厂市政供水，依托现有供水管网，本次</w:t>
            </w:r>
            <w:r>
              <w:rPr>
                <w:rFonts w:hint="eastAsia" w:ascii="Times New Roman" w:hAnsi="Times New Roman" w:eastAsia="宋体" w:cs="Times New Roman"/>
                <w:spacing w:val="4"/>
                <w:sz w:val="21"/>
                <w:szCs w:val="21"/>
                <w:highlight w:val="none"/>
                <w:lang w:val="en-US" w:eastAsia="zh-CN"/>
              </w:rPr>
              <w:t>扩建</w:t>
            </w:r>
            <w:r>
              <w:rPr>
                <w:rFonts w:hint="default" w:ascii="Times New Roman" w:hAnsi="Times New Roman" w:eastAsia="宋体" w:cs="Times New Roman"/>
                <w:spacing w:val="4"/>
                <w:sz w:val="21"/>
                <w:szCs w:val="21"/>
                <w:highlight w:val="none"/>
              </w:rPr>
              <w:t>项目用水量为</w:t>
            </w: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283.80</w:t>
            </w:r>
            <w:r>
              <w:rPr>
                <w:rFonts w:hint="default" w:ascii="Times New Roman" w:hAnsi="Times New Roman" w:eastAsia="宋体" w:cs="Times New Roman"/>
                <w:spacing w:val="4"/>
                <w:sz w:val="21"/>
                <w:szCs w:val="21"/>
                <w:highlight w:val="none"/>
              </w:rPr>
              <w:t>m</w:t>
            </w:r>
            <w:r>
              <w:rPr>
                <w:rFonts w:hint="default" w:ascii="Times New Roman" w:hAnsi="Times New Roman" w:eastAsia="宋体" w:cs="Times New Roman"/>
                <w:spacing w:val="4"/>
                <w:sz w:val="21"/>
                <w:szCs w:val="21"/>
                <w:highlight w:val="none"/>
                <w:vertAlign w:val="superscript"/>
              </w:rPr>
              <w:t>3</w:t>
            </w:r>
            <w:r>
              <w:rPr>
                <w:rFonts w:hint="default" w:ascii="Times New Roman" w:hAnsi="Times New Roman" w:eastAsia="宋体" w:cs="Times New Roman"/>
                <w:spacing w:val="4"/>
                <w:sz w:val="21"/>
                <w:szCs w:val="21"/>
                <w:highlight w:val="none"/>
              </w:rPr>
              <w:t>/d 。改扩建后全厂用水量为</w:t>
            </w:r>
            <w:r>
              <w:rPr>
                <w:rFonts w:hint="default" w:ascii="Times New Roman" w:hAnsi="Times New Roman" w:eastAsia="宋体" w:cs="Times New Roman"/>
                <w:spacing w:val="4"/>
                <w:sz w:val="21"/>
                <w:szCs w:val="21"/>
                <w:highlight w:val="none"/>
                <w:lang w:val="en-US" w:eastAsia="zh-CN"/>
              </w:rPr>
              <w:t>316.76</w:t>
            </w:r>
            <w:r>
              <w:rPr>
                <w:rFonts w:hint="default" w:ascii="Times New Roman" w:hAnsi="Times New Roman" w:eastAsia="宋体" w:cs="Times New Roman"/>
                <w:spacing w:val="4"/>
                <w:sz w:val="21"/>
                <w:szCs w:val="21"/>
                <w:highlight w:val="none"/>
              </w:rPr>
              <w:t>m</w:t>
            </w:r>
            <w:r>
              <w:rPr>
                <w:rFonts w:hint="default" w:ascii="Times New Roman" w:hAnsi="Times New Roman" w:eastAsia="宋体" w:cs="Times New Roman"/>
                <w:spacing w:val="4"/>
                <w:sz w:val="21"/>
                <w:szCs w:val="21"/>
                <w:highlight w:val="none"/>
                <w:vertAlign w:val="superscript"/>
              </w:rPr>
              <w:t>3</w:t>
            </w:r>
            <w:r>
              <w:rPr>
                <w:rFonts w:hint="default" w:ascii="Times New Roman" w:hAnsi="Times New Roman" w:eastAsia="宋体" w:cs="Times New Roman"/>
                <w:spacing w:val="4"/>
                <w:sz w:val="21"/>
                <w:szCs w:val="21"/>
                <w:highlight w:val="none"/>
              </w:rPr>
              <w:t>/d</w:t>
            </w:r>
            <w:r>
              <w:rPr>
                <w:rFonts w:hint="default" w:ascii="Times New Roman" w:hAnsi="Times New Roman" w:eastAsia="宋体" w:cs="Times New Roman"/>
                <w:spacing w:val="4"/>
                <w:sz w:val="21"/>
                <w:szCs w:val="21"/>
                <w:highlight w:val="none"/>
                <w:lang w:eastAsia="zh-CN"/>
              </w:rPr>
              <w:t>。</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依托管网</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 w:hRule="atLeast"/>
        </w:trPr>
        <w:tc>
          <w:tcPr>
            <w:tcW w:w="2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排水</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系统</w:t>
            </w:r>
          </w:p>
        </w:tc>
        <w:tc>
          <w:tcPr>
            <w:tcW w:w="1859"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rightChars="0"/>
              <w:jc w:val="both"/>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spacing w:val="4"/>
                <w:sz w:val="21"/>
                <w:szCs w:val="21"/>
              </w:rPr>
              <w:t>屠宰废水与职工生活</w:t>
            </w:r>
            <w:r>
              <w:rPr>
                <w:rFonts w:hint="default" w:ascii="Times New Roman" w:hAnsi="Times New Roman" w:eastAsia="宋体" w:cs="Times New Roman"/>
                <w:spacing w:val="4"/>
                <w:sz w:val="21"/>
                <w:szCs w:val="21"/>
                <w:lang w:val="en-US" w:eastAsia="zh-CN"/>
              </w:rPr>
              <w:t>污水</w:t>
            </w:r>
            <w:r>
              <w:rPr>
                <w:rFonts w:hint="default" w:ascii="Times New Roman" w:hAnsi="Times New Roman" w:eastAsia="宋体" w:cs="Times New Roman"/>
                <w:spacing w:val="4"/>
                <w:sz w:val="21"/>
                <w:szCs w:val="21"/>
              </w:rPr>
              <w:t>进入污水处理站处理</w:t>
            </w:r>
            <w:r>
              <w:rPr>
                <w:rFonts w:hint="default" w:ascii="Times New Roman" w:hAnsi="Times New Roman" w:eastAsia="宋体" w:cs="Times New Roman"/>
                <w:spacing w:val="4"/>
                <w:sz w:val="21"/>
                <w:szCs w:val="21"/>
                <w:lang w:val="en-US" w:eastAsia="zh-CN"/>
              </w:rPr>
              <w:t>后排入</w:t>
            </w:r>
            <w:r>
              <w:rPr>
                <w:rFonts w:hint="default" w:ascii="Times New Roman" w:hAnsi="Times New Roman" w:eastAsia="宋体" w:cs="Times New Roman"/>
                <w:spacing w:val="4"/>
                <w:sz w:val="21"/>
                <w:szCs w:val="21"/>
              </w:rPr>
              <w:t>市政管网，排入</w:t>
            </w:r>
            <w:r>
              <w:rPr>
                <w:rFonts w:hint="default" w:ascii="Times New Roman" w:hAnsi="Times New Roman" w:eastAsia="宋体" w:cs="Times New Roman"/>
                <w:spacing w:val="4"/>
                <w:sz w:val="21"/>
                <w:szCs w:val="21"/>
                <w:lang w:eastAsia="zh-CN"/>
              </w:rPr>
              <w:t>兴隆镇</w:t>
            </w:r>
            <w:r>
              <w:rPr>
                <w:rFonts w:hint="default" w:ascii="Times New Roman" w:hAnsi="Times New Roman" w:eastAsia="宋体" w:cs="Times New Roman"/>
                <w:spacing w:val="4"/>
                <w:sz w:val="21"/>
                <w:szCs w:val="21"/>
              </w:rPr>
              <w:t>污水处理厂处理，</w:t>
            </w:r>
            <w:r>
              <w:rPr>
                <w:rFonts w:hint="eastAsia" w:ascii="Times New Roman" w:hAnsi="Times New Roman" w:eastAsia="宋体" w:cs="Times New Roman"/>
                <w:spacing w:val="4"/>
                <w:sz w:val="21"/>
                <w:szCs w:val="21"/>
                <w:lang w:eastAsia="zh-CN"/>
              </w:rPr>
              <w:t>排入泥河</w:t>
            </w:r>
            <w:r>
              <w:rPr>
                <w:rFonts w:hint="default" w:ascii="Times New Roman" w:hAnsi="Times New Roman" w:eastAsia="宋体" w:cs="Times New Roman"/>
                <w:spacing w:val="4"/>
                <w:sz w:val="21"/>
                <w:szCs w:val="21"/>
                <w:highlight w:val="none"/>
              </w:rPr>
              <w:t>。</w:t>
            </w:r>
          </w:p>
        </w:tc>
        <w:tc>
          <w:tcPr>
            <w:tcW w:w="1859"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both"/>
              <w:textAlignment w:val="baseline"/>
              <w:rPr>
                <w:rFonts w:hint="default" w:ascii="Times New Roman" w:hAnsi="Times New Roman" w:eastAsia="宋体" w:cs="Times New Roman"/>
                <w:spacing w:val="4"/>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厂区实行</w:t>
            </w:r>
            <w:r>
              <w:rPr>
                <w:rFonts w:hint="default" w:ascii="Times New Roman" w:hAnsi="Times New Roman" w:eastAsia="宋体" w:cs="Times New Roman"/>
                <w:color w:val="auto"/>
                <w:spacing w:val="0"/>
                <w:sz w:val="21"/>
                <w:szCs w:val="21"/>
                <w:highlight w:val="none"/>
              </w:rPr>
              <w:t>雨污分流</w:t>
            </w:r>
            <w:r>
              <w:rPr>
                <w:rFonts w:hint="default" w:ascii="Times New Roman" w:hAnsi="Times New Roman" w:eastAsia="宋体" w:cs="Times New Roman"/>
                <w:color w:val="auto"/>
                <w:spacing w:val="0"/>
                <w:sz w:val="21"/>
                <w:szCs w:val="21"/>
                <w:highlight w:val="none"/>
                <w:lang w:val="en-US" w:eastAsia="zh-CN"/>
              </w:rPr>
              <w:t>制</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spacing w:val="4"/>
                <w:sz w:val="21"/>
                <w:szCs w:val="21"/>
                <w:highlight w:val="none"/>
              </w:rPr>
              <w:t>雨水进入雨水管道，改扩建</w:t>
            </w:r>
            <w:r>
              <w:rPr>
                <w:rFonts w:hint="default" w:ascii="Times New Roman" w:hAnsi="Times New Roman" w:eastAsia="宋体" w:cs="Times New Roman"/>
                <w:spacing w:val="4"/>
                <w:sz w:val="21"/>
                <w:szCs w:val="21"/>
                <w:highlight w:val="none"/>
                <w:lang w:val="en-US" w:eastAsia="zh-CN"/>
              </w:rPr>
              <w:t>项目</w:t>
            </w:r>
            <w:r>
              <w:rPr>
                <w:rFonts w:hint="default" w:ascii="Times New Roman" w:hAnsi="Times New Roman" w:eastAsia="宋体" w:cs="Times New Roman"/>
                <w:spacing w:val="4"/>
                <w:sz w:val="21"/>
                <w:szCs w:val="21"/>
                <w:highlight w:val="none"/>
              </w:rPr>
              <w:t>屠宰废水与职工生活</w:t>
            </w:r>
            <w:r>
              <w:rPr>
                <w:rFonts w:hint="default" w:ascii="Times New Roman" w:hAnsi="Times New Roman" w:eastAsia="宋体" w:cs="Times New Roman"/>
                <w:spacing w:val="4"/>
                <w:sz w:val="21"/>
                <w:szCs w:val="21"/>
                <w:highlight w:val="none"/>
                <w:lang w:val="en-US" w:eastAsia="zh-CN"/>
              </w:rPr>
              <w:t>污水</w:t>
            </w:r>
            <w:r>
              <w:rPr>
                <w:rFonts w:hint="default" w:ascii="Times New Roman" w:hAnsi="Times New Roman" w:eastAsia="宋体" w:cs="Times New Roman"/>
                <w:spacing w:val="4"/>
                <w:sz w:val="21"/>
                <w:szCs w:val="21"/>
                <w:highlight w:val="none"/>
              </w:rPr>
              <w:t>进入污水处理站处理</w:t>
            </w:r>
            <w:r>
              <w:rPr>
                <w:rFonts w:hint="default" w:ascii="Times New Roman" w:hAnsi="Times New Roman" w:eastAsia="宋体" w:cs="Times New Roman"/>
                <w:spacing w:val="4"/>
                <w:sz w:val="21"/>
                <w:szCs w:val="21"/>
                <w:highlight w:val="none"/>
                <w:lang w:val="en-US" w:eastAsia="zh-CN"/>
              </w:rPr>
              <w:t>后排入</w:t>
            </w:r>
            <w:r>
              <w:rPr>
                <w:rFonts w:hint="default" w:ascii="Times New Roman" w:hAnsi="Times New Roman" w:eastAsia="宋体" w:cs="Times New Roman"/>
                <w:spacing w:val="4"/>
                <w:sz w:val="21"/>
                <w:szCs w:val="21"/>
                <w:highlight w:val="none"/>
              </w:rPr>
              <w:t>市政管网，排入</w:t>
            </w:r>
            <w:r>
              <w:rPr>
                <w:rFonts w:hint="default" w:ascii="Times New Roman" w:hAnsi="Times New Roman" w:eastAsia="宋体" w:cs="Times New Roman"/>
                <w:spacing w:val="4"/>
                <w:sz w:val="21"/>
                <w:szCs w:val="21"/>
                <w:highlight w:val="none"/>
                <w:lang w:eastAsia="zh-CN"/>
              </w:rPr>
              <w:t>兴隆镇</w:t>
            </w:r>
            <w:r>
              <w:rPr>
                <w:rFonts w:hint="default" w:ascii="Times New Roman" w:hAnsi="Times New Roman" w:eastAsia="宋体" w:cs="Times New Roman"/>
                <w:spacing w:val="4"/>
                <w:sz w:val="21"/>
                <w:szCs w:val="21"/>
                <w:highlight w:val="none"/>
              </w:rPr>
              <w:t>污水处理厂处理，</w:t>
            </w:r>
            <w:r>
              <w:rPr>
                <w:rFonts w:hint="eastAsia" w:ascii="Times New Roman" w:hAnsi="Times New Roman" w:eastAsia="宋体" w:cs="Times New Roman"/>
                <w:spacing w:val="4"/>
                <w:sz w:val="21"/>
                <w:szCs w:val="21"/>
                <w:highlight w:val="none"/>
                <w:lang w:eastAsia="zh-CN"/>
              </w:rPr>
              <w:t>排入泥河</w:t>
            </w:r>
            <w:r>
              <w:rPr>
                <w:rFonts w:hint="default" w:ascii="Times New Roman" w:hAnsi="Times New Roman" w:eastAsia="宋体" w:cs="Times New Roman"/>
                <w:spacing w:val="4"/>
                <w:sz w:val="21"/>
                <w:szCs w:val="21"/>
                <w:highlight w:val="none"/>
              </w:rPr>
              <w:t>，废水排放量</w:t>
            </w:r>
            <w:r>
              <w:rPr>
                <w:rFonts w:hint="default" w:ascii="Times New Roman" w:hAnsi="Times New Roman" w:eastAsia="宋体" w:cs="Times New Roman"/>
                <w:spacing w:val="4"/>
                <w:sz w:val="21"/>
                <w:szCs w:val="21"/>
                <w:highlight w:val="none"/>
                <w:lang w:eastAsia="zh-CN"/>
              </w:rPr>
              <w:t>218.34</w:t>
            </w:r>
            <w:r>
              <w:rPr>
                <w:rFonts w:hint="default" w:ascii="Times New Roman" w:hAnsi="Times New Roman" w:eastAsia="宋体" w:cs="Times New Roman"/>
                <w:spacing w:val="4"/>
                <w:sz w:val="21"/>
                <w:szCs w:val="21"/>
                <w:highlight w:val="none"/>
              </w:rPr>
              <w:t>m</w:t>
            </w:r>
            <w:r>
              <w:rPr>
                <w:rFonts w:hint="default" w:ascii="Times New Roman" w:hAnsi="Times New Roman" w:eastAsia="宋体" w:cs="Times New Roman"/>
                <w:spacing w:val="4"/>
                <w:sz w:val="21"/>
                <w:szCs w:val="21"/>
                <w:highlight w:val="none"/>
                <w:vertAlign w:val="superscript"/>
              </w:rPr>
              <w:t>3</w:t>
            </w:r>
            <w:r>
              <w:rPr>
                <w:rFonts w:hint="default" w:ascii="Times New Roman" w:hAnsi="Times New Roman" w:eastAsia="宋体" w:cs="Times New Roman"/>
                <w:spacing w:val="4"/>
                <w:sz w:val="21"/>
                <w:szCs w:val="21"/>
                <w:highlight w:val="none"/>
              </w:rPr>
              <w:t>/d。</w:t>
            </w:r>
            <w:r>
              <w:rPr>
                <w:rFonts w:hint="default" w:ascii="Times New Roman" w:hAnsi="Times New Roman" w:eastAsia="宋体" w:cs="Times New Roman"/>
                <w:spacing w:val="4"/>
                <w:sz w:val="21"/>
                <w:szCs w:val="21"/>
                <w:highlight w:val="none"/>
                <w:lang w:val="en-US" w:eastAsia="zh-CN"/>
              </w:rPr>
              <w:t>改扩建后全厂排</w:t>
            </w:r>
            <w:r>
              <w:rPr>
                <w:rFonts w:hint="default" w:ascii="Times New Roman" w:hAnsi="Times New Roman" w:eastAsia="宋体" w:cs="Times New Roman"/>
                <w:spacing w:val="4"/>
                <w:sz w:val="21"/>
                <w:szCs w:val="21"/>
                <w:highlight w:val="none"/>
              </w:rPr>
              <w:t>水量为</w:t>
            </w:r>
            <w:r>
              <w:rPr>
                <w:rFonts w:hint="eastAsia" w:ascii="Times New Roman" w:hAnsi="Times New Roman" w:eastAsia="宋体" w:cs="Times New Roman"/>
                <w:spacing w:val="4"/>
                <w:sz w:val="21"/>
                <w:szCs w:val="21"/>
                <w:highlight w:val="none"/>
                <w:lang w:val="en-US" w:eastAsia="zh-CN"/>
              </w:rPr>
              <w:t>235.09</w:t>
            </w:r>
            <w:r>
              <w:rPr>
                <w:rFonts w:hint="default" w:ascii="Times New Roman" w:hAnsi="Times New Roman" w:eastAsia="宋体" w:cs="Times New Roman"/>
                <w:spacing w:val="4"/>
                <w:sz w:val="21"/>
                <w:szCs w:val="21"/>
                <w:highlight w:val="none"/>
              </w:rPr>
              <w:t>m</w:t>
            </w:r>
            <w:r>
              <w:rPr>
                <w:rFonts w:hint="default" w:ascii="Times New Roman" w:hAnsi="Times New Roman" w:eastAsia="宋体" w:cs="Times New Roman"/>
                <w:spacing w:val="4"/>
                <w:sz w:val="21"/>
                <w:szCs w:val="21"/>
                <w:highlight w:val="none"/>
                <w:vertAlign w:val="superscript"/>
              </w:rPr>
              <w:t>3</w:t>
            </w:r>
            <w:r>
              <w:rPr>
                <w:rFonts w:hint="default" w:ascii="Times New Roman" w:hAnsi="Times New Roman" w:eastAsia="宋体" w:cs="Times New Roman"/>
                <w:spacing w:val="4"/>
                <w:sz w:val="21"/>
                <w:szCs w:val="21"/>
                <w:highlight w:val="none"/>
              </w:rPr>
              <w:t>/d</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highlight w:val="none"/>
                <w:lang w:val="en-US" w:eastAsia="zh-CN"/>
              </w:rPr>
              <w:t>依托</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3" w:hRule="atLeast"/>
        </w:trPr>
        <w:tc>
          <w:tcPr>
            <w:tcW w:w="2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供电</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系统</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市政供电。</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color w:val="auto"/>
                <w:spacing w:val="0"/>
                <w:sz w:val="21"/>
                <w:szCs w:val="21"/>
                <w:lang w:val="en-US" w:eastAsia="zh-CN"/>
              </w:rPr>
              <w:t>依托现有供电系统。</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lang w:val="en-US" w:eastAsia="zh-CN"/>
              </w:rPr>
            </w:pPr>
            <w:r>
              <w:rPr>
                <w:rFonts w:hint="default" w:ascii="Times New Roman" w:hAnsi="Times New Roman" w:eastAsia="宋体" w:cs="Times New Roman"/>
                <w:color w:val="auto"/>
                <w:spacing w:val="0"/>
                <w:sz w:val="21"/>
                <w:szCs w:val="21"/>
                <w:lang w:val="en-US" w:eastAsia="zh-CN"/>
              </w:rPr>
              <w:t>依托</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0" w:hRule="atLeast"/>
        </w:trPr>
        <w:tc>
          <w:tcPr>
            <w:tcW w:w="226" w:type="pct"/>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辅助</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工程</w:t>
            </w: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宿舍</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1</w:t>
            </w:r>
            <w:r>
              <w:rPr>
                <w:rFonts w:hint="default" w:ascii="Times New Roman" w:hAnsi="Times New Roman" w:eastAsia="宋体" w:cs="Times New Roman"/>
                <w:color w:val="auto"/>
                <w:spacing w:val="0"/>
                <w:sz w:val="21"/>
                <w:szCs w:val="21"/>
              </w:rPr>
              <w:t>栋，</w:t>
            </w:r>
            <w:r>
              <w:rPr>
                <w:rFonts w:hint="default" w:ascii="Times New Roman" w:hAnsi="Times New Roman" w:eastAsia="宋体" w:cs="Times New Roman"/>
                <w:color w:val="auto"/>
                <w:spacing w:val="0"/>
                <w:sz w:val="21"/>
                <w:szCs w:val="21"/>
                <w:lang w:val="en-US" w:eastAsia="zh-CN"/>
              </w:rPr>
              <w:t>单层建筑</w:t>
            </w:r>
            <w:r>
              <w:rPr>
                <w:rFonts w:hint="default" w:ascii="Times New Roman" w:hAnsi="Times New Roman" w:eastAsia="宋体" w:cs="Times New Roman"/>
                <w:color w:val="auto"/>
                <w:spacing w:val="0"/>
                <w:sz w:val="21"/>
                <w:szCs w:val="21"/>
              </w:rPr>
              <w:t>，建筑面积为</w:t>
            </w:r>
            <w:r>
              <w:rPr>
                <w:rFonts w:hint="default" w:ascii="Times New Roman" w:hAnsi="Times New Roman" w:eastAsia="宋体" w:cs="Times New Roman"/>
                <w:color w:val="auto"/>
                <w:spacing w:val="0"/>
                <w:sz w:val="21"/>
                <w:szCs w:val="21"/>
                <w:lang w:val="en-US" w:eastAsia="zh-CN"/>
              </w:rPr>
              <w:t>300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，位于厂区</w:t>
            </w:r>
            <w:r>
              <w:rPr>
                <w:rFonts w:hint="default" w:ascii="Times New Roman" w:hAnsi="Times New Roman" w:eastAsia="宋体" w:cs="Times New Roman"/>
                <w:color w:val="auto"/>
                <w:spacing w:val="0"/>
                <w:sz w:val="21"/>
                <w:szCs w:val="21"/>
                <w:lang w:val="en-US" w:eastAsia="zh-CN"/>
              </w:rPr>
              <w:t>东南</w:t>
            </w:r>
            <w:r>
              <w:rPr>
                <w:rFonts w:hint="default" w:ascii="Times New Roman" w:hAnsi="Times New Roman" w:eastAsia="宋体" w:cs="Times New Roman"/>
                <w:color w:val="auto"/>
                <w:spacing w:val="0"/>
                <w:sz w:val="21"/>
                <w:szCs w:val="21"/>
              </w:rPr>
              <w:t>侧</w:t>
            </w:r>
            <w:r>
              <w:rPr>
                <w:rFonts w:hint="default" w:ascii="Times New Roman" w:hAnsi="Times New Roman" w:eastAsia="宋体" w:cs="Times New Roman"/>
                <w:color w:val="auto"/>
                <w:spacing w:val="0"/>
                <w:sz w:val="21"/>
                <w:szCs w:val="21"/>
                <w:lang w:eastAsia="zh-CN"/>
              </w:rPr>
              <w:t>。</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pacing w:val="4"/>
                <w:sz w:val="21"/>
                <w:szCs w:val="21"/>
                <w:lang w:eastAsia="zh-CN"/>
              </w:rPr>
            </w:pPr>
            <w:r>
              <w:rPr>
                <w:rFonts w:hint="default" w:ascii="Times New Roman" w:hAnsi="Times New Roman" w:eastAsia="宋体" w:cs="Times New Roman"/>
                <w:color w:val="auto"/>
                <w:spacing w:val="0"/>
                <w:sz w:val="21"/>
                <w:szCs w:val="21"/>
                <w:lang w:val="en-US" w:eastAsia="zh-CN"/>
              </w:rPr>
              <w:t>1</w:t>
            </w:r>
            <w:r>
              <w:rPr>
                <w:rFonts w:hint="default" w:ascii="Times New Roman" w:hAnsi="Times New Roman" w:eastAsia="宋体" w:cs="Times New Roman"/>
                <w:color w:val="auto"/>
                <w:spacing w:val="0"/>
                <w:sz w:val="21"/>
                <w:szCs w:val="21"/>
              </w:rPr>
              <w:t>栋，</w:t>
            </w:r>
            <w:r>
              <w:rPr>
                <w:rFonts w:hint="default" w:ascii="Times New Roman" w:hAnsi="Times New Roman" w:eastAsia="宋体" w:cs="Times New Roman"/>
                <w:color w:val="auto"/>
                <w:spacing w:val="0"/>
                <w:sz w:val="21"/>
                <w:szCs w:val="21"/>
                <w:lang w:val="en-US" w:eastAsia="zh-CN"/>
              </w:rPr>
              <w:t>单层建筑</w:t>
            </w:r>
            <w:r>
              <w:rPr>
                <w:rFonts w:hint="default" w:ascii="Times New Roman" w:hAnsi="Times New Roman" w:eastAsia="宋体" w:cs="Times New Roman"/>
                <w:color w:val="auto"/>
                <w:spacing w:val="0"/>
                <w:sz w:val="21"/>
                <w:szCs w:val="21"/>
              </w:rPr>
              <w:t>，建筑面积为</w:t>
            </w:r>
            <w:r>
              <w:rPr>
                <w:rFonts w:hint="default" w:ascii="Times New Roman" w:hAnsi="Times New Roman" w:eastAsia="宋体" w:cs="Times New Roman"/>
                <w:color w:val="auto"/>
                <w:spacing w:val="0"/>
                <w:sz w:val="21"/>
                <w:szCs w:val="21"/>
                <w:lang w:val="en-US" w:eastAsia="zh-CN"/>
              </w:rPr>
              <w:t>300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，位于厂区</w:t>
            </w:r>
            <w:r>
              <w:rPr>
                <w:rFonts w:hint="default" w:ascii="Times New Roman" w:hAnsi="Times New Roman" w:eastAsia="宋体" w:cs="Times New Roman"/>
                <w:color w:val="auto"/>
                <w:spacing w:val="0"/>
                <w:sz w:val="21"/>
                <w:szCs w:val="21"/>
                <w:lang w:val="en-US" w:eastAsia="zh-CN"/>
              </w:rPr>
              <w:t>东南</w:t>
            </w:r>
            <w:r>
              <w:rPr>
                <w:rFonts w:hint="default" w:ascii="Times New Roman" w:hAnsi="Times New Roman" w:eastAsia="宋体" w:cs="Times New Roman"/>
                <w:color w:val="auto"/>
                <w:spacing w:val="0"/>
                <w:sz w:val="21"/>
                <w:szCs w:val="21"/>
              </w:rPr>
              <w:t>侧</w:t>
            </w:r>
            <w:r>
              <w:rPr>
                <w:rFonts w:hint="default" w:ascii="Times New Roman" w:hAnsi="Times New Roman" w:eastAsia="宋体" w:cs="Times New Roman"/>
                <w:color w:val="auto"/>
                <w:spacing w:val="0"/>
                <w:sz w:val="21"/>
                <w:szCs w:val="21"/>
                <w:lang w:eastAsia="zh-CN"/>
              </w:rPr>
              <w:t>。</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依托现有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226" w:type="pct"/>
            <w:vMerge w:val="continue"/>
            <w:tcBorders>
              <w:top w:val="nil"/>
              <w:bottom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lang w:eastAsia="zh-CN"/>
              </w:rPr>
            </w:pPr>
            <w:r>
              <w:rPr>
                <w:rFonts w:hint="default" w:ascii="Times New Roman" w:hAnsi="Times New Roman" w:eastAsia="宋体" w:cs="Times New Roman"/>
                <w:color w:val="auto"/>
                <w:spacing w:val="0"/>
                <w:sz w:val="21"/>
                <w:szCs w:val="21"/>
                <w:lang w:val="en-US" w:eastAsia="zh-CN"/>
              </w:rPr>
              <w:t>办公室</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1栋</w:t>
            </w:r>
            <w:r>
              <w:rPr>
                <w:rFonts w:hint="default" w:ascii="Times New Roman" w:hAnsi="Times New Roman" w:eastAsia="宋体" w:cs="Times New Roman"/>
                <w:color w:val="auto"/>
                <w:spacing w:val="0"/>
                <w:sz w:val="21"/>
                <w:szCs w:val="21"/>
              </w:rPr>
              <w:t>，</w:t>
            </w:r>
            <w:r>
              <w:rPr>
                <w:rFonts w:hint="default" w:ascii="Times New Roman" w:hAnsi="Times New Roman" w:eastAsia="宋体" w:cs="Times New Roman"/>
                <w:color w:val="auto"/>
                <w:spacing w:val="0"/>
                <w:sz w:val="21"/>
                <w:szCs w:val="21"/>
                <w:lang w:val="en-US" w:eastAsia="zh-CN"/>
              </w:rPr>
              <w:t>二层建筑，</w:t>
            </w:r>
            <w:r>
              <w:rPr>
                <w:rFonts w:hint="default" w:ascii="Times New Roman" w:hAnsi="Times New Roman" w:eastAsia="宋体" w:cs="Times New Roman"/>
                <w:color w:val="auto"/>
                <w:spacing w:val="0"/>
                <w:sz w:val="21"/>
                <w:szCs w:val="21"/>
              </w:rPr>
              <w:t>建筑面积为</w:t>
            </w:r>
            <w:r>
              <w:rPr>
                <w:rFonts w:hint="default" w:ascii="Times New Roman" w:hAnsi="Times New Roman" w:eastAsia="宋体" w:cs="Times New Roman"/>
                <w:color w:val="auto"/>
                <w:spacing w:val="0"/>
                <w:sz w:val="21"/>
                <w:szCs w:val="21"/>
                <w:lang w:val="en-US" w:eastAsia="zh-CN"/>
              </w:rPr>
              <w:t>500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w:t>
            </w:r>
            <w:r>
              <w:rPr>
                <w:rFonts w:hint="eastAsia" w:ascii="Times New Roman" w:hAnsi="Times New Roman" w:eastAsia="宋体" w:cs="Times New Roman"/>
                <w:color w:val="auto"/>
                <w:spacing w:val="0"/>
                <w:sz w:val="21"/>
                <w:szCs w:val="21"/>
                <w:lang w:val="en-US" w:eastAsia="zh-CN"/>
              </w:rPr>
              <w:t>高度约6米。</w:t>
            </w:r>
            <w:r>
              <w:rPr>
                <w:rFonts w:hint="default" w:ascii="Times New Roman" w:hAnsi="Times New Roman" w:eastAsia="宋体" w:cs="Times New Roman"/>
                <w:color w:val="auto"/>
                <w:spacing w:val="0"/>
                <w:sz w:val="21"/>
                <w:szCs w:val="21"/>
                <w:lang w:val="en-US" w:eastAsia="zh-CN"/>
              </w:rPr>
              <w:t>位于厂区中部。</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pacing w:val="4"/>
                <w:sz w:val="21"/>
                <w:szCs w:val="21"/>
                <w:lang w:val="en-US"/>
              </w:rPr>
            </w:pPr>
            <w:r>
              <w:rPr>
                <w:rFonts w:hint="default" w:ascii="Times New Roman" w:hAnsi="Times New Roman" w:eastAsia="宋体" w:cs="Times New Roman"/>
                <w:color w:val="auto"/>
                <w:spacing w:val="0"/>
                <w:sz w:val="21"/>
                <w:szCs w:val="21"/>
                <w:lang w:val="en-US" w:eastAsia="zh-CN"/>
              </w:rPr>
              <w:t>1栋</w:t>
            </w:r>
            <w:r>
              <w:rPr>
                <w:rFonts w:hint="default" w:ascii="Times New Roman" w:hAnsi="Times New Roman" w:eastAsia="宋体" w:cs="Times New Roman"/>
                <w:color w:val="auto"/>
                <w:spacing w:val="0"/>
                <w:sz w:val="21"/>
                <w:szCs w:val="21"/>
              </w:rPr>
              <w:t>，</w:t>
            </w:r>
            <w:r>
              <w:rPr>
                <w:rFonts w:hint="default" w:ascii="Times New Roman" w:hAnsi="Times New Roman" w:eastAsia="宋体" w:cs="Times New Roman"/>
                <w:color w:val="auto"/>
                <w:spacing w:val="0"/>
                <w:sz w:val="21"/>
                <w:szCs w:val="21"/>
                <w:lang w:val="en-US" w:eastAsia="zh-CN"/>
              </w:rPr>
              <w:t>二层建筑，</w:t>
            </w:r>
            <w:r>
              <w:rPr>
                <w:rFonts w:hint="default" w:ascii="Times New Roman" w:hAnsi="Times New Roman" w:eastAsia="宋体" w:cs="Times New Roman"/>
                <w:color w:val="auto"/>
                <w:spacing w:val="0"/>
                <w:sz w:val="21"/>
                <w:szCs w:val="21"/>
              </w:rPr>
              <w:t>建筑面积为</w:t>
            </w:r>
            <w:r>
              <w:rPr>
                <w:rFonts w:hint="default" w:ascii="Times New Roman" w:hAnsi="Times New Roman" w:eastAsia="宋体" w:cs="Times New Roman"/>
                <w:color w:val="auto"/>
                <w:spacing w:val="0"/>
                <w:sz w:val="21"/>
                <w:szCs w:val="21"/>
                <w:lang w:val="en-US" w:eastAsia="zh-CN"/>
              </w:rPr>
              <w:t>500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w:t>
            </w:r>
            <w:r>
              <w:rPr>
                <w:rFonts w:hint="eastAsia" w:ascii="Times New Roman" w:hAnsi="Times New Roman" w:eastAsia="宋体" w:cs="Times New Roman"/>
                <w:color w:val="auto"/>
                <w:spacing w:val="0"/>
                <w:sz w:val="21"/>
                <w:szCs w:val="21"/>
                <w:lang w:val="en-US" w:eastAsia="zh-CN"/>
              </w:rPr>
              <w:t>高度约6米。</w:t>
            </w:r>
            <w:r>
              <w:rPr>
                <w:rFonts w:hint="default" w:ascii="Times New Roman" w:hAnsi="Times New Roman" w:eastAsia="宋体" w:cs="Times New Roman"/>
                <w:color w:val="auto"/>
                <w:spacing w:val="0"/>
                <w:sz w:val="21"/>
                <w:szCs w:val="21"/>
                <w:lang w:val="en-US" w:eastAsia="zh-CN"/>
              </w:rPr>
              <w:t>位于厂区中部。</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依托现有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26" w:type="pct"/>
            <w:vMerge w:val="continue"/>
            <w:tcBorders>
              <w:top w:val="nil"/>
              <w:bottom w:val="single" w:color="000000" w:sz="2" w:space="0"/>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eastAsia="zh-CN"/>
              </w:rPr>
              <w:t>检验室</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val="en-US" w:eastAsia="zh-CN"/>
              </w:rPr>
              <w:t>位于屠宰车间内，建筑面积10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vertAlign w:val="baseline"/>
                <w:lang w:eastAsia="zh-CN"/>
              </w:rPr>
              <w:t>，用于生猪产品质量化验。</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位于屠宰车间内，建筑面积10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vertAlign w:val="baseline"/>
                <w:lang w:eastAsia="zh-CN"/>
              </w:rPr>
              <w:t>，用于生猪产品质量化验。</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lang w:val="en-US" w:eastAsia="zh-CN"/>
              </w:rPr>
              <w:t>依托现有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26" w:type="pct"/>
            <w:vMerge w:val="restart"/>
            <w:tcBorders>
              <w:top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环保</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color w:val="auto"/>
                <w:spacing w:val="0"/>
                <w:sz w:val="21"/>
                <w:szCs w:val="21"/>
              </w:rPr>
              <w:t>工程</w:t>
            </w:r>
          </w:p>
        </w:tc>
        <w:tc>
          <w:tcPr>
            <w:tcW w:w="40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废水</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rPr>
              <w:t>处理</w:t>
            </w:r>
          </w:p>
        </w:tc>
        <w:tc>
          <w:tcPr>
            <w:tcW w:w="185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highlight w:val="none"/>
                <w:lang w:val="en-US" w:eastAsia="zh-CN"/>
              </w:rPr>
              <w:t>已建</w:t>
            </w:r>
            <w:r>
              <w:rPr>
                <w:rFonts w:hint="eastAsia" w:ascii="Times New Roman" w:hAnsi="Times New Roman" w:eastAsia="宋体" w:cs="Times New Roman"/>
                <w:color w:val="auto"/>
                <w:spacing w:val="0"/>
                <w:sz w:val="21"/>
                <w:szCs w:val="21"/>
                <w:highlight w:val="none"/>
                <w:lang w:val="en-US" w:eastAsia="zh-CN"/>
              </w:rPr>
              <w:t>成</w:t>
            </w:r>
            <w:r>
              <w:rPr>
                <w:rFonts w:hint="default" w:ascii="Times New Roman" w:hAnsi="Times New Roman" w:eastAsia="宋体" w:cs="Times New Roman"/>
                <w:color w:val="auto"/>
                <w:spacing w:val="0"/>
                <w:sz w:val="21"/>
                <w:szCs w:val="21"/>
                <w:highlight w:val="none"/>
                <w:lang w:val="en-US" w:eastAsia="zh-CN"/>
              </w:rPr>
              <w:t>一座日处理废水能力300m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lang w:val="en-US" w:eastAsia="zh-CN"/>
              </w:rPr>
              <w:t>/d 的污水处理站。项目废水</w:t>
            </w:r>
            <w:r>
              <w:rPr>
                <w:rFonts w:hint="default" w:ascii="Times New Roman" w:hAnsi="Times New Roman" w:eastAsia="宋体" w:cs="Times New Roman"/>
                <w:color w:val="auto"/>
                <w:sz w:val="21"/>
                <w:szCs w:val="21"/>
                <w:highlight w:val="none"/>
              </w:rPr>
              <w:t>经厂区污水处理站处理后达到《肉类加工工业水污染物排放标准》（GB13457-92）表3三级畜类屠宰加工</w:t>
            </w:r>
            <w:r>
              <w:rPr>
                <w:rFonts w:hint="default" w:ascii="Times New Roman" w:hAnsi="Times New Roman" w:eastAsia="宋体" w:cs="Times New Roman"/>
                <w:color w:val="auto"/>
                <w:sz w:val="21"/>
                <w:szCs w:val="21"/>
                <w:highlight w:val="none"/>
                <w:lang w:val="en-US" w:eastAsia="zh-CN"/>
              </w:rPr>
              <w:t>三级</w:t>
            </w:r>
            <w:r>
              <w:rPr>
                <w:rFonts w:hint="default" w:ascii="Times New Roman" w:hAnsi="Times New Roman" w:eastAsia="宋体" w:cs="Times New Roman"/>
                <w:color w:val="auto"/>
                <w:sz w:val="21"/>
                <w:szCs w:val="21"/>
                <w:highlight w:val="none"/>
              </w:rPr>
              <w:t>标准限值及</w:t>
            </w:r>
            <w:r>
              <w:rPr>
                <w:rFonts w:hint="default" w:ascii="Times New Roman" w:hAnsi="Times New Roman" w:eastAsia="宋体" w:cs="Times New Roman"/>
                <w:color w:val="auto"/>
                <w:sz w:val="21"/>
                <w:szCs w:val="21"/>
                <w:highlight w:val="none"/>
                <w:lang w:val="en-US" w:eastAsia="zh-CN"/>
              </w:rPr>
              <w:t>兴隆镇</w:t>
            </w:r>
            <w:r>
              <w:rPr>
                <w:rFonts w:hint="default" w:ascii="Times New Roman" w:hAnsi="Times New Roman" w:eastAsia="宋体" w:cs="Times New Roman"/>
                <w:color w:val="auto"/>
                <w:sz w:val="21"/>
                <w:szCs w:val="21"/>
                <w:highlight w:val="none"/>
              </w:rPr>
              <w:t>污水处理厂进水指标</w:t>
            </w:r>
            <w:r>
              <w:rPr>
                <w:rFonts w:hint="default" w:ascii="Times New Roman" w:hAnsi="Times New Roman" w:eastAsia="宋体" w:cs="Times New Roman"/>
                <w:color w:val="auto"/>
                <w:sz w:val="21"/>
                <w:szCs w:val="21"/>
                <w:highlight w:val="none"/>
                <w:lang w:val="en-US" w:eastAsia="zh-CN"/>
              </w:rPr>
              <w:t>后，排入兴隆镇污水处理厂，</w:t>
            </w:r>
            <w:r>
              <w:rPr>
                <w:rFonts w:hint="eastAsia" w:ascii="Times New Roman" w:hAnsi="Times New Roman" w:eastAsia="宋体" w:cs="Times New Roman"/>
                <w:spacing w:val="4"/>
                <w:sz w:val="21"/>
                <w:szCs w:val="21"/>
                <w:highlight w:val="none"/>
                <w:lang w:eastAsia="zh-CN"/>
              </w:rPr>
              <w:t>排入泥河</w:t>
            </w:r>
            <w:r>
              <w:rPr>
                <w:rFonts w:hint="default" w:ascii="Times New Roman" w:hAnsi="Times New Roman" w:eastAsia="宋体" w:cs="Times New Roman"/>
                <w:spacing w:val="4"/>
                <w:sz w:val="21"/>
                <w:szCs w:val="21"/>
                <w:highlight w:val="none"/>
                <w:lang w:eastAsia="zh-CN"/>
              </w:rPr>
              <w:t>。</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r>
              <w:rPr>
                <w:rFonts w:hint="default" w:ascii="Times New Roman" w:hAnsi="Times New Roman" w:eastAsia="宋体" w:cs="Times New Roman"/>
                <w:color w:val="auto"/>
                <w:spacing w:val="0"/>
                <w:sz w:val="21"/>
                <w:szCs w:val="21"/>
                <w:lang w:val="en-US" w:eastAsia="zh-CN"/>
              </w:rPr>
              <w:t>一座处理能力300m</w:t>
            </w:r>
            <w:r>
              <w:rPr>
                <w:rFonts w:hint="default" w:ascii="Times New Roman" w:hAnsi="Times New Roman" w:eastAsia="宋体" w:cs="Times New Roman"/>
                <w:color w:val="auto"/>
                <w:spacing w:val="0"/>
                <w:sz w:val="21"/>
                <w:szCs w:val="21"/>
                <w:vertAlign w:val="superscript"/>
                <w:lang w:val="en-US" w:eastAsia="zh-CN"/>
              </w:rPr>
              <w:t>3</w:t>
            </w:r>
            <w:r>
              <w:rPr>
                <w:rFonts w:hint="default" w:ascii="Times New Roman" w:hAnsi="Times New Roman" w:eastAsia="宋体" w:cs="Times New Roman"/>
                <w:color w:val="auto"/>
                <w:spacing w:val="0"/>
                <w:sz w:val="21"/>
                <w:szCs w:val="21"/>
                <w:lang w:val="en-US" w:eastAsia="zh-CN"/>
              </w:rPr>
              <w:t>/d的污水处理站，采用沉淀池+气浮池+调节池+水解酸化+好氧生物池+MBR膜池+污泥消化池+</w:t>
            </w:r>
            <w:r>
              <w:rPr>
                <w:rFonts w:hint="default" w:ascii="Times New Roman" w:hAnsi="Times New Roman" w:eastAsia="宋体" w:cs="Times New Roman"/>
                <w:color w:val="auto"/>
                <w:spacing w:val="0"/>
                <w:sz w:val="21"/>
                <w:szCs w:val="21"/>
                <w:highlight w:val="none"/>
                <w:lang w:val="en-US" w:eastAsia="zh-CN"/>
              </w:rPr>
              <w:t>消毒</w:t>
            </w:r>
            <w:r>
              <w:rPr>
                <w:rFonts w:hint="eastAsia" w:ascii="Times New Roman" w:hAnsi="Times New Roman" w:eastAsia="宋体" w:cs="Times New Roman"/>
                <w:color w:val="auto"/>
                <w:spacing w:val="0"/>
                <w:sz w:val="21"/>
                <w:szCs w:val="21"/>
                <w:highlight w:val="none"/>
                <w:lang w:val="en-US" w:eastAsia="zh-CN"/>
              </w:rPr>
              <w:t>（次氯酸钠）</w:t>
            </w:r>
            <w:r>
              <w:rPr>
                <w:rFonts w:hint="default" w:ascii="Times New Roman" w:hAnsi="Times New Roman" w:eastAsia="宋体" w:cs="Times New Roman"/>
                <w:color w:val="auto"/>
                <w:spacing w:val="0"/>
                <w:sz w:val="21"/>
                <w:szCs w:val="21"/>
                <w:highlight w:val="none"/>
                <w:lang w:val="en-US" w:eastAsia="zh-CN"/>
              </w:rPr>
              <w:t>工艺</w:t>
            </w:r>
            <w:r>
              <w:rPr>
                <w:rFonts w:hint="default" w:ascii="Times New Roman" w:hAnsi="Times New Roman" w:eastAsia="宋体" w:cs="Times New Roman"/>
                <w:color w:val="auto"/>
                <w:spacing w:val="0"/>
                <w:sz w:val="21"/>
                <w:szCs w:val="21"/>
                <w:lang w:val="en-US" w:eastAsia="zh-CN"/>
              </w:rPr>
              <w:t>处理后，项目废水</w:t>
            </w:r>
            <w:r>
              <w:rPr>
                <w:rFonts w:hint="default" w:ascii="Times New Roman" w:hAnsi="Times New Roman" w:eastAsia="宋体" w:cs="Times New Roman"/>
                <w:color w:val="auto"/>
                <w:sz w:val="21"/>
                <w:szCs w:val="21"/>
              </w:rPr>
              <w:t>经厂区污水处理站处理后达到《肉类加工工业水污染物排放标准》（GB13457-92）表3三级畜类屠宰加工</w:t>
            </w:r>
            <w:r>
              <w:rPr>
                <w:rFonts w:hint="default" w:ascii="Times New Roman" w:hAnsi="Times New Roman" w:eastAsia="宋体" w:cs="Times New Roman"/>
                <w:color w:val="auto"/>
                <w:sz w:val="21"/>
                <w:szCs w:val="21"/>
                <w:lang w:val="en-US" w:eastAsia="zh-CN"/>
              </w:rPr>
              <w:t>三级</w:t>
            </w:r>
            <w:r>
              <w:rPr>
                <w:rFonts w:hint="default" w:ascii="Times New Roman" w:hAnsi="Times New Roman" w:eastAsia="宋体" w:cs="Times New Roman"/>
                <w:color w:val="auto"/>
                <w:sz w:val="21"/>
                <w:szCs w:val="21"/>
              </w:rPr>
              <w:t>标准限值及</w:t>
            </w:r>
            <w:r>
              <w:rPr>
                <w:rFonts w:hint="default" w:ascii="Times New Roman" w:hAnsi="Times New Roman" w:eastAsia="宋体" w:cs="Times New Roman"/>
                <w:color w:val="auto"/>
                <w:sz w:val="21"/>
                <w:szCs w:val="21"/>
                <w:lang w:val="en-US" w:eastAsia="zh-CN"/>
              </w:rPr>
              <w:t>兴隆镇</w:t>
            </w:r>
            <w:r>
              <w:rPr>
                <w:rFonts w:hint="default" w:ascii="Times New Roman" w:hAnsi="Times New Roman" w:eastAsia="宋体" w:cs="Times New Roman"/>
                <w:color w:val="auto"/>
                <w:sz w:val="21"/>
                <w:szCs w:val="21"/>
              </w:rPr>
              <w:t>污水处理厂进水指标</w:t>
            </w:r>
            <w:r>
              <w:rPr>
                <w:rFonts w:hint="default" w:ascii="Times New Roman" w:hAnsi="Times New Roman" w:eastAsia="宋体" w:cs="Times New Roman"/>
                <w:color w:val="auto"/>
                <w:sz w:val="21"/>
                <w:szCs w:val="21"/>
                <w:lang w:val="en-US" w:eastAsia="zh-CN"/>
              </w:rPr>
              <w:t>后，排入兴隆镇污水处理厂，</w:t>
            </w:r>
            <w:r>
              <w:rPr>
                <w:rFonts w:hint="eastAsia" w:ascii="Times New Roman" w:hAnsi="Times New Roman" w:eastAsia="宋体" w:cs="Times New Roman"/>
                <w:spacing w:val="4"/>
                <w:sz w:val="21"/>
                <w:szCs w:val="21"/>
                <w:lang w:eastAsia="zh-CN"/>
              </w:rPr>
              <w:t>排入泥河</w:t>
            </w:r>
            <w:r>
              <w:rPr>
                <w:rFonts w:hint="default" w:ascii="Times New Roman" w:hAnsi="Times New Roman" w:eastAsia="宋体" w:cs="Times New Roman"/>
                <w:spacing w:val="4"/>
                <w:sz w:val="21"/>
                <w:szCs w:val="21"/>
                <w:lang w:eastAsia="zh-CN"/>
              </w:rPr>
              <w:t>。</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highlight w:val="none"/>
                <w:lang w:val="en-US" w:eastAsia="zh-CN"/>
              </w:rPr>
              <w:t>依托现有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p>
        </w:tc>
        <w:tc>
          <w:tcPr>
            <w:tcW w:w="4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p>
        </w:tc>
        <w:tc>
          <w:tcPr>
            <w:tcW w:w="185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rPr>
            </w:pP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napToGrid w:val="0"/>
                <w:color w:val="auto"/>
                <w:spacing w:val="0"/>
                <w:kern w:val="0"/>
                <w:sz w:val="21"/>
                <w:szCs w:val="21"/>
                <w:lang w:val="en-US" w:eastAsia="zh-CN" w:bidi="ar-SA"/>
              </w:rPr>
            </w:pPr>
            <w:r>
              <w:rPr>
                <w:rFonts w:hint="default" w:ascii="Times New Roman" w:hAnsi="Times New Roman" w:eastAsia="宋体" w:cs="Times New Roman"/>
                <w:color w:val="auto"/>
                <w:spacing w:val="0"/>
                <w:sz w:val="21"/>
                <w:szCs w:val="21"/>
                <w:lang w:val="en-US" w:eastAsia="zh-CN"/>
              </w:rPr>
              <w:t>新建一座140m</w:t>
            </w:r>
            <w:r>
              <w:rPr>
                <w:rFonts w:hint="default" w:ascii="Times New Roman" w:hAnsi="Times New Roman" w:eastAsia="宋体" w:cs="Times New Roman"/>
                <w:color w:val="auto"/>
                <w:spacing w:val="0"/>
                <w:sz w:val="21"/>
                <w:szCs w:val="21"/>
                <w:vertAlign w:val="superscript"/>
                <w:lang w:val="en-US" w:eastAsia="zh-CN"/>
              </w:rPr>
              <w:t>3</w:t>
            </w:r>
            <w:r>
              <w:rPr>
                <w:rFonts w:hint="default" w:ascii="Times New Roman" w:hAnsi="Times New Roman" w:eastAsia="宋体" w:cs="Times New Roman"/>
                <w:color w:val="auto"/>
                <w:spacing w:val="0"/>
                <w:sz w:val="21"/>
                <w:szCs w:val="21"/>
                <w:lang w:val="en-US" w:eastAsia="zh-CN"/>
              </w:rPr>
              <w:t>/d的地下式</w:t>
            </w:r>
            <w:r>
              <w:rPr>
                <w:rFonts w:hint="default" w:ascii="Times New Roman" w:hAnsi="Times New Roman" w:eastAsia="宋体" w:cs="Times New Roman"/>
                <w:color w:val="auto"/>
                <w:spacing w:val="0"/>
                <w:sz w:val="21"/>
                <w:szCs w:val="21"/>
              </w:rPr>
              <w:t>事故水池，占地面积约</w:t>
            </w:r>
            <w:r>
              <w:rPr>
                <w:rFonts w:hint="default" w:ascii="Times New Roman" w:hAnsi="Times New Roman" w:eastAsia="宋体" w:cs="Times New Roman"/>
                <w:color w:val="auto"/>
                <w:spacing w:val="0"/>
                <w:sz w:val="21"/>
                <w:szCs w:val="21"/>
                <w:lang w:val="en-US" w:eastAsia="zh-CN"/>
              </w:rPr>
              <w:t>50</w:t>
            </w:r>
            <w:r>
              <w:rPr>
                <w:rFonts w:hint="default" w:ascii="Times New Roman" w:hAnsi="Times New Roman" w:eastAsia="宋体" w:cs="Times New Roman"/>
                <w:color w:val="auto"/>
                <w:spacing w:val="0"/>
                <w:sz w:val="21"/>
                <w:szCs w:val="21"/>
              </w:rPr>
              <w:t>m</w:t>
            </w:r>
            <w:r>
              <w:rPr>
                <w:rFonts w:hint="default" w:ascii="Times New Roman" w:hAnsi="Times New Roman" w:eastAsia="宋体" w:cs="Times New Roman"/>
                <w:color w:val="auto"/>
                <w:spacing w:val="0"/>
                <w:sz w:val="21"/>
                <w:szCs w:val="21"/>
                <w:vertAlign w:val="superscript"/>
              </w:rPr>
              <w:t>2</w:t>
            </w:r>
            <w:r>
              <w:rPr>
                <w:rFonts w:hint="default" w:ascii="Times New Roman" w:hAnsi="Times New Roman" w:eastAsia="宋体" w:cs="Times New Roman"/>
                <w:color w:val="auto"/>
                <w:spacing w:val="0"/>
                <w:sz w:val="21"/>
                <w:szCs w:val="21"/>
              </w:rPr>
              <w:t>，位于污水处理站北侧</w:t>
            </w:r>
            <w:r>
              <w:rPr>
                <w:rFonts w:hint="default" w:ascii="Times New Roman" w:hAnsi="Times New Roman" w:eastAsia="宋体" w:cs="Times New Roman"/>
                <w:color w:val="auto"/>
                <w:spacing w:val="0"/>
                <w:sz w:val="21"/>
                <w:szCs w:val="21"/>
                <w:lang w:eastAsia="zh-CN"/>
              </w:rPr>
              <w:t>。</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新建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废气</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lang w:eastAsia="zh-CN"/>
              </w:rPr>
            </w:pPr>
            <w:r>
              <w:rPr>
                <w:rFonts w:hint="default" w:ascii="Times New Roman" w:hAnsi="Times New Roman" w:eastAsia="宋体" w:cs="Times New Roman"/>
                <w:color w:val="auto"/>
                <w:spacing w:val="0"/>
                <w:sz w:val="21"/>
                <w:szCs w:val="21"/>
              </w:rPr>
              <w:t>治理</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highlight w:val="none"/>
                <w:lang w:eastAsia="zh-CN"/>
              </w:rPr>
              <w:t>燃</w:t>
            </w:r>
            <w:r>
              <w:rPr>
                <w:rFonts w:hint="default" w:ascii="Times New Roman" w:hAnsi="Times New Roman" w:eastAsia="宋体" w:cs="Times New Roman"/>
                <w:color w:val="auto"/>
                <w:spacing w:val="0"/>
                <w:sz w:val="21"/>
                <w:szCs w:val="21"/>
                <w:highlight w:val="none"/>
                <w:lang w:val="en-US" w:eastAsia="zh-CN"/>
              </w:rPr>
              <w:t>油</w:t>
            </w:r>
            <w:r>
              <w:rPr>
                <w:rFonts w:hint="default" w:ascii="Times New Roman" w:hAnsi="Times New Roman" w:eastAsia="宋体" w:cs="Times New Roman"/>
                <w:color w:val="auto"/>
                <w:spacing w:val="0"/>
                <w:sz w:val="21"/>
                <w:szCs w:val="21"/>
                <w:highlight w:val="none"/>
              </w:rPr>
              <w:t>锅炉</w:t>
            </w:r>
            <w:r>
              <w:rPr>
                <w:rFonts w:hint="default" w:ascii="Times New Roman" w:hAnsi="Times New Roman" w:eastAsia="宋体" w:cs="Times New Roman"/>
                <w:color w:val="auto"/>
                <w:spacing w:val="0"/>
                <w:sz w:val="21"/>
                <w:szCs w:val="21"/>
                <w:highlight w:val="none"/>
                <w:lang w:eastAsia="zh-CN"/>
              </w:rPr>
              <w:t>采取低氮燃烧技术，</w:t>
            </w:r>
            <w:r>
              <w:rPr>
                <w:rFonts w:hint="default" w:ascii="Times New Roman" w:hAnsi="Times New Roman" w:eastAsia="宋体" w:cs="Times New Roman"/>
                <w:color w:val="auto"/>
                <w:spacing w:val="0"/>
                <w:sz w:val="21"/>
                <w:szCs w:val="21"/>
                <w:highlight w:val="none"/>
              </w:rPr>
              <w:t>废气经</w:t>
            </w:r>
            <w:r>
              <w:rPr>
                <w:rFonts w:hint="default" w:ascii="Times New Roman" w:hAnsi="Times New Roman" w:eastAsia="宋体" w:cs="Times New Roman"/>
                <w:color w:val="auto"/>
                <w:spacing w:val="0"/>
                <w:sz w:val="21"/>
                <w:szCs w:val="21"/>
                <w:highlight w:val="none"/>
                <w:lang w:val="en-US" w:eastAsia="zh-CN"/>
              </w:rPr>
              <w:t>12m</w:t>
            </w:r>
            <w:r>
              <w:rPr>
                <w:rFonts w:hint="default" w:ascii="Times New Roman" w:hAnsi="Times New Roman" w:eastAsia="宋体" w:cs="Times New Roman"/>
                <w:color w:val="auto"/>
                <w:spacing w:val="0"/>
                <w:sz w:val="21"/>
                <w:szCs w:val="21"/>
                <w:highlight w:val="none"/>
              </w:rPr>
              <w:t>高烟囱排放</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lang w:val="en-US" w:eastAsia="zh-CN"/>
              </w:rPr>
              <w:t>燃油锅炉排气筒最低要求8m，高于周围建筑物3m，周围最高建筑为8m，故本项目</w:t>
            </w:r>
            <w:r>
              <w:rPr>
                <w:rFonts w:hint="eastAsia" w:ascii="Times New Roman" w:hAnsi="Times New Roman" w:eastAsia="宋体" w:cs="Times New Roman"/>
                <w:color w:val="auto"/>
                <w:spacing w:val="0"/>
                <w:sz w:val="21"/>
                <w:szCs w:val="21"/>
                <w:highlight w:val="none"/>
                <w:lang w:val="en-US" w:eastAsia="zh-CN"/>
              </w:rPr>
              <w:t>12m高烟囱</w:t>
            </w:r>
            <w:r>
              <w:rPr>
                <w:rFonts w:hint="default" w:ascii="Times New Roman" w:hAnsi="Times New Roman" w:eastAsia="宋体" w:cs="Times New Roman"/>
                <w:color w:val="auto"/>
                <w:spacing w:val="0"/>
                <w:sz w:val="21"/>
                <w:szCs w:val="21"/>
                <w:highlight w:val="none"/>
                <w:lang w:val="en-US" w:eastAsia="zh-CN"/>
              </w:rPr>
              <w:t>合理</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，排放浓度满足</w:t>
            </w:r>
            <w:r>
              <w:rPr>
                <w:rFonts w:hint="default" w:ascii="Times New Roman" w:hAnsi="Times New Roman" w:eastAsia="宋体" w:cs="Times New Roman"/>
                <w:color w:val="auto"/>
                <w:spacing w:val="0"/>
                <w:sz w:val="21"/>
                <w:szCs w:val="21"/>
              </w:rPr>
              <w:t>《锅炉大气污染物排放标准》（GB13271-2014）</w:t>
            </w:r>
            <w:r>
              <w:rPr>
                <w:rFonts w:hint="default" w:ascii="Times New Roman" w:hAnsi="Times New Roman" w:eastAsia="宋体" w:cs="Times New Roman"/>
                <w:color w:val="auto"/>
                <w:spacing w:val="0"/>
                <w:sz w:val="21"/>
                <w:szCs w:val="21"/>
                <w:lang w:val="en-US" w:eastAsia="zh-CN"/>
              </w:rPr>
              <w:t>表2</w:t>
            </w:r>
            <w:r>
              <w:rPr>
                <w:rFonts w:hint="default" w:ascii="Times New Roman" w:hAnsi="Times New Roman" w:eastAsia="宋体" w:cs="Times New Roman"/>
                <w:color w:val="auto"/>
                <w:spacing w:val="0"/>
                <w:sz w:val="21"/>
                <w:szCs w:val="21"/>
              </w:rPr>
              <w:t>中燃</w:t>
            </w:r>
            <w:r>
              <w:rPr>
                <w:rFonts w:hint="default" w:ascii="Times New Roman" w:hAnsi="Times New Roman" w:eastAsia="宋体" w:cs="Times New Roman"/>
                <w:color w:val="auto"/>
                <w:spacing w:val="0"/>
                <w:sz w:val="21"/>
                <w:szCs w:val="21"/>
                <w:lang w:val="en-US" w:eastAsia="zh-CN"/>
              </w:rPr>
              <w:t>油</w:t>
            </w:r>
            <w:r>
              <w:rPr>
                <w:rFonts w:hint="default" w:ascii="Times New Roman" w:hAnsi="Times New Roman" w:eastAsia="宋体" w:cs="Times New Roman"/>
                <w:color w:val="auto"/>
                <w:spacing w:val="0"/>
                <w:sz w:val="21"/>
                <w:szCs w:val="21"/>
              </w:rPr>
              <w:t>锅炉标准</w:t>
            </w:r>
            <w:r>
              <w:rPr>
                <w:rFonts w:hint="default" w:ascii="Times New Roman" w:hAnsi="Times New Roman" w:eastAsia="宋体" w:cs="Times New Roman"/>
                <w:color w:val="auto"/>
                <w:spacing w:val="0"/>
                <w:sz w:val="21"/>
                <w:szCs w:val="21"/>
                <w:highlight w:val="none"/>
              </w:rPr>
              <w:t>（颗粒物≤</w:t>
            </w:r>
            <w:r>
              <w:rPr>
                <w:rFonts w:hint="default" w:ascii="Times New Roman" w:hAnsi="Times New Roman" w:eastAsia="宋体" w:cs="Times New Roman"/>
                <w:color w:val="auto"/>
                <w:spacing w:val="0"/>
                <w:sz w:val="21"/>
                <w:szCs w:val="21"/>
                <w:highlight w:val="none"/>
                <w:lang w:val="en-US" w:eastAsia="zh-CN"/>
              </w:rPr>
              <w:t>3</w:t>
            </w:r>
            <w:r>
              <w:rPr>
                <w:rFonts w:hint="default" w:ascii="Times New Roman" w:hAnsi="Times New Roman" w:eastAsia="宋体" w:cs="Times New Roman"/>
                <w:color w:val="auto"/>
                <w:spacing w:val="0"/>
                <w:sz w:val="21"/>
                <w:szCs w:val="21"/>
                <w:highlight w:val="none"/>
              </w:rPr>
              <w:t>0mg/Nm</w:t>
            </w:r>
            <w:r>
              <w:rPr>
                <w:rFonts w:hint="default" w:ascii="Times New Roman" w:hAnsi="Times New Roman" w:eastAsia="宋体" w:cs="Times New Roman"/>
                <w:color w:val="auto"/>
                <w:spacing w:val="0"/>
                <w:sz w:val="21"/>
                <w:szCs w:val="21"/>
                <w:highlight w:val="none"/>
                <w:vertAlign w:val="superscript"/>
              </w:rPr>
              <w:t>3</w:t>
            </w:r>
            <w:r>
              <w:rPr>
                <w:rFonts w:hint="default" w:ascii="Times New Roman" w:hAnsi="Times New Roman" w:eastAsia="宋体" w:cs="Times New Roman"/>
                <w:color w:val="auto"/>
                <w:spacing w:val="0"/>
                <w:sz w:val="21"/>
                <w:szCs w:val="21"/>
                <w:highlight w:val="none"/>
              </w:rPr>
              <w:t>，SO</w:t>
            </w:r>
            <w:r>
              <w:rPr>
                <w:rFonts w:hint="default" w:ascii="Times New Roman" w:hAnsi="Times New Roman" w:eastAsia="宋体" w:cs="Times New Roman"/>
                <w:color w:val="auto"/>
                <w:spacing w:val="0"/>
                <w:sz w:val="21"/>
                <w:szCs w:val="21"/>
                <w:highlight w:val="none"/>
                <w:vertAlign w:val="subscript"/>
              </w:rPr>
              <w:t>2</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pacing w:val="0"/>
                <w:sz w:val="21"/>
                <w:szCs w:val="21"/>
                <w:highlight w:val="none"/>
                <w:lang w:val="en-US" w:eastAsia="zh-CN"/>
              </w:rPr>
              <w:t>200</w:t>
            </w:r>
            <w:r>
              <w:rPr>
                <w:rFonts w:hint="default" w:ascii="Times New Roman" w:hAnsi="Times New Roman" w:eastAsia="宋体" w:cs="Times New Roman"/>
                <w:color w:val="auto"/>
                <w:spacing w:val="0"/>
                <w:sz w:val="21"/>
                <w:szCs w:val="21"/>
                <w:highlight w:val="none"/>
              </w:rPr>
              <w:t>mg/Nm</w:t>
            </w:r>
            <w:r>
              <w:rPr>
                <w:rFonts w:hint="default" w:ascii="Times New Roman" w:hAnsi="Times New Roman" w:eastAsia="宋体" w:cs="Times New Roman"/>
                <w:color w:val="auto"/>
                <w:spacing w:val="0"/>
                <w:sz w:val="21"/>
                <w:szCs w:val="21"/>
                <w:highlight w:val="none"/>
                <w:vertAlign w:val="superscript"/>
              </w:rPr>
              <w:t>3</w:t>
            </w:r>
            <w:r>
              <w:rPr>
                <w:rFonts w:hint="default" w:ascii="Times New Roman" w:hAnsi="Times New Roman" w:eastAsia="宋体" w:cs="Times New Roman"/>
                <w:color w:val="auto"/>
                <w:spacing w:val="0"/>
                <w:sz w:val="21"/>
                <w:szCs w:val="21"/>
                <w:highlight w:val="none"/>
              </w:rPr>
              <w:t>，NO</w:t>
            </w:r>
            <w:r>
              <w:rPr>
                <w:rFonts w:hint="default" w:ascii="Times New Roman" w:hAnsi="Times New Roman" w:eastAsia="宋体" w:cs="Times New Roman"/>
                <w:color w:val="auto"/>
                <w:spacing w:val="0"/>
                <w:sz w:val="21"/>
                <w:szCs w:val="21"/>
                <w:highlight w:val="none"/>
                <w:vertAlign w:val="subscript"/>
              </w:rPr>
              <w:t>X</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pacing w:val="0"/>
                <w:sz w:val="21"/>
                <w:szCs w:val="21"/>
                <w:highlight w:val="none"/>
                <w:lang w:val="en-US" w:eastAsia="zh-CN"/>
              </w:rPr>
              <w:t>250</w:t>
            </w:r>
            <w:r>
              <w:rPr>
                <w:rFonts w:hint="default" w:ascii="Times New Roman" w:hAnsi="Times New Roman" w:eastAsia="宋体" w:cs="Times New Roman"/>
                <w:color w:val="auto"/>
                <w:spacing w:val="0"/>
                <w:sz w:val="21"/>
                <w:szCs w:val="21"/>
                <w:highlight w:val="none"/>
              </w:rPr>
              <w:t>mg/Nm</w:t>
            </w:r>
            <w:r>
              <w:rPr>
                <w:rFonts w:hint="default" w:ascii="Times New Roman" w:hAnsi="Times New Roman" w:eastAsia="宋体" w:cs="Times New Roman"/>
                <w:color w:val="auto"/>
                <w:spacing w:val="0"/>
                <w:sz w:val="21"/>
                <w:szCs w:val="21"/>
                <w:highlight w:val="none"/>
                <w:vertAlign w:val="superscript"/>
              </w:rPr>
              <w:t>3</w:t>
            </w:r>
            <w:r>
              <w:rPr>
                <w:rFonts w:hint="default" w:ascii="Times New Roman" w:hAnsi="Times New Roman" w:eastAsia="宋体" w:cs="Times New Roman"/>
                <w:color w:val="auto"/>
                <w:spacing w:val="0"/>
                <w:sz w:val="21"/>
                <w:szCs w:val="21"/>
                <w:highlight w:val="none"/>
              </w:rPr>
              <w:t>）</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highlight w:val="none"/>
                <w:lang w:eastAsia="zh-CN"/>
              </w:rPr>
              <w:t>燃</w:t>
            </w:r>
            <w:r>
              <w:rPr>
                <w:rFonts w:hint="default" w:ascii="Times New Roman" w:hAnsi="Times New Roman" w:eastAsia="宋体" w:cs="Times New Roman"/>
                <w:color w:val="auto"/>
                <w:spacing w:val="0"/>
                <w:sz w:val="21"/>
                <w:szCs w:val="21"/>
                <w:highlight w:val="none"/>
                <w:lang w:val="en-US" w:eastAsia="zh-CN"/>
              </w:rPr>
              <w:t>油</w:t>
            </w:r>
            <w:r>
              <w:rPr>
                <w:rFonts w:hint="default" w:ascii="Times New Roman" w:hAnsi="Times New Roman" w:eastAsia="宋体" w:cs="Times New Roman"/>
                <w:color w:val="auto"/>
                <w:spacing w:val="0"/>
                <w:sz w:val="21"/>
                <w:szCs w:val="21"/>
                <w:highlight w:val="none"/>
              </w:rPr>
              <w:t>锅炉</w:t>
            </w:r>
            <w:r>
              <w:rPr>
                <w:rFonts w:hint="default" w:ascii="Times New Roman" w:hAnsi="Times New Roman" w:eastAsia="宋体" w:cs="Times New Roman"/>
                <w:color w:val="auto"/>
                <w:spacing w:val="0"/>
                <w:sz w:val="21"/>
                <w:szCs w:val="21"/>
                <w:highlight w:val="none"/>
                <w:lang w:eastAsia="zh-CN"/>
              </w:rPr>
              <w:t>采取低氮燃烧技术，</w:t>
            </w:r>
            <w:r>
              <w:rPr>
                <w:rFonts w:hint="default" w:ascii="Times New Roman" w:hAnsi="Times New Roman" w:eastAsia="宋体" w:cs="Times New Roman"/>
                <w:color w:val="auto"/>
                <w:spacing w:val="0"/>
                <w:sz w:val="21"/>
                <w:szCs w:val="21"/>
                <w:highlight w:val="none"/>
              </w:rPr>
              <w:t>废气经</w:t>
            </w:r>
            <w:r>
              <w:rPr>
                <w:rFonts w:hint="default" w:ascii="Times New Roman" w:hAnsi="Times New Roman" w:eastAsia="宋体" w:cs="Times New Roman"/>
                <w:color w:val="auto"/>
                <w:spacing w:val="0"/>
                <w:sz w:val="21"/>
                <w:szCs w:val="21"/>
                <w:highlight w:val="none"/>
                <w:lang w:val="en-US" w:eastAsia="zh-CN"/>
              </w:rPr>
              <w:t>12m</w:t>
            </w:r>
            <w:r>
              <w:rPr>
                <w:rFonts w:hint="default" w:ascii="Times New Roman" w:hAnsi="Times New Roman" w:eastAsia="宋体" w:cs="Times New Roman"/>
                <w:color w:val="auto"/>
                <w:spacing w:val="0"/>
                <w:sz w:val="21"/>
                <w:szCs w:val="21"/>
                <w:highlight w:val="none"/>
              </w:rPr>
              <w:t>高烟囱排放</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lang w:val="en-US" w:eastAsia="zh-CN"/>
              </w:rPr>
              <w:t>燃油锅炉排气筒最低要求8m，高于周围建筑物3m，周围最高建筑为8m，故本项目</w:t>
            </w:r>
            <w:r>
              <w:rPr>
                <w:rFonts w:hint="eastAsia" w:ascii="Times New Roman" w:hAnsi="Times New Roman" w:eastAsia="宋体" w:cs="Times New Roman"/>
                <w:color w:val="auto"/>
                <w:spacing w:val="0"/>
                <w:sz w:val="21"/>
                <w:szCs w:val="21"/>
                <w:highlight w:val="none"/>
                <w:lang w:val="en-US" w:eastAsia="zh-CN"/>
              </w:rPr>
              <w:t>12m高烟囱</w:t>
            </w:r>
            <w:r>
              <w:rPr>
                <w:rFonts w:hint="default" w:ascii="Times New Roman" w:hAnsi="Times New Roman" w:eastAsia="宋体" w:cs="Times New Roman"/>
                <w:color w:val="auto"/>
                <w:spacing w:val="0"/>
                <w:sz w:val="21"/>
                <w:szCs w:val="21"/>
                <w:highlight w:val="none"/>
                <w:lang w:val="en-US" w:eastAsia="zh-CN"/>
              </w:rPr>
              <w:t>合理</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，排放浓度及排放速率满足</w:t>
            </w:r>
            <w:r>
              <w:rPr>
                <w:rFonts w:hint="default" w:ascii="Times New Roman" w:hAnsi="Times New Roman" w:eastAsia="宋体" w:cs="Times New Roman"/>
                <w:color w:val="auto"/>
                <w:spacing w:val="0"/>
                <w:sz w:val="21"/>
                <w:szCs w:val="21"/>
              </w:rPr>
              <w:t>《锅炉大气污染物排放标准》（GB13271-2014）</w:t>
            </w:r>
            <w:r>
              <w:rPr>
                <w:rFonts w:hint="default" w:ascii="Times New Roman" w:hAnsi="Times New Roman" w:eastAsia="宋体" w:cs="Times New Roman"/>
                <w:color w:val="auto"/>
                <w:spacing w:val="0"/>
                <w:sz w:val="21"/>
                <w:szCs w:val="21"/>
                <w:lang w:val="en-US" w:eastAsia="zh-CN"/>
              </w:rPr>
              <w:t>表2</w:t>
            </w:r>
            <w:r>
              <w:rPr>
                <w:rFonts w:hint="default" w:ascii="Times New Roman" w:hAnsi="Times New Roman" w:eastAsia="宋体" w:cs="Times New Roman"/>
                <w:color w:val="auto"/>
                <w:spacing w:val="0"/>
                <w:sz w:val="21"/>
                <w:szCs w:val="21"/>
              </w:rPr>
              <w:t>中燃</w:t>
            </w:r>
            <w:r>
              <w:rPr>
                <w:rFonts w:hint="default" w:ascii="Times New Roman" w:hAnsi="Times New Roman" w:eastAsia="宋体" w:cs="Times New Roman"/>
                <w:color w:val="auto"/>
                <w:spacing w:val="0"/>
                <w:sz w:val="21"/>
                <w:szCs w:val="21"/>
                <w:lang w:val="en-US" w:eastAsia="zh-CN"/>
              </w:rPr>
              <w:t>油</w:t>
            </w:r>
            <w:r>
              <w:rPr>
                <w:rFonts w:hint="default" w:ascii="Times New Roman" w:hAnsi="Times New Roman" w:eastAsia="宋体" w:cs="Times New Roman"/>
                <w:color w:val="auto"/>
                <w:spacing w:val="0"/>
                <w:sz w:val="21"/>
                <w:szCs w:val="21"/>
              </w:rPr>
              <w:t>锅炉标准</w:t>
            </w:r>
            <w:r>
              <w:rPr>
                <w:rFonts w:hint="default" w:ascii="Times New Roman" w:hAnsi="Times New Roman" w:eastAsia="宋体" w:cs="Times New Roman"/>
                <w:color w:val="auto"/>
                <w:spacing w:val="0"/>
                <w:sz w:val="21"/>
                <w:szCs w:val="21"/>
                <w:highlight w:val="none"/>
              </w:rPr>
              <w:t>（颗粒物≤</w:t>
            </w:r>
            <w:r>
              <w:rPr>
                <w:rFonts w:hint="default" w:ascii="Times New Roman" w:hAnsi="Times New Roman" w:eastAsia="宋体" w:cs="Times New Roman"/>
                <w:color w:val="auto"/>
                <w:spacing w:val="0"/>
                <w:sz w:val="21"/>
                <w:szCs w:val="21"/>
                <w:highlight w:val="none"/>
                <w:lang w:val="en-US" w:eastAsia="zh-CN"/>
              </w:rPr>
              <w:t>3</w:t>
            </w:r>
            <w:r>
              <w:rPr>
                <w:rFonts w:hint="default" w:ascii="Times New Roman" w:hAnsi="Times New Roman" w:eastAsia="宋体" w:cs="Times New Roman"/>
                <w:color w:val="auto"/>
                <w:spacing w:val="0"/>
                <w:sz w:val="21"/>
                <w:szCs w:val="21"/>
                <w:highlight w:val="none"/>
              </w:rPr>
              <w:t>0mg/Nm</w:t>
            </w:r>
            <w:r>
              <w:rPr>
                <w:rFonts w:hint="default" w:ascii="Times New Roman" w:hAnsi="Times New Roman" w:eastAsia="宋体" w:cs="Times New Roman"/>
                <w:color w:val="auto"/>
                <w:spacing w:val="0"/>
                <w:sz w:val="21"/>
                <w:szCs w:val="21"/>
                <w:highlight w:val="none"/>
                <w:vertAlign w:val="superscript"/>
              </w:rPr>
              <w:t>3</w:t>
            </w:r>
            <w:r>
              <w:rPr>
                <w:rFonts w:hint="default" w:ascii="Times New Roman" w:hAnsi="Times New Roman" w:eastAsia="宋体" w:cs="Times New Roman"/>
                <w:color w:val="auto"/>
                <w:spacing w:val="0"/>
                <w:sz w:val="21"/>
                <w:szCs w:val="21"/>
                <w:highlight w:val="none"/>
              </w:rPr>
              <w:t>，SO</w:t>
            </w:r>
            <w:r>
              <w:rPr>
                <w:rFonts w:hint="default" w:ascii="Times New Roman" w:hAnsi="Times New Roman" w:eastAsia="宋体" w:cs="Times New Roman"/>
                <w:color w:val="auto"/>
                <w:spacing w:val="0"/>
                <w:sz w:val="21"/>
                <w:szCs w:val="21"/>
                <w:highlight w:val="none"/>
                <w:vertAlign w:val="subscript"/>
              </w:rPr>
              <w:t>2</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pacing w:val="0"/>
                <w:sz w:val="21"/>
                <w:szCs w:val="21"/>
                <w:highlight w:val="none"/>
                <w:lang w:val="en-US" w:eastAsia="zh-CN"/>
              </w:rPr>
              <w:t>200</w:t>
            </w:r>
            <w:r>
              <w:rPr>
                <w:rFonts w:hint="default" w:ascii="Times New Roman" w:hAnsi="Times New Roman" w:eastAsia="宋体" w:cs="Times New Roman"/>
                <w:color w:val="auto"/>
                <w:spacing w:val="0"/>
                <w:sz w:val="21"/>
                <w:szCs w:val="21"/>
                <w:highlight w:val="none"/>
              </w:rPr>
              <w:t>mg/Nm</w:t>
            </w:r>
            <w:r>
              <w:rPr>
                <w:rFonts w:hint="default" w:ascii="Times New Roman" w:hAnsi="Times New Roman" w:eastAsia="宋体" w:cs="Times New Roman"/>
                <w:color w:val="auto"/>
                <w:spacing w:val="0"/>
                <w:sz w:val="21"/>
                <w:szCs w:val="21"/>
                <w:highlight w:val="none"/>
                <w:vertAlign w:val="superscript"/>
              </w:rPr>
              <w:t>3</w:t>
            </w:r>
            <w:r>
              <w:rPr>
                <w:rFonts w:hint="default" w:ascii="Times New Roman" w:hAnsi="Times New Roman" w:eastAsia="宋体" w:cs="Times New Roman"/>
                <w:color w:val="auto"/>
                <w:spacing w:val="0"/>
                <w:sz w:val="21"/>
                <w:szCs w:val="21"/>
                <w:highlight w:val="none"/>
              </w:rPr>
              <w:t>，NO</w:t>
            </w:r>
            <w:r>
              <w:rPr>
                <w:rFonts w:hint="default" w:ascii="Times New Roman" w:hAnsi="Times New Roman" w:eastAsia="宋体" w:cs="Times New Roman"/>
                <w:color w:val="auto"/>
                <w:spacing w:val="0"/>
                <w:sz w:val="21"/>
                <w:szCs w:val="21"/>
                <w:highlight w:val="none"/>
                <w:vertAlign w:val="subscript"/>
              </w:rPr>
              <w:t>X</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pacing w:val="0"/>
                <w:sz w:val="21"/>
                <w:szCs w:val="21"/>
                <w:highlight w:val="none"/>
                <w:lang w:val="en-US" w:eastAsia="zh-CN"/>
              </w:rPr>
              <w:t>250</w:t>
            </w:r>
            <w:r>
              <w:rPr>
                <w:rFonts w:hint="default" w:ascii="Times New Roman" w:hAnsi="Times New Roman" w:eastAsia="宋体" w:cs="Times New Roman"/>
                <w:color w:val="auto"/>
                <w:spacing w:val="0"/>
                <w:sz w:val="21"/>
                <w:szCs w:val="21"/>
                <w:highlight w:val="none"/>
              </w:rPr>
              <w:t>mg/Nm</w:t>
            </w:r>
            <w:r>
              <w:rPr>
                <w:rFonts w:hint="default" w:ascii="Times New Roman" w:hAnsi="Times New Roman" w:eastAsia="宋体" w:cs="Times New Roman"/>
                <w:color w:val="auto"/>
                <w:spacing w:val="0"/>
                <w:sz w:val="21"/>
                <w:szCs w:val="21"/>
                <w:highlight w:val="none"/>
                <w:vertAlign w:val="superscript"/>
              </w:rPr>
              <w:t>3</w:t>
            </w:r>
            <w:r>
              <w:rPr>
                <w:rFonts w:hint="default" w:ascii="Times New Roman" w:hAnsi="Times New Roman" w:eastAsia="宋体" w:cs="Times New Roman"/>
                <w:color w:val="auto"/>
                <w:spacing w:val="0"/>
                <w:sz w:val="21"/>
                <w:szCs w:val="21"/>
                <w:highlight w:val="none"/>
              </w:rPr>
              <w:t>）</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highlight w:val="none"/>
                <w:lang w:val="en-US" w:eastAsia="zh-CN"/>
              </w:rPr>
              <w:t>依托现有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eastAsia="zh-CN"/>
              </w:rPr>
            </w:pPr>
          </w:p>
        </w:tc>
        <w:tc>
          <w:tcPr>
            <w:tcW w:w="185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待宰</w:t>
            </w:r>
            <w:r>
              <w:rPr>
                <w:rFonts w:hint="default" w:ascii="Times New Roman" w:hAnsi="Times New Roman" w:eastAsia="宋体" w:cs="Times New Roman"/>
                <w:color w:val="auto"/>
                <w:spacing w:val="0"/>
                <w:sz w:val="21"/>
                <w:szCs w:val="21"/>
                <w:lang w:val="en-US" w:eastAsia="zh-CN"/>
              </w:rPr>
              <w:t>圈</w:t>
            </w:r>
            <w:r>
              <w:rPr>
                <w:rFonts w:hint="default" w:ascii="Times New Roman" w:hAnsi="Times New Roman" w:eastAsia="宋体" w:cs="Times New Roman"/>
                <w:color w:val="auto"/>
                <w:spacing w:val="0"/>
                <w:sz w:val="21"/>
                <w:szCs w:val="21"/>
              </w:rPr>
              <w:t>产生的无组织恶臭通过及时清扫猪粪，喷洒除臭剂，并将猪粪及时外运综合利用，减少恶臭源的散发</w:t>
            </w:r>
            <w:r>
              <w:rPr>
                <w:rFonts w:hint="eastAsia" w:ascii="Times New Roman" w:hAnsi="Times New Roman" w:eastAsia="宋体" w:cs="Times New Roman"/>
                <w:color w:val="auto"/>
                <w:spacing w:val="0"/>
                <w:sz w:val="21"/>
                <w:szCs w:val="21"/>
                <w:lang w:eastAsia="zh-CN"/>
              </w:rPr>
              <w:t>；</w:t>
            </w:r>
            <w:r>
              <w:rPr>
                <w:rFonts w:hint="default" w:ascii="Times New Roman" w:hAnsi="Times New Roman" w:eastAsia="宋体" w:cs="Times New Roman"/>
                <w:color w:val="auto"/>
                <w:spacing w:val="0"/>
                <w:sz w:val="21"/>
                <w:szCs w:val="21"/>
              </w:rPr>
              <w:t>污水处理站产生的无组织恶臭通过喷洒除臭剂</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pacing w:val="0"/>
                <w:sz w:val="21"/>
                <w:szCs w:val="21"/>
              </w:rPr>
              <w:t>减少恶臭源的散发</w:t>
            </w:r>
            <w:r>
              <w:rPr>
                <w:rFonts w:hint="eastAsia" w:ascii="Times New Roman" w:hAnsi="Times New Roman" w:eastAsia="宋体" w:cs="Times New Roman"/>
                <w:color w:val="auto"/>
                <w:spacing w:val="0"/>
                <w:sz w:val="21"/>
                <w:szCs w:val="21"/>
                <w:lang w:eastAsia="zh-CN"/>
              </w:rPr>
              <w:t>；</w:t>
            </w:r>
            <w:r>
              <w:rPr>
                <w:rFonts w:hint="default" w:ascii="Times New Roman" w:hAnsi="Times New Roman" w:eastAsia="宋体" w:cs="Times New Roman"/>
                <w:color w:val="auto"/>
                <w:spacing w:val="0"/>
                <w:sz w:val="21"/>
                <w:szCs w:val="21"/>
              </w:rPr>
              <w:t>屠宰车间产生的无组织恶臭通过喷洒除臭剂</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pacing w:val="0"/>
                <w:sz w:val="21"/>
                <w:szCs w:val="21"/>
              </w:rPr>
              <w:t>减少恶臭源的散发</w:t>
            </w:r>
            <w:r>
              <w:rPr>
                <w:rFonts w:hint="eastAsia" w:ascii="Times New Roman" w:hAnsi="Times New Roman" w:eastAsia="宋体" w:cs="Times New Roman"/>
                <w:color w:val="auto"/>
                <w:spacing w:val="0"/>
                <w:sz w:val="21"/>
                <w:szCs w:val="21"/>
                <w:lang w:eastAsia="zh-CN"/>
              </w:rPr>
              <w:t>；</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厂界H</w:t>
            </w:r>
            <w:r>
              <w:rPr>
                <w:rFonts w:hint="default" w:ascii="Times New Roman" w:hAnsi="Times New Roman" w:eastAsia="宋体" w:cs="Times New Roman"/>
                <w:color w:val="000000" w:themeColor="text1"/>
                <w:spacing w:val="0"/>
                <w:sz w:val="21"/>
                <w:szCs w:val="21"/>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S、NH</w:t>
            </w:r>
            <w:r>
              <w:rPr>
                <w:rFonts w:hint="default" w:ascii="Times New Roman" w:hAnsi="Times New Roman" w:eastAsia="宋体" w:cs="Times New Roman"/>
                <w:color w:val="000000" w:themeColor="text1"/>
                <w:spacing w:val="0"/>
                <w:sz w:val="21"/>
                <w:szCs w:val="21"/>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臭气浓度满足《恶臭污染物排放标准》（GB14554-93）表1二级标准限值，厂界非甲烷总烃排放浓度满足《大气污染物综合排放标准》（GB16297-1996）无组织排放监控浓度限值，储罐周边非甲烷总烃排放浓度满足《挥发性有机物无组织排放控制标准》（GB37822-2019）表A.1中排放限值标准。</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eastAsia="zh-CN"/>
              </w:rPr>
              <w:t>待宰</w:t>
            </w:r>
            <w:r>
              <w:rPr>
                <w:rFonts w:hint="default" w:ascii="Times New Roman" w:hAnsi="Times New Roman" w:eastAsia="宋体" w:cs="Times New Roman"/>
                <w:color w:val="auto"/>
                <w:spacing w:val="0"/>
                <w:sz w:val="21"/>
                <w:szCs w:val="21"/>
                <w:highlight w:val="none"/>
                <w:lang w:val="en-US" w:eastAsia="zh-CN"/>
              </w:rPr>
              <w:t>圈</w:t>
            </w:r>
            <w:r>
              <w:rPr>
                <w:rFonts w:hint="default" w:ascii="Times New Roman" w:hAnsi="Times New Roman" w:eastAsia="宋体" w:cs="Times New Roman"/>
                <w:color w:val="auto"/>
                <w:spacing w:val="0"/>
                <w:sz w:val="21"/>
                <w:szCs w:val="21"/>
                <w:highlight w:val="none"/>
                <w:lang w:eastAsia="zh-CN"/>
              </w:rPr>
              <w:t>全封闭设置，定期喷洒生物除臭剂，除臭效率</w:t>
            </w:r>
            <w:r>
              <w:rPr>
                <w:rFonts w:hint="default" w:ascii="Times New Roman" w:hAnsi="Times New Roman" w:eastAsia="宋体" w:cs="Times New Roman"/>
                <w:color w:val="auto"/>
                <w:spacing w:val="0"/>
                <w:sz w:val="21"/>
                <w:szCs w:val="21"/>
                <w:highlight w:val="none"/>
                <w:lang w:val="en-US" w:eastAsia="zh-CN"/>
              </w:rPr>
              <w:t>50%，</w:t>
            </w:r>
            <w:r>
              <w:rPr>
                <w:rFonts w:hint="default" w:ascii="Times New Roman" w:hAnsi="Times New Roman" w:eastAsia="宋体" w:cs="Times New Roman"/>
                <w:color w:val="auto"/>
                <w:spacing w:val="0"/>
                <w:sz w:val="21"/>
                <w:szCs w:val="21"/>
                <w:highlight w:val="none"/>
              </w:rPr>
              <w:t>恶臭气体集中收集经活性炭吸附后，由15m高排气筒排放</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收集率约</w:t>
            </w:r>
            <w:r>
              <w:rPr>
                <w:rFonts w:hint="default" w:ascii="Times New Roman" w:hAnsi="Times New Roman" w:eastAsia="宋体" w:cs="Times New Roman"/>
                <w:color w:val="auto"/>
                <w:spacing w:val="0"/>
                <w:sz w:val="21"/>
                <w:szCs w:val="21"/>
                <w:highlight w:val="none"/>
                <w:lang w:val="en-US" w:eastAsia="zh-CN"/>
              </w:rPr>
              <w:t>8</w:t>
            </w:r>
            <w:r>
              <w:rPr>
                <w:rFonts w:hint="default" w:ascii="Times New Roman" w:hAnsi="Times New Roman" w:eastAsia="宋体" w:cs="Times New Roman"/>
                <w:color w:val="auto"/>
                <w:spacing w:val="0"/>
                <w:sz w:val="21"/>
                <w:szCs w:val="21"/>
                <w:highlight w:val="none"/>
              </w:rPr>
              <w:t>0%左右</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净化效率</w:t>
            </w:r>
            <w:r>
              <w:rPr>
                <w:rFonts w:hint="default" w:ascii="Times New Roman" w:hAnsi="Times New Roman" w:eastAsia="宋体" w:cs="Times New Roman"/>
                <w:color w:val="auto"/>
                <w:spacing w:val="0"/>
                <w:sz w:val="21"/>
                <w:szCs w:val="21"/>
                <w:highlight w:val="none"/>
                <w:lang w:val="en-US" w:eastAsia="zh-CN"/>
              </w:rPr>
              <w:t>7</w:t>
            </w:r>
            <w:r>
              <w:rPr>
                <w:rFonts w:hint="default" w:ascii="Times New Roman" w:hAnsi="Times New Roman" w:eastAsia="宋体" w:cs="Times New Roman"/>
                <w:color w:val="auto"/>
                <w:spacing w:val="0"/>
                <w:sz w:val="21"/>
                <w:szCs w:val="21"/>
                <w:highlight w:val="none"/>
              </w:rPr>
              <w:t>0%</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经净化后满足《恶臭污染物排放标准》（GB14554-93）中15m高排气筒对应排放量的要求</w:t>
            </w:r>
            <w:r>
              <w:rPr>
                <w:rFonts w:hint="default" w:ascii="Times New Roman" w:hAnsi="Times New Roman" w:eastAsia="宋体" w:cs="Times New Roman"/>
                <w:color w:val="auto"/>
                <w:spacing w:val="0"/>
                <w:sz w:val="21"/>
                <w:szCs w:val="21"/>
                <w:highlight w:val="none"/>
                <w:lang w:eastAsia="zh-CN"/>
              </w:rPr>
              <w:t>。</w:t>
            </w:r>
          </w:p>
        </w:tc>
        <w:tc>
          <w:tcPr>
            <w:tcW w:w="65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活性炭吸附装置及排气筒新建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eastAsia="zh-CN"/>
              </w:rPr>
            </w:pPr>
          </w:p>
        </w:tc>
        <w:tc>
          <w:tcPr>
            <w:tcW w:w="185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lang w:eastAsia="zh-CN"/>
              </w:rPr>
            </w:pP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污水处理站封闭设置，沉淀池和调节池密闭收集气体，为地下式结构，其他池体为地上式结构，经密闭管道负压收集经活性炭吸附后，由15m高排气筒排放，收集率约90%左右，恶臭气体净化率不低于70%。</w:t>
            </w:r>
            <w:r>
              <w:rPr>
                <w:rFonts w:hint="default" w:ascii="Times New Roman" w:hAnsi="Times New Roman" w:eastAsia="宋体" w:cs="Times New Roman"/>
                <w:color w:val="auto"/>
                <w:spacing w:val="0"/>
                <w:sz w:val="21"/>
                <w:szCs w:val="21"/>
                <w:highlight w:val="none"/>
              </w:rPr>
              <w:t>经净化后满足《恶臭污染物排放标准》（GB14554-93）中15m高排气筒对应排放量的要求</w:t>
            </w:r>
            <w:r>
              <w:rPr>
                <w:rFonts w:hint="default" w:ascii="Times New Roman" w:hAnsi="Times New Roman" w:eastAsia="宋体" w:cs="Times New Roman"/>
                <w:color w:val="auto"/>
                <w:spacing w:val="0"/>
                <w:sz w:val="21"/>
                <w:szCs w:val="21"/>
                <w:highlight w:val="none"/>
                <w:lang w:eastAsia="zh-CN"/>
              </w:rPr>
              <w:t>。</w:t>
            </w:r>
          </w:p>
        </w:tc>
        <w:tc>
          <w:tcPr>
            <w:tcW w:w="6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eastAsia="zh-CN"/>
              </w:rPr>
            </w:pPr>
          </w:p>
        </w:tc>
        <w:tc>
          <w:tcPr>
            <w:tcW w:w="185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lang w:eastAsia="zh-CN"/>
              </w:rPr>
            </w:pP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屠宰车间封闭，恶臭气体集中收集经活性炭吸附后，由15m高排气筒排放</w:t>
            </w:r>
            <w:r>
              <w:rPr>
                <w:rFonts w:hint="default" w:ascii="Times New Roman" w:hAnsi="Times New Roman" w:eastAsia="宋体" w:cs="Times New Roman"/>
                <w:color w:val="auto"/>
                <w:spacing w:val="0"/>
                <w:sz w:val="21"/>
                <w:szCs w:val="21"/>
                <w:lang w:eastAsia="zh-CN"/>
              </w:rPr>
              <w:t>，</w:t>
            </w:r>
            <w:r>
              <w:rPr>
                <w:rFonts w:hint="default" w:ascii="Times New Roman" w:hAnsi="Times New Roman" w:eastAsia="宋体" w:cs="Times New Roman"/>
                <w:color w:val="auto"/>
                <w:spacing w:val="0"/>
                <w:sz w:val="21"/>
                <w:szCs w:val="21"/>
              </w:rPr>
              <w:t>收集率约</w:t>
            </w:r>
            <w:r>
              <w:rPr>
                <w:rFonts w:hint="default" w:ascii="Times New Roman" w:hAnsi="Times New Roman" w:eastAsia="宋体" w:cs="Times New Roman"/>
                <w:color w:val="auto"/>
                <w:spacing w:val="0"/>
                <w:sz w:val="21"/>
                <w:szCs w:val="21"/>
                <w:lang w:val="en-US" w:eastAsia="zh-CN"/>
              </w:rPr>
              <w:t>8</w:t>
            </w:r>
            <w:r>
              <w:rPr>
                <w:rFonts w:hint="default" w:ascii="Times New Roman" w:hAnsi="Times New Roman" w:eastAsia="宋体" w:cs="Times New Roman"/>
                <w:color w:val="auto"/>
                <w:spacing w:val="0"/>
                <w:sz w:val="21"/>
                <w:szCs w:val="21"/>
              </w:rPr>
              <w:t>0%左右</w:t>
            </w:r>
            <w:r>
              <w:rPr>
                <w:rFonts w:hint="default" w:ascii="Times New Roman" w:hAnsi="Times New Roman" w:eastAsia="宋体" w:cs="Times New Roman"/>
                <w:color w:val="auto"/>
                <w:spacing w:val="0"/>
                <w:sz w:val="21"/>
                <w:szCs w:val="21"/>
                <w:lang w:eastAsia="zh-CN"/>
              </w:rPr>
              <w:t>，</w:t>
            </w:r>
            <w:r>
              <w:rPr>
                <w:rFonts w:hint="default" w:ascii="Times New Roman" w:hAnsi="Times New Roman" w:eastAsia="宋体" w:cs="Times New Roman"/>
                <w:color w:val="auto"/>
                <w:spacing w:val="0"/>
                <w:sz w:val="21"/>
                <w:szCs w:val="21"/>
              </w:rPr>
              <w:t>净化效率</w:t>
            </w:r>
            <w:r>
              <w:rPr>
                <w:rFonts w:hint="default" w:ascii="Times New Roman" w:hAnsi="Times New Roman" w:eastAsia="宋体" w:cs="Times New Roman"/>
                <w:color w:val="auto"/>
                <w:spacing w:val="0"/>
                <w:sz w:val="21"/>
                <w:szCs w:val="21"/>
                <w:lang w:val="en-US" w:eastAsia="zh-CN"/>
              </w:rPr>
              <w:t>7</w:t>
            </w:r>
            <w:r>
              <w:rPr>
                <w:rFonts w:hint="default" w:ascii="Times New Roman" w:hAnsi="Times New Roman" w:eastAsia="宋体" w:cs="Times New Roman"/>
                <w:color w:val="auto"/>
                <w:spacing w:val="0"/>
                <w:sz w:val="21"/>
                <w:szCs w:val="21"/>
              </w:rPr>
              <w:t>0%</w:t>
            </w:r>
            <w:r>
              <w:rPr>
                <w:rFonts w:hint="default" w:ascii="Times New Roman" w:hAnsi="Times New Roman" w:eastAsia="宋体" w:cs="Times New Roman"/>
                <w:color w:val="auto"/>
                <w:spacing w:val="0"/>
                <w:sz w:val="21"/>
                <w:szCs w:val="21"/>
                <w:lang w:eastAsia="zh-CN"/>
              </w:rPr>
              <w:t>，</w:t>
            </w:r>
            <w:r>
              <w:rPr>
                <w:rFonts w:hint="default" w:ascii="Times New Roman" w:hAnsi="Times New Roman" w:eastAsia="宋体" w:cs="Times New Roman"/>
                <w:color w:val="auto"/>
                <w:spacing w:val="0"/>
                <w:sz w:val="21"/>
                <w:szCs w:val="21"/>
                <w:highlight w:val="none"/>
              </w:rPr>
              <w:t>经净化后满足《恶臭污染物排放标准》（GB14554-93）中15m高排气筒对应排放量的要求</w:t>
            </w:r>
            <w:r>
              <w:rPr>
                <w:rFonts w:hint="default" w:ascii="Times New Roman" w:hAnsi="Times New Roman" w:eastAsia="宋体" w:cs="Times New Roman"/>
                <w:color w:val="auto"/>
                <w:spacing w:val="0"/>
                <w:sz w:val="21"/>
                <w:szCs w:val="21"/>
                <w:highlight w:val="none"/>
                <w:lang w:eastAsia="zh-CN"/>
              </w:rPr>
              <w:t>。</w:t>
            </w:r>
          </w:p>
        </w:tc>
        <w:tc>
          <w:tcPr>
            <w:tcW w:w="6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68"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eastAsia="zh-CN"/>
              </w:rPr>
            </w:pPr>
          </w:p>
        </w:tc>
        <w:tc>
          <w:tcPr>
            <w:tcW w:w="185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0000FF"/>
                <w:spacing w:val="0"/>
                <w:sz w:val="21"/>
                <w:szCs w:val="21"/>
                <w:highlight w:val="none"/>
                <w:lang w:val="en-US" w:eastAsia="zh-CN"/>
              </w:rPr>
            </w:pP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待宰</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圈</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产生的无组织恶臭通过及时清扫猪粪，喷洒除臭剂，并将猪粪及时外运综合利用，减少恶臭源的散发</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污水处理站</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屠宰车间产生的无组织恶臭通过喷洒除臭剂，减少恶臭源的散发</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固废暂存间全密闭，日产日清，喷洒生物除臭剂，除臭效率</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50%，增加通风次数，</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加强恶臭气体的扩散；</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猪粪防渗池密闭加盖贮存于待宰圈内；肠胃内</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容物</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通过</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风送设备排至肠内物收集池</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封闭贮存；</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污水处理站污泥和栅渣经无害化处理后，暂存于污泥暂存池内，密闭存储；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柴油储罐配套一根气相平衡管，卸油时产生非甲烷总烃经管线排入加油车中，油气回收效率90%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0000FF"/>
                <w:spacing w:val="0"/>
                <w:sz w:val="21"/>
                <w:szCs w:val="21"/>
                <w:highlight w:val="none"/>
                <w:lang w:val="en-US" w:eastAsia="zh-CN"/>
              </w:rPr>
            </w:pP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厂界H</w:t>
            </w:r>
            <w:r>
              <w:rPr>
                <w:rFonts w:hint="default" w:ascii="Times New Roman" w:hAnsi="Times New Roman" w:eastAsia="宋体" w:cs="Times New Roman"/>
                <w:color w:val="000000" w:themeColor="text1"/>
                <w:spacing w:val="0"/>
                <w:sz w:val="21"/>
                <w:szCs w:val="21"/>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S、NH</w:t>
            </w:r>
            <w:r>
              <w:rPr>
                <w:rFonts w:hint="default" w:ascii="Times New Roman" w:hAnsi="Times New Roman" w:eastAsia="宋体" w:cs="Times New Roman"/>
                <w:color w:val="000000" w:themeColor="text1"/>
                <w:spacing w:val="0"/>
                <w:sz w:val="21"/>
                <w:szCs w:val="21"/>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臭气浓度满足《恶臭污染物排放标准》（GB14554-93）表1二级标准限值，厂界非甲烷总烃排放浓度满足《大气污染物综合排放标准》（GB16297-1996）无组织排放监控浓度限值，储罐周边非甲烷总烃排放浓度满足《挥发性有机物无组织排放控制标准》（GB37822-2019）表A.1中排放限值标准。</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柴油储罐配套一根气相平衡管</w:t>
            </w:r>
            <w:r>
              <w:rPr>
                <w:rFonts w:hint="eastAsia" w:ascii="Times New Roman" w:hAnsi="Times New Roman" w:eastAsia="宋体" w:cs="Times New Roman"/>
                <w:color w:val="auto"/>
                <w:spacing w:val="0"/>
                <w:sz w:val="21"/>
                <w:szCs w:val="21"/>
                <w:highlight w:val="none"/>
                <w:lang w:val="en-US" w:eastAsia="zh-CN"/>
              </w:rPr>
              <w:t>新建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噪声</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治理</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噪声源采取隔声减振等消声、降噪处理措施</w:t>
            </w:r>
            <w:r>
              <w:rPr>
                <w:rFonts w:hint="default" w:ascii="Times New Roman" w:hAnsi="Times New Roman" w:eastAsia="宋体" w:cs="Times New Roman"/>
                <w:color w:val="auto"/>
                <w:spacing w:val="0"/>
                <w:sz w:val="21"/>
                <w:szCs w:val="21"/>
                <w:lang w:eastAsia="zh-CN"/>
              </w:rPr>
              <w:t>。</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val="en-US" w:eastAsia="zh-CN"/>
              </w:rPr>
              <w:t>对新增</w:t>
            </w:r>
            <w:r>
              <w:rPr>
                <w:rFonts w:hint="default" w:ascii="Times New Roman" w:hAnsi="Times New Roman" w:eastAsia="宋体" w:cs="Times New Roman"/>
                <w:color w:val="auto"/>
                <w:spacing w:val="0"/>
                <w:sz w:val="21"/>
                <w:szCs w:val="21"/>
              </w:rPr>
              <w:t>噪声源采取隔声减振等消声、降噪处理措施</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highlight w:val="none"/>
                <w:lang w:val="en-US" w:eastAsia="zh-CN"/>
              </w:rPr>
              <w:t>依托现有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固体</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highlight w:val="none"/>
                <w:lang w:val="en-US" w:eastAsia="zh-CN"/>
              </w:rPr>
              <w:t>废物</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z w:val="21"/>
                <w:szCs w:val="21"/>
                <w:lang w:val="en-US" w:eastAsia="zh-CN"/>
              </w:rPr>
              <w:t>猪粪便在待宰圈防渗池内临时贮存，每天清运一次，外售有机肥厂进行堆肥处理</w:t>
            </w:r>
            <w:r>
              <w:rPr>
                <w:rFonts w:hint="eastAsia" w:ascii="Times New Roman" w:hAnsi="Times New Roman" w:eastAsia="宋体" w:cs="Times New Roman"/>
                <w:color w:val="auto"/>
                <w:sz w:val="21"/>
                <w:szCs w:val="21"/>
                <w:lang w:val="en-US" w:eastAsia="zh-CN"/>
              </w:rPr>
              <w:t>。</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z w:val="21"/>
                <w:szCs w:val="21"/>
                <w:lang w:val="en-US" w:eastAsia="zh-CN"/>
              </w:rPr>
              <w:t>猪粪便在待宰圈防渗池内临时贮存，每天清运一次，外售有机肥厂进行堆肥处理</w:t>
            </w:r>
            <w:r>
              <w:rPr>
                <w:rFonts w:hint="eastAsia" w:ascii="Times New Roman" w:hAnsi="Times New Roman" w:eastAsia="宋体" w:cs="Times New Roman"/>
                <w:color w:val="auto"/>
                <w:sz w:val="21"/>
                <w:szCs w:val="21"/>
                <w:lang w:val="en-US" w:eastAsia="zh-CN"/>
              </w:rPr>
              <w:t>。</w:t>
            </w:r>
          </w:p>
        </w:tc>
        <w:tc>
          <w:tcPr>
            <w:tcW w:w="65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依托现有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highlight w:val="magenta"/>
                <w:lang w:val="en-US" w:eastAsia="zh-CN"/>
              </w:rPr>
            </w:pP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eastAsia" w:hAnsi="Times New Roman"/>
                <w:color w:val="auto"/>
              </w:rPr>
              <w:t>检疫废物属于危险废</w:t>
            </w:r>
            <w:r>
              <w:rPr>
                <w:rFonts w:hint="default" w:ascii="Times New Roman" w:hAnsi="Times New Roman" w:cs="Times New Roman"/>
                <w:color w:val="auto"/>
              </w:rPr>
              <w:t>物（</w:t>
            </w:r>
            <w:r>
              <w:rPr>
                <w:rFonts w:hint="default" w:ascii="Times New Roman" w:hAnsi="Times New Roman" w:cs="Times New Roman"/>
                <w:color w:val="auto"/>
                <w:highlight w:val="none"/>
              </w:rPr>
              <w:t>类别HW01，代码841-005-01），单独收集，用有明显标识的塑料袋盛装，暂存于</w:t>
            </w:r>
            <w:r>
              <w:rPr>
                <w:rFonts w:hint="default" w:ascii="Times New Roman" w:hAnsi="Times New Roman" w:cs="Times New Roman"/>
                <w:color w:val="auto"/>
                <w:highlight w:val="none"/>
                <w:lang w:eastAsia="zh-CN"/>
              </w:rPr>
              <w:t>危险废物贮存点</w:t>
            </w:r>
            <w:r>
              <w:rPr>
                <w:rFonts w:hint="default" w:ascii="Times New Roman" w:hAnsi="Times New Roman" w:cs="Times New Roman"/>
                <w:color w:val="auto"/>
                <w:highlight w:val="none"/>
              </w:rPr>
              <w:t>，交由</w:t>
            </w:r>
            <w:r>
              <w:rPr>
                <w:rFonts w:hint="default" w:ascii="Times New Roman" w:hAnsi="Times New Roman" w:eastAsia="宋体" w:cs="Times New Roman"/>
                <w:color w:val="auto"/>
                <w:sz w:val="21"/>
                <w:szCs w:val="21"/>
                <w:highlight w:val="none"/>
                <w:lang w:val="en-US" w:eastAsia="zh-CN"/>
              </w:rPr>
              <w:t>哈尔滨国环医疗固体废物无害化集中处置中心有限公司</w:t>
            </w:r>
            <w:r>
              <w:rPr>
                <w:rFonts w:hint="default" w:ascii="Times New Roman" w:hAnsi="Times New Roman" w:cs="Times New Roman"/>
                <w:color w:val="auto"/>
              </w:rPr>
              <w:t>进行处置。</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eastAsia" w:hAnsi="Times New Roman"/>
                <w:color w:val="auto"/>
              </w:rPr>
              <w:t>检疫废物属于危险废</w:t>
            </w:r>
            <w:r>
              <w:rPr>
                <w:rFonts w:hint="default" w:ascii="Times New Roman" w:hAnsi="Times New Roman" w:cs="Times New Roman"/>
                <w:color w:val="auto"/>
              </w:rPr>
              <w:t>物（</w:t>
            </w:r>
            <w:r>
              <w:rPr>
                <w:rFonts w:hint="default" w:ascii="Times New Roman" w:hAnsi="Times New Roman" w:cs="Times New Roman"/>
                <w:color w:val="auto"/>
                <w:highlight w:val="none"/>
              </w:rPr>
              <w:t>类别HW01，代码841-005-01），单独收集，用有明显标识的塑料袋盛装，暂存于</w:t>
            </w:r>
            <w:r>
              <w:rPr>
                <w:rFonts w:hint="default" w:ascii="Times New Roman" w:hAnsi="Times New Roman" w:cs="Times New Roman"/>
                <w:color w:val="auto"/>
                <w:highlight w:val="none"/>
                <w:lang w:eastAsia="zh-CN"/>
              </w:rPr>
              <w:t>危险废物贮存点</w:t>
            </w:r>
            <w:r>
              <w:rPr>
                <w:rFonts w:hint="default" w:ascii="Times New Roman" w:hAnsi="Times New Roman" w:cs="Times New Roman"/>
                <w:color w:val="auto"/>
                <w:highlight w:val="none"/>
              </w:rPr>
              <w:t>，交由</w:t>
            </w:r>
            <w:r>
              <w:rPr>
                <w:rFonts w:hint="default" w:ascii="Times New Roman" w:hAnsi="Times New Roman" w:eastAsia="宋体" w:cs="Times New Roman"/>
                <w:color w:val="auto"/>
                <w:sz w:val="21"/>
                <w:szCs w:val="21"/>
                <w:highlight w:val="none"/>
                <w:lang w:val="en-US" w:eastAsia="zh-CN"/>
              </w:rPr>
              <w:t>哈尔滨国环医疗固体废物无害化集中处置中心有限公司</w:t>
            </w:r>
            <w:r>
              <w:rPr>
                <w:rFonts w:hint="default" w:ascii="Times New Roman" w:hAnsi="Times New Roman" w:cs="Times New Roman"/>
                <w:color w:val="auto"/>
              </w:rPr>
              <w:t>进行处置。</w:t>
            </w:r>
          </w:p>
        </w:tc>
        <w:tc>
          <w:tcPr>
            <w:tcW w:w="6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highlight w:val="magenta"/>
                <w:lang w:val="en-US" w:eastAsia="zh-CN"/>
              </w:rPr>
            </w:pP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屠宰加工车间产生的猪毛在专用容器内储存，外售至毛刷厂</w:t>
            </w:r>
            <w:r>
              <w:rPr>
                <w:rFonts w:hint="eastAsia" w:ascii="Times New Roman" w:hAnsi="Times New Roman" w:eastAsia="宋体" w:cs="Times New Roman"/>
                <w:color w:val="auto"/>
                <w:sz w:val="21"/>
                <w:szCs w:val="21"/>
                <w:lang w:val="en-US" w:eastAsia="zh-CN"/>
              </w:rPr>
              <w:t>。</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屠宰加工车间产生的猪毛在专用容器内储存，外售至毛刷厂</w:t>
            </w:r>
            <w:r>
              <w:rPr>
                <w:rFonts w:hint="eastAsia" w:ascii="Times New Roman" w:hAnsi="Times New Roman" w:eastAsia="宋体" w:cs="Times New Roman"/>
                <w:color w:val="auto"/>
                <w:sz w:val="21"/>
                <w:szCs w:val="21"/>
                <w:lang w:val="en-US" w:eastAsia="zh-CN"/>
              </w:rPr>
              <w:t>。</w:t>
            </w:r>
          </w:p>
        </w:tc>
        <w:tc>
          <w:tcPr>
            <w:tcW w:w="6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90"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highlight w:val="magenta"/>
                <w:lang w:val="en-US" w:eastAsia="zh-CN"/>
              </w:rPr>
            </w:pP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肠胃内容物</w:t>
            </w:r>
            <w:r>
              <w:rPr>
                <w:rFonts w:hint="default" w:ascii="Times New Roman" w:hAnsi="Times New Roman" w:eastAsia="宋体" w:cs="Times New Roman"/>
                <w:color w:val="auto"/>
                <w:spacing w:val="0"/>
                <w:sz w:val="21"/>
                <w:szCs w:val="21"/>
                <w:lang w:eastAsia="zh-CN"/>
              </w:rPr>
              <w:t>通过</w:t>
            </w:r>
            <w:r>
              <w:rPr>
                <w:rFonts w:hint="default" w:ascii="Times New Roman" w:hAnsi="Times New Roman" w:eastAsia="宋体" w:cs="Times New Roman"/>
                <w:color w:val="auto"/>
                <w:spacing w:val="0"/>
                <w:sz w:val="21"/>
                <w:szCs w:val="21"/>
              </w:rPr>
              <w:t>风送设备排至肠内物收集池</w:t>
            </w:r>
            <w:r>
              <w:rPr>
                <w:rFonts w:hint="default" w:ascii="Times New Roman" w:hAnsi="Times New Roman" w:eastAsia="宋体" w:cs="Times New Roman"/>
                <w:color w:val="auto"/>
                <w:spacing w:val="0"/>
                <w:sz w:val="21"/>
                <w:szCs w:val="21"/>
                <w:lang w:eastAsia="zh-CN"/>
              </w:rPr>
              <w:t>封闭贮存，</w:t>
            </w:r>
            <w:r>
              <w:rPr>
                <w:rFonts w:hint="default" w:ascii="Times New Roman" w:hAnsi="Times New Roman" w:eastAsia="宋体" w:cs="Times New Roman"/>
                <w:color w:val="auto"/>
                <w:sz w:val="21"/>
                <w:szCs w:val="21"/>
                <w:lang w:val="en-US" w:eastAsia="zh-CN"/>
              </w:rPr>
              <w:t>外运堆肥处理</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肠胃内容物</w:t>
            </w:r>
            <w:r>
              <w:rPr>
                <w:rFonts w:hint="default" w:ascii="Times New Roman" w:hAnsi="Times New Roman" w:eastAsia="宋体" w:cs="Times New Roman"/>
                <w:color w:val="auto"/>
                <w:spacing w:val="0"/>
                <w:sz w:val="21"/>
                <w:szCs w:val="21"/>
                <w:lang w:eastAsia="zh-CN"/>
              </w:rPr>
              <w:t>通过</w:t>
            </w:r>
            <w:r>
              <w:rPr>
                <w:rFonts w:hint="default" w:ascii="Times New Roman" w:hAnsi="Times New Roman" w:eastAsia="宋体" w:cs="Times New Roman"/>
                <w:color w:val="auto"/>
                <w:spacing w:val="0"/>
                <w:sz w:val="21"/>
                <w:szCs w:val="21"/>
              </w:rPr>
              <w:t>风送设备排至肠内物收集池</w:t>
            </w:r>
            <w:r>
              <w:rPr>
                <w:rFonts w:hint="default" w:ascii="Times New Roman" w:hAnsi="Times New Roman" w:eastAsia="宋体" w:cs="Times New Roman"/>
                <w:color w:val="auto"/>
                <w:spacing w:val="0"/>
                <w:sz w:val="21"/>
                <w:szCs w:val="21"/>
                <w:lang w:eastAsia="zh-CN"/>
              </w:rPr>
              <w:t>封闭贮存，</w:t>
            </w:r>
            <w:r>
              <w:rPr>
                <w:rFonts w:hint="default" w:ascii="Times New Roman" w:hAnsi="Times New Roman" w:eastAsia="宋体" w:cs="Times New Roman"/>
                <w:color w:val="auto"/>
                <w:sz w:val="21"/>
                <w:szCs w:val="21"/>
                <w:lang w:val="en-US" w:eastAsia="zh-CN"/>
              </w:rPr>
              <w:t>外运堆肥处理</w:t>
            </w:r>
          </w:p>
        </w:tc>
        <w:tc>
          <w:tcPr>
            <w:tcW w:w="6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highlight w:val="magenta"/>
                <w:lang w:val="en-US" w:eastAsia="zh-CN"/>
              </w:rPr>
            </w:pP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污水处理站污泥和栅渣</w:t>
            </w:r>
            <w:r>
              <w:rPr>
                <w:rFonts w:hint="default" w:ascii="Times New Roman" w:hAnsi="Times New Roman" w:cs="Times New Roman"/>
                <w:color w:val="auto"/>
                <w:sz w:val="21"/>
                <w:szCs w:val="21"/>
                <w:highlight w:val="none"/>
              </w:rPr>
              <w:t>(HW01)经离心式脱水机脱水、</w:t>
            </w:r>
            <w:r>
              <w:rPr>
                <w:rFonts w:hint="eastAsia" w:ascii="Times New Roman" w:hAnsi="Times New Roman" w:eastAsia="宋体" w:cs="Times New Roman"/>
                <w:color w:val="auto"/>
                <w:sz w:val="21"/>
                <w:szCs w:val="21"/>
                <w:highlight w:val="none"/>
                <w:lang w:val="en-US" w:eastAsia="zh-CN"/>
              </w:rPr>
              <w:t>送至生活垃圾填埋场</w:t>
            </w:r>
            <w:r>
              <w:rPr>
                <w:rFonts w:hint="default" w:ascii="Times New Roman" w:hAnsi="Times New Roman" w:cs="Times New Roman"/>
                <w:color w:val="auto"/>
                <w:sz w:val="21"/>
                <w:szCs w:val="21"/>
                <w:highlight w:val="none"/>
                <w:lang w:eastAsia="zh-CN"/>
              </w:rPr>
              <w:t>。</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污水处理站污泥和栅渣</w:t>
            </w:r>
            <w:r>
              <w:rPr>
                <w:rFonts w:hint="default" w:ascii="Times New Roman" w:hAnsi="Times New Roman" w:cs="Times New Roman"/>
                <w:color w:val="auto"/>
                <w:sz w:val="21"/>
                <w:szCs w:val="21"/>
                <w:highlight w:val="none"/>
              </w:rPr>
              <w:t>(HW01)经离心式脱水机脱水、</w:t>
            </w:r>
            <w:r>
              <w:rPr>
                <w:rFonts w:hint="eastAsia" w:ascii="Times New Roman" w:hAnsi="Times New Roman" w:eastAsia="宋体" w:cs="Times New Roman"/>
                <w:color w:val="auto"/>
                <w:sz w:val="21"/>
                <w:szCs w:val="21"/>
                <w:highlight w:val="none"/>
                <w:lang w:val="en-US" w:eastAsia="zh-CN"/>
              </w:rPr>
              <w:t>送至生活垃圾填埋场</w:t>
            </w:r>
            <w:r>
              <w:rPr>
                <w:rFonts w:hint="default" w:ascii="Times New Roman" w:hAnsi="Times New Roman" w:cs="Times New Roman"/>
                <w:color w:val="auto"/>
                <w:sz w:val="21"/>
                <w:szCs w:val="21"/>
                <w:highlight w:val="none"/>
                <w:lang w:eastAsia="zh-CN"/>
              </w:rPr>
              <w:t>。</w:t>
            </w:r>
          </w:p>
        </w:tc>
        <w:tc>
          <w:tcPr>
            <w:tcW w:w="6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highlight w:val="magenta"/>
                <w:lang w:val="en-US" w:eastAsia="zh-CN"/>
              </w:rPr>
            </w:pP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隔油工段废油脂和落地油委托</w:t>
            </w:r>
            <w:r>
              <w:rPr>
                <w:rFonts w:hint="eastAsia" w:ascii="Times New Roman" w:hAnsi="Times New Roman" w:eastAsia="宋体" w:cs="Times New Roman"/>
                <w:color w:val="auto"/>
                <w:sz w:val="21"/>
                <w:szCs w:val="21"/>
                <w:highlight w:val="none"/>
                <w:lang w:val="en-US" w:eastAsia="zh-CN"/>
              </w:rPr>
              <w:t>巴彦县燊缘无害化处理有限公司</w:t>
            </w:r>
            <w:r>
              <w:rPr>
                <w:rFonts w:hint="default" w:ascii="Times New Roman" w:hAnsi="Times New Roman" w:eastAsia="宋体" w:cs="Times New Roman"/>
                <w:color w:val="auto"/>
                <w:sz w:val="21"/>
                <w:szCs w:val="21"/>
                <w:lang w:val="en-US" w:eastAsia="zh-CN"/>
              </w:rPr>
              <w:t>进行处置</w:t>
            </w:r>
            <w:r>
              <w:rPr>
                <w:rFonts w:hint="eastAsia" w:ascii="Times New Roman" w:hAnsi="Times New Roman" w:eastAsia="宋体" w:cs="Times New Roman"/>
                <w:color w:val="auto"/>
                <w:sz w:val="21"/>
                <w:szCs w:val="21"/>
                <w:lang w:val="en-US" w:eastAsia="zh-CN"/>
              </w:rPr>
              <w:t>。</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隔油工段废油脂和落地油委托</w:t>
            </w:r>
            <w:r>
              <w:rPr>
                <w:rFonts w:hint="eastAsia" w:ascii="Times New Roman" w:hAnsi="Times New Roman" w:eastAsia="宋体" w:cs="Times New Roman"/>
                <w:color w:val="auto"/>
                <w:sz w:val="21"/>
                <w:szCs w:val="21"/>
                <w:highlight w:val="none"/>
                <w:lang w:val="en-US" w:eastAsia="zh-CN"/>
              </w:rPr>
              <w:t>巴彦县燊缘无害化处理有限公司</w:t>
            </w:r>
            <w:r>
              <w:rPr>
                <w:rFonts w:hint="default" w:ascii="Times New Roman" w:hAnsi="Times New Roman" w:eastAsia="宋体" w:cs="Times New Roman"/>
                <w:color w:val="auto"/>
                <w:sz w:val="21"/>
                <w:szCs w:val="21"/>
                <w:lang w:val="en-US" w:eastAsia="zh-CN"/>
              </w:rPr>
              <w:t>进行处置</w:t>
            </w:r>
            <w:r>
              <w:rPr>
                <w:rFonts w:hint="eastAsia" w:ascii="Times New Roman" w:hAnsi="Times New Roman" w:eastAsia="宋体" w:cs="Times New Roman"/>
                <w:color w:val="auto"/>
                <w:sz w:val="21"/>
                <w:szCs w:val="21"/>
                <w:lang w:val="en-US" w:eastAsia="zh-CN"/>
              </w:rPr>
              <w:t>。</w:t>
            </w:r>
          </w:p>
        </w:tc>
        <w:tc>
          <w:tcPr>
            <w:tcW w:w="6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highlight w:val="magenta"/>
                <w:lang w:val="en-US" w:eastAsia="zh-CN"/>
              </w:rPr>
            </w:pP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生活垃圾交由环卫部门处置</w:t>
            </w:r>
            <w:r>
              <w:rPr>
                <w:rFonts w:hint="eastAsia" w:ascii="Times New Roman" w:hAnsi="Times New Roman" w:eastAsia="宋体" w:cs="Times New Roman"/>
                <w:color w:val="auto"/>
                <w:sz w:val="21"/>
                <w:szCs w:val="21"/>
                <w:lang w:val="en-US" w:eastAsia="zh-CN"/>
              </w:rPr>
              <w:t>。</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生活垃圾交由环卫部门处置</w:t>
            </w:r>
            <w:r>
              <w:rPr>
                <w:rFonts w:hint="eastAsia" w:ascii="Times New Roman" w:hAnsi="Times New Roman" w:eastAsia="宋体" w:cs="Times New Roman"/>
                <w:color w:val="auto"/>
                <w:sz w:val="21"/>
                <w:szCs w:val="21"/>
                <w:lang w:val="en-US" w:eastAsia="zh-CN"/>
              </w:rPr>
              <w:t>。</w:t>
            </w:r>
          </w:p>
        </w:tc>
        <w:tc>
          <w:tcPr>
            <w:tcW w:w="6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highlight w:val="magenta"/>
                <w:lang w:val="en-US" w:eastAsia="zh-CN"/>
              </w:rPr>
            </w:pP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锅炉房产生的废离子交换树脂由厂家回收</w:t>
            </w:r>
            <w:r>
              <w:rPr>
                <w:rFonts w:hint="eastAsia" w:ascii="Times New Roman" w:hAnsi="Times New Roman" w:eastAsia="宋体" w:cs="Times New Roman"/>
                <w:color w:val="auto"/>
                <w:sz w:val="21"/>
                <w:szCs w:val="21"/>
                <w:lang w:val="en-US" w:eastAsia="zh-CN"/>
              </w:rPr>
              <w:t>。</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锅炉房产生的废离子交换树脂由厂家回收</w:t>
            </w:r>
            <w:r>
              <w:rPr>
                <w:rFonts w:hint="eastAsia" w:ascii="Times New Roman" w:hAnsi="Times New Roman" w:eastAsia="宋体" w:cs="Times New Roman"/>
                <w:color w:val="auto"/>
                <w:sz w:val="21"/>
                <w:szCs w:val="21"/>
                <w:lang w:val="en-US" w:eastAsia="zh-CN"/>
              </w:rPr>
              <w:t>。</w:t>
            </w:r>
          </w:p>
        </w:tc>
        <w:tc>
          <w:tcPr>
            <w:tcW w:w="6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highlight w:val="magenta"/>
                <w:lang w:val="en-US" w:eastAsia="zh-CN"/>
              </w:rPr>
            </w:pP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非正常工况下对发现的病猪进行急宰；送至</w:t>
            </w:r>
            <w:r>
              <w:rPr>
                <w:rFonts w:hint="eastAsia" w:ascii="Times New Roman" w:hAnsi="Times New Roman" w:eastAsia="宋体" w:cs="Times New Roman"/>
                <w:color w:val="auto"/>
                <w:sz w:val="21"/>
                <w:szCs w:val="21"/>
                <w:lang w:val="en-US" w:eastAsia="zh-CN"/>
              </w:rPr>
              <w:t>巴彦县燊缘无害化处理有限公司</w:t>
            </w:r>
            <w:r>
              <w:rPr>
                <w:rFonts w:hint="default" w:ascii="Times New Roman" w:hAnsi="Times New Roman" w:eastAsia="宋体" w:cs="Times New Roman"/>
                <w:color w:val="auto"/>
                <w:sz w:val="21"/>
                <w:szCs w:val="21"/>
                <w:lang w:val="en-US" w:eastAsia="zh-CN"/>
              </w:rPr>
              <w:t>处理。</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非正常工况下对发现的病猪进行急宰；送至</w:t>
            </w:r>
            <w:r>
              <w:rPr>
                <w:rFonts w:hint="eastAsia" w:ascii="Times New Roman" w:hAnsi="Times New Roman" w:eastAsia="宋体" w:cs="Times New Roman"/>
                <w:color w:val="auto"/>
                <w:sz w:val="21"/>
                <w:szCs w:val="21"/>
                <w:lang w:val="en-US" w:eastAsia="zh-CN"/>
              </w:rPr>
              <w:t>巴彦县燊缘无害化处理有限公司</w:t>
            </w:r>
            <w:r>
              <w:rPr>
                <w:rFonts w:hint="default" w:ascii="Times New Roman" w:hAnsi="Times New Roman" w:eastAsia="宋体" w:cs="Times New Roman"/>
                <w:color w:val="auto"/>
                <w:sz w:val="21"/>
                <w:szCs w:val="21"/>
                <w:lang w:val="en-US" w:eastAsia="zh-CN"/>
              </w:rPr>
              <w:t>处理。</w:t>
            </w:r>
          </w:p>
        </w:tc>
        <w:tc>
          <w:tcPr>
            <w:tcW w:w="6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highlight w:val="magenta"/>
                <w:lang w:val="en-US" w:eastAsia="zh-CN"/>
              </w:rPr>
            </w:pP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分割过程产生的病变内脏、腺体送至巴彦县燊缘无害化处理有限公司处理</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分割过程产生的病变内脏、腺体送至巴彦县燊缘无害化处理有限公司处理</w:t>
            </w:r>
          </w:p>
        </w:tc>
        <w:tc>
          <w:tcPr>
            <w:tcW w:w="6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highlight w:val="magenta"/>
                <w:lang w:val="en-US" w:eastAsia="zh-CN"/>
              </w:rPr>
            </w:pP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修整过程中产生的废弃脂肪进行外售处理</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修整过程中产生的废弃脂肪进行外售处理</w:t>
            </w:r>
          </w:p>
        </w:tc>
        <w:tc>
          <w:tcPr>
            <w:tcW w:w="6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highlight w:val="magenta"/>
                <w:lang w:val="en-US" w:eastAsia="zh-CN"/>
              </w:rPr>
            </w:pP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吸附恶臭气体的废活性炭作为一般工业固体废物暂存于一般固废暂存间封闭塑料箱内，由活性炭厂家回收再生处理</w:t>
            </w:r>
            <w:r>
              <w:rPr>
                <w:rFonts w:hint="eastAsia" w:ascii="Times New Roman" w:hAnsi="Times New Roman" w:eastAsia="宋体" w:cs="Times New Roman"/>
                <w:color w:val="auto"/>
                <w:sz w:val="21"/>
                <w:szCs w:val="21"/>
                <w:lang w:val="en-US" w:eastAsia="zh-CN"/>
              </w:rPr>
              <w:t>。</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新建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26" w:type="pct"/>
            <w:vMerge w:val="continue"/>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4"/>
                <w:sz w:val="21"/>
                <w:szCs w:val="21"/>
              </w:rPr>
            </w:pP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spacing w:val="0"/>
                <w:kern w:val="0"/>
                <w:sz w:val="21"/>
                <w:szCs w:val="21"/>
                <w:lang w:val="en-US" w:eastAsia="zh-CN" w:bidi="ar-SA"/>
              </w:rPr>
            </w:pPr>
            <w:r>
              <w:rPr>
                <w:rFonts w:hint="default" w:ascii="Times New Roman" w:hAnsi="Times New Roman" w:eastAsia="宋体" w:cs="Times New Roman"/>
                <w:color w:val="auto"/>
                <w:spacing w:val="0"/>
                <w:sz w:val="21"/>
                <w:szCs w:val="21"/>
              </w:rPr>
              <w:t>地下水防渗措施</w:t>
            </w:r>
          </w:p>
        </w:tc>
        <w:tc>
          <w:tcPr>
            <w:tcW w:w="1859" w:type="pct"/>
            <w:vAlign w:val="top"/>
          </w:tcPr>
          <w:p>
            <w:pPr>
              <w:pStyle w:val="36"/>
              <w:jc w:val="left"/>
              <w:rPr>
                <w:rFonts w:hint="default" w:ascii="Times New Roman" w:hAnsi="Times New Roman" w:cs="Times New Roman"/>
                <w:color w:val="auto"/>
                <w:lang w:val="en-GB"/>
              </w:rPr>
            </w:pPr>
            <w:r>
              <w:rPr>
                <w:rFonts w:hint="default" w:ascii="Times New Roman" w:hAnsi="Times New Roman" w:cs="Times New Roman"/>
                <w:color w:val="auto"/>
                <w:lang w:val="en-US" w:eastAsia="zh-CN"/>
              </w:rPr>
              <w:t>①</w:t>
            </w:r>
            <w:r>
              <w:rPr>
                <w:rFonts w:hint="default" w:ascii="Times New Roman" w:hAnsi="Times New Roman" w:cs="Times New Roman"/>
                <w:color w:val="auto"/>
                <w:lang w:val="en-GB"/>
              </w:rPr>
              <w:t>一般防渗区：待宰</w:t>
            </w:r>
            <w:r>
              <w:rPr>
                <w:rFonts w:hint="default" w:ascii="Times New Roman" w:hAnsi="Times New Roman" w:cs="Times New Roman"/>
                <w:color w:val="auto"/>
                <w:lang w:val="en-US" w:eastAsia="zh-CN"/>
              </w:rPr>
              <w:t>圈</w:t>
            </w:r>
            <w:r>
              <w:rPr>
                <w:rFonts w:hint="default" w:ascii="Times New Roman" w:hAnsi="Times New Roman" w:cs="Times New Roman"/>
                <w:color w:val="auto"/>
                <w:lang w:val="en-GB"/>
              </w:rPr>
              <w:t>、屠宰</w:t>
            </w:r>
            <w:r>
              <w:rPr>
                <w:rFonts w:hint="default" w:ascii="Times New Roman" w:hAnsi="Times New Roman" w:cs="Times New Roman"/>
                <w:color w:val="auto"/>
                <w:lang w:val="en-US" w:eastAsia="zh-CN"/>
              </w:rPr>
              <w:t>加工</w:t>
            </w:r>
            <w:r>
              <w:rPr>
                <w:rFonts w:hint="default" w:ascii="Times New Roman" w:hAnsi="Times New Roman" w:cs="Times New Roman"/>
                <w:color w:val="auto"/>
                <w:lang w:val="en-GB"/>
              </w:rPr>
              <w:t>车间</w:t>
            </w:r>
            <w:r>
              <w:rPr>
                <w:rFonts w:hint="default" w:ascii="Times New Roman" w:hAnsi="Times New Roman" w:cs="Times New Roman"/>
                <w:color w:val="auto"/>
                <w:lang w:val="en-GB" w:eastAsia="zh-CN"/>
              </w:rPr>
              <w:t>、</w:t>
            </w:r>
            <w:r>
              <w:rPr>
                <w:rFonts w:hint="default" w:ascii="Times New Roman" w:hAnsi="Times New Roman" w:cs="Times New Roman"/>
                <w:color w:val="auto"/>
                <w:lang w:val="en-US" w:eastAsia="zh-CN"/>
              </w:rPr>
              <w:t>急宰间、冷库、污水处理站、一般固废暂存间做</w:t>
            </w:r>
            <w:r>
              <w:rPr>
                <w:rFonts w:hint="default" w:ascii="Times New Roman" w:hAnsi="Times New Roman" w:cs="Times New Roman"/>
                <w:color w:val="auto"/>
                <w:lang w:val="en-GB"/>
              </w:rPr>
              <w:t>基础防渗，防渗层为2mm厚高密度聚乙烯，满足等效黏土防渗层Mb≥1.5m，K≤1×10-7cm/s的要求；</w:t>
            </w:r>
          </w:p>
          <w:p>
            <w:pPr>
              <w:pStyle w:val="36"/>
              <w:jc w:val="left"/>
              <w:rPr>
                <w:rFonts w:hint="default" w:ascii="Times New Roman" w:hAnsi="Times New Roman" w:cs="Times New Roman"/>
                <w:color w:val="auto"/>
                <w:lang w:val="en-GB"/>
              </w:rPr>
            </w:pPr>
            <w:r>
              <w:rPr>
                <w:rFonts w:hint="default" w:ascii="Times New Roman" w:hAnsi="Times New Roman" w:cs="Times New Roman"/>
                <w:color w:val="auto"/>
                <w:lang w:val="en-US" w:eastAsia="zh-CN"/>
              </w:rPr>
              <w:t>②</w:t>
            </w:r>
            <w:r>
              <w:rPr>
                <w:rFonts w:hint="default" w:ascii="Times New Roman" w:hAnsi="Times New Roman" w:cs="Times New Roman"/>
                <w:color w:val="auto"/>
                <w:lang w:val="en-GB"/>
              </w:rPr>
              <w:t>简单防渗区：</w:t>
            </w:r>
            <w:r>
              <w:rPr>
                <w:rFonts w:hint="default" w:ascii="Times New Roman" w:hAnsi="Times New Roman" w:cs="Times New Roman"/>
                <w:color w:val="auto"/>
                <w:lang w:val="en-US" w:eastAsia="zh-CN"/>
              </w:rPr>
              <w:t>办公楼、宿舍及</w:t>
            </w:r>
            <w:r>
              <w:rPr>
                <w:rFonts w:hint="default" w:ascii="Times New Roman" w:hAnsi="Times New Roman" w:cs="Times New Roman"/>
                <w:color w:val="auto"/>
                <w:lang w:val="en-GB"/>
              </w:rPr>
              <w:t>厂区地面，水泥</w:t>
            </w:r>
            <w:r>
              <w:rPr>
                <w:rFonts w:hint="default" w:ascii="Times New Roman" w:hAnsi="Times New Roman" w:cs="Times New Roman"/>
                <w:color w:val="auto"/>
                <w:lang w:val="en-GB" w:eastAsia="zh-CN"/>
              </w:rPr>
              <w:t>地面</w:t>
            </w:r>
            <w:r>
              <w:rPr>
                <w:rFonts w:hint="default" w:ascii="Times New Roman" w:hAnsi="Times New Roman" w:cs="Times New Roman"/>
                <w:color w:val="auto"/>
                <w:lang w:val="en-GB"/>
              </w:rPr>
              <w:t>硬化；</w:t>
            </w:r>
          </w:p>
          <w:p>
            <w:pPr>
              <w:pStyle w:val="36"/>
              <w:jc w:val="left"/>
              <w:rPr>
                <w:rFonts w:hint="default" w:ascii="Times New Roman" w:hAnsi="Times New Roman" w:cs="Times New Roman"/>
                <w:color w:val="auto"/>
                <w:lang w:val="en-GB"/>
              </w:rPr>
            </w:pPr>
          </w:p>
          <w:p>
            <w:pPr>
              <w:pStyle w:val="36"/>
              <w:jc w:val="left"/>
              <w:rPr>
                <w:rFonts w:hint="default" w:ascii="Times New Roman" w:hAnsi="Times New Roman" w:cs="Times New Roman"/>
                <w:color w:val="auto"/>
                <w:lang w:val="en-GB"/>
              </w:rPr>
            </w:pPr>
          </w:p>
        </w:tc>
        <w:tc>
          <w:tcPr>
            <w:tcW w:w="1859" w:type="pct"/>
            <w:vAlign w:val="center"/>
          </w:tcPr>
          <w:p>
            <w:pPr>
              <w:pStyle w:val="36"/>
              <w:jc w:val="left"/>
              <w:rPr>
                <w:rFonts w:hint="default" w:ascii="Times New Roman" w:hAnsi="Times New Roman" w:cs="Times New Roman"/>
                <w:color w:val="auto"/>
                <w:lang w:val="en-GB"/>
              </w:rPr>
            </w:pPr>
            <w:r>
              <w:rPr>
                <w:rFonts w:hint="eastAsia" w:ascii="Times New Roman" w:hAnsi="Times New Roman" w:cs="Times New Roman"/>
                <w:color w:val="auto"/>
                <w:lang w:val="en-US" w:eastAsia="zh-CN"/>
              </w:rPr>
              <w:t>①</w:t>
            </w:r>
            <w:r>
              <w:rPr>
                <w:rFonts w:hint="default" w:ascii="Times New Roman" w:hAnsi="Times New Roman" w:cs="Times New Roman"/>
                <w:color w:val="auto"/>
                <w:lang w:val="en-US" w:eastAsia="zh-CN"/>
              </w:rPr>
              <w:t>重点防渗区：柴油储罐周边设置20cm高围堰，周边地面及围堰铺设2mm高密度聚乙烯膜，上层水泥底面硬化，</w:t>
            </w:r>
            <w:r>
              <w:rPr>
                <w:rFonts w:hint="default" w:ascii="Times New Roman" w:hAnsi="Times New Roman" w:cs="Times New Roman"/>
                <w:color w:val="auto"/>
                <w:lang w:val="en-GB"/>
              </w:rPr>
              <w:t>等效黏土</w:t>
            </w:r>
            <w:r>
              <w:rPr>
                <w:rFonts w:hint="default" w:ascii="Times New Roman" w:hAnsi="Times New Roman" w:cs="Times New Roman"/>
                <w:color w:val="auto"/>
                <w:lang w:val="en-US" w:eastAsia="zh-CN"/>
              </w:rPr>
              <w:t>层厚度≥6.0m，</w:t>
            </w:r>
            <w:r>
              <w:rPr>
                <w:rFonts w:hint="default" w:ascii="Times New Roman" w:hAnsi="Times New Roman" w:cs="Times New Roman"/>
                <w:color w:val="auto"/>
                <w:lang w:val="en-GB"/>
              </w:rPr>
              <w:t>防渗系数≤10</w:t>
            </w:r>
            <w:r>
              <w:rPr>
                <w:rFonts w:hint="default" w:ascii="Times New Roman" w:hAnsi="Times New Roman" w:cs="Times New Roman"/>
                <w:color w:val="auto"/>
                <w:vertAlign w:val="superscript"/>
                <w:lang w:val="en-US" w:eastAsia="zh-CN"/>
              </w:rPr>
              <w:t>-7</w:t>
            </w:r>
            <w:r>
              <w:rPr>
                <w:rFonts w:hint="default" w:ascii="Times New Roman" w:hAnsi="Times New Roman" w:cs="Times New Roman"/>
                <w:color w:val="auto"/>
                <w:lang w:val="en-GB"/>
              </w:rPr>
              <w:t>cm/s</w:t>
            </w:r>
          </w:p>
          <w:p>
            <w:pPr>
              <w:pStyle w:val="36"/>
              <w:jc w:val="lef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②</w:t>
            </w:r>
            <w:r>
              <w:rPr>
                <w:rFonts w:hint="default" w:ascii="Times New Roman" w:hAnsi="Times New Roman" w:cs="Times New Roman"/>
                <w:color w:val="auto"/>
                <w:lang w:val="en-US" w:eastAsia="zh-CN"/>
              </w:rPr>
              <w:t>一般防渗区：</w:t>
            </w:r>
            <w:r>
              <w:rPr>
                <w:rFonts w:hint="default" w:ascii="Times New Roman" w:hAnsi="Times New Roman" w:cs="Times New Roman"/>
                <w:color w:val="auto"/>
                <w:lang w:val="en-GB"/>
              </w:rPr>
              <w:t>事故池池体及地面</w:t>
            </w:r>
            <w:r>
              <w:rPr>
                <w:rFonts w:hint="eastAsia" w:ascii="Times New Roman" w:hAnsi="Times New Roman" w:cs="Times New Roman"/>
                <w:color w:val="auto"/>
                <w:lang w:val="en-US" w:eastAsia="zh-CN"/>
              </w:rPr>
              <w:t>进行</w:t>
            </w:r>
            <w:r>
              <w:rPr>
                <w:rFonts w:hint="default" w:ascii="Times New Roman" w:hAnsi="Times New Roman" w:cs="Times New Roman"/>
                <w:color w:val="auto"/>
                <w:lang w:val="en-GB"/>
              </w:rPr>
              <w:t>基础防渗，防渗层为至少1m厚粘土层或2mm厚高密度聚乙烯，需满足等效黏土防渗层Mb≥1.5m，K≤1×10</w:t>
            </w:r>
            <w:r>
              <w:rPr>
                <w:rFonts w:hint="default" w:ascii="Times New Roman" w:hAnsi="Times New Roman" w:cs="Times New Roman"/>
                <w:color w:val="auto"/>
                <w:vertAlign w:val="superscript"/>
                <w:lang w:val="en-GB"/>
              </w:rPr>
              <w:t>-7</w:t>
            </w:r>
            <w:r>
              <w:rPr>
                <w:rFonts w:hint="default" w:ascii="Times New Roman" w:hAnsi="Times New Roman" w:cs="Times New Roman"/>
                <w:color w:val="auto"/>
                <w:lang w:val="en-GB"/>
              </w:rPr>
              <w:t>cm/s的要求</w:t>
            </w:r>
            <w:r>
              <w:rPr>
                <w:rFonts w:hint="eastAsia" w:ascii="Times New Roman" w:hAnsi="Times New Roman" w:cs="Times New Roman"/>
                <w:color w:val="auto"/>
                <w:lang w:val="en-GB" w:eastAsia="zh-CN"/>
              </w:rPr>
              <w:t>。</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新建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依托</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color w:val="auto"/>
                <w:spacing w:val="0"/>
                <w:sz w:val="21"/>
                <w:szCs w:val="21"/>
              </w:rPr>
              <w:t>工程</w:t>
            </w: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en-US"/>
              </w:rPr>
            </w:pPr>
            <w:r>
              <w:rPr>
                <w:rFonts w:hint="default" w:ascii="Times New Roman" w:hAnsi="Times New Roman" w:eastAsia="宋体" w:cs="Times New Roman"/>
                <w:color w:val="auto"/>
                <w:spacing w:val="0"/>
                <w:sz w:val="21"/>
                <w:szCs w:val="21"/>
                <w:lang w:val="en-US" w:eastAsia="zh-CN"/>
              </w:rPr>
              <w:t>兴隆镇</w:t>
            </w:r>
            <w:r>
              <w:rPr>
                <w:rFonts w:hint="default" w:ascii="Times New Roman" w:hAnsi="Times New Roman" w:eastAsia="宋体" w:cs="Times New Roman"/>
                <w:color w:val="auto"/>
                <w:spacing w:val="0"/>
                <w:sz w:val="21"/>
                <w:szCs w:val="21"/>
              </w:rPr>
              <w:t>污水处理厂</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兴隆镇污水厂设计处理规模1万m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lang w:val="en-US" w:eastAsia="zh-CN"/>
              </w:rPr>
              <w:t>/d，污水处理工艺采用预处理+倒置 A</w:t>
            </w:r>
            <w:r>
              <w:rPr>
                <w:rFonts w:hint="default" w:ascii="Times New Roman" w:hAnsi="Times New Roman" w:eastAsia="宋体" w:cs="Times New Roman"/>
                <w:color w:val="auto"/>
                <w:spacing w:val="0"/>
                <w:sz w:val="21"/>
                <w:szCs w:val="21"/>
                <w:highlight w:val="none"/>
                <w:vertAlign w:val="superscript"/>
                <w:lang w:val="en-US" w:eastAsia="zh-CN"/>
              </w:rPr>
              <w:t>2</w:t>
            </w:r>
            <w:r>
              <w:rPr>
                <w:rFonts w:hint="default" w:ascii="Times New Roman" w:hAnsi="Times New Roman" w:eastAsia="宋体" w:cs="Times New Roman"/>
                <w:color w:val="auto"/>
                <w:spacing w:val="0"/>
                <w:sz w:val="21"/>
                <w:szCs w:val="21"/>
                <w:highlight w:val="none"/>
                <w:lang w:val="en-US" w:eastAsia="zh-CN"/>
              </w:rPr>
              <w:t xml:space="preserve"> /O+二沉池+混凝沉淀+过滤+ 紫外线消毒工艺，污水排放标准执行《城镇污水处理厂污染物排放标准》（GB18918-2002）中一级 A 排放标准后经龙须沟汇入泥河。现有工程排入兴隆镇污水处理厂水量为12.3m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lang w:val="en-US" w:eastAsia="zh-CN"/>
              </w:rPr>
              <w:t>/d，污水厂现有余量5000m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lang w:val="en-US" w:eastAsia="zh-CN"/>
              </w:rPr>
              <w:t>/d，有能力接纳本项目废水，能够满足本项目废水排放要求。</w:t>
            </w:r>
          </w:p>
        </w:tc>
        <w:tc>
          <w:tcPr>
            <w:tcW w:w="185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en-US" w:eastAsia="zh-CN"/>
              </w:rPr>
              <w:t>兴隆镇污水厂设计处理规模1万m3/d，污水处理工艺采用预处理+倒置 A2 /O+二沉池+混凝沉淀+过滤+ 紫外线消毒工艺，污水排放标准执行《城镇污水处理厂污染物排放标准》（GB18918-2002）中一级 A 排放标准后经龙须沟汇入泥河。本项目排入兴隆镇污水处理厂水量为</w:t>
            </w:r>
            <w:r>
              <w:rPr>
                <w:rFonts w:hint="eastAsia" w:ascii="Times New Roman" w:hAnsi="Times New Roman" w:eastAsia="宋体" w:cs="Times New Roman"/>
                <w:color w:val="auto"/>
                <w:spacing w:val="0"/>
                <w:sz w:val="21"/>
                <w:szCs w:val="21"/>
                <w:highlight w:val="none"/>
                <w:lang w:val="en-US" w:eastAsia="zh-CN"/>
              </w:rPr>
              <w:t>235.09</w:t>
            </w:r>
            <w:r>
              <w:rPr>
                <w:rFonts w:hint="default" w:ascii="Times New Roman" w:hAnsi="Times New Roman" w:eastAsia="宋体" w:cs="Times New Roman"/>
                <w:color w:val="auto"/>
                <w:spacing w:val="0"/>
                <w:sz w:val="21"/>
                <w:szCs w:val="21"/>
                <w:highlight w:val="none"/>
                <w:lang w:val="en-US" w:eastAsia="zh-CN"/>
              </w:rPr>
              <w:t>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lang w:val="en-US" w:eastAsia="zh-CN"/>
              </w:rPr>
              <w:t>/d，污水厂现有余量5000m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lang w:val="en-US" w:eastAsia="zh-CN"/>
              </w:rPr>
              <w:t>/d，有能力接纳本项目废水，能够满足本项目废水排放要求。</w:t>
            </w:r>
          </w:p>
        </w:tc>
        <w:tc>
          <w:tcPr>
            <w:tcW w:w="6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依托</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outlineLvl w:val="2"/>
        <w:rPr>
          <w:rFonts w:hint="default" w:ascii="Times New Roman" w:hAnsi="Times New Roman" w:eastAsia="黑体" w:cs="Times New Roman"/>
          <w:sz w:val="24"/>
          <w:szCs w:val="24"/>
        </w:rPr>
      </w:pPr>
      <w:r>
        <w:rPr>
          <w:rFonts w:hint="default" w:ascii="Times New Roman" w:hAnsi="Times New Roman" w:eastAsia="Times New Roman" w:cs="Times New Roman"/>
          <w:spacing w:val="-1"/>
          <w:sz w:val="24"/>
          <w:szCs w:val="24"/>
        </w:rPr>
        <w:t>3.</w:t>
      </w:r>
      <w:r>
        <w:rPr>
          <w:rFonts w:hint="default" w:ascii="Times New Roman" w:hAnsi="Times New Roman" w:eastAsia="宋体" w:cs="Times New Roman"/>
          <w:spacing w:val="-1"/>
          <w:sz w:val="24"/>
          <w:szCs w:val="24"/>
          <w:lang w:val="en-US" w:eastAsia="zh-CN"/>
        </w:rPr>
        <w:t>4</w:t>
      </w:r>
      <w:r>
        <w:rPr>
          <w:rFonts w:hint="default" w:ascii="Times New Roman" w:hAnsi="Times New Roman" w:eastAsia="Times New Roman" w:cs="Times New Roman"/>
          <w:spacing w:val="-1"/>
          <w:sz w:val="24"/>
          <w:szCs w:val="24"/>
        </w:rPr>
        <w:t xml:space="preserve">.3  </w:t>
      </w:r>
      <w:r>
        <w:rPr>
          <w:rFonts w:hint="default" w:ascii="Times New Roman" w:hAnsi="Times New Roman" w:eastAsia="黑体" w:cs="Times New Roman"/>
          <w:spacing w:val="-1"/>
          <w:sz w:val="24"/>
          <w:szCs w:val="24"/>
        </w:rPr>
        <w:t>产品方案</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highlight w:val="none"/>
          <w:lang w:val="en-US" w:eastAsia="zh-CN"/>
        </w:rPr>
      </w:pPr>
      <w:r>
        <w:rPr>
          <w:rFonts w:hint="default" w:ascii="Times New Roman" w:hAnsi="Times New Roman" w:eastAsia="宋体" w:cs="Times New Roman"/>
          <w:spacing w:val="-1"/>
          <w:sz w:val="24"/>
          <w:szCs w:val="24"/>
          <w:highlight w:val="none"/>
          <w:lang w:val="en-US" w:eastAsia="zh-CN"/>
        </w:rPr>
        <w:t>产品方案如下表 3</w:t>
      </w:r>
      <w:r>
        <w:rPr>
          <w:rFonts w:hint="eastAsia" w:ascii="Times New Roman" w:hAnsi="Times New Roman" w:eastAsia="宋体" w:cs="Times New Roman"/>
          <w:spacing w:val="-1"/>
          <w:sz w:val="24"/>
          <w:szCs w:val="24"/>
          <w:highlight w:val="none"/>
          <w:lang w:val="en-US" w:eastAsia="zh-CN"/>
        </w:rPr>
        <w:t>-</w:t>
      </w:r>
      <w:r>
        <w:rPr>
          <w:rFonts w:hint="default" w:ascii="Times New Roman" w:hAnsi="Times New Roman" w:eastAsia="宋体" w:cs="Times New Roman"/>
          <w:spacing w:val="-1"/>
          <w:sz w:val="24"/>
          <w:szCs w:val="24"/>
          <w:highlight w:val="none"/>
          <w:lang w:val="en-US" w:eastAsia="zh-CN"/>
        </w:rPr>
        <w:t>4-2。</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436" w:firstLineChars="200"/>
        <w:jc w:val="center"/>
        <w:textAlignment w:val="baseline"/>
        <w:rPr>
          <w:rFonts w:hint="default" w:ascii="Times New Roman" w:hAnsi="Times New Roman" w:eastAsia="Times New Roman" w:cs="Times New Roman"/>
          <w:b/>
          <w:bCs/>
          <w:spacing w:val="4"/>
          <w:sz w:val="21"/>
          <w:szCs w:val="21"/>
        </w:rPr>
      </w:pPr>
      <w:r>
        <w:rPr>
          <w:rFonts w:hint="default" w:ascii="Times New Roman" w:hAnsi="Times New Roman" w:eastAsia="Times New Roman" w:cs="Times New Roman"/>
          <w:b/>
          <w:bCs/>
          <w:spacing w:val="4"/>
          <w:sz w:val="21"/>
          <w:szCs w:val="21"/>
        </w:rPr>
        <w:t>表 3</w:t>
      </w:r>
      <w:r>
        <w:rPr>
          <w:rFonts w:hint="eastAsia" w:ascii="Times New Roman" w:hAnsi="Times New Roman" w:eastAsia="宋体" w:cs="Times New Roman"/>
          <w:b/>
          <w:bCs/>
          <w:spacing w:val="4"/>
          <w:sz w:val="21"/>
          <w:szCs w:val="21"/>
          <w:lang w:val="en-US" w:eastAsia="zh-CN"/>
        </w:rPr>
        <w:t>-</w:t>
      </w:r>
      <w:r>
        <w:rPr>
          <w:rFonts w:hint="default" w:ascii="Times New Roman" w:hAnsi="Times New Roman" w:eastAsia="宋体" w:cs="Times New Roman"/>
          <w:b/>
          <w:bCs/>
          <w:spacing w:val="4"/>
          <w:sz w:val="21"/>
          <w:szCs w:val="21"/>
          <w:lang w:val="en-US" w:eastAsia="zh-CN"/>
        </w:rPr>
        <w:t>4</w:t>
      </w:r>
      <w:r>
        <w:rPr>
          <w:rFonts w:hint="default" w:ascii="Times New Roman" w:hAnsi="Times New Roman" w:eastAsia="Times New Roman" w:cs="Times New Roman"/>
          <w:b/>
          <w:bCs/>
          <w:spacing w:val="4"/>
          <w:sz w:val="21"/>
          <w:szCs w:val="21"/>
        </w:rPr>
        <w:t>-2    产品方案一览表  单位：t/a</w:t>
      </w:r>
    </w:p>
    <w:p>
      <w:pPr>
        <w:spacing w:line="18" w:lineRule="exact"/>
        <w:rPr>
          <w:rFonts w:hint="default" w:ascii="Times New Roman" w:hAnsi="Times New Roman" w:cs="Times New Roman"/>
        </w:rPr>
      </w:pPr>
    </w:p>
    <w:tbl>
      <w:tblPr>
        <w:tblStyle w:val="34"/>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16"/>
        <w:gridCol w:w="1146"/>
        <w:gridCol w:w="1657"/>
        <w:gridCol w:w="1886"/>
        <w:gridCol w:w="1923"/>
        <w:gridCol w:w="207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7" w:hRule="atLeast"/>
        </w:trPr>
        <w:tc>
          <w:tcPr>
            <w:tcW w:w="331" w:type="pct"/>
            <w:tcBorders>
              <w:tl2br w:val="nil"/>
              <w:tr2bl w:val="nil"/>
            </w:tcBorders>
            <w:textDirection w:val="tbRlV"/>
            <w:vAlign w:val="top"/>
          </w:tcPr>
          <w:p>
            <w:pPr>
              <w:spacing w:before="171" w:line="218" w:lineRule="auto"/>
              <w:ind w:left="58"/>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序</w:t>
            </w:r>
            <w:r>
              <w:rPr>
                <w:rFonts w:hint="default" w:ascii="Times New Roman" w:hAnsi="Times New Roman" w:eastAsia="宋体" w:cs="Times New Roman"/>
                <w:spacing w:val="11"/>
                <w:sz w:val="21"/>
                <w:szCs w:val="21"/>
              </w:rPr>
              <w:t xml:space="preserve"> </w:t>
            </w:r>
            <w:r>
              <w:rPr>
                <w:rFonts w:hint="default" w:ascii="Times New Roman" w:hAnsi="Times New Roman" w:eastAsia="宋体" w:cs="Times New Roman"/>
                <w:spacing w:val="8"/>
                <w:sz w:val="21"/>
                <w:szCs w:val="21"/>
              </w:rPr>
              <w:t>号</w:t>
            </w:r>
          </w:p>
        </w:tc>
        <w:tc>
          <w:tcPr>
            <w:tcW w:w="616" w:type="pct"/>
            <w:vMerge w:val="restart"/>
            <w:tcBorders>
              <w:tl2br w:val="nil"/>
              <w:tr2bl w:val="nil"/>
            </w:tcBorders>
            <w:vAlign w:val="top"/>
          </w:tcPr>
          <w:p>
            <w:pPr>
              <w:spacing w:before="65" w:line="228" w:lineRule="auto"/>
              <w:ind w:left="209"/>
              <w:rPr>
                <w:rFonts w:hint="default" w:ascii="Times New Roman" w:hAnsi="Times New Roman" w:eastAsia="宋体" w:cs="Times New Roman"/>
                <w:sz w:val="21"/>
                <w:szCs w:val="21"/>
              </w:rPr>
            </w:pPr>
          </w:p>
        </w:tc>
        <w:tc>
          <w:tcPr>
            <w:tcW w:w="890" w:type="pct"/>
            <w:tcBorders>
              <w:tl2br w:val="nil"/>
              <w:tr2bl w:val="nil"/>
            </w:tcBorders>
            <w:vAlign w:val="top"/>
          </w:tcPr>
          <w:p>
            <w:pPr>
              <w:spacing w:before="219" w:line="228" w:lineRule="auto"/>
              <w:ind w:left="330"/>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产品名称</w:t>
            </w:r>
          </w:p>
        </w:tc>
        <w:tc>
          <w:tcPr>
            <w:tcW w:w="1014" w:type="pct"/>
            <w:tcBorders>
              <w:tl2br w:val="nil"/>
              <w:tr2bl w:val="nil"/>
            </w:tcBorders>
            <w:vAlign w:val="top"/>
          </w:tcPr>
          <w:p>
            <w:pPr>
              <w:spacing w:before="219" w:line="228" w:lineRule="auto"/>
              <w:ind w:left="123"/>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现有工程年产量</w:t>
            </w:r>
          </w:p>
        </w:tc>
        <w:tc>
          <w:tcPr>
            <w:tcW w:w="10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color w:val="auto"/>
                <w:spacing w:val="0"/>
                <w:sz w:val="21"/>
                <w:szCs w:val="21"/>
                <w:lang w:val="en-US" w:eastAsia="zh-CN"/>
              </w:rPr>
              <w:t>改扩建项目年产量</w:t>
            </w:r>
          </w:p>
        </w:tc>
        <w:tc>
          <w:tcPr>
            <w:tcW w:w="11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color w:val="auto"/>
                <w:spacing w:val="0"/>
                <w:sz w:val="21"/>
                <w:szCs w:val="21"/>
                <w:lang w:val="en-US" w:eastAsia="zh-CN"/>
              </w:rPr>
              <w:t>改扩建后全厂年产量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331" w:type="pct"/>
            <w:tcBorders>
              <w:tl2br w:val="nil"/>
              <w:tr2bl w:val="nil"/>
            </w:tcBorders>
            <w:vAlign w:val="top"/>
          </w:tcPr>
          <w:p>
            <w:pPr>
              <w:spacing w:before="100" w:line="195" w:lineRule="auto"/>
              <w:ind w:left="248"/>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616" w:type="pct"/>
            <w:vMerge w:val="continue"/>
            <w:tcBorders>
              <w:tl2br w:val="nil"/>
              <w:tr2bl w:val="nil"/>
            </w:tcBorders>
            <w:vAlign w:val="top"/>
          </w:tcPr>
          <w:p>
            <w:pPr>
              <w:spacing w:before="63" w:line="228" w:lineRule="auto"/>
              <w:ind w:left="207"/>
              <w:rPr>
                <w:rFonts w:hint="default" w:ascii="Times New Roman" w:hAnsi="Times New Roman" w:eastAsia="宋体" w:cs="Times New Roman"/>
                <w:sz w:val="21"/>
                <w:szCs w:val="21"/>
              </w:rPr>
            </w:pPr>
          </w:p>
        </w:tc>
        <w:tc>
          <w:tcPr>
            <w:tcW w:w="890" w:type="pct"/>
            <w:tcBorders>
              <w:tl2br w:val="nil"/>
              <w:tr2bl w:val="nil"/>
            </w:tcBorders>
            <w:vAlign w:val="top"/>
          </w:tcPr>
          <w:p>
            <w:pPr>
              <w:spacing w:before="63" w:line="228" w:lineRule="auto"/>
              <w:ind w:left="466"/>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rPr>
              <w:t>白条肉</w:t>
            </w:r>
          </w:p>
        </w:tc>
        <w:tc>
          <w:tcPr>
            <w:tcW w:w="188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986</w:t>
            </w:r>
          </w:p>
        </w:tc>
        <w:tc>
          <w:tcPr>
            <w:tcW w:w="192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16534</w:t>
            </w:r>
          </w:p>
        </w:tc>
        <w:tc>
          <w:tcPr>
            <w:tcW w:w="20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17520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331" w:type="pct"/>
            <w:tcBorders>
              <w:tl2br w:val="nil"/>
              <w:tr2bl w:val="nil"/>
            </w:tcBorders>
            <w:vAlign w:val="top"/>
          </w:tcPr>
          <w:p>
            <w:pPr>
              <w:spacing w:before="101" w:line="195" w:lineRule="auto"/>
              <w:ind w:left="228"/>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616" w:type="pct"/>
            <w:vMerge w:val="continue"/>
            <w:tcBorders>
              <w:tl2br w:val="nil"/>
              <w:tr2bl w:val="nil"/>
            </w:tcBorders>
            <w:vAlign w:val="top"/>
          </w:tcPr>
          <w:p>
            <w:pPr>
              <w:spacing w:before="65" w:line="228" w:lineRule="auto"/>
              <w:ind w:left="209"/>
              <w:rPr>
                <w:rFonts w:hint="default" w:ascii="Times New Roman" w:hAnsi="Times New Roman" w:eastAsia="宋体" w:cs="Times New Roman"/>
                <w:sz w:val="21"/>
                <w:szCs w:val="21"/>
              </w:rPr>
            </w:pPr>
          </w:p>
        </w:tc>
        <w:tc>
          <w:tcPr>
            <w:tcW w:w="890" w:type="pct"/>
            <w:tcBorders>
              <w:tl2br w:val="nil"/>
              <w:tr2bl w:val="nil"/>
            </w:tcBorders>
            <w:vAlign w:val="top"/>
          </w:tcPr>
          <w:p>
            <w:pPr>
              <w:spacing w:before="66" w:line="228"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4"/>
                <w:sz w:val="21"/>
                <w:szCs w:val="21"/>
                <w:highlight w:val="none"/>
                <w:lang w:val="en-US" w:eastAsia="zh-CN"/>
              </w:rPr>
              <w:t>可食用内脏</w:t>
            </w:r>
          </w:p>
        </w:tc>
        <w:tc>
          <w:tcPr>
            <w:tcW w:w="188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87.8</w:t>
            </w:r>
          </w:p>
        </w:tc>
        <w:tc>
          <w:tcPr>
            <w:tcW w:w="192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1472.2</w:t>
            </w:r>
          </w:p>
        </w:tc>
        <w:tc>
          <w:tcPr>
            <w:tcW w:w="20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1560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31" w:type="pct"/>
            <w:tcBorders>
              <w:tl2br w:val="nil"/>
              <w:tr2bl w:val="nil"/>
            </w:tcBorders>
            <w:vAlign w:val="top"/>
          </w:tcPr>
          <w:p>
            <w:pPr>
              <w:spacing w:before="93" w:line="195" w:lineRule="auto"/>
              <w:ind w:left="232"/>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616" w:type="pct"/>
            <w:vMerge w:val="continue"/>
            <w:tcBorders>
              <w:tl2br w:val="nil"/>
              <w:tr2bl w:val="nil"/>
            </w:tcBorders>
            <w:vAlign w:val="top"/>
          </w:tcPr>
          <w:p>
            <w:pPr>
              <w:pStyle w:val="35"/>
              <w:rPr>
                <w:rFonts w:hint="default" w:ascii="Times New Roman" w:hAnsi="Times New Roman" w:eastAsia="宋体" w:cs="Times New Roman"/>
                <w:sz w:val="21"/>
                <w:szCs w:val="21"/>
              </w:rPr>
            </w:pPr>
          </w:p>
        </w:tc>
        <w:tc>
          <w:tcPr>
            <w:tcW w:w="890" w:type="pct"/>
            <w:tcBorders>
              <w:tl2br w:val="nil"/>
              <w:tr2bl w:val="nil"/>
            </w:tcBorders>
            <w:vAlign w:val="top"/>
          </w:tcPr>
          <w:p>
            <w:pPr>
              <w:spacing w:before="57" w:line="228" w:lineRule="auto"/>
              <w:ind w:left="542"/>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rPr>
              <w:t>猪血</w:t>
            </w:r>
          </w:p>
        </w:tc>
        <w:tc>
          <w:tcPr>
            <w:tcW w:w="188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60.7</w:t>
            </w:r>
          </w:p>
        </w:tc>
        <w:tc>
          <w:tcPr>
            <w:tcW w:w="192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1019.3</w:t>
            </w:r>
          </w:p>
        </w:tc>
        <w:tc>
          <w:tcPr>
            <w:tcW w:w="20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1080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331" w:type="pct"/>
            <w:tcBorders>
              <w:tl2br w:val="nil"/>
              <w:tr2bl w:val="nil"/>
            </w:tcBorders>
            <w:vAlign w:val="top"/>
          </w:tcPr>
          <w:p>
            <w:pPr>
              <w:spacing w:before="102" w:line="195" w:lineRule="auto"/>
              <w:ind w:left="227"/>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4</w:t>
            </w:r>
          </w:p>
        </w:tc>
        <w:tc>
          <w:tcPr>
            <w:tcW w:w="616" w:type="pct"/>
            <w:vMerge w:val="continue"/>
            <w:tcBorders>
              <w:tl2br w:val="nil"/>
              <w:tr2bl w:val="nil"/>
            </w:tcBorders>
            <w:vAlign w:val="top"/>
          </w:tcPr>
          <w:p>
            <w:pPr>
              <w:pStyle w:val="35"/>
              <w:rPr>
                <w:rFonts w:hint="default" w:ascii="Times New Roman" w:hAnsi="Times New Roman" w:eastAsia="宋体" w:cs="Times New Roman"/>
                <w:sz w:val="21"/>
                <w:szCs w:val="21"/>
              </w:rPr>
            </w:pPr>
          </w:p>
        </w:tc>
        <w:tc>
          <w:tcPr>
            <w:tcW w:w="890" w:type="pct"/>
            <w:tcBorders>
              <w:tl2br w:val="nil"/>
              <w:tr2bl w:val="nil"/>
            </w:tcBorders>
            <w:vAlign w:val="top"/>
          </w:tcPr>
          <w:p>
            <w:pPr>
              <w:spacing w:before="67" w:line="228"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pacing w:val="7"/>
                <w:sz w:val="21"/>
                <w:szCs w:val="21"/>
                <w:lang w:val="en-US" w:eastAsia="zh-CN"/>
              </w:rPr>
              <w:t>头、蹄、尾</w:t>
            </w:r>
          </w:p>
        </w:tc>
        <w:tc>
          <w:tcPr>
            <w:tcW w:w="188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87.7</w:t>
            </w:r>
          </w:p>
        </w:tc>
        <w:tc>
          <w:tcPr>
            <w:tcW w:w="192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1472.3</w:t>
            </w:r>
          </w:p>
        </w:tc>
        <w:tc>
          <w:tcPr>
            <w:tcW w:w="20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1560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31" w:type="pct"/>
            <w:tcBorders>
              <w:tl2br w:val="nil"/>
              <w:tr2bl w:val="nil"/>
            </w:tcBorders>
            <w:vAlign w:val="top"/>
          </w:tcPr>
          <w:p>
            <w:pPr>
              <w:spacing w:before="107" w:line="192" w:lineRule="auto"/>
              <w:ind w:left="233"/>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616" w:type="pct"/>
            <w:vMerge w:val="continue"/>
            <w:tcBorders>
              <w:tl2br w:val="nil"/>
              <w:tr2bl w:val="nil"/>
            </w:tcBorders>
            <w:vAlign w:val="top"/>
          </w:tcPr>
          <w:p>
            <w:pPr>
              <w:pStyle w:val="35"/>
              <w:rPr>
                <w:rFonts w:hint="default" w:ascii="Times New Roman" w:hAnsi="Times New Roman" w:eastAsia="宋体" w:cs="Times New Roman"/>
                <w:sz w:val="21"/>
                <w:szCs w:val="21"/>
              </w:rPr>
            </w:pPr>
          </w:p>
        </w:tc>
        <w:tc>
          <w:tcPr>
            <w:tcW w:w="890" w:type="pct"/>
            <w:tcBorders>
              <w:tl2br w:val="nil"/>
              <w:tr2bl w:val="nil"/>
            </w:tcBorders>
            <w:vAlign w:val="top"/>
          </w:tcPr>
          <w:p>
            <w:pPr>
              <w:spacing w:before="68" w:line="228" w:lineRule="auto"/>
              <w:ind w:left="537"/>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板油</w:t>
            </w:r>
          </w:p>
        </w:tc>
        <w:tc>
          <w:tcPr>
            <w:tcW w:w="188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27</w:t>
            </w:r>
          </w:p>
        </w:tc>
        <w:tc>
          <w:tcPr>
            <w:tcW w:w="192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453</w:t>
            </w:r>
          </w:p>
        </w:tc>
        <w:tc>
          <w:tcPr>
            <w:tcW w:w="20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480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1838" w:type="pct"/>
            <w:gridSpan w:val="3"/>
            <w:tcBorders>
              <w:tl2br w:val="nil"/>
              <w:tr2bl w:val="nil"/>
            </w:tcBorders>
            <w:vAlign w:val="top"/>
          </w:tcPr>
          <w:p>
            <w:pPr>
              <w:spacing w:before="68" w:line="22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合计</w:t>
            </w:r>
          </w:p>
        </w:tc>
        <w:tc>
          <w:tcPr>
            <w:tcW w:w="188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1249.2</w:t>
            </w:r>
          </w:p>
        </w:tc>
        <w:tc>
          <w:tcPr>
            <w:tcW w:w="192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20950.8</w:t>
            </w:r>
          </w:p>
        </w:tc>
        <w:tc>
          <w:tcPr>
            <w:tcW w:w="20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22200</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outlineLvl w:val="2"/>
        <w:rPr>
          <w:rFonts w:hint="default" w:ascii="Times New Roman" w:hAnsi="Times New Roman" w:eastAsia="黑体" w:cs="Times New Roman"/>
          <w:sz w:val="24"/>
          <w:szCs w:val="24"/>
        </w:rPr>
      </w:pPr>
      <w:r>
        <w:rPr>
          <w:rFonts w:hint="default" w:ascii="Times New Roman" w:hAnsi="Times New Roman" w:eastAsia="Times New Roman" w:cs="Times New Roman"/>
          <w:spacing w:val="-1"/>
          <w:sz w:val="24"/>
          <w:szCs w:val="24"/>
        </w:rPr>
        <w:t>3.</w:t>
      </w:r>
      <w:r>
        <w:rPr>
          <w:rFonts w:hint="default" w:ascii="Times New Roman" w:hAnsi="Times New Roman" w:eastAsia="宋体" w:cs="Times New Roman"/>
          <w:spacing w:val="-1"/>
          <w:sz w:val="24"/>
          <w:szCs w:val="24"/>
          <w:lang w:val="en-US" w:eastAsia="zh-CN"/>
        </w:rPr>
        <w:t>4</w:t>
      </w:r>
      <w:r>
        <w:rPr>
          <w:rFonts w:hint="default" w:ascii="Times New Roman" w:hAnsi="Times New Roman" w:eastAsia="Times New Roman" w:cs="Times New Roman"/>
          <w:spacing w:val="-1"/>
          <w:sz w:val="24"/>
          <w:szCs w:val="24"/>
        </w:rPr>
        <w:t>.</w:t>
      </w:r>
      <w:r>
        <w:rPr>
          <w:rFonts w:hint="default" w:ascii="Times New Roman" w:hAnsi="Times New Roman" w:eastAsia="宋体" w:cs="Times New Roman"/>
          <w:spacing w:val="-1"/>
          <w:sz w:val="24"/>
          <w:szCs w:val="24"/>
          <w:lang w:val="en-US" w:eastAsia="zh-CN"/>
        </w:rPr>
        <w:t>4</w:t>
      </w:r>
      <w:r>
        <w:rPr>
          <w:rFonts w:hint="default" w:ascii="Times New Roman" w:hAnsi="Times New Roman" w:eastAsia="Times New Roman" w:cs="Times New Roman"/>
          <w:spacing w:val="-1"/>
          <w:sz w:val="24"/>
          <w:szCs w:val="24"/>
        </w:rPr>
        <w:t xml:space="preserve">  </w:t>
      </w:r>
      <w:r>
        <w:rPr>
          <w:rFonts w:hint="default" w:ascii="Times New Roman" w:hAnsi="Times New Roman" w:eastAsia="黑体" w:cs="Times New Roman"/>
          <w:spacing w:val="-1"/>
          <w:sz w:val="24"/>
          <w:szCs w:val="24"/>
        </w:rPr>
        <w:t>原辅材料</w:t>
      </w:r>
    </w:p>
    <w:p>
      <w:pPr>
        <w:spacing w:before="130" w:line="228" w:lineRule="auto"/>
        <w:jc w:val="center"/>
        <w:rPr>
          <w:rFonts w:hint="default" w:ascii="Times New Roman" w:hAnsi="Times New Roman" w:eastAsia="Times New Roman" w:cs="Times New Roman"/>
          <w:b/>
          <w:bCs/>
          <w:spacing w:val="4"/>
          <w:sz w:val="21"/>
          <w:szCs w:val="21"/>
        </w:rPr>
      </w:pPr>
      <w:r>
        <w:rPr>
          <w:rFonts w:hint="default" w:ascii="Times New Roman" w:hAnsi="Times New Roman" w:eastAsia="Times New Roman" w:cs="Times New Roman"/>
          <w:b/>
          <w:bCs/>
          <w:spacing w:val="4"/>
          <w:sz w:val="21"/>
          <w:szCs w:val="21"/>
        </w:rPr>
        <w:t>表 3</w:t>
      </w:r>
      <w:r>
        <w:rPr>
          <w:rFonts w:hint="eastAsia" w:ascii="Times New Roman" w:hAnsi="Times New Roman" w:eastAsia="宋体" w:cs="Times New Roman"/>
          <w:b/>
          <w:bCs/>
          <w:spacing w:val="4"/>
          <w:sz w:val="21"/>
          <w:szCs w:val="21"/>
          <w:lang w:val="en-US" w:eastAsia="zh-CN"/>
        </w:rPr>
        <w:t>-</w:t>
      </w:r>
      <w:r>
        <w:rPr>
          <w:rFonts w:hint="default" w:ascii="Times New Roman" w:hAnsi="Times New Roman" w:eastAsia="宋体" w:cs="Times New Roman"/>
          <w:b/>
          <w:bCs/>
          <w:spacing w:val="4"/>
          <w:sz w:val="21"/>
          <w:szCs w:val="21"/>
          <w:lang w:val="en-US" w:eastAsia="zh-CN"/>
        </w:rPr>
        <w:t>4</w:t>
      </w:r>
      <w:r>
        <w:rPr>
          <w:rFonts w:hint="default" w:ascii="Times New Roman" w:hAnsi="Times New Roman" w:eastAsia="Times New Roman" w:cs="Times New Roman"/>
          <w:b/>
          <w:bCs/>
          <w:spacing w:val="4"/>
          <w:sz w:val="21"/>
          <w:szCs w:val="21"/>
        </w:rPr>
        <w:t>-</w:t>
      </w:r>
      <w:r>
        <w:rPr>
          <w:rFonts w:hint="default" w:ascii="Times New Roman" w:hAnsi="Times New Roman" w:eastAsia="宋体" w:cs="Times New Roman"/>
          <w:b/>
          <w:bCs/>
          <w:spacing w:val="4"/>
          <w:sz w:val="21"/>
          <w:szCs w:val="21"/>
          <w:lang w:val="en-US" w:eastAsia="zh-CN"/>
        </w:rPr>
        <w:t>3</w:t>
      </w:r>
      <w:r>
        <w:rPr>
          <w:rFonts w:hint="default" w:ascii="Times New Roman" w:hAnsi="Times New Roman" w:eastAsia="Times New Roman" w:cs="Times New Roman"/>
          <w:b/>
          <w:bCs/>
          <w:spacing w:val="4"/>
          <w:sz w:val="21"/>
          <w:szCs w:val="21"/>
        </w:rPr>
        <w:t xml:space="preserve">    项目改扩建前后工程原辅材料一览表</w:t>
      </w:r>
    </w:p>
    <w:tbl>
      <w:tblPr>
        <w:tblStyle w:val="34"/>
        <w:tblW w:w="928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27"/>
        <w:gridCol w:w="863"/>
        <w:gridCol w:w="1302"/>
        <w:gridCol w:w="789"/>
        <w:gridCol w:w="1270"/>
        <w:gridCol w:w="1193"/>
        <w:gridCol w:w="1074"/>
        <w:gridCol w:w="1055"/>
        <w:gridCol w:w="12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1" w:hRule="atLeast"/>
        </w:trPr>
        <w:tc>
          <w:tcPr>
            <w:tcW w:w="527" w:type="dxa"/>
            <w:textDirection w:val="tbRlV"/>
            <w:vAlign w:val="top"/>
          </w:tcPr>
          <w:p>
            <w:pPr>
              <w:spacing w:before="156" w:line="218" w:lineRule="auto"/>
              <w:ind w:left="120"/>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8"/>
                <w:sz w:val="21"/>
                <w:szCs w:val="21"/>
                <w:highlight w:val="none"/>
              </w:rPr>
              <w:t>序</w:t>
            </w:r>
            <w:r>
              <w:rPr>
                <w:rFonts w:hint="default" w:ascii="Times New Roman" w:hAnsi="Times New Roman" w:eastAsia="宋体" w:cs="Times New Roman"/>
                <w:spacing w:val="-38"/>
                <w:sz w:val="21"/>
                <w:szCs w:val="21"/>
                <w:highlight w:val="none"/>
              </w:rPr>
              <w:t xml:space="preserve"> </w:t>
            </w:r>
            <w:r>
              <w:rPr>
                <w:rFonts w:hint="default" w:ascii="Times New Roman" w:hAnsi="Times New Roman" w:eastAsia="宋体" w:cs="Times New Roman"/>
                <w:spacing w:val="8"/>
                <w:sz w:val="21"/>
                <w:szCs w:val="21"/>
                <w:highlight w:val="none"/>
              </w:rPr>
              <w:t>号</w:t>
            </w:r>
          </w:p>
        </w:tc>
        <w:tc>
          <w:tcPr>
            <w:tcW w:w="863" w:type="dxa"/>
            <w:vAlign w:val="top"/>
          </w:tcPr>
          <w:p>
            <w:pPr>
              <w:spacing w:before="254" w:line="230" w:lineRule="auto"/>
              <w:ind w:left="225"/>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3"/>
                <w:sz w:val="21"/>
                <w:szCs w:val="21"/>
                <w:highlight w:val="none"/>
              </w:rPr>
              <w:t>名称</w:t>
            </w:r>
          </w:p>
        </w:tc>
        <w:tc>
          <w:tcPr>
            <w:tcW w:w="1302" w:type="dxa"/>
            <w:vAlign w:val="top"/>
          </w:tcPr>
          <w:p>
            <w:pPr>
              <w:spacing w:before="254" w:line="228" w:lineRule="auto"/>
              <w:ind w:left="205"/>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6"/>
                <w:sz w:val="21"/>
                <w:szCs w:val="21"/>
                <w:highlight w:val="none"/>
              </w:rPr>
              <w:t>规格/单耗</w:t>
            </w:r>
          </w:p>
        </w:tc>
        <w:tc>
          <w:tcPr>
            <w:tcW w:w="789" w:type="dxa"/>
            <w:vAlign w:val="top"/>
          </w:tcPr>
          <w:p>
            <w:pPr>
              <w:spacing w:before="120" w:line="271" w:lineRule="exact"/>
              <w:ind w:left="187"/>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position w:val="4"/>
                <w:sz w:val="21"/>
                <w:szCs w:val="21"/>
                <w:highlight w:val="none"/>
              </w:rPr>
              <w:t>包装</w:t>
            </w:r>
          </w:p>
          <w:p>
            <w:pPr>
              <w:spacing w:line="229" w:lineRule="auto"/>
              <w:ind w:left="187"/>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rPr>
              <w:t>方式</w:t>
            </w:r>
          </w:p>
        </w:tc>
        <w:tc>
          <w:tcPr>
            <w:tcW w:w="1270" w:type="dxa"/>
            <w:vAlign w:val="top"/>
          </w:tcPr>
          <w:p>
            <w:pPr>
              <w:spacing w:before="254" w:line="228" w:lineRule="auto"/>
              <w:ind w:left="429"/>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3"/>
                <w:sz w:val="21"/>
                <w:szCs w:val="21"/>
                <w:highlight w:val="none"/>
              </w:rPr>
              <w:t>现有</w:t>
            </w:r>
          </w:p>
        </w:tc>
        <w:tc>
          <w:tcPr>
            <w:tcW w:w="1193" w:type="dxa"/>
            <w:vAlign w:val="top"/>
          </w:tcPr>
          <w:p>
            <w:pPr>
              <w:spacing w:before="254" w:line="227" w:lineRule="auto"/>
              <w:ind w:left="286"/>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6"/>
                <w:sz w:val="21"/>
                <w:szCs w:val="21"/>
                <w:highlight w:val="none"/>
              </w:rPr>
              <w:t>本项目</w:t>
            </w:r>
          </w:p>
        </w:tc>
        <w:tc>
          <w:tcPr>
            <w:tcW w:w="1074" w:type="dxa"/>
            <w:vAlign w:val="top"/>
          </w:tcPr>
          <w:p>
            <w:pPr>
              <w:spacing w:before="254" w:line="228" w:lineRule="auto"/>
              <w:ind w:left="333"/>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rPr>
              <w:t>全厂</w:t>
            </w:r>
          </w:p>
        </w:tc>
        <w:tc>
          <w:tcPr>
            <w:tcW w:w="1055" w:type="dxa"/>
            <w:vAlign w:val="top"/>
          </w:tcPr>
          <w:p>
            <w:pPr>
              <w:spacing w:before="119" w:line="228" w:lineRule="auto"/>
              <w:ind w:left="113"/>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7"/>
                <w:sz w:val="21"/>
                <w:szCs w:val="21"/>
                <w:highlight w:val="none"/>
              </w:rPr>
              <w:t>全厂最大</w:t>
            </w:r>
          </w:p>
          <w:p>
            <w:pPr>
              <w:spacing w:before="24" w:line="228" w:lineRule="auto"/>
              <w:ind w:left="218"/>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7"/>
                <w:sz w:val="21"/>
                <w:szCs w:val="21"/>
                <w:highlight w:val="none"/>
              </w:rPr>
              <w:t>储存量</w:t>
            </w:r>
          </w:p>
        </w:tc>
        <w:tc>
          <w:tcPr>
            <w:tcW w:w="1212" w:type="dxa"/>
            <w:vAlign w:val="top"/>
          </w:tcPr>
          <w:p>
            <w:pPr>
              <w:spacing w:before="254" w:line="229" w:lineRule="auto"/>
              <w:ind w:left="299"/>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1"/>
                <w:sz w:val="21"/>
                <w:szCs w:val="21"/>
                <w:highlight w:val="none"/>
              </w:rPr>
              <w:t>备</w:t>
            </w:r>
            <w:r>
              <w:rPr>
                <w:rFonts w:hint="default" w:ascii="Times New Roman" w:hAnsi="Times New Roman" w:eastAsia="宋体" w:cs="Times New Roman"/>
                <w:spacing w:val="9"/>
                <w:sz w:val="21"/>
                <w:szCs w:val="21"/>
                <w:highlight w:val="none"/>
              </w:rPr>
              <w:t xml:space="preserve">  </w:t>
            </w:r>
            <w:r>
              <w:rPr>
                <w:rFonts w:hint="default" w:ascii="Times New Roman" w:hAnsi="Times New Roman" w:eastAsia="宋体" w:cs="Times New Roman"/>
                <w:spacing w:val="-1"/>
                <w:sz w:val="21"/>
                <w:szCs w:val="21"/>
                <w:highlight w:val="none"/>
              </w:rPr>
              <w:t>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527" w:type="dxa"/>
            <w:vAlign w:val="top"/>
          </w:tcPr>
          <w:p>
            <w:pPr>
              <w:spacing w:before="205" w:line="195" w:lineRule="auto"/>
              <w:ind w:left="231"/>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w:t>
            </w:r>
          </w:p>
        </w:tc>
        <w:tc>
          <w:tcPr>
            <w:tcW w:w="863" w:type="dxa"/>
            <w:vAlign w:val="top"/>
          </w:tcPr>
          <w:p>
            <w:pPr>
              <w:spacing w:before="167" w:line="228" w:lineRule="auto"/>
              <w:ind w:left="226"/>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pacing w:val="3"/>
                <w:sz w:val="21"/>
                <w:szCs w:val="21"/>
                <w:highlight w:val="none"/>
                <w:lang w:val="en-US" w:eastAsia="zh-CN"/>
              </w:rPr>
              <w:t>生猪</w:t>
            </w:r>
          </w:p>
        </w:tc>
        <w:tc>
          <w:tcPr>
            <w:tcW w:w="1302" w:type="dxa"/>
            <w:vAlign w:val="top"/>
          </w:tcPr>
          <w:p>
            <w:pPr>
              <w:spacing w:before="166" w:line="221" w:lineRule="auto"/>
              <w:ind w:left="274"/>
              <w:jc w:val="both"/>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2"/>
                <w:sz w:val="21"/>
                <w:szCs w:val="21"/>
                <w:highlight w:val="none"/>
              </w:rPr>
              <w:t>100</w:t>
            </w:r>
            <w:r>
              <w:rPr>
                <w:rFonts w:hint="default" w:ascii="Times New Roman" w:hAnsi="Times New Roman" w:eastAsia="宋体" w:cs="Times New Roman"/>
                <w:sz w:val="21"/>
                <w:szCs w:val="21"/>
                <w:highlight w:val="none"/>
              </w:rPr>
              <w:t>kg</w:t>
            </w:r>
            <w:r>
              <w:rPr>
                <w:rFonts w:hint="default" w:ascii="Times New Roman" w:hAnsi="Times New Roman" w:eastAsia="宋体" w:cs="Times New Roman"/>
                <w:spacing w:val="2"/>
                <w:sz w:val="21"/>
                <w:szCs w:val="21"/>
                <w:highlight w:val="none"/>
              </w:rPr>
              <w:t>/头</w:t>
            </w:r>
          </w:p>
        </w:tc>
        <w:tc>
          <w:tcPr>
            <w:tcW w:w="789" w:type="dxa"/>
            <w:vAlign w:val="top"/>
          </w:tcPr>
          <w:p>
            <w:pPr>
              <w:spacing w:before="201" w:line="199" w:lineRule="auto"/>
              <w:ind w:left="361"/>
              <w:jc w:val="both"/>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2"/>
                <w:sz w:val="21"/>
                <w:szCs w:val="21"/>
                <w:highlight w:val="none"/>
              </w:rPr>
              <w:t>/</w:t>
            </w:r>
          </w:p>
        </w:tc>
        <w:tc>
          <w:tcPr>
            <w:tcW w:w="1270" w:type="dxa"/>
            <w:vAlign w:val="top"/>
          </w:tcPr>
          <w:p>
            <w:pPr>
              <w:spacing w:before="166" w:line="228"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2"/>
                <w:sz w:val="21"/>
                <w:szCs w:val="21"/>
                <w:highlight w:val="none"/>
                <w:lang w:val="en-US" w:eastAsia="zh-CN"/>
              </w:rPr>
              <w:t>9千</w:t>
            </w:r>
            <w:r>
              <w:rPr>
                <w:rFonts w:hint="default" w:ascii="Times New Roman" w:hAnsi="Times New Roman" w:eastAsia="宋体" w:cs="Times New Roman"/>
                <w:spacing w:val="2"/>
                <w:sz w:val="21"/>
                <w:szCs w:val="21"/>
                <w:highlight w:val="none"/>
              </w:rPr>
              <w:t>头/a</w:t>
            </w:r>
          </w:p>
        </w:tc>
        <w:tc>
          <w:tcPr>
            <w:tcW w:w="1193" w:type="dxa"/>
            <w:vAlign w:val="top"/>
          </w:tcPr>
          <w:p>
            <w:pPr>
              <w:spacing w:before="166" w:line="228"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2"/>
                <w:sz w:val="21"/>
                <w:szCs w:val="21"/>
                <w:highlight w:val="none"/>
                <w:lang w:val="en-US" w:eastAsia="zh-CN"/>
              </w:rPr>
              <w:t>15.1</w:t>
            </w:r>
            <w:r>
              <w:rPr>
                <w:rFonts w:hint="default" w:ascii="Times New Roman" w:hAnsi="Times New Roman" w:eastAsia="宋体" w:cs="Times New Roman"/>
                <w:spacing w:val="2"/>
                <w:sz w:val="21"/>
                <w:szCs w:val="21"/>
                <w:highlight w:val="none"/>
              </w:rPr>
              <w:t>万头/a</w:t>
            </w:r>
          </w:p>
        </w:tc>
        <w:tc>
          <w:tcPr>
            <w:tcW w:w="1074" w:type="dxa"/>
            <w:vAlign w:val="top"/>
          </w:tcPr>
          <w:p>
            <w:pPr>
              <w:spacing w:before="166" w:line="228"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2"/>
                <w:sz w:val="21"/>
                <w:szCs w:val="21"/>
                <w:highlight w:val="none"/>
                <w:lang w:val="en-US" w:eastAsia="zh-CN"/>
              </w:rPr>
              <w:t>16</w:t>
            </w:r>
            <w:r>
              <w:rPr>
                <w:rFonts w:hint="default" w:ascii="Times New Roman" w:hAnsi="Times New Roman" w:eastAsia="宋体" w:cs="Times New Roman"/>
                <w:spacing w:val="2"/>
                <w:sz w:val="21"/>
                <w:szCs w:val="21"/>
                <w:highlight w:val="none"/>
              </w:rPr>
              <w:t>万头/a</w:t>
            </w:r>
          </w:p>
        </w:tc>
        <w:tc>
          <w:tcPr>
            <w:tcW w:w="1055" w:type="dxa"/>
            <w:vAlign w:val="top"/>
          </w:tcPr>
          <w:p>
            <w:pPr>
              <w:spacing w:before="166" w:line="228"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1500头</w:t>
            </w:r>
          </w:p>
        </w:tc>
        <w:tc>
          <w:tcPr>
            <w:tcW w:w="121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color w:val="auto"/>
                <w:spacing w:val="0"/>
                <w:sz w:val="21"/>
                <w:szCs w:val="21"/>
                <w:highlight w:val="none"/>
                <w:lang w:val="en-US" w:eastAsia="zh-CN"/>
              </w:rPr>
              <w:t>白条肉、其他产品</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527" w:type="dxa"/>
            <w:vAlign w:val="top"/>
          </w:tcPr>
          <w:p>
            <w:pPr>
              <w:spacing w:before="107" w:line="195" w:lineRule="auto"/>
              <w:ind w:left="211"/>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w:t>
            </w:r>
          </w:p>
        </w:tc>
        <w:tc>
          <w:tcPr>
            <w:tcW w:w="863" w:type="dxa"/>
            <w:vAlign w:val="top"/>
          </w:tcPr>
          <w:p>
            <w:pPr>
              <w:spacing w:before="71" w:line="228" w:lineRule="auto"/>
              <w:ind w:left="227"/>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2"/>
                <w:sz w:val="21"/>
                <w:szCs w:val="21"/>
                <w:highlight w:val="none"/>
              </w:rPr>
              <w:t>薄膜</w:t>
            </w:r>
          </w:p>
        </w:tc>
        <w:tc>
          <w:tcPr>
            <w:tcW w:w="1302" w:type="dxa"/>
            <w:vAlign w:val="top"/>
          </w:tcPr>
          <w:p>
            <w:pPr>
              <w:spacing w:before="71" w:line="221" w:lineRule="auto"/>
              <w:ind w:left="359"/>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7"/>
                <w:sz w:val="21"/>
                <w:szCs w:val="21"/>
                <w:highlight w:val="none"/>
              </w:rPr>
              <w:t>2</w:t>
            </w:r>
            <w:r>
              <w:rPr>
                <w:rFonts w:hint="default" w:ascii="Times New Roman" w:hAnsi="Times New Roman" w:eastAsia="宋体" w:cs="Times New Roman"/>
                <w:sz w:val="21"/>
                <w:szCs w:val="21"/>
                <w:highlight w:val="none"/>
              </w:rPr>
              <w:t>kg</w:t>
            </w:r>
            <w:r>
              <w:rPr>
                <w:rFonts w:hint="default" w:ascii="Times New Roman" w:hAnsi="Times New Roman" w:eastAsia="宋体" w:cs="Times New Roman"/>
                <w:spacing w:val="7"/>
                <w:sz w:val="21"/>
                <w:szCs w:val="21"/>
                <w:highlight w:val="none"/>
              </w:rPr>
              <w:t>/卷</w:t>
            </w:r>
          </w:p>
        </w:tc>
        <w:tc>
          <w:tcPr>
            <w:tcW w:w="789" w:type="dxa"/>
            <w:vAlign w:val="top"/>
          </w:tcPr>
          <w:p>
            <w:pPr>
              <w:spacing w:before="71" w:line="228" w:lineRule="auto"/>
              <w:ind w:left="187"/>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rPr>
              <w:t>袋装</w:t>
            </w:r>
          </w:p>
        </w:tc>
        <w:tc>
          <w:tcPr>
            <w:tcW w:w="1270" w:type="dxa"/>
            <w:vAlign w:val="top"/>
          </w:tcPr>
          <w:p>
            <w:pPr>
              <w:spacing w:before="71" w:line="234" w:lineRule="auto"/>
              <w:ind w:left="420"/>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5"/>
                <w:sz w:val="21"/>
                <w:szCs w:val="21"/>
                <w:highlight w:val="none"/>
              </w:rPr>
              <w:t>10</w:t>
            </w:r>
            <w:r>
              <w:rPr>
                <w:rFonts w:hint="default" w:ascii="Times New Roman" w:hAnsi="Times New Roman" w:eastAsia="宋体" w:cs="Times New Roman"/>
                <w:spacing w:val="11"/>
                <w:sz w:val="21"/>
                <w:szCs w:val="21"/>
                <w:highlight w:val="none"/>
              </w:rPr>
              <w:t xml:space="preserve"> </w:t>
            </w:r>
            <w:r>
              <w:rPr>
                <w:rFonts w:hint="default" w:ascii="Times New Roman" w:hAnsi="Times New Roman" w:eastAsia="宋体" w:cs="Times New Roman"/>
                <w:spacing w:val="-5"/>
                <w:sz w:val="21"/>
                <w:szCs w:val="21"/>
                <w:highlight w:val="none"/>
              </w:rPr>
              <w:t>卷</w:t>
            </w:r>
          </w:p>
        </w:tc>
        <w:tc>
          <w:tcPr>
            <w:tcW w:w="1193" w:type="dxa"/>
            <w:vAlign w:val="top"/>
          </w:tcPr>
          <w:p>
            <w:pPr>
              <w:spacing w:before="71" w:line="234" w:lineRule="auto"/>
              <w:ind w:left="365"/>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60</w:t>
            </w:r>
            <w:r>
              <w:rPr>
                <w:rFonts w:hint="default" w:ascii="Times New Roman" w:hAnsi="Times New Roman" w:eastAsia="宋体" w:cs="Times New Roman"/>
                <w:spacing w:val="11"/>
                <w:sz w:val="21"/>
                <w:szCs w:val="21"/>
                <w:highlight w:val="none"/>
              </w:rPr>
              <w:t xml:space="preserve"> </w:t>
            </w:r>
            <w:r>
              <w:rPr>
                <w:rFonts w:hint="default" w:ascii="Times New Roman" w:hAnsi="Times New Roman" w:eastAsia="宋体" w:cs="Times New Roman"/>
                <w:sz w:val="21"/>
                <w:szCs w:val="21"/>
                <w:highlight w:val="none"/>
              </w:rPr>
              <w:t>卷</w:t>
            </w:r>
          </w:p>
        </w:tc>
        <w:tc>
          <w:tcPr>
            <w:tcW w:w="1074" w:type="dxa"/>
            <w:vAlign w:val="top"/>
          </w:tcPr>
          <w:p>
            <w:pPr>
              <w:spacing w:before="71" w:line="234" w:lineRule="auto"/>
              <w:ind w:left="306"/>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70</w:t>
            </w:r>
            <w:r>
              <w:rPr>
                <w:rFonts w:hint="default" w:ascii="Times New Roman" w:hAnsi="Times New Roman" w:eastAsia="宋体" w:cs="Times New Roman"/>
                <w:spacing w:val="12"/>
                <w:w w:val="101"/>
                <w:sz w:val="21"/>
                <w:szCs w:val="21"/>
                <w:highlight w:val="none"/>
              </w:rPr>
              <w:t xml:space="preserve"> </w:t>
            </w:r>
            <w:r>
              <w:rPr>
                <w:rFonts w:hint="default" w:ascii="Times New Roman" w:hAnsi="Times New Roman" w:eastAsia="宋体" w:cs="Times New Roman"/>
                <w:sz w:val="21"/>
                <w:szCs w:val="21"/>
                <w:highlight w:val="none"/>
              </w:rPr>
              <w:t>卷</w:t>
            </w:r>
          </w:p>
        </w:tc>
        <w:tc>
          <w:tcPr>
            <w:tcW w:w="1055" w:type="dxa"/>
            <w:vAlign w:val="top"/>
          </w:tcPr>
          <w:p>
            <w:pPr>
              <w:spacing w:before="71" w:line="234" w:lineRule="auto"/>
              <w:ind w:left="294"/>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1"/>
                <w:sz w:val="21"/>
                <w:szCs w:val="21"/>
                <w:highlight w:val="none"/>
              </w:rPr>
              <w:t>20</w:t>
            </w:r>
            <w:r>
              <w:rPr>
                <w:rFonts w:hint="default" w:ascii="Times New Roman" w:hAnsi="Times New Roman" w:eastAsia="宋体" w:cs="Times New Roman"/>
                <w:spacing w:val="13"/>
                <w:sz w:val="21"/>
                <w:szCs w:val="21"/>
                <w:highlight w:val="none"/>
              </w:rPr>
              <w:t xml:space="preserve"> </w:t>
            </w:r>
            <w:r>
              <w:rPr>
                <w:rFonts w:hint="default" w:ascii="Times New Roman" w:hAnsi="Times New Roman" w:eastAsia="宋体" w:cs="Times New Roman"/>
                <w:spacing w:val="1"/>
                <w:sz w:val="21"/>
                <w:szCs w:val="21"/>
                <w:highlight w:val="none"/>
              </w:rPr>
              <w:t>卷</w:t>
            </w:r>
          </w:p>
        </w:tc>
        <w:tc>
          <w:tcPr>
            <w:tcW w:w="1212" w:type="dxa"/>
            <w:vMerge w:val="restart"/>
            <w:tcBorders>
              <w:bottom w:val="nil"/>
            </w:tcBorders>
            <w:vAlign w:val="top"/>
          </w:tcPr>
          <w:p>
            <w:pPr>
              <w:spacing w:before="258" w:line="227" w:lineRule="auto"/>
              <w:ind w:left="191"/>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7"/>
                <w:sz w:val="21"/>
                <w:szCs w:val="21"/>
                <w:highlight w:val="none"/>
              </w:rPr>
              <w:t>包装材料</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527" w:type="dxa"/>
            <w:vAlign w:val="top"/>
          </w:tcPr>
          <w:p>
            <w:pPr>
              <w:spacing w:before="113" w:line="195" w:lineRule="auto"/>
              <w:ind w:left="215"/>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w:t>
            </w:r>
          </w:p>
        </w:tc>
        <w:tc>
          <w:tcPr>
            <w:tcW w:w="863" w:type="dxa"/>
            <w:vAlign w:val="top"/>
          </w:tcPr>
          <w:p>
            <w:pPr>
              <w:spacing w:before="77" w:line="228" w:lineRule="auto"/>
              <w:ind w:left="225"/>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3"/>
                <w:sz w:val="21"/>
                <w:szCs w:val="21"/>
                <w:highlight w:val="none"/>
              </w:rPr>
              <w:t>纸箱</w:t>
            </w:r>
          </w:p>
        </w:tc>
        <w:tc>
          <w:tcPr>
            <w:tcW w:w="1302" w:type="dxa"/>
            <w:vAlign w:val="top"/>
          </w:tcPr>
          <w:p>
            <w:pPr>
              <w:spacing w:before="77" w:line="228" w:lineRule="auto"/>
              <w:ind w:left="300"/>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13"/>
                <w:sz w:val="21"/>
                <w:szCs w:val="21"/>
                <w:highlight w:val="none"/>
                <w:lang w:val="en-US" w:eastAsia="zh-CN"/>
              </w:rPr>
              <w:t>12个</w:t>
            </w:r>
            <w:r>
              <w:rPr>
                <w:rFonts w:hint="default" w:ascii="Times New Roman" w:hAnsi="Times New Roman" w:eastAsia="宋体" w:cs="Times New Roman"/>
                <w:spacing w:val="-1"/>
                <w:sz w:val="21"/>
                <w:szCs w:val="21"/>
                <w:highlight w:val="none"/>
              </w:rPr>
              <w:t>/箱</w:t>
            </w:r>
          </w:p>
        </w:tc>
        <w:tc>
          <w:tcPr>
            <w:tcW w:w="789" w:type="dxa"/>
            <w:vAlign w:val="top"/>
          </w:tcPr>
          <w:p>
            <w:pPr>
              <w:spacing w:before="77" w:line="228" w:lineRule="auto"/>
              <w:ind w:left="187"/>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4"/>
                <w:sz w:val="21"/>
                <w:szCs w:val="21"/>
                <w:highlight w:val="none"/>
              </w:rPr>
              <w:t>袋装</w:t>
            </w:r>
          </w:p>
        </w:tc>
        <w:tc>
          <w:tcPr>
            <w:tcW w:w="1270" w:type="dxa"/>
            <w:vAlign w:val="top"/>
          </w:tcPr>
          <w:p>
            <w:pPr>
              <w:spacing w:before="77" w:line="228" w:lineRule="auto"/>
              <w:ind w:left="314"/>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1"/>
                <w:sz w:val="21"/>
                <w:szCs w:val="21"/>
                <w:highlight w:val="none"/>
              </w:rPr>
              <w:t>1000</w:t>
            </w:r>
            <w:r>
              <w:rPr>
                <w:rFonts w:hint="default" w:ascii="Times New Roman" w:hAnsi="Times New Roman" w:eastAsia="宋体" w:cs="Times New Roman"/>
                <w:spacing w:val="12"/>
                <w:sz w:val="21"/>
                <w:szCs w:val="21"/>
                <w:highlight w:val="none"/>
              </w:rPr>
              <w:t xml:space="preserve"> </w:t>
            </w:r>
            <w:r>
              <w:rPr>
                <w:rFonts w:hint="default" w:ascii="Times New Roman" w:hAnsi="Times New Roman" w:eastAsia="宋体" w:cs="Times New Roman"/>
                <w:spacing w:val="-1"/>
                <w:sz w:val="21"/>
                <w:szCs w:val="21"/>
                <w:highlight w:val="none"/>
              </w:rPr>
              <w:t>箱</w:t>
            </w:r>
          </w:p>
        </w:tc>
        <w:tc>
          <w:tcPr>
            <w:tcW w:w="1193" w:type="dxa"/>
            <w:vAlign w:val="top"/>
          </w:tcPr>
          <w:p>
            <w:pPr>
              <w:spacing w:before="77" w:line="228" w:lineRule="auto"/>
              <w:ind w:left="260"/>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2"/>
                <w:sz w:val="21"/>
                <w:szCs w:val="21"/>
                <w:highlight w:val="none"/>
              </w:rPr>
              <w:t>6000</w:t>
            </w:r>
            <w:r>
              <w:rPr>
                <w:rFonts w:hint="default" w:ascii="Times New Roman" w:hAnsi="Times New Roman" w:eastAsia="宋体" w:cs="Times New Roman"/>
                <w:spacing w:val="12"/>
                <w:w w:val="101"/>
                <w:sz w:val="21"/>
                <w:szCs w:val="21"/>
                <w:highlight w:val="none"/>
              </w:rPr>
              <w:t xml:space="preserve"> </w:t>
            </w:r>
            <w:r>
              <w:rPr>
                <w:rFonts w:hint="default" w:ascii="Times New Roman" w:hAnsi="Times New Roman" w:eastAsia="宋体" w:cs="Times New Roman"/>
                <w:spacing w:val="2"/>
                <w:sz w:val="21"/>
                <w:szCs w:val="21"/>
                <w:highlight w:val="none"/>
              </w:rPr>
              <w:t>箱</w:t>
            </w:r>
          </w:p>
        </w:tc>
        <w:tc>
          <w:tcPr>
            <w:tcW w:w="1074" w:type="dxa"/>
            <w:vAlign w:val="top"/>
          </w:tcPr>
          <w:p>
            <w:pPr>
              <w:spacing w:before="77" w:line="228" w:lineRule="auto"/>
              <w:ind w:left="201"/>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2"/>
                <w:sz w:val="21"/>
                <w:szCs w:val="21"/>
                <w:highlight w:val="none"/>
              </w:rPr>
              <w:t>7000</w:t>
            </w:r>
            <w:r>
              <w:rPr>
                <w:rFonts w:hint="default" w:ascii="Times New Roman" w:hAnsi="Times New Roman" w:eastAsia="宋体" w:cs="Times New Roman"/>
                <w:spacing w:val="13"/>
                <w:w w:val="101"/>
                <w:sz w:val="21"/>
                <w:szCs w:val="21"/>
                <w:highlight w:val="none"/>
              </w:rPr>
              <w:t xml:space="preserve"> </w:t>
            </w:r>
            <w:r>
              <w:rPr>
                <w:rFonts w:hint="default" w:ascii="Times New Roman" w:hAnsi="Times New Roman" w:eastAsia="宋体" w:cs="Times New Roman"/>
                <w:spacing w:val="2"/>
                <w:sz w:val="21"/>
                <w:szCs w:val="21"/>
                <w:highlight w:val="none"/>
              </w:rPr>
              <w:t>箱</w:t>
            </w:r>
          </w:p>
        </w:tc>
        <w:tc>
          <w:tcPr>
            <w:tcW w:w="1055" w:type="dxa"/>
            <w:vAlign w:val="top"/>
          </w:tcPr>
          <w:p>
            <w:pPr>
              <w:spacing w:before="77" w:line="228" w:lineRule="auto"/>
              <w:ind w:left="189"/>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3"/>
                <w:sz w:val="21"/>
                <w:szCs w:val="21"/>
                <w:highlight w:val="none"/>
              </w:rPr>
              <w:t>2000</w:t>
            </w:r>
            <w:r>
              <w:rPr>
                <w:rFonts w:hint="default" w:ascii="Times New Roman" w:hAnsi="Times New Roman" w:eastAsia="宋体" w:cs="Times New Roman"/>
                <w:spacing w:val="12"/>
                <w:sz w:val="21"/>
                <w:szCs w:val="21"/>
                <w:highlight w:val="none"/>
              </w:rPr>
              <w:t xml:space="preserve"> </w:t>
            </w:r>
            <w:r>
              <w:rPr>
                <w:rFonts w:hint="default" w:ascii="Times New Roman" w:hAnsi="Times New Roman" w:eastAsia="宋体" w:cs="Times New Roman"/>
                <w:spacing w:val="3"/>
                <w:sz w:val="21"/>
                <w:szCs w:val="21"/>
                <w:highlight w:val="none"/>
              </w:rPr>
              <w:t>箱</w:t>
            </w:r>
          </w:p>
        </w:tc>
        <w:tc>
          <w:tcPr>
            <w:tcW w:w="1212" w:type="dxa"/>
            <w:vMerge w:val="continue"/>
            <w:tcBorders>
              <w:top w:val="nil"/>
            </w:tcBorders>
            <w:vAlign w:val="top"/>
          </w:tcPr>
          <w:p>
            <w:pPr>
              <w:pStyle w:val="35"/>
              <w:rPr>
                <w:rFonts w:hint="default" w:ascii="Times New Roman" w:hAnsi="Times New Roman" w:eastAsia="宋体" w:cs="Times New Roman"/>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527" w:type="dxa"/>
            <w:vAlign w:val="top"/>
          </w:tcPr>
          <w:p>
            <w:pPr>
              <w:pStyle w:val="35"/>
              <w:spacing w:line="282" w:lineRule="auto"/>
              <w:rPr>
                <w:rFonts w:hint="default" w:ascii="Times New Roman" w:hAnsi="Times New Roman" w:eastAsia="宋体" w:cs="Times New Roman"/>
                <w:sz w:val="21"/>
                <w:szCs w:val="21"/>
                <w:highlight w:val="none"/>
              </w:rPr>
            </w:pPr>
          </w:p>
          <w:p>
            <w:pPr>
              <w:spacing w:before="57" w:line="195" w:lineRule="auto"/>
              <w:ind w:left="210"/>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1"/>
                <w:sz w:val="21"/>
                <w:szCs w:val="21"/>
                <w:highlight w:val="none"/>
              </w:rPr>
              <w:t>4</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000000"/>
                <w:kern w:val="0"/>
                <w:sz w:val="21"/>
                <w:szCs w:val="21"/>
                <w:highlight w:val="none"/>
                <w:lang w:val="en-US" w:eastAsia="en-US" w:bidi="ar-SA"/>
              </w:rPr>
            </w:pPr>
            <w:r>
              <w:rPr>
                <w:rFonts w:hint="default" w:ascii="Times New Roman" w:hAnsi="Times New Roman" w:eastAsia="宋体" w:cs="Times New Roman"/>
                <w:color w:val="auto"/>
                <w:sz w:val="21"/>
                <w:szCs w:val="21"/>
                <w:highlight w:val="none"/>
                <w:lang w:eastAsia="zh-CN"/>
              </w:rPr>
              <w:t>载玻片</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color w:val="auto"/>
                <w:sz w:val="21"/>
                <w:szCs w:val="21"/>
                <w:highlight w:val="none"/>
                <w:lang w:val="en-US" w:eastAsia="zh-CN"/>
              </w:rPr>
              <w:t>1000片/箱</w:t>
            </w:r>
          </w:p>
        </w:tc>
        <w:tc>
          <w:tcPr>
            <w:tcW w:w="78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auto"/>
                <w:sz w:val="21"/>
                <w:szCs w:val="21"/>
                <w:highlight w:val="none"/>
                <w:lang w:val="en-US" w:eastAsia="zh-CN"/>
              </w:rPr>
              <w:t>箱装</w:t>
            </w:r>
          </w:p>
        </w:tc>
        <w:tc>
          <w:tcPr>
            <w:tcW w:w="12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color w:val="auto"/>
                <w:sz w:val="21"/>
                <w:szCs w:val="21"/>
                <w:highlight w:val="none"/>
                <w:lang w:val="en-US" w:eastAsia="zh-CN"/>
              </w:rPr>
              <w:t>20箱</w:t>
            </w:r>
          </w:p>
        </w:tc>
        <w:tc>
          <w:tcPr>
            <w:tcW w:w="119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color w:val="auto"/>
                <w:sz w:val="21"/>
                <w:szCs w:val="21"/>
                <w:highlight w:val="none"/>
                <w:lang w:val="en-US" w:eastAsia="zh-CN"/>
              </w:rPr>
              <w:t>340箱</w:t>
            </w:r>
          </w:p>
        </w:tc>
        <w:tc>
          <w:tcPr>
            <w:tcW w:w="107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color w:val="auto"/>
                <w:sz w:val="21"/>
                <w:szCs w:val="21"/>
                <w:highlight w:val="none"/>
                <w:lang w:val="en-US" w:eastAsia="zh-CN"/>
              </w:rPr>
              <w:t>360箱</w:t>
            </w:r>
          </w:p>
        </w:tc>
        <w:tc>
          <w:tcPr>
            <w:tcW w:w="105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color w:val="auto"/>
                <w:sz w:val="21"/>
                <w:szCs w:val="21"/>
                <w:highlight w:val="none"/>
                <w:lang w:val="en-US" w:eastAsia="zh-CN"/>
              </w:rPr>
              <w:t>10箱</w:t>
            </w:r>
          </w:p>
        </w:tc>
        <w:tc>
          <w:tcPr>
            <w:tcW w:w="121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color w:val="auto"/>
                <w:sz w:val="21"/>
                <w:szCs w:val="21"/>
                <w:highlight w:val="none"/>
                <w:lang w:val="en-US" w:eastAsia="zh-CN"/>
              </w:rPr>
              <w:t>用于屠宰检验</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527" w:type="dxa"/>
            <w:vAlign w:val="top"/>
          </w:tcPr>
          <w:p>
            <w:pPr>
              <w:spacing w:before="209" w:line="192" w:lineRule="auto"/>
              <w:ind w:left="217"/>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5</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000000"/>
                <w:kern w:val="0"/>
                <w:sz w:val="21"/>
                <w:szCs w:val="21"/>
                <w:highlight w:val="none"/>
                <w:lang w:val="en-US" w:eastAsia="en-US" w:bidi="ar-SA"/>
              </w:rPr>
            </w:pPr>
            <w:r>
              <w:rPr>
                <w:rFonts w:hint="default" w:ascii="Times New Roman" w:hAnsi="Times New Roman" w:eastAsia="宋体" w:cs="Times New Roman"/>
                <w:color w:val="auto"/>
                <w:sz w:val="21"/>
                <w:szCs w:val="21"/>
                <w:highlight w:val="none"/>
                <w:lang w:val="en-US" w:eastAsia="zh-CN"/>
              </w:rPr>
              <w:t>制冷剂R404A</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000000"/>
                <w:kern w:val="0"/>
                <w:sz w:val="21"/>
                <w:szCs w:val="21"/>
                <w:highlight w:val="none"/>
                <w:lang w:val="en-US" w:eastAsia="en-US" w:bidi="ar-SA"/>
              </w:rPr>
            </w:pPr>
            <w:r>
              <w:rPr>
                <w:rFonts w:hint="default" w:ascii="Times New Roman" w:hAnsi="Times New Roman" w:eastAsia="宋体" w:cs="Times New Roman"/>
                <w:color w:val="auto"/>
                <w:sz w:val="21"/>
                <w:szCs w:val="21"/>
                <w:highlight w:val="none"/>
                <w:lang w:val="en-US" w:eastAsia="zh-CN"/>
              </w:rPr>
              <w:t>30kg/瓶</w:t>
            </w:r>
          </w:p>
        </w:tc>
        <w:tc>
          <w:tcPr>
            <w:tcW w:w="789" w:type="dxa"/>
            <w:vAlign w:val="top"/>
          </w:tcPr>
          <w:p>
            <w:pPr>
              <w:spacing w:before="168" w:line="228" w:lineRule="auto"/>
              <w:ind w:left="187"/>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瓶装</w:t>
            </w:r>
          </w:p>
        </w:tc>
        <w:tc>
          <w:tcPr>
            <w:tcW w:w="1270" w:type="dxa"/>
            <w:vAlign w:val="top"/>
          </w:tcPr>
          <w:p>
            <w:pPr>
              <w:spacing w:before="168" w:line="228" w:lineRule="auto"/>
              <w:jc w:val="center"/>
              <w:rPr>
                <w:rFonts w:hint="default" w:ascii="Times New Roman" w:hAnsi="Times New Roman" w:eastAsia="宋体" w:cs="Times New Roman"/>
                <w:snapToGrid w:val="0"/>
                <w:color w:val="000000"/>
                <w:kern w:val="0"/>
                <w:sz w:val="21"/>
                <w:szCs w:val="21"/>
                <w:highlight w:val="none"/>
                <w:lang w:val="en-US" w:eastAsia="zh-CN" w:bidi="ar-SA"/>
              </w:rPr>
            </w:pPr>
            <w:r>
              <w:rPr>
                <w:rFonts w:hint="default" w:ascii="Times New Roman" w:hAnsi="Times New Roman" w:eastAsia="宋体" w:cs="Times New Roman"/>
                <w:snapToGrid w:val="0"/>
                <w:color w:val="000000"/>
                <w:kern w:val="0"/>
                <w:sz w:val="21"/>
                <w:szCs w:val="21"/>
                <w:highlight w:val="none"/>
                <w:lang w:val="en-US" w:eastAsia="zh-CN" w:bidi="ar-SA"/>
              </w:rPr>
              <w:t>2瓶</w:t>
            </w:r>
          </w:p>
        </w:tc>
        <w:tc>
          <w:tcPr>
            <w:tcW w:w="1193" w:type="dxa"/>
            <w:vAlign w:val="top"/>
          </w:tcPr>
          <w:p>
            <w:pPr>
              <w:spacing w:before="202" w:line="199"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4瓶</w:t>
            </w:r>
          </w:p>
        </w:tc>
        <w:tc>
          <w:tcPr>
            <w:tcW w:w="1074" w:type="dxa"/>
            <w:vAlign w:val="top"/>
          </w:tcPr>
          <w:p>
            <w:pPr>
              <w:spacing w:before="202" w:line="199"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6瓶</w:t>
            </w:r>
          </w:p>
        </w:tc>
        <w:tc>
          <w:tcPr>
            <w:tcW w:w="1055" w:type="dxa"/>
            <w:vAlign w:val="top"/>
          </w:tcPr>
          <w:p>
            <w:pPr>
              <w:spacing w:before="206" w:line="195"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1212" w:type="dxa"/>
            <w:vAlign w:val="top"/>
          </w:tcPr>
          <w:p>
            <w:pPr>
              <w:spacing w:before="34" w:line="233" w:lineRule="auto"/>
              <w:ind w:right="108"/>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color w:val="auto"/>
                <w:spacing w:val="0"/>
                <w:sz w:val="21"/>
                <w:szCs w:val="21"/>
                <w:highlight w:val="none"/>
                <w:lang w:eastAsia="zh-CN"/>
              </w:rPr>
              <w:t>即用即买，厂区不储存</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527" w:type="dxa"/>
            <w:vAlign w:val="top"/>
          </w:tcPr>
          <w:p>
            <w:pPr>
              <w:spacing w:before="206" w:line="195" w:lineRule="auto"/>
              <w:ind w:left="215"/>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6</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000000"/>
                <w:kern w:val="0"/>
                <w:sz w:val="21"/>
                <w:szCs w:val="21"/>
                <w:highlight w:val="none"/>
                <w:lang w:val="en-US" w:eastAsia="en-US" w:bidi="ar-SA"/>
              </w:rPr>
            </w:pPr>
            <w:r>
              <w:rPr>
                <w:rFonts w:hint="default" w:ascii="Times New Roman" w:hAnsi="Times New Roman" w:eastAsia="宋体" w:cs="Times New Roman"/>
                <w:color w:val="auto"/>
                <w:sz w:val="21"/>
                <w:szCs w:val="21"/>
                <w:highlight w:val="none"/>
                <w:lang w:val="en-US" w:eastAsia="zh-CN"/>
              </w:rPr>
              <w:t>轻质柴油（锅炉）</w:t>
            </w:r>
          </w:p>
        </w:tc>
        <w:tc>
          <w:tcPr>
            <w:tcW w:w="1302" w:type="dxa"/>
            <w:vAlign w:val="top"/>
          </w:tcPr>
          <w:p>
            <w:pPr>
              <w:spacing w:before="168" w:line="228"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789" w:type="dxa"/>
            <w:vAlign w:val="top"/>
          </w:tcPr>
          <w:p>
            <w:pPr>
              <w:spacing w:before="168" w:line="228" w:lineRule="auto"/>
              <w:ind w:left="187" w:leftChars="0"/>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罐装</w:t>
            </w:r>
          </w:p>
        </w:tc>
        <w:tc>
          <w:tcPr>
            <w:tcW w:w="1270" w:type="dxa"/>
            <w:vAlign w:val="top"/>
          </w:tcPr>
          <w:p>
            <w:pPr>
              <w:spacing w:before="203" w:line="199" w:lineRule="auto"/>
              <w:jc w:val="center"/>
              <w:rPr>
                <w:rFonts w:hint="default" w:ascii="Times New Roman" w:hAnsi="Times New Roman" w:eastAsia="宋体" w:cs="Times New Roman"/>
                <w:sz w:val="21"/>
                <w:szCs w:val="21"/>
                <w:highlight w:val="none"/>
                <w:vertAlign w:val="baseline"/>
                <w:lang w:val="en-US"/>
              </w:rPr>
            </w:pPr>
            <w:r>
              <w:rPr>
                <w:rFonts w:hint="eastAsia" w:ascii="Times New Roman" w:hAnsi="Times New Roman" w:eastAsia="宋体" w:cs="Times New Roman"/>
                <w:sz w:val="21"/>
                <w:szCs w:val="21"/>
                <w:highlight w:val="none"/>
                <w:lang w:val="en-US" w:eastAsia="zh-CN"/>
              </w:rPr>
              <w:t>1t</w:t>
            </w:r>
          </w:p>
        </w:tc>
        <w:tc>
          <w:tcPr>
            <w:tcW w:w="1193" w:type="dxa"/>
            <w:vAlign w:val="top"/>
          </w:tcPr>
          <w:p>
            <w:pPr>
              <w:spacing w:before="203" w:line="199" w:lineRule="auto"/>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1t</w:t>
            </w:r>
          </w:p>
        </w:tc>
        <w:tc>
          <w:tcPr>
            <w:tcW w:w="1074" w:type="dxa"/>
            <w:vAlign w:val="top"/>
          </w:tcPr>
          <w:p>
            <w:pPr>
              <w:spacing w:before="203" w:line="199" w:lineRule="auto"/>
              <w:jc w:val="center"/>
              <w:rPr>
                <w:rFonts w:hint="default" w:ascii="Times New Roman" w:hAnsi="Times New Roman" w:eastAsia="宋体" w:cs="Times New Roman"/>
                <w:sz w:val="21"/>
                <w:szCs w:val="21"/>
                <w:highlight w:val="none"/>
                <w:lang w:val="en-US"/>
              </w:rPr>
            </w:pPr>
            <w:r>
              <w:rPr>
                <w:rFonts w:hint="eastAsia" w:ascii="Times New Roman" w:hAnsi="Times New Roman" w:eastAsia="宋体" w:cs="Times New Roman"/>
                <w:sz w:val="21"/>
                <w:szCs w:val="21"/>
                <w:highlight w:val="none"/>
                <w:lang w:val="en-US" w:eastAsia="zh-CN"/>
              </w:rPr>
              <w:t>1t</w:t>
            </w:r>
          </w:p>
        </w:tc>
        <w:tc>
          <w:tcPr>
            <w:tcW w:w="1055" w:type="dxa"/>
            <w:vAlign w:val="top"/>
          </w:tcPr>
          <w:p>
            <w:pPr>
              <w:spacing w:before="206" w:line="195"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1t</w:t>
            </w:r>
          </w:p>
        </w:tc>
        <w:tc>
          <w:tcPr>
            <w:tcW w:w="1212" w:type="dxa"/>
            <w:vAlign w:val="top"/>
          </w:tcPr>
          <w:p>
            <w:pPr>
              <w:spacing w:before="168" w:line="227"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储存于柴油储罐内，用于锅炉燃料</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527" w:type="dxa"/>
            <w:vAlign w:val="top"/>
          </w:tcPr>
          <w:p>
            <w:pPr>
              <w:spacing w:before="120" w:line="192" w:lineRule="auto"/>
              <w:ind w:left="214"/>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w:t>
            </w:r>
          </w:p>
        </w:tc>
        <w:tc>
          <w:tcPr>
            <w:tcW w:w="863" w:type="dxa"/>
            <w:vAlign w:val="top"/>
          </w:tcPr>
          <w:p>
            <w:pPr>
              <w:spacing w:before="117" w:line="195"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活性炭</w:t>
            </w:r>
          </w:p>
        </w:tc>
        <w:tc>
          <w:tcPr>
            <w:tcW w:w="1302" w:type="dxa"/>
            <w:vAlign w:val="top"/>
          </w:tcPr>
          <w:p>
            <w:pPr>
              <w:spacing w:before="113" w:line="199" w:lineRule="auto"/>
              <w:ind w:left="617"/>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2"/>
                <w:sz w:val="21"/>
                <w:szCs w:val="21"/>
                <w:highlight w:val="none"/>
              </w:rPr>
              <w:t>/</w:t>
            </w:r>
          </w:p>
        </w:tc>
        <w:tc>
          <w:tcPr>
            <w:tcW w:w="789" w:type="dxa"/>
            <w:vAlign w:val="top"/>
          </w:tcPr>
          <w:p>
            <w:pPr>
              <w:spacing w:before="81" w:line="229" w:lineRule="auto"/>
              <w:ind w:left="185"/>
              <w:rPr>
                <w:rFonts w:hint="eastAsia" w:ascii="Times New Roman" w:hAnsi="Times New Roman" w:eastAsia="宋体" w:cs="Times New Roman"/>
                <w:sz w:val="21"/>
                <w:szCs w:val="21"/>
                <w:highlight w:val="none"/>
                <w:lang w:eastAsia="zh-CN"/>
              </w:rPr>
            </w:pPr>
            <w:r>
              <w:rPr>
                <w:rFonts w:hint="default" w:ascii="Times New Roman" w:hAnsi="Times New Roman" w:eastAsia="宋体" w:cs="Times New Roman"/>
                <w:spacing w:val="4"/>
                <w:sz w:val="21"/>
                <w:szCs w:val="21"/>
                <w:highlight w:val="none"/>
              </w:rPr>
              <w:t>袋装</w:t>
            </w:r>
          </w:p>
        </w:tc>
        <w:tc>
          <w:tcPr>
            <w:tcW w:w="1270" w:type="dxa"/>
            <w:vAlign w:val="top"/>
          </w:tcPr>
          <w:p>
            <w:pPr>
              <w:spacing w:before="113" w:line="199" w:lineRule="auto"/>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pacing w:val="2"/>
                <w:sz w:val="21"/>
                <w:szCs w:val="21"/>
                <w:highlight w:val="none"/>
                <w:lang w:val="en-US" w:eastAsia="zh-CN"/>
              </w:rPr>
              <w:t>0</w:t>
            </w:r>
          </w:p>
        </w:tc>
        <w:tc>
          <w:tcPr>
            <w:tcW w:w="1193" w:type="dxa"/>
            <w:vAlign w:val="top"/>
          </w:tcPr>
          <w:p>
            <w:pPr>
              <w:spacing w:before="117" w:line="195" w:lineRule="auto"/>
              <w:ind w:left="549"/>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p>
        </w:tc>
        <w:tc>
          <w:tcPr>
            <w:tcW w:w="1074" w:type="dxa"/>
            <w:vAlign w:val="top"/>
          </w:tcPr>
          <w:p>
            <w:pPr>
              <w:spacing w:before="113" w:line="199" w:lineRule="auto"/>
              <w:ind w:left="253"/>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2"/>
                <w:sz w:val="21"/>
                <w:szCs w:val="21"/>
                <w:highlight w:val="none"/>
              </w:rPr>
              <w:t>0.03t/a</w:t>
            </w:r>
          </w:p>
        </w:tc>
        <w:tc>
          <w:tcPr>
            <w:tcW w:w="1055" w:type="dxa"/>
            <w:vAlign w:val="top"/>
          </w:tcPr>
          <w:p>
            <w:pPr>
              <w:spacing w:before="113" w:line="199" w:lineRule="auto"/>
              <w:ind w:left="245"/>
              <w:jc w:val="both"/>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2"/>
                <w:sz w:val="21"/>
                <w:szCs w:val="21"/>
                <w:highlight w:val="none"/>
              </w:rPr>
              <w:t>0.03t/a</w:t>
            </w:r>
          </w:p>
        </w:tc>
        <w:tc>
          <w:tcPr>
            <w:tcW w:w="1212" w:type="dxa"/>
            <w:vAlign w:val="top"/>
          </w:tcPr>
          <w:p>
            <w:pPr>
              <w:spacing w:before="81" w:line="227"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储存于仓库内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527" w:type="dxa"/>
            <w:vAlign w:val="top"/>
          </w:tcPr>
          <w:p>
            <w:pPr>
              <w:spacing w:before="208" w:line="195" w:lineRule="auto"/>
              <w:ind w:left="219"/>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8</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auto"/>
                <w:spacing w:val="0"/>
                <w:sz w:val="21"/>
                <w:szCs w:val="21"/>
                <w:highlight w:val="none"/>
                <w:lang w:val="en-US" w:eastAsia="zh-CN"/>
              </w:rPr>
              <w:t>次氯酸钠</w:t>
            </w:r>
          </w:p>
        </w:tc>
        <w:tc>
          <w:tcPr>
            <w:tcW w:w="1302" w:type="dxa"/>
            <w:vAlign w:val="top"/>
          </w:tcPr>
          <w:p>
            <w:pPr>
              <w:spacing w:before="166" w:line="221" w:lineRule="auto"/>
              <w:ind w:left="274" w:leftChars="0"/>
              <w:jc w:val="both"/>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pacing w:val="2"/>
                <w:sz w:val="21"/>
                <w:szCs w:val="21"/>
                <w:highlight w:val="none"/>
                <w:lang w:val="en-US" w:eastAsia="zh-CN"/>
              </w:rPr>
              <w:t>20</w:t>
            </w:r>
            <w:r>
              <w:rPr>
                <w:rFonts w:hint="default" w:ascii="Times New Roman" w:hAnsi="Times New Roman" w:eastAsia="宋体" w:cs="Times New Roman"/>
                <w:sz w:val="21"/>
                <w:szCs w:val="21"/>
                <w:highlight w:val="none"/>
              </w:rPr>
              <w:t>kg</w:t>
            </w:r>
            <w:r>
              <w:rPr>
                <w:rFonts w:hint="default" w:ascii="Times New Roman" w:hAnsi="Times New Roman" w:eastAsia="宋体" w:cs="Times New Roman"/>
                <w:spacing w:val="2"/>
                <w:sz w:val="21"/>
                <w:szCs w:val="21"/>
                <w:highlight w:val="none"/>
              </w:rPr>
              <w:t>/</w:t>
            </w:r>
            <w:r>
              <w:rPr>
                <w:rFonts w:hint="eastAsia" w:ascii="Times New Roman" w:hAnsi="Times New Roman" w:eastAsia="宋体" w:cs="Times New Roman"/>
                <w:spacing w:val="2"/>
                <w:sz w:val="21"/>
                <w:szCs w:val="21"/>
                <w:highlight w:val="none"/>
                <w:lang w:val="en-US" w:eastAsia="zh-CN"/>
              </w:rPr>
              <w:t>袋</w:t>
            </w:r>
          </w:p>
        </w:tc>
        <w:tc>
          <w:tcPr>
            <w:tcW w:w="789" w:type="dxa"/>
            <w:vAlign w:val="top"/>
          </w:tcPr>
          <w:p>
            <w:pPr>
              <w:spacing w:before="168" w:line="228" w:lineRule="auto"/>
              <w:ind w:left="188" w:leftChars="0"/>
              <w:rPr>
                <w:rFonts w:hint="default" w:ascii="Times New Roman" w:hAnsi="Times New Roman" w:eastAsia="宋体" w:cs="Times New Roman"/>
                <w:sz w:val="21"/>
                <w:szCs w:val="21"/>
                <w:highlight w:val="none"/>
              </w:rPr>
            </w:pPr>
            <w:r>
              <w:rPr>
                <w:rFonts w:hint="eastAsia" w:ascii="Times New Roman" w:hAnsi="Times New Roman" w:eastAsia="宋体" w:cs="Times New Roman"/>
                <w:spacing w:val="3"/>
                <w:sz w:val="21"/>
                <w:szCs w:val="21"/>
                <w:highlight w:val="none"/>
                <w:lang w:val="en-US" w:eastAsia="zh-CN"/>
              </w:rPr>
              <w:t>袋</w:t>
            </w:r>
            <w:r>
              <w:rPr>
                <w:rFonts w:hint="default" w:ascii="Times New Roman" w:hAnsi="Times New Roman" w:eastAsia="宋体" w:cs="Times New Roman"/>
                <w:spacing w:val="3"/>
                <w:sz w:val="21"/>
                <w:szCs w:val="21"/>
                <w:highlight w:val="none"/>
              </w:rPr>
              <w:t>装</w:t>
            </w:r>
          </w:p>
        </w:tc>
        <w:tc>
          <w:tcPr>
            <w:tcW w:w="1270" w:type="dxa"/>
            <w:vAlign w:val="top"/>
          </w:tcPr>
          <w:p>
            <w:pPr>
              <w:spacing w:before="203" w:line="199" w:lineRule="auto"/>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pacing w:val="2"/>
                <w:sz w:val="21"/>
                <w:szCs w:val="21"/>
                <w:highlight w:val="none"/>
                <w:lang w:val="en-US" w:eastAsia="zh-CN"/>
              </w:rPr>
              <w:t>0.2</w:t>
            </w:r>
            <w:r>
              <w:rPr>
                <w:rFonts w:hint="default" w:ascii="Times New Roman" w:hAnsi="Times New Roman" w:eastAsia="宋体" w:cs="Times New Roman"/>
                <w:spacing w:val="2"/>
                <w:sz w:val="21"/>
                <w:szCs w:val="21"/>
                <w:highlight w:val="none"/>
              </w:rPr>
              <w:t>t/a</w:t>
            </w:r>
          </w:p>
        </w:tc>
        <w:tc>
          <w:tcPr>
            <w:tcW w:w="1193" w:type="dxa"/>
            <w:vAlign w:val="top"/>
          </w:tcPr>
          <w:p>
            <w:pPr>
              <w:spacing w:before="203" w:line="199" w:lineRule="auto"/>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2.8</w:t>
            </w:r>
            <w:r>
              <w:rPr>
                <w:rFonts w:hint="default" w:ascii="Times New Roman" w:hAnsi="Times New Roman" w:eastAsia="宋体" w:cs="Times New Roman"/>
                <w:sz w:val="21"/>
                <w:szCs w:val="21"/>
                <w:highlight w:val="none"/>
              </w:rPr>
              <w:t>t/a</w:t>
            </w:r>
          </w:p>
        </w:tc>
        <w:tc>
          <w:tcPr>
            <w:tcW w:w="1074" w:type="dxa"/>
            <w:vAlign w:val="top"/>
          </w:tcPr>
          <w:p>
            <w:pPr>
              <w:spacing w:before="203" w:line="199" w:lineRule="auto"/>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3</w:t>
            </w:r>
            <w:r>
              <w:rPr>
                <w:rFonts w:hint="default" w:ascii="Times New Roman" w:hAnsi="Times New Roman" w:eastAsia="宋体" w:cs="Times New Roman"/>
                <w:sz w:val="21"/>
                <w:szCs w:val="21"/>
                <w:highlight w:val="none"/>
              </w:rPr>
              <w:t>t/a</w:t>
            </w:r>
          </w:p>
        </w:tc>
        <w:tc>
          <w:tcPr>
            <w:tcW w:w="1055" w:type="dxa"/>
            <w:vAlign w:val="top"/>
          </w:tcPr>
          <w:p>
            <w:pPr>
              <w:spacing w:before="206" w:line="195" w:lineRule="auto"/>
              <w:ind w:left="322" w:leftChars="0"/>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pacing w:val="2"/>
                <w:sz w:val="21"/>
                <w:szCs w:val="21"/>
                <w:highlight w:val="none"/>
                <w:lang w:val="en-US" w:eastAsia="zh-CN"/>
              </w:rPr>
              <w:t>100kg</w:t>
            </w:r>
          </w:p>
        </w:tc>
        <w:tc>
          <w:tcPr>
            <w:tcW w:w="1212" w:type="dxa"/>
            <w:vAlign w:val="top"/>
          </w:tcPr>
          <w:p>
            <w:pPr>
              <w:spacing w:before="168" w:line="227" w:lineRule="auto"/>
              <w:ind w:left="301" w:leftChars="0"/>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5"/>
                <w:sz w:val="21"/>
                <w:szCs w:val="21"/>
                <w:highlight w:val="none"/>
              </w:rPr>
              <w:t>消毒剂</w:t>
            </w:r>
          </w:p>
        </w:tc>
      </w:tr>
    </w:tbl>
    <w:p>
      <w:pPr>
        <w:spacing w:before="130" w:line="228" w:lineRule="auto"/>
        <w:jc w:val="center"/>
        <w:rPr>
          <w:rFonts w:hint="default" w:ascii="Times New Roman" w:hAnsi="Times New Roman" w:eastAsia="Times New Roman" w:cs="Times New Roman"/>
          <w:b/>
          <w:bCs/>
          <w:spacing w:val="4"/>
          <w:sz w:val="21"/>
          <w:szCs w:val="21"/>
          <w:highlight w:val="none"/>
        </w:rPr>
      </w:pPr>
      <w:r>
        <w:rPr>
          <w:rFonts w:hint="default" w:ascii="Times New Roman" w:hAnsi="Times New Roman" w:eastAsia="Times New Roman" w:cs="Times New Roman"/>
          <w:b/>
          <w:bCs/>
          <w:spacing w:val="4"/>
          <w:sz w:val="21"/>
          <w:szCs w:val="21"/>
          <w:highlight w:val="none"/>
        </w:rPr>
        <w:t>表 3</w:t>
      </w:r>
      <w:r>
        <w:rPr>
          <w:rFonts w:hint="eastAsia" w:ascii="Times New Roman" w:hAnsi="Times New Roman" w:eastAsia="宋体" w:cs="Times New Roman"/>
          <w:b/>
          <w:bCs/>
          <w:spacing w:val="4"/>
          <w:sz w:val="21"/>
          <w:szCs w:val="21"/>
          <w:highlight w:val="none"/>
          <w:lang w:val="en-US" w:eastAsia="zh-CN"/>
        </w:rPr>
        <w:t>-</w:t>
      </w:r>
      <w:r>
        <w:rPr>
          <w:rFonts w:hint="default" w:ascii="Times New Roman" w:hAnsi="Times New Roman" w:eastAsia="宋体" w:cs="Times New Roman"/>
          <w:b/>
          <w:bCs/>
          <w:spacing w:val="4"/>
          <w:sz w:val="21"/>
          <w:szCs w:val="21"/>
          <w:highlight w:val="none"/>
          <w:lang w:val="en-US" w:eastAsia="zh-CN"/>
        </w:rPr>
        <w:t>4</w:t>
      </w:r>
      <w:r>
        <w:rPr>
          <w:rFonts w:hint="default" w:ascii="Times New Roman" w:hAnsi="Times New Roman" w:eastAsia="Times New Roman" w:cs="Times New Roman"/>
          <w:b/>
          <w:bCs/>
          <w:spacing w:val="4"/>
          <w:sz w:val="21"/>
          <w:szCs w:val="21"/>
          <w:highlight w:val="none"/>
        </w:rPr>
        <w:t>-</w:t>
      </w:r>
      <w:r>
        <w:rPr>
          <w:rFonts w:hint="default" w:ascii="Times New Roman" w:hAnsi="Times New Roman" w:eastAsia="宋体" w:cs="Times New Roman"/>
          <w:b/>
          <w:bCs/>
          <w:spacing w:val="4"/>
          <w:sz w:val="21"/>
          <w:szCs w:val="21"/>
          <w:highlight w:val="none"/>
          <w:lang w:val="en-US" w:eastAsia="zh-CN"/>
        </w:rPr>
        <w:t>4</w:t>
      </w:r>
      <w:r>
        <w:rPr>
          <w:rFonts w:hint="default" w:ascii="Times New Roman" w:hAnsi="Times New Roman" w:eastAsia="Times New Roman" w:cs="Times New Roman"/>
          <w:b/>
          <w:bCs/>
          <w:spacing w:val="4"/>
          <w:sz w:val="21"/>
          <w:szCs w:val="21"/>
          <w:highlight w:val="none"/>
        </w:rPr>
        <w:t xml:space="preserve"> </w:t>
      </w:r>
      <w:r>
        <w:rPr>
          <w:rFonts w:hint="default" w:ascii="Times New Roman" w:hAnsi="Times New Roman" w:eastAsia="宋体" w:cs="Times New Roman"/>
          <w:b/>
          <w:bCs/>
          <w:spacing w:val="4"/>
          <w:sz w:val="21"/>
          <w:szCs w:val="21"/>
          <w:highlight w:val="none"/>
          <w:lang w:val="en-US" w:eastAsia="zh-CN"/>
        </w:rPr>
        <w:t xml:space="preserve"> </w:t>
      </w:r>
      <w:r>
        <w:rPr>
          <w:rFonts w:hint="default" w:ascii="Times New Roman" w:hAnsi="Times New Roman" w:eastAsia="Times New Roman" w:cs="Times New Roman"/>
          <w:b/>
          <w:bCs/>
          <w:spacing w:val="4"/>
          <w:sz w:val="21"/>
          <w:szCs w:val="21"/>
          <w:highlight w:val="none"/>
        </w:rPr>
        <w:t xml:space="preserve"> 主要原辅材料理化性质一览表</w:t>
      </w:r>
    </w:p>
    <w:p>
      <w:pPr>
        <w:spacing w:line="23" w:lineRule="exact"/>
        <w:rPr>
          <w:rFonts w:hint="default" w:ascii="Times New Roman" w:hAnsi="Times New Roman" w:cs="Times New Roman"/>
        </w:rPr>
      </w:pPr>
    </w:p>
    <w:tbl>
      <w:tblPr>
        <w:tblStyle w:val="34"/>
        <w:tblW w:w="500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17"/>
        <w:gridCol w:w="840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492" w:type="pct"/>
            <w:vAlign w:val="top"/>
          </w:tcPr>
          <w:p>
            <w:pPr>
              <w:spacing w:before="59" w:line="230" w:lineRule="auto"/>
              <w:ind w:left="246"/>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名称</w:t>
            </w:r>
          </w:p>
        </w:tc>
        <w:tc>
          <w:tcPr>
            <w:tcW w:w="4507" w:type="pct"/>
            <w:vAlign w:val="top"/>
          </w:tcPr>
          <w:p>
            <w:pPr>
              <w:spacing w:before="59" w:line="228" w:lineRule="auto"/>
              <w:ind w:left="3367"/>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理化性质及用途</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9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8"/>
                <w:sz w:val="21"/>
                <w:szCs w:val="21"/>
              </w:rPr>
            </w:pPr>
            <w:r>
              <w:rPr>
                <w:rFonts w:hint="default" w:ascii="Times New Roman" w:hAnsi="Times New Roman" w:eastAsia="宋体" w:cs="Times New Roman"/>
                <w:color w:val="auto"/>
                <w:spacing w:val="0"/>
                <w:sz w:val="21"/>
                <w:szCs w:val="21"/>
                <w:highlight w:val="none"/>
                <w:lang w:val="en-US" w:eastAsia="zh-CN"/>
              </w:rPr>
              <w:t>次氯酸钠</w:t>
            </w:r>
          </w:p>
        </w:tc>
        <w:tc>
          <w:tcPr>
            <w:tcW w:w="4507" w:type="pct"/>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both"/>
              <w:textAlignment w:val="baseline"/>
              <w:rPr>
                <w:rFonts w:hint="default" w:ascii="Times New Roman" w:hAnsi="Times New Roman" w:eastAsia="宋体" w:cs="Times New Roman"/>
                <w:spacing w:val="8"/>
                <w:sz w:val="21"/>
                <w:szCs w:val="21"/>
              </w:rPr>
            </w:pPr>
            <w:r>
              <w:rPr>
                <w:rFonts w:hint="default" w:ascii="Times New Roman" w:hAnsi="Times New Roman" w:eastAsia="宋体" w:cs="Times New Roman"/>
                <w:spacing w:val="8"/>
                <w:sz w:val="21"/>
                <w:szCs w:val="21"/>
              </w:rPr>
              <w:t>次氯酸钠是一种无机物，化学式为 NaClO ，是最普通的家庭洗涤中的“氯”漂白剂。其他类似的漂白剂有次氯酸钾、次氯酸锂或次氯酸钙，次溴酸钠或次碘酸钠、含氯的氧化物溶液， 氯化的磷酸三钠、二氯异氰尿酸钠或钾、三氯异氰尿酸等，但在家庭洗涤中通常不使用。通常认为漂白性源于其较强的氧化性。微黄色溶液，有似氯气的气味，密度 1. 1kg/L（20℃),熔点- 16℃ , 沸点 111℃ , 易溶于水，</w:t>
            </w:r>
            <w:r>
              <w:rPr>
                <w:rFonts w:hint="default" w:ascii="Times New Roman" w:hAnsi="Times New Roman" w:eastAsia="宋体" w:cs="Times New Roman"/>
                <w:spacing w:val="8"/>
                <w:sz w:val="21"/>
                <w:szCs w:val="21"/>
              </w:rPr>
              <w:fldChar w:fldCharType="begin"/>
            </w:r>
            <w:r>
              <w:rPr>
                <w:rFonts w:hint="default" w:ascii="Times New Roman" w:hAnsi="Times New Roman" w:eastAsia="宋体" w:cs="Times New Roman"/>
                <w:spacing w:val="8"/>
                <w:sz w:val="21"/>
                <w:szCs w:val="21"/>
              </w:rPr>
              <w:instrText xml:space="preserve"> HYPERLINK "https://baike.baidu.com/item/%E8%85%90%E8%9A%80%E6%80%A7" </w:instrText>
            </w:r>
            <w:r>
              <w:rPr>
                <w:rFonts w:hint="default" w:ascii="Times New Roman" w:hAnsi="Times New Roman" w:eastAsia="宋体" w:cs="Times New Roman"/>
                <w:spacing w:val="8"/>
                <w:sz w:val="21"/>
                <w:szCs w:val="21"/>
              </w:rPr>
              <w:fldChar w:fldCharType="separate"/>
            </w:r>
            <w:r>
              <w:rPr>
                <w:rFonts w:hint="default" w:ascii="Times New Roman" w:hAnsi="Times New Roman" w:eastAsia="宋体" w:cs="Times New Roman"/>
                <w:spacing w:val="8"/>
                <w:sz w:val="21"/>
                <w:szCs w:val="21"/>
              </w:rPr>
              <w:t>不燃，具腐蚀性</w:t>
            </w:r>
            <w:r>
              <w:rPr>
                <w:rFonts w:hint="default" w:ascii="Times New Roman" w:hAnsi="Times New Roman" w:eastAsia="宋体" w:cs="Times New Roman"/>
                <w:spacing w:val="8"/>
                <w:sz w:val="21"/>
                <w:szCs w:val="21"/>
              </w:rPr>
              <w:fldChar w:fldCharType="end"/>
            </w:r>
            <w:r>
              <w:rPr>
                <w:rFonts w:hint="default" w:ascii="Times New Roman" w:hAnsi="Times New Roman" w:eastAsia="宋体" w:cs="Times New Roman"/>
                <w:spacing w:val="8"/>
                <w:sz w:val="21"/>
                <w:szCs w:val="21"/>
              </w:rPr>
              <w:t>，可致人体灼伤，中毒，LD50：115mg/kg（大鼠口服）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49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8"/>
                <w:sz w:val="21"/>
                <w:szCs w:val="21"/>
                <w:lang w:val="en-US" w:eastAsia="zh-CN"/>
              </w:rPr>
            </w:pPr>
            <w:r>
              <w:rPr>
                <w:rFonts w:hint="default" w:ascii="Times New Roman" w:hAnsi="Times New Roman" w:eastAsia="宋体" w:cs="Times New Roman"/>
                <w:spacing w:val="8"/>
                <w:sz w:val="21"/>
                <w:szCs w:val="21"/>
                <w:lang w:val="en-US" w:eastAsia="zh-CN"/>
              </w:rPr>
              <w:t>制冷剂R404A</w:t>
            </w:r>
          </w:p>
        </w:tc>
        <w:tc>
          <w:tcPr>
            <w:tcW w:w="45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pacing w:val="8"/>
                <w:sz w:val="21"/>
                <w:szCs w:val="21"/>
                <w:lang w:val="en-US" w:eastAsia="en-US"/>
              </w:rPr>
            </w:pPr>
            <w:r>
              <w:rPr>
                <w:rFonts w:hint="default" w:ascii="Times New Roman" w:hAnsi="Times New Roman" w:eastAsia="宋体" w:cs="Times New Roman"/>
                <w:spacing w:val="8"/>
                <w:sz w:val="21"/>
                <w:szCs w:val="21"/>
                <w:lang w:val="en-US" w:eastAsia="zh-CN"/>
              </w:rPr>
              <w:t>R404A由 </w:t>
            </w:r>
            <w:r>
              <w:rPr>
                <w:rFonts w:hint="default" w:ascii="Times New Roman" w:hAnsi="Times New Roman" w:eastAsia="宋体" w:cs="Times New Roman"/>
                <w:spacing w:val="8"/>
                <w:sz w:val="21"/>
                <w:szCs w:val="21"/>
                <w:lang w:val="en-US" w:eastAsia="zh-CN"/>
              </w:rPr>
              <w:fldChar w:fldCharType="begin"/>
            </w:r>
            <w:r>
              <w:rPr>
                <w:rFonts w:hint="default" w:ascii="Times New Roman" w:hAnsi="Times New Roman" w:eastAsia="宋体" w:cs="Times New Roman"/>
                <w:spacing w:val="8"/>
                <w:sz w:val="21"/>
                <w:szCs w:val="21"/>
                <w:lang w:val="en-US" w:eastAsia="zh-CN"/>
              </w:rPr>
              <w:instrText xml:space="preserve"> HYPERLINK "https://baike.baidu.com/item/HFC/1340455?fromModule=lemma_inlink" \t "https://baike.baidu.com/item/R-404A/_blank" </w:instrText>
            </w:r>
            <w:r>
              <w:rPr>
                <w:rFonts w:hint="default" w:ascii="Times New Roman" w:hAnsi="Times New Roman" w:eastAsia="宋体" w:cs="Times New Roman"/>
                <w:spacing w:val="8"/>
                <w:sz w:val="21"/>
                <w:szCs w:val="21"/>
                <w:lang w:val="en-US" w:eastAsia="zh-CN"/>
              </w:rPr>
              <w:fldChar w:fldCharType="separate"/>
            </w:r>
            <w:r>
              <w:rPr>
                <w:rFonts w:hint="default" w:ascii="Times New Roman" w:hAnsi="Times New Roman" w:eastAsia="宋体" w:cs="Times New Roman"/>
                <w:spacing w:val="8"/>
                <w:sz w:val="21"/>
                <w:szCs w:val="21"/>
                <w:lang w:val="en-US" w:eastAsia="zh-CN"/>
              </w:rPr>
              <w:t>HFC</w:t>
            </w:r>
            <w:r>
              <w:rPr>
                <w:rFonts w:hint="default" w:ascii="Times New Roman" w:hAnsi="Times New Roman" w:eastAsia="宋体" w:cs="Times New Roman"/>
                <w:spacing w:val="8"/>
                <w:sz w:val="21"/>
                <w:szCs w:val="21"/>
                <w:lang w:val="en-US" w:eastAsia="zh-CN"/>
              </w:rPr>
              <w:fldChar w:fldCharType="end"/>
            </w:r>
            <w:r>
              <w:rPr>
                <w:rFonts w:hint="default" w:ascii="Times New Roman" w:hAnsi="Times New Roman" w:eastAsia="宋体" w:cs="Times New Roman"/>
                <w:spacing w:val="8"/>
                <w:sz w:val="21"/>
                <w:szCs w:val="21"/>
                <w:lang w:val="en-US" w:eastAsia="zh-CN"/>
              </w:rPr>
              <w:t>125,、HFC-134a 和 HFC-143混合而成，比例为 R404A = 44% </w:t>
            </w:r>
            <w:r>
              <w:rPr>
                <w:rFonts w:hint="default" w:ascii="Times New Roman" w:hAnsi="Times New Roman" w:eastAsia="宋体" w:cs="Times New Roman"/>
                <w:spacing w:val="8"/>
                <w:sz w:val="21"/>
                <w:szCs w:val="21"/>
                <w:lang w:val="en-US" w:eastAsia="zh-CN"/>
              </w:rPr>
              <w:fldChar w:fldCharType="begin"/>
            </w:r>
            <w:r>
              <w:rPr>
                <w:rFonts w:hint="default" w:ascii="Times New Roman" w:hAnsi="Times New Roman" w:eastAsia="宋体" w:cs="Times New Roman"/>
                <w:spacing w:val="8"/>
                <w:sz w:val="21"/>
                <w:szCs w:val="21"/>
                <w:lang w:val="en-US" w:eastAsia="zh-CN"/>
              </w:rPr>
              <w:instrText xml:space="preserve"> HYPERLINK "https://baike.baidu.com/item/R125/9382881?fromModule=lemma_inlink" \t "https://baike.baidu.com/item/R-404A/_blank" </w:instrText>
            </w:r>
            <w:r>
              <w:rPr>
                <w:rFonts w:hint="default" w:ascii="Times New Roman" w:hAnsi="Times New Roman" w:eastAsia="宋体" w:cs="Times New Roman"/>
                <w:spacing w:val="8"/>
                <w:sz w:val="21"/>
                <w:szCs w:val="21"/>
                <w:lang w:val="en-US" w:eastAsia="zh-CN"/>
              </w:rPr>
              <w:fldChar w:fldCharType="separate"/>
            </w:r>
            <w:r>
              <w:rPr>
                <w:rFonts w:hint="default" w:ascii="Times New Roman" w:hAnsi="Times New Roman" w:eastAsia="宋体" w:cs="Times New Roman"/>
                <w:spacing w:val="8"/>
                <w:sz w:val="21"/>
                <w:szCs w:val="21"/>
                <w:lang w:val="en-US" w:eastAsia="zh-CN"/>
              </w:rPr>
              <w:t>R125</w:t>
            </w:r>
            <w:r>
              <w:rPr>
                <w:rFonts w:hint="default" w:ascii="Times New Roman" w:hAnsi="Times New Roman" w:eastAsia="宋体" w:cs="Times New Roman"/>
                <w:spacing w:val="8"/>
                <w:sz w:val="21"/>
                <w:szCs w:val="21"/>
                <w:lang w:val="en-US" w:eastAsia="zh-CN"/>
              </w:rPr>
              <w:fldChar w:fldCharType="end"/>
            </w:r>
            <w:r>
              <w:rPr>
                <w:rFonts w:hint="default" w:ascii="Times New Roman" w:hAnsi="Times New Roman" w:eastAsia="宋体" w:cs="Times New Roman"/>
                <w:spacing w:val="8"/>
                <w:sz w:val="21"/>
                <w:szCs w:val="21"/>
                <w:lang w:val="en-US" w:eastAsia="zh-CN"/>
              </w:rPr>
              <w:t> + 4% R134A + 52% 143A。在常温下为无色气体，在自身压力下为无色透明液体，R-404A适用于中低温的新型商用</w:t>
            </w:r>
            <w:r>
              <w:rPr>
                <w:rFonts w:hint="default" w:ascii="Times New Roman" w:hAnsi="Times New Roman" w:eastAsia="宋体" w:cs="Times New Roman"/>
                <w:spacing w:val="8"/>
                <w:sz w:val="21"/>
                <w:szCs w:val="21"/>
                <w:lang w:val="en-US" w:eastAsia="zh-CN"/>
              </w:rPr>
              <w:fldChar w:fldCharType="begin"/>
            </w:r>
            <w:r>
              <w:rPr>
                <w:rFonts w:hint="default" w:ascii="Times New Roman" w:hAnsi="Times New Roman" w:eastAsia="宋体" w:cs="Times New Roman"/>
                <w:spacing w:val="8"/>
                <w:sz w:val="21"/>
                <w:szCs w:val="21"/>
                <w:lang w:val="en-US" w:eastAsia="zh-CN"/>
              </w:rPr>
              <w:instrText xml:space="preserve"> HYPERLINK "https://baike.baidu.com/item/%E5%88%B6%E5%86%B7%E8%AE%BE%E5%A4%87/476333?fromModule=lemma_inlink" \t "https://baike.baidu.com/item/R-404A/_blank" </w:instrText>
            </w:r>
            <w:r>
              <w:rPr>
                <w:rFonts w:hint="default" w:ascii="Times New Roman" w:hAnsi="Times New Roman" w:eastAsia="宋体" w:cs="Times New Roman"/>
                <w:spacing w:val="8"/>
                <w:sz w:val="21"/>
                <w:szCs w:val="21"/>
                <w:lang w:val="en-US" w:eastAsia="zh-CN"/>
              </w:rPr>
              <w:fldChar w:fldCharType="separate"/>
            </w:r>
            <w:r>
              <w:rPr>
                <w:rFonts w:hint="default" w:ascii="Times New Roman" w:hAnsi="Times New Roman" w:eastAsia="宋体" w:cs="Times New Roman"/>
                <w:spacing w:val="8"/>
                <w:sz w:val="21"/>
                <w:szCs w:val="21"/>
                <w:lang w:val="en-US" w:eastAsia="zh-CN"/>
              </w:rPr>
              <w:t>制冷设备</w:t>
            </w:r>
            <w:r>
              <w:rPr>
                <w:rFonts w:hint="default" w:ascii="Times New Roman" w:hAnsi="Times New Roman" w:eastAsia="宋体" w:cs="Times New Roman"/>
                <w:spacing w:val="8"/>
                <w:sz w:val="21"/>
                <w:szCs w:val="21"/>
                <w:lang w:val="en-US" w:eastAsia="zh-CN"/>
              </w:rPr>
              <w:fldChar w:fldCharType="end"/>
            </w:r>
            <w:r>
              <w:rPr>
                <w:rFonts w:hint="default" w:ascii="Times New Roman" w:hAnsi="Times New Roman" w:eastAsia="宋体" w:cs="Times New Roman"/>
                <w:spacing w:val="8"/>
                <w:sz w:val="21"/>
                <w:szCs w:val="21"/>
                <w:lang w:val="en-US" w:eastAsia="zh-CN"/>
              </w:rPr>
              <w:t>、</w:t>
            </w:r>
            <w:r>
              <w:rPr>
                <w:rFonts w:hint="default" w:ascii="Times New Roman" w:hAnsi="Times New Roman" w:eastAsia="宋体" w:cs="Times New Roman"/>
                <w:spacing w:val="8"/>
                <w:sz w:val="21"/>
                <w:szCs w:val="21"/>
                <w:lang w:val="en-US" w:eastAsia="zh-CN"/>
              </w:rPr>
              <w:fldChar w:fldCharType="begin"/>
            </w:r>
            <w:r>
              <w:rPr>
                <w:rFonts w:hint="default" w:ascii="Times New Roman" w:hAnsi="Times New Roman" w:eastAsia="宋体" w:cs="Times New Roman"/>
                <w:spacing w:val="8"/>
                <w:sz w:val="21"/>
                <w:szCs w:val="21"/>
                <w:lang w:val="en-US" w:eastAsia="zh-CN"/>
              </w:rPr>
              <w:instrText xml:space="preserve"> HYPERLINK "https://baike.baidu.com/item/%E4%BA%A4%E9%80%9A%E8%BF%90%E8%BE%93/9649723?fromModule=lemma_inlink" \t "https://baike.baidu.com/item/R-404A/_blank" </w:instrText>
            </w:r>
            <w:r>
              <w:rPr>
                <w:rFonts w:hint="default" w:ascii="Times New Roman" w:hAnsi="Times New Roman" w:eastAsia="宋体" w:cs="Times New Roman"/>
                <w:spacing w:val="8"/>
                <w:sz w:val="21"/>
                <w:szCs w:val="21"/>
                <w:lang w:val="en-US" w:eastAsia="zh-CN"/>
              </w:rPr>
              <w:fldChar w:fldCharType="separate"/>
            </w:r>
            <w:r>
              <w:rPr>
                <w:rFonts w:hint="default" w:ascii="Times New Roman" w:hAnsi="Times New Roman" w:eastAsia="宋体" w:cs="Times New Roman"/>
                <w:spacing w:val="8"/>
                <w:sz w:val="21"/>
                <w:szCs w:val="21"/>
                <w:lang w:val="en-US" w:eastAsia="zh-CN"/>
              </w:rPr>
              <w:t>交通运输</w:t>
            </w:r>
            <w:r>
              <w:rPr>
                <w:rFonts w:hint="default" w:ascii="Times New Roman" w:hAnsi="Times New Roman" w:eastAsia="宋体" w:cs="Times New Roman"/>
                <w:spacing w:val="8"/>
                <w:sz w:val="21"/>
                <w:szCs w:val="21"/>
                <w:lang w:val="en-US" w:eastAsia="zh-CN"/>
              </w:rPr>
              <w:fldChar w:fldCharType="end"/>
            </w:r>
            <w:r>
              <w:rPr>
                <w:rFonts w:hint="default" w:ascii="Times New Roman" w:hAnsi="Times New Roman" w:eastAsia="宋体" w:cs="Times New Roman"/>
                <w:spacing w:val="8"/>
                <w:sz w:val="21"/>
                <w:szCs w:val="21"/>
                <w:lang w:val="en-US" w:eastAsia="zh-CN"/>
              </w:rPr>
              <w:t>制冷设备或更新设备。</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outlineLvl w:val="2"/>
        <w:rPr>
          <w:rFonts w:hint="default" w:ascii="Times New Roman" w:hAnsi="Times New Roman" w:eastAsia="黑体" w:cs="Times New Roman"/>
          <w:sz w:val="24"/>
          <w:szCs w:val="24"/>
        </w:rPr>
      </w:pPr>
      <w:r>
        <w:rPr>
          <w:rFonts w:hint="default" w:ascii="Times New Roman" w:hAnsi="Times New Roman" w:eastAsia="Times New Roman" w:cs="Times New Roman"/>
          <w:spacing w:val="-1"/>
          <w:sz w:val="24"/>
          <w:szCs w:val="24"/>
        </w:rPr>
        <w:t>3.</w:t>
      </w:r>
      <w:r>
        <w:rPr>
          <w:rFonts w:hint="default" w:ascii="Times New Roman" w:hAnsi="Times New Roman" w:eastAsia="宋体" w:cs="Times New Roman"/>
          <w:spacing w:val="-1"/>
          <w:sz w:val="24"/>
          <w:szCs w:val="24"/>
          <w:lang w:val="en-US" w:eastAsia="zh-CN"/>
        </w:rPr>
        <w:t>4</w:t>
      </w:r>
      <w:r>
        <w:rPr>
          <w:rFonts w:hint="default" w:ascii="Times New Roman" w:hAnsi="Times New Roman" w:eastAsia="Times New Roman" w:cs="Times New Roman"/>
          <w:spacing w:val="-1"/>
          <w:sz w:val="24"/>
          <w:szCs w:val="24"/>
        </w:rPr>
        <w:t>.</w:t>
      </w:r>
      <w:r>
        <w:rPr>
          <w:rFonts w:hint="default" w:ascii="Times New Roman" w:hAnsi="Times New Roman" w:eastAsia="宋体" w:cs="Times New Roman"/>
          <w:spacing w:val="-1"/>
          <w:sz w:val="24"/>
          <w:szCs w:val="24"/>
          <w:lang w:val="en-US" w:eastAsia="zh-CN"/>
        </w:rPr>
        <w:t>5</w:t>
      </w:r>
      <w:r>
        <w:rPr>
          <w:rFonts w:hint="default" w:ascii="Times New Roman" w:hAnsi="Times New Roman" w:eastAsia="Times New Roman" w:cs="Times New Roman"/>
          <w:spacing w:val="-1"/>
          <w:sz w:val="24"/>
          <w:szCs w:val="24"/>
        </w:rPr>
        <w:t xml:space="preserve">  </w:t>
      </w:r>
      <w:r>
        <w:rPr>
          <w:rFonts w:hint="default" w:ascii="Times New Roman" w:hAnsi="Times New Roman" w:eastAsia="黑体" w:cs="Times New Roman"/>
          <w:spacing w:val="-1"/>
          <w:sz w:val="24"/>
          <w:szCs w:val="24"/>
        </w:rPr>
        <w:t>主要生产设备</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本次工程机械化屠宰生产设备见下表。</w:t>
      </w:r>
    </w:p>
    <w:p>
      <w:pPr>
        <w:spacing w:before="130" w:line="228" w:lineRule="auto"/>
        <w:jc w:val="center"/>
        <w:rPr>
          <w:rFonts w:hint="eastAsia" w:ascii="Times New Roman" w:hAnsi="Times New Roman" w:eastAsia="宋体" w:cs="Times New Roman"/>
          <w:b/>
          <w:bCs/>
          <w:spacing w:val="4"/>
          <w:sz w:val="21"/>
          <w:szCs w:val="21"/>
          <w:highlight w:val="magenta"/>
          <w:lang w:eastAsia="zh-CN"/>
        </w:rPr>
      </w:pPr>
      <w:r>
        <w:rPr>
          <w:rFonts w:hint="default" w:ascii="Times New Roman" w:hAnsi="Times New Roman" w:eastAsia="Times New Roman" w:cs="Times New Roman"/>
          <w:b/>
          <w:bCs/>
          <w:spacing w:val="4"/>
          <w:sz w:val="21"/>
          <w:szCs w:val="21"/>
          <w:highlight w:val="none"/>
        </w:rPr>
        <w:t>表 3</w:t>
      </w:r>
      <w:r>
        <w:rPr>
          <w:rFonts w:hint="eastAsia" w:ascii="Times New Roman" w:hAnsi="Times New Roman" w:eastAsia="宋体" w:cs="Times New Roman"/>
          <w:b/>
          <w:bCs/>
          <w:spacing w:val="4"/>
          <w:sz w:val="21"/>
          <w:szCs w:val="21"/>
          <w:highlight w:val="none"/>
          <w:lang w:val="en-US" w:eastAsia="zh-CN"/>
        </w:rPr>
        <w:t>-</w:t>
      </w:r>
      <w:r>
        <w:rPr>
          <w:rFonts w:hint="default" w:ascii="Times New Roman" w:hAnsi="Times New Roman" w:eastAsia="宋体" w:cs="Times New Roman"/>
          <w:b/>
          <w:bCs/>
          <w:spacing w:val="4"/>
          <w:sz w:val="21"/>
          <w:szCs w:val="21"/>
          <w:highlight w:val="none"/>
          <w:lang w:val="en-US" w:eastAsia="zh-CN"/>
        </w:rPr>
        <w:t>4</w:t>
      </w:r>
      <w:r>
        <w:rPr>
          <w:rFonts w:hint="default" w:ascii="Times New Roman" w:hAnsi="Times New Roman" w:eastAsia="Times New Roman" w:cs="Times New Roman"/>
          <w:b/>
          <w:bCs/>
          <w:spacing w:val="4"/>
          <w:sz w:val="21"/>
          <w:szCs w:val="21"/>
          <w:highlight w:val="none"/>
        </w:rPr>
        <w:t>-</w:t>
      </w:r>
      <w:r>
        <w:rPr>
          <w:rFonts w:hint="default" w:ascii="Times New Roman" w:hAnsi="Times New Roman" w:eastAsia="宋体" w:cs="Times New Roman"/>
          <w:b/>
          <w:bCs/>
          <w:spacing w:val="4"/>
          <w:sz w:val="21"/>
          <w:szCs w:val="21"/>
          <w:highlight w:val="none"/>
          <w:lang w:val="en-US" w:eastAsia="zh-CN"/>
        </w:rPr>
        <w:t>5</w:t>
      </w:r>
      <w:r>
        <w:rPr>
          <w:rFonts w:hint="default" w:ascii="Times New Roman" w:hAnsi="Times New Roman" w:eastAsia="Times New Roman" w:cs="Times New Roman"/>
          <w:b/>
          <w:bCs/>
          <w:spacing w:val="4"/>
          <w:sz w:val="21"/>
          <w:szCs w:val="21"/>
          <w:highlight w:val="none"/>
        </w:rPr>
        <w:t xml:space="preserve">  本次工程新增机械化屠宰生产设备一览表</w:t>
      </w:r>
    </w:p>
    <w:p>
      <w:pPr>
        <w:spacing w:line="20" w:lineRule="exact"/>
        <w:rPr>
          <w:rFonts w:hint="default" w:ascii="Times New Roman" w:hAnsi="Times New Roman" w:cs="Times New Roman"/>
        </w:rPr>
      </w:pPr>
    </w:p>
    <w:tbl>
      <w:tblPr>
        <w:tblStyle w:val="34"/>
        <w:tblW w:w="502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97"/>
        <w:gridCol w:w="2197"/>
        <w:gridCol w:w="882"/>
        <w:gridCol w:w="850"/>
        <w:gridCol w:w="463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426" w:type="pct"/>
            <w:vAlign w:val="top"/>
          </w:tcPr>
          <w:p>
            <w:pPr>
              <w:spacing w:before="51" w:line="229" w:lineRule="auto"/>
              <w:ind w:left="119"/>
              <w:jc w:val="center"/>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序号</w:t>
            </w:r>
          </w:p>
        </w:tc>
        <w:tc>
          <w:tcPr>
            <w:tcW w:w="1174" w:type="pct"/>
            <w:vAlign w:val="top"/>
          </w:tcPr>
          <w:p>
            <w:pPr>
              <w:spacing w:before="50"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产品名称</w:t>
            </w:r>
          </w:p>
        </w:tc>
        <w:tc>
          <w:tcPr>
            <w:tcW w:w="471" w:type="pct"/>
            <w:vAlign w:val="top"/>
          </w:tcPr>
          <w:p>
            <w:pPr>
              <w:spacing w:before="50"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数量</w:t>
            </w:r>
          </w:p>
        </w:tc>
        <w:tc>
          <w:tcPr>
            <w:tcW w:w="454" w:type="pct"/>
            <w:vAlign w:val="top"/>
          </w:tcPr>
          <w:p>
            <w:pPr>
              <w:spacing w:before="51"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单位</w:t>
            </w:r>
          </w:p>
        </w:tc>
        <w:tc>
          <w:tcPr>
            <w:tcW w:w="2474" w:type="pct"/>
            <w:vAlign w:val="top"/>
          </w:tcPr>
          <w:p>
            <w:pPr>
              <w:spacing w:before="51" w:line="22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1" w:hRule="atLeast"/>
        </w:trPr>
        <w:tc>
          <w:tcPr>
            <w:tcW w:w="426" w:type="pct"/>
            <w:vAlign w:val="top"/>
          </w:tcPr>
          <w:p>
            <w:pPr>
              <w:spacing w:before="83"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174" w:type="pct"/>
            <w:vAlign w:val="top"/>
          </w:tcPr>
          <w:p>
            <w:pPr>
              <w:spacing w:before="46"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pacing w:val="7"/>
                <w:sz w:val="21"/>
                <w:szCs w:val="21"/>
                <w:lang w:val="en-US" w:eastAsia="zh-CN"/>
              </w:rPr>
              <w:t>活挂机</w:t>
            </w:r>
          </w:p>
        </w:tc>
        <w:tc>
          <w:tcPr>
            <w:tcW w:w="471" w:type="pct"/>
            <w:vAlign w:val="top"/>
          </w:tcPr>
          <w:p>
            <w:pPr>
              <w:spacing w:before="83" w:line="195" w:lineRule="auto"/>
              <w:jc w:val="center"/>
              <w:rPr>
                <w:rFonts w:hint="default" w:ascii="Times New Roman" w:hAnsi="Times New Roman" w:eastAsia="宋体" w:cs="Times New Roman"/>
                <w:sz w:val="21"/>
                <w:szCs w:val="21"/>
                <w:highlight w:val="magenta"/>
              </w:rPr>
            </w:pPr>
            <w:r>
              <w:rPr>
                <w:rFonts w:hint="eastAsia" w:ascii="Times New Roman" w:hAnsi="Times New Roman" w:eastAsia="宋体" w:cs="Times New Roman"/>
                <w:sz w:val="21"/>
                <w:szCs w:val="21"/>
                <w:lang w:val="en-US" w:eastAsia="zh-CN"/>
              </w:rPr>
              <w:t>2</w:t>
            </w:r>
          </w:p>
        </w:tc>
        <w:tc>
          <w:tcPr>
            <w:tcW w:w="454" w:type="pct"/>
            <w:vAlign w:val="top"/>
          </w:tcPr>
          <w:p>
            <w:pPr>
              <w:spacing w:before="47" w:line="23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台</w:t>
            </w:r>
          </w:p>
        </w:tc>
        <w:tc>
          <w:tcPr>
            <w:tcW w:w="2474" w:type="pct"/>
            <w:vAlign w:val="top"/>
          </w:tcPr>
          <w:p>
            <w:pPr>
              <w:spacing w:before="46" w:line="231"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26" w:type="pct"/>
            <w:vAlign w:val="top"/>
          </w:tcPr>
          <w:p>
            <w:pPr>
              <w:spacing w:before="83"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174" w:type="pct"/>
            <w:vAlign w:val="top"/>
          </w:tcPr>
          <w:p>
            <w:pPr>
              <w:spacing w:before="47"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放血线</w:t>
            </w:r>
          </w:p>
        </w:tc>
        <w:tc>
          <w:tcPr>
            <w:tcW w:w="471" w:type="pct"/>
            <w:vAlign w:val="top"/>
          </w:tcPr>
          <w:p>
            <w:pPr>
              <w:spacing w:before="83" w:line="195" w:lineRule="auto"/>
              <w:jc w:val="center"/>
              <w:rPr>
                <w:rFonts w:hint="default" w:ascii="Times New Roman" w:hAnsi="Times New Roman" w:eastAsia="宋体" w:cs="Times New Roman"/>
                <w:sz w:val="21"/>
                <w:szCs w:val="21"/>
                <w:highlight w:val="magenta"/>
                <w:lang w:val="en-US" w:eastAsia="zh-CN"/>
              </w:rPr>
            </w:pPr>
            <w:r>
              <w:rPr>
                <w:rFonts w:hint="default" w:ascii="Times New Roman" w:hAnsi="Times New Roman" w:eastAsia="宋体" w:cs="Times New Roman"/>
                <w:sz w:val="21"/>
                <w:szCs w:val="21"/>
                <w:lang w:val="en-US" w:eastAsia="zh-CN"/>
              </w:rPr>
              <w:t>2</w:t>
            </w:r>
          </w:p>
        </w:tc>
        <w:tc>
          <w:tcPr>
            <w:tcW w:w="454" w:type="pct"/>
            <w:vAlign w:val="top"/>
          </w:tcPr>
          <w:p>
            <w:pPr>
              <w:spacing w:before="47" w:line="230"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条</w:t>
            </w:r>
          </w:p>
        </w:tc>
        <w:tc>
          <w:tcPr>
            <w:tcW w:w="2474" w:type="pct"/>
            <w:vAlign w:val="top"/>
          </w:tcPr>
          <w:p>
            <w:pPr>
              <w:spacing w:before="46" w:line="231"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6" w:hRule="atLeast"/>
        </w:trPr>
        <w:tc>
          <w:tcPr>
            <w:tcW w:w="426" w:type="pct"/>
            <w:vAlign w:val="top"/>
          </w:tcPr>
          <w:p>
            <w:pPr>
              <w:spacing w:before="83"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174" w:type="pct"/>
            <w:vAlign w:val="top"/>
          </w:tcPr>
          <w:p>
            <w:pPr>
              <w:spacing w:before="47" w:line="227"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pacing w:val="7"/>
                <w:sz w:val="21"/>
                <w:szCs w:val="21"/>
                <w:lang w:val="en-US" w:eastAsia="zh-CN"/>
              </w:rPr>
              <w:t>驱动装置</w:t>
            </w:r>
          </w:p>
        </w:tc>
        <w:tc>
          <w:tcPr>
            <w:tcW w:w="471" w:type="pct"/>
            <w:vAlign w:val="top"/>
          </w:tcPr>
          <w:p>
            <w:pPr>
              <w:spacing w:before="83" w:line="195" w:lineRule="auto"/>
              <w:jc w:val="center"/>
              <w:rPr>
                <w:rFonts w:hint="default" w:ascii="Times New Roman" w:hAnsi="Times New Roman" w:eastAsia="宋体" w:cs="Times New Roman"/>
                <w:sz w:val="21"/>
                <w:szCs w:val="21"/>
                <w:highlight w:val="magenta"/>
                <w:lang w:eastAsia="zh-CN"/>
              </w:rPr>
            </w:pPr>
            <w:r>
              <w:rPr>
                <w:rFonts w:hint="eastAsia" w:ascii="Times New Roman" w:hAnsi="Times New Roman" w:eastAsia="宋体" w:cs="Times New Roman"/>
                <w:sz w:val="21"/>
                <w:szCs w:val="21"/>
                <w:lang w:val="en-US" w:eastAsia="zh-CN"/>
              </w:rPr>
              <w:t>1</w:t>
            </w:r>
          </w:p>
        </w:tc>
        <w:tc>
          <w:tcPr>
            <w:tcW w:w="454" w:type="pct"/>
            <w:vAlign w:val="top"/>
          </w:tcPr>
          <w:p>
            <w:pPr>
              <w:spacing w:before="47" w:line="23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套</w:t>
            </w:r>
          </w:p>
        </w:tc>
        <w:tc>
          <w:tcPr>
            <w:tcW w:w="2474" w:type="pct"/>
            <w:vAlign w:val="top"/>
          </w:tcPr>
          <w:p>
            <w:pPr>
              <w:spacing w:before="47" w:line="228"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26" w:type="pct"/>
            <w:vAlign w:val="center"/>
          </w:tcPr>
          <w:p>
            <w:pPr>
              <w:spacing w:line="360" w:lineRule="exact"/>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Cs w:val="21"/>
                <w:lang w:val="en-US" w:eastAsia="zh-CN"/>
              </w:rPr>
              <w:t>4</w:t>
            </w:r>
          </w:p>
        </w:tc>
        <w:tc>
          <w:tcPr>
            <w:tcW w:w="1174" w:type="pct"/>
            <w:vAlign w:val="center"/>
          </w:tcPr>
          <w:p>
            <w:pPr>
              <w:spacing w:line="360" w:lineRule="exact"/>
              <w:jc w:val="center"/>
              <w:rPr>
                <w:rFonts w:hint="default" w:ascii="Times New Roman" w:hAnsi="Times New Roman" w:eastAsia="宋体" w:cs="Times New Roman"/>
                <w:sz w:val="21"/>
                <w:szCs w:val="21"/>
              </w:rPr>
            </w:pPr>
            <w:r>
              <w:rPr>
                <w:rFonts w:hint="eastAsia" w:ascii="Times New Roman" w:hAnsi="Times New Roman" w:eastAsia="宋体" w:cs="Times New Roman"/>
                <w:color w:val="auto"/>
                <w:szCs w:val="21"/>
                <w:lang w:val="en-US" w:eastAsia="zh-CN"/>
              </w:rPr>
              <w:t>张紧装置</w:t>
            </w:r>
          </w:p>
        </w:tc>
        <w:tc>
          <w:tcPr>
            <w:tcW w:w="471" w:type="pct"/>
            <w:vAlign w:val="center"/>
          </w:tcPr>
          <w:p>
            <w:pPr>
              <w:spacing w:line="360" w:lineRule="exact"/>
              <w:jc w:val="center"/>
              <w:rPr>
                <w:rFonts w:hint="default" w:ascii="Times New Roman" w:hAnsi="Times New Roman" w:eastAsia="宋体" w:cs="Times New Roman"/>
                <w:sz w:val="21"/>
                <w:szCs w:val="21"/>
                <w:highlight w:val="magenta"/>
                <w:lang w:val="en-US" w:eastAsia="zh-CN"/>
              </w:rPr>
            </w:pPr>
            <w:r>
              <w:rPr>
                <w:rFonts w:hint="eastAsia" w:ascii="Times New Roman" w:hAnsi="Times New Roman" w:eastAsia="宋体" w:cs="Times New Roman"/>
                <w:sz w:val="21"/>
                <w:szCs w:val="21"/>
                <w:lang w:val="en-US" w:eastAsia="zh-CN"/>
              </w:rPr>
              <w:t>1</w:t>
            </w:r>
          </w:p>
        </w:tc>
        <w:tc>
          <w:tcPr>
            <w:tcW w:w="454" w:type="pct"/>
            <w:vAlign w:val="center"/>
          </w:tcPr>
          <w:p>
            <w:pPr>
              <w:spacing w:line="360" w:lineRule="exact"/>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auto"/>
                <w:szCs w:val="21"/>
                <w:lang w:val="en-US" w:eastAsia="zh-CN"/>
              </w:rPr>
              <w:t>套</w:t>
            </w:r>
          </w:p>
        </w:tc>
        <w:tc>
          <w:tcPr>
            <w:tcW w:w="2474" w:type="pct"/>
            <w:vAlign w:val="center"/>
          </w:tcPr>
          <w:p>
            <w:pPr>
              <w:spacing w:line="36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26" w:type="pct"/>
            <w:vAlign w:val="top"/>
          </w:tcPr>
          <w:p>
            <w:pPr>
              <w:spacing w:before="86" w:line="192"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1174" w:type="pct"/>
            <w:vAlign w:val="top"/>
          </w:tcPr>
          <w:p>
            <w:pPr>
              <w:spacing w:before="47"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回转轮</w:t>
            </w:r>
          </w:p>
        </w:tc>
        <w:tc>
          <w:tcPr>
            <w:tcW w:w="471" w:type="pct"/>
            <w:vAlign w:val="top"/>
          </w:tcPr>
          <w:p>
            <w:pPr>
              <w:spacing w:before="83" w:line="195" w:lineRule="auto"/>
              <w:jc w:val="center"/>
              <w:rPr>
                <w:rFonts w:hint="default" w:ascii="Times New Roman" w:hAnsi="Times New Roman" w:eastAsia="宋体" w:cs="Times New Roman"/>
                <w:sz w:val="21"/>
                <w:szCs w:val="21"/>
                <w:highlight w:val="magenta"/>
                <w:lang w:val="en-US" w:eastAsia="zh-CN"/>
              </w:rPr>
            </w:pPr>
            <w:r>
              <w:rPr>
                <w:rFonts w:hint="eastAsia" w:ascii="Times New Roman" w:hAnsi="Times New Roman" w:eastAsia="宋体" w:cs="Times New Roman"/>
                <w:sz w:val="21"/>
                <w:szCs w:val="21"/>
                <w:lang w:val="en-US" w:eastAsia="zh-CN"/>
              </w:rPr>
              <w:t>1</w:t>
            </w:r>
          </w:p>
        </w:tc>
        <w:tc>
          <w:tcPr>
            <w:tcW w:w="454" w:type="pct"/>
            <w:vAlign w:val="top"/>
          </w:tcPr>
          <w:p>
            <w:pPr>
              <w:spacing w:before="47" w:line="23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个</w:t>
            </w:r>
          </w:p>
        </w:tc>
        <w:tc>
          <w:tcPr>
            <w:tcW w:w="2474" w:type="pct"/>
            <w:vAlign w:val="top"/>
          </w:tcPr>
          <w:p>
            <w:pPr>
              <w:spacing w:before="9" w:line="281"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26" w:type="pct"/>
            <w:vAlign w:val="top"/>
          </w:tcPr>
          <w:p>
            <w:pPr>
              <w:spacing w:before="85"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1174" w:type="pct"/>
            <w:vAlign w:val="top"/>
          </w:tcPr>
          <w:p>
            <w:pPr>
              <w:spacing w:before="49" w:line="227"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pacing w:val="8"/>
                <w:sz w:val="21"/>
                <w:szCs w:val="21"/>
                <w:lang w:val="en-US" w:eastAsia="zh-CN"/>
              </w:rPr>
              <w:t>400型刨毛机</w:t>
            </w:r>
          </w:p>
        </w:tc>
        <w:tc>
          <w:tcPr>
            <w:tcW w:w="471" w:type="pct"/>
            <w:vAlign w:val="top"/>
          </w:tcPr>
          <w:p>
            <w:pPr>
              <w:spacing w:before="85" w:line="195" w:lineRule="auto"/>
              <w:jc w:val="center"/>
              <w:rPr>
                <w:rFonts w:hint="default" w:ascii="Times New Roman" w:hAnsi="Times New Roman" w:eastAsia="宋体" w:cs="Times New Roman"/>
                <w:sz w:val="21"/>
                <w:szCs w:val="21"/>
                <w:highlight w:val="magenta"/>
              </w:rPr>
            </w:pPr>
            <w:r>
              <w:rPr>
                <w:rFonts w:hint="eastAsia" w:ascii="Times New Roman" w:hAnsi="Times New Roman" w:eastAsia="宋体" w:cs="Times New Roman"/>
                <w:sz w:val="21"/>
                <w:szCs w:val="21"/>
                <w:lang w:val="en-US" w:eastAsia="zh-CN"/>
              </w:rPr>
              <w:t>1</w:t>
            </w:r>
          </w:p>
        </w:tc>
        <w:tc>
          <w:tcPr>
            <w:tcW w:w="454" w:type="pct"/>
            <w:vAlign w:val="top"/>
          </w:tcPr>
          <w:p>
            <w:pPr>
              <w:spacing w:before="50"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个</w:t>
            </w:r>
          </w:p>
        </w:tc>
        <w:tc>
          <w:tcPr>
            <w:tcW w:w="2474" w:type="pct"/>
            <w:vAlign w:val="top"/>
          </w:tcPr>
          <w:p>
            <w:pPr>
              <w:spacing w:before="12" w:line="281"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426" w:type="pct"/>
            <w:vAlign w:val="top"/>
          </w:tcPr>
          <w:p>
            <w:pPr>
              <w:spacing w:before="88" w:line="192"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1174" w:type="pct"/>
            <w:vAlign w:val="top"/>
          </w:tcPr>
          <w:p>
            <w:pPr>
              <w:spacing w:before="49" w:line="229"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pacing w:val="3"/>
                <w:sz w:val="21"/>
                <w:szCs w:val="21"/>
                <w:lang w:val="en-US" w:eastAsia="zh-CN"/>
              </w:rPr>
              <w:t>烫池</w:t>
            </w:r>
          </w:p>
        </w:tc>
        <w:tc>
          <w:tcPr>
            <w:tcW w:w="471" w:type="pct"/>
            <w:vAlign w:val="top"/>
          </w:tcPr>
          <w:p>
            <w:pPr>
              <w:spacing w:before="85" w:line="195" w:lineRule="auto"/>
              <w:jc w:val="center"/>
              <w:rPr>
                <w:rFonts w:hint="default" w:ascii="Times New Roman" w:hAnsi="Times New Roman" w:eastAsia="宋体" w:cs="Times New Roman"/>
                <w:sz w:val="21"/>
                <w:szCs w:val="21"/>
                <w:highlight w:val="magenta"/>
              </w:rPr>
            </w:pPr>
            <w:r>
              <w:rPr>
                <w:rFonts w:hint="eastAsia" w:ascii="Times New Roman" w:hAnsi="Times New Roman" w:eastAsia="宋体" w:cs="Times New Roman"/>
                <w:sz w:val="21"/>
                <w:szCs w:val="21"/>
                <w:lang w:val="en-US" w:eastAsia="zh-CN"/>
              </w:rPr>
              <w:t>1</w:t>
            </w:r>
          </w:p>
        </w:tc>
        <w:tc>
          <w:tcPr>
            <w:tcW w:w="454" w:type="pct"/>
            <w:vAlign w:val="top"/>
          </w:tcPr>
          <w:p>
            <w:pPr>
              <w:spacing w:before="49" w:line="229"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个</w:t>
            </w:r>
          </w:p>
        </w:tc>
        <w:tc>
          <w:tcPr>
            <w:tcW w:w="2474" w:type="pct"/>
            <w:vAlign w:val="top"/>
          </w:tcPr>
          <w:p>
            <w:pPr>
              <w:spacing w:before="81" w:line="19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26" w:type="pct"/>
            <w:vAlign w:val="top"/>
          </w:tcPr>
          <w:p>
            <w:pPr>
              <w:spacing w:before="84"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1174" w:type="pct"/>
            <w:vAlign w:val="top"/>
          </w:tcPr>
          <w:p>
            <w:pPr>
              <w:spacing w:before="49"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热水池</w:t>
            </w:r>
          </w:p>
        </w:tc>
        <w:tc>
          <w:tcPr>
            <w:tcW w:w="471" w:type="pct"/>
            <w:vAlign w:val="top"/>
          </w:tcPr>
          <w:p>
            <w:pPr>
              <w:spacing w:before="84" w:line="195" w:lineRule="auto"/>
              <w:jc w:val="center"/>
              <w:rPr>
                <w:rFonts w:hint="default" w:ascii="Times New Roman" w:hAnsi="Times New Roman" w:eastAsia="宋体" w:cs="Times New Roman"/>
                <w:sz w:val="21"/>
                <w:szCs w:val="21"/>
                <w:highlight w:val="magenta"/>
                <w:lang w:val="en-US" w:eastAsia="zh-CN"/>
              </w:rPr>
            </w:pPr>
            <w:r>
              <w:rPr>
                <w:rFonts w:hint="eastAsia" w:ascii="Times New Roman" w:hAnsi="Times New Roman" w:eastAsia="宋体" w:cs="Times New Roman"/>
                <w:sz w:val="21"/>
                <w:szCs w:val="21"/>
                <w:lang w:val="en-US" w:eastAsia="zh-CN"/>
              </w:rPr>
              <w:t>1</w:t>
            </w:r>
          </w:p>
        </w:tc>
        <w:tc>
          <w:tcPr>
            <w:tcW w:w="454" w:type="pct"/>
            <w:vAlign w:val="top"/>
          </w:tcPr>
          <w:p>
            <w:pPr>
              <w:spacing w:before="48" w:line="229"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个</w:t>
            </w:r>
          </w:p>
        </w:tc>
        <w:tc>
          <w:tcPr>
            <w:tcW w:w="2474" w:type="pct"/>
            <w:vAlign w:val="top"/>
          </w:tcPr>
          <w:p>
            <w:pPr>
              <w:spacing w:before="48" w:line="229"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26" w:type="pct"/>
            <w:vAlign w:val="top"/>
          </w:tcPr>
          <w:p>
            <w:pPr>
              <w:spacing w:before="84"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1174" w:type="pct"/>
            <w:vAlign w:val="top"/>
          </w:tcPr>
          <w:p>
            <w:pPr>
              <w:spacing w:before="49"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pacing w:val="7"/>
                <w:sz w:val="21"/>
                <w:szCs w:val="21"/>
                <w:lang w:val="en-US" w:eastAsia="zh-CN"/>
              </w:rPr>
              <w:t>劈半锯</w:t>
            </w:r>
          </w:p>
        </w:tc>
        <w:tc>
          <w:tcPr>
            <w:tcW w:w="471" w:type="pct"/>
            <w:vAlign w:val="top"/>
          </w:tcPr>
          <w:p>
            <w:pPr>
              <w:spacing w:before="84" w:line="195" w:lineRule="auto"/>
              <w:jc w:val="center"/>
              <w:rPr>
                <w:rFonts w:hint="default" w:ascii="Times New Roman" w:hAnsi="Times New Roman" w:eastAsia="宋体" w:cs="Times New Roman"/>
                <w:sz w:val="21"/>
                <w:szCs w:val="21"/>
                <w:highlight w:val="magenta"/>
              </w:rPr>
            </w:pPr>
            <w:r>
              <w:rPr>
                <w:rFonts w:hint="default" w:ascii="Times New Roman" w:hAnsi="Times New Roman" w:eastAsia="宋体" w:cs="Times New Roman"/>
                <w:sz w:val="21"/>
                <w:szCs w:val="21"/>
              </w:rPr>
              <w:t>1</w:t>
            </w:r>
          </w:p>
        </w:tc>
        <w:tc>
          <w:tcPr>
            <w:tcW w:w="454" w:type="pct"/>
            <w:vAlign w:val="top"/>
          </w:tcPr>
          <w:p>
            <w:pPr>
              <w:spacing w:before="48" w:line="22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台</w:t>
            </w:r>
          </w:p>
        </w:tc>
        <w:tc>
          <w:tcPr>
            <w:tcW w:w="2474" w:type="pct"/>
            <w:vAlign w:val="top"/>
          </w:tcPr>
          <w:p>
            <w:pPr>
              <w:spacing w:before="48" w:line="22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26" w:type="pct"/>
            <w:vAlign w:val="top"/>
          </w:tcPr>
          <w:p>
            <w:pPr>
              <w:spacing w:before="84"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10</w:t>
            </w:r>
          </w:p>
        </w:tc>
        <w:tc>
          <w:tcPr>
            <w:tcW w:w="1174" w:type="pct"/>
            <w:vAlign w:val="top"/>
          </w:tcPr>
          <w:p>
            <w:pPr>
              <w:spacing w:before="48"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pacing w:val="7"/>
                <w:sz w:val="21"/>
                <w:szCs w:val="21"/>
                <w:lang w:val="en-US" w:eastAsia="zh-CN"/>
              </w:rPr>
              <w:t>手推线</w:t>
            </w:r>
          </w:p>
        </w:tc>
        <w:tc>
          <w:tcPr>
            <w:tcW w:w="471" w:type="pct"/>
            <w:vAlign w:val="top"/>
          </w:tcPr>
          <w:p>
            <w:pPr>
              <w:spacing w:before="84" w:line="195" w:lineRule="auto"/>
              <w:jc w:val="center"/>
              <w:rPr>
                <w:rFonts w:hint="default" w:ascii="Times New Roman" w:hAnsi="Times New Roman" w:eastAsia="宋体" w:cs="Times New Roman"/>
                <w:sz w:val="21"/>
                <w:szCs w:val="21"/>
                <w:highlight w:val="magenta"/>
              </w:rPr>
            </w:pPr>
            <w:r>
              <w:rPr>
                <w:rFonts w:hint="default" w:ascii="Times New Roman" w:hAnsi="Times New Roman" w:eastAsia="宋体" w:cs="Times New Roman"/>
                <w:sz w:val="21"/>
                <w:szCs w:val="21"/>
              </w:rPr>
              <w:t>2</w:t>
            </w:r>
          </w:p>
        </w:tc>
        <w:tc>
          <w:tcPr>
            <w:tcW w:w="454" w:type="pct"/>
            <w:vAlign w:val="top"/>
          </w:tcPr>
          <w:p>
            <w:pPr>
              <w:spacing w:before="49"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条</w:t>
            </w:r>
          </w:p>
        </w:tc>
        <w:tc>
          <w:tcPr>
            <w:tcW w:w="2474" w:type="pct"/>
            <w:vAlign w:val="top"/>
          </w:tcPr>
          <w:p>
            <w:pPr>
              <w:spacing w:before="49"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26" w:type="pct"/>
            <w:vAlign w:val="top"/>
          </w:tcPr>
          <w:p>
            <w:pPr>
              <w:spacing w:before="84"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10"/>
                <w:sz w:val="21"/>
                <w:szCs w:val="21"/>
              </w:rPr>
              <w:t>11</w:t>
            </w:r>
          </w:p>
        </w:tc>
        <w:tc>
          <w:tcPr>
            <w:tcW w:w="1174" w:type="pct"/>
            <w:vAlign w:val="top"/>
          </w:tcPr>
          <w:p>
            <w:pPr>
              <w:spacing w:before="49"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pacing w:val="7"/>
                <w:sz w:val="21"/>
                <w:szCs w:val="21"/>
                <w:lang w:val="en-US" w:eastAsia="zh-CN"/>
              </w:rPr>
              <w:t>左道叉</w:t>
            </w:r>
          </w:p>
        </w:tc>
        <w:tc>
          <w:tcPr>
            <w:tcW w:w="471" w:type="pct"/>
            <w:vAlign w:val="top"/>
          </w:tcPr>
          <w:p>
            <w:pPr>
              <w:spacing w:before="84" w:line="195" w:lineRule="auto"/>
              <w:jc w:val="center"/>
              <w:rPr>
                <w:rFonts w:hint="default" w:ascii="Times New Roman" w:hAnsi="Times New Roman" w:eastAsia="宋体" w:cs="Times New Roman"/>
                <w:sz w:val="21"/>
                <w:szCs w:val="21"/>
                <w:highlight w:val="magenta"/>
              </w:rPr>
            </w:pPr>
            <w:r>
              <w:rPr>
                <w:rFonts w:hint="default" w:ascii="Times New Roman" w:hAnsi="Times New Roman" w:eastAsia="宋体" w:cs="Times New Roman"/>
                <w:sz w:val="21"/>
                <w:szCs w:val="21"/>
              </w:rPr>
              <w:t>2</w:t>
            </w:r>
          </w:p>
        </w:tc>
        <w:tc>
          <w:tcPr>
            <w:tcW w:w="454" w:type="pct"/>
            <w:vAlign w:val="top"/>
          </w:tcPr>
          <w:p>
            <w:pPr>
              <w:spacing w:before="49"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个</w:t>
            </w:r>
          </w:p>
        </w:tc>
        <w:tc>
          <w:tcPr>
            <w:tcW w:w="2474" w:type="pct"/>
            <w:vAlign w:val="top"/>
          </w:tcPr>
          <w:p>
            <w:pPr>
              <w:spacing w:before="80" w:line="19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26" w:type="pct"/>
            <w:vAlign w:val="top"/>
          </w:tcPr>
          <w:p>
            <w:pPr>
              <w:spacing w:before="87"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12</w:t>
            </w:r>
          </w:p>
        </w:tc>
        <w:tc>
          <w:tcPr>
            <w:tcW w:w="1174" w:type="pct"/>
            <w:vAlign w:val="top"/>
          </w:tcPr>
          <w:p>
            <w:pPr>
              <w:spacing w:before="51" w:line="227"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pacing w:val="7"/>
                <w:sz w:val="21"/>
                <w:szCs w:val="21"/>
                <w:lang w:val="en-US" w:eastAsia="zh-CN"/>
              </w:rPr>
              <w:t>右道叉</w:t>
            </w:r>
          </w:p>
        </w:tc>
        <w:tc>
          <w:tcPr>
            <w:tcW w:w="471" w:type="pct"/>
            <w:vAlign w:val="top"/>
          </w:tcPr>
          <w:p>
            <w:pPr>
              <w:spacing w:before="87" w:line="195" w:lineRule="auto"/>
              <w:jc w:val="center"/>
              <w:rPr>
                <w:rFonts w:hint="default" w:ascii="Times New Roman" w:hAnsi="Times New Roman" w:eastAsia="宋体" w:cs="Times New Roman"/>
                <w:sz w:val="21"/>
                <w:szCs w:val="21"/>
                <w:highlight w:val="magenta"/>
              </w:rPr>
            </w:pPr>
            <w:r>
              <w:rPr>
                <w:rFonts w:hint="default" w:ascii="Times New Roman" w:hAnsi="Times New Roman" w:eastAsia="宋体" w:cs="Times New Roman"/>
                <w:sz w:val="21"/>
                <w:szCs w:val="21"/>
              </w:rPr>
              <w:t>2</w:t>
            </w:r>
          </w:p>
        </w:tc>
        <w:tc>
          <w:tcPr>
            <w:tcW w:w="454" w:type="pct"/>
            <w:vAlign w:val="top"/>
          </w:tcPr>
          <w:p>
            <w:pPr>
              <w:spacing w:before="51" w:line="227"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个</w:t>
            </w:r>
          </w:p>
        </w:tc>
        <w:tc>
          <w:tcPr>
            <w:tcW w:w="2474" w:type="pct"/>
            <w:vAlign w:val="top"/>
          </w:tcPr>
          <w:p>
            <w:pPr>
              <w:spacing w:before="83" w:line="19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426" w:type="pct"/>
            <w:vAlign w:val="top"/>
          </w:tcPr>
          <w:p>
            <w:pPr>
              <w:spacing w:before="86"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13</w:t>
            </w:r>
          </w:p>
        </w:tc>
        <w:tc>
          <w:tcPr>
            <w:tcW w:w="1174" w:type="pct"/>
            <w:vAlign w:val="top"/>
          </w:tcPr>
          <w:p>
            <w:pPr>
              <w:spacing w:before="50"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pacing w:val="7"/>
                <w:sz w:val="21"/>
                <w:szCs w:val="21"/>
                <w:lang w:val="en-US" w:eastAsia="zh-CN"/>
              </w:rPr>
              <w:t>弯轨</w:t>
            </w:r>
          </w:p>
        </w:tc>
        <w:tc>
          <w:tcPr>
            <w:tcW w:w="471" w:type="pct"/>
            <w:vAlign w:val="top"/>
          </w:tcPr>
          <w:p>
            <w:pPr>
              <w:spacing w:before="89" w:line="192" w:lineRule="auto"/>
              <w:jc w:val="center"/>
              <w:rPr>
                <w:rFonts w:hint="default" w:ascii="Times New Roman" w:hAnsi="Times New Roman" w:eastAsia="宋体" w:cs="Times New Roman"/>
                <w:sz w:val="21"/>
                <w:szCs w:val="21"/>
                <w:highlight w:val="magenta"/>
                <w:lang w:eastAsia="zh-CN"/>
              </w:rPr>
            </w:pPr>
            <w:r>
              <w:rPr>
                <w:rFonts w:hint="default" w:ascii="Times New Roman" w:hAnsi="Times New Roman" w:eastAsia="宋体" w:cs="Times New Roman"/>
                <w:sz w:val="21"/>
                <w:szCs w:val="21"/>
                <w:lang w:val="en-US" w:eastAsia="zh-CN"/>
              </w:rPr>
              <w:t>3</w:t>
            </w:r>
          </w:p>
        </w:tc>
        <w:tc>
          <w:tcPr>
            <w:tcW w:w="454" w:type="pct"/>
            <w:vAlign w:val="top"/>
          </w:tcPr>
          <w:p>
            <w:pPr>
              <w:spacing w:before="50" w:line="228"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个</w:t>
            </w:r>
          </w:p>
        </w:tc>
        <w:tc>
          <w:tcPr>
            <w:tcW w:w="2474" w:type="pct"/>
            <w:vAlign w:val="top"/>
          </w:tcPr>
          <w:p>
            <w:pPr>
              <w:spacing w:before="50" w:line="227"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26" w:type="pct"/>
            <w:vAlign w:val="top"/>
          </w:tcPr>
          <w:p>
            <w:pPr>
              <w:spacing w:before="86"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14</w:t>
            </w:r>
          </w:p>
        </w:tc>
        <w:tc>
          <w:tcPr>
            <w:tcW w:w="1174" w:type="pct"/>
            <w:vAlign w:val="top"/>
          </w:tcPr>
          <w:p>
            <w:pPr>
              <w:spacing w:before="50"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pacing w:val="6"/>
                <w:sz w:val="21"/>
                <w:szCs w:val="21"/>
                <w:lang w:val="en-US" w:eastAsia="zh-CN"/>
              </w:rPr>
              <w:t>双滑轮</w:t>
            </w:r>
          </w:p>
        </w:tc>
        <w:tc>
          <w:tcPr>
            <w:tcW w:w="471" w:type="pct"/>
            <w:vAlign w:val="top"/>
          </w:tcPr>
          <w:p>
            <w:pPr>
              <w:spacing w:before="86" w:line="195" w:lineRule="auto"/>
              <w:jc w:val="center"/>
              <w:rPr>
                <w:rFonts w:hint="default" w:ascii="Times New Roman" w:hAnsi="Times New Roman" w:eastAsia="宋体" w:cs="Times New Roman"/>
                <w:sz w:val="21"/>
                <w:szCs w:val="21"/>
                <w:highlight w:val="magenta"/>
              </w:rPr>
            </w:pPr>
            <w:r>
              <w:rPr>
                <w:rFonts w:hint="default" w:ascii="Times New Roman" w:hAnsi="Times New Roman" w:eastAsia="宋体" w:cs="Times New Roman"/>
                <w:sz w:val="21"/>
                <w:szCs w:val="21"/>
              </w:rPr>
              <w:t>1</w:t>
            </w:r>
          </w:p>
        </w:tc>
        <w:tc>
          <w:tcPr>
            <w:tcW w:w="454" w:type="pct"/>
            <w:vAlign w:val="top"/>
          </w:tcPr>
          <w:p>
            <w:pPr>
              <w:spacing w:before="50"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个</w:t>
            </w:r>
          </w:p>
        </w:tc>
        <w:tc>
          <w:tcPr>
            <w:tcW w:w="2474" w:type="pct"/>
            <w:vAlign w:val="top"/>
          </w:tcPr>
          <w:p>
            <w:pPr>
              <w:spacing w:before="82" w:line="19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26" w:type="pct"/>
            <w:vAlign w:val="top"/>
          </w:tcPr>
          <w:p>
            <w:pPr>
              <w:spacing w:before="85"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15</w:t>
            </w:r>
          </w:p>
        </w:tc>
        <w:tc>
          <w:tcPr>
            <w:tcW w:w="1174" w:type="pct"/>
            <w:vAlign w:val="top"/>
          </w:tcPr>
          <w:p>
            <w:pPr>
              <w:spacing w:before="49"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pacing w:val="6"/>
                <w:sz w:val="21"/>
                <w:szCs w:val="21"/>
                <w:lang w:val="en-US" w:eastAsia="zh-CN"/>
              </w:rPr>
              <w:t>叉挡</w:t>
            </w:r>
          </w:p>
        </w:tc>
        <w:tc>
          <w:tcPr>
            <w:tcW w:w="471" w:type="pct"/>
            <w:vAlign w:val="top"/>
          </w:tcPr>
          <w:p>
            <w:pPr>
              <w:spacing w:before="86" w:line="195" w:lineRule="auto"/>
              <w:jc w:val="center"/>
              <w:rPr>
                <w:rFonts w:hint="default" w:ascii="Times New Roman" w:hAnsi="Times New Roman" w:eastAsia="宋体" w:cs="Times New Roman"/>
                <w:sz w:val="21"/>
                <w:szCs w:val="21"/>
                <w:highlight w:val="magenta"/>
              </w:rPr>
            </w:pPr>
            <w:r>
              <w:rPr>
                <w:rFonts w:hint="default" w:ascii="Times New Roman" w:hAnsi="Times New Roman" w:eastAsia="宋体" w:cs="Times New Roman"/>
                <w:sz w:val="21"/>
                <w:szCs w:val="21"/>
              </w:rPr>
              <w:t>1</w:t>
            </w:r>
          </w:p>
        </w:tc>
        <w:tc>
          <w:tcPr>
            <w:tcW w:w="454" w:type="pct"/>
            <w:vAlign w:val="top"/>
          </w:tcPr>
          <w:p>
            <w:pPr>
              <w:spacing w:before="49"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个</w:t>
            </w:r>
          </w:p>
        </w:tc>
        <w:tc>
          <w:tcPr>
            <w:tcW w:w="2474" w:type="pct"/>
            <w:vAlign w:val="top"/>
          </w:tcPr>
          <w:p>
            <w:pPr>
              <w:spacing w:before="49"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26" w:type="pct"/>
            <w:vAlign w:val="top"/>
          </w:tcPr>
          <w:p>
            <w:pPr>
              <w:spacing w:before="85"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16</w:t>
            </w:r>
          </w:p>
        </w:tc>
        <w:tc>
          <w:tcPr>
            <w:tcW w:w="1174" w:type="pct"/>
            <w:vAlign w:val="top"/>
          </w:tcPr>
          <w:p>
            <w:pPr>
              <w:spacing w:before="49"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pacing w:val="5"/>
                <w:sz w:val="21"/>
                <w:szCs w:val="21"/>
                <w:lang w:val="en-US" w:eastAsia="zh-CN"/>
              </w:rPr>
              <w:t>赶猪电鞭</w:t>
            </w:r>
          </w:p>
        </w:tc>
        <w:tc>
          <w:tcPr>
            <w:tcW w:w="471" w:type="pct"/>
            <w:vAlign w:val="top"/>
          </w:tcPr>
          <w:p>
            <w:pPr>
              <w:spacing w:before="88" w:line="192" w:lineRule="auto"/>
              <w:jc w:val="center"/>
              <w:rPr>
                <w:rFonts w:hint="default" w:ascii="Times New Roman" w:hAnsi="Times New Roman" w:eastAsia="宋体" w:cs="Times New Roman"/>
                <w:sz w:val="21"/>
                <w:szCs w:val="21"/>
                <w:highlight w:val="magenta"/>
              </w:rPr>
            </w:pPr>
            <w:r>
              <w:rPr>
                <w:rFonts w:hint="eastAsia" w:ascii="Times New Roman" w:hAnsi="Times New Roman" w:eastAsia="宋体" w:cs="Times New Roman"/>
                <w:sz w:val="21"/>
                <w:szCs w:val="21"/>
                <w:lang w:val="en-US" w:eastAsia="zh-CN"/>
              </w:rPr>
              <w:t>3</w:t>
            </w:r>
          </w:p>
        </w:tc>
        <w:tc>
          <w:tcPr>
            <w:tcW w:w="454" w:type="pct"/>
            <w:vAlign w:val="top"/>
          </w:tcPr>
          <w:p>
            <w:pPr>
              <w:spacing w:before="49"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个</w:t>
            </w:r>
          </w:p>
        </w:tc>
        <w:tc>
          <w:tcPr>
            <w:tcW w:w="2474" w:type="pct"/>
            <w:vAlign w:val="top"/>
          </w:tcPr>
          <w:p>
            <w:pPr>
              <w:spacing w:before="82" w:line="19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426" w:type="pct"/>
            <w:vAlign w:val="top"/>
          </w:tcPr>
          <w:p>
            <w:pPr>
              <w:spacing w:before="85"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17</w:t>
            </w:r>
          </w:p>
        </w:tc>
        <w:tc>
          <w:tcPr>
            <w:tcW w:w="1174" w:type="pct"/>
            <w:vAlign w:val="top"/>
          </w:tcPr>
          <w:p>
            <w:pPr>
              <w:spacing w:before="49" w:line="227"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highlight w:val="none"/>
              </w:rPr>
              <w:t>自动电击晕机</w:t>
            </w:r>
          </w:p>
        </w:tc>
        <w:tc>
          <w:tcPr>
            <w:tcW w:w="471" w:type="pct"/>
            <w:vAlign w:val="top"/>
          </w:tcPr>
          <w:p>
            <w:pPr>
              <w:spacing w:before="85" w:line="195" w:lineRule="auto"/>
              <w:jc w:val="center"/>
              <w:rPr>
                <w:rFonts w:hint="default" w:ascii="Times New Roman" w:hAnsi="Times New Roman" w:eastAsia="宋体" w:cs="Times New Roman"/>
                <w:sz w:val="21"/>
                <w:szCs w:val="21"/>
                <w:highlight w:val="magenta"/>
              </w:rPr>
            </w:pPr>
            <w:r>
              <w:rPr>
                <w:rFonts w:hint="eastAsia" w:ascii="Times New Roman" w:hAnsi="Times New Roman" w:eastAsia="宋体" w:cs="Times New Roman"/>
                <w:sz w:val="21"/>
                <w:szCs w:val="21"/>
                <w:lang w:val="en-US" w:eastAsia="zh-CN"/>
              </w:rPr>
              <w:t>3</w:t>
            </w:r>
          </w:p>
        </w:tc>
        <w:tc>
          <w:tcPr>
            <w:tcW w:w="454" w:type="pct"/>
            <w:vAlign w:val="top"/>
          </w:tcPr>
          <w:p>
            <w:pPr>
              <w:spacing w:before="49" w:line="228"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个</w:t>
            </w:r>
          </w:p>
        </w:tc>
        <w:tc>
          <w:tcPr>
            <w:tcW w:w="2474" w:type="pct"/>
            <w:vAlign w:val="top"/>
          </w:tcPr>
          <w:p>
            <w:pPr>
              <w:spacing w:before="49"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0" w:hRule="atLeast"/>
        </w:trPr>
        <w:tc>
          <w:tcPr>
            <w:tcW w:w="426" w:type="pct"/>
            <w:vAlign w:val="top"/>
          </w:tcPr>
          <w:p>
            <w:pPr>
              <w:spacing w:before="88" w:line="195"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18</w:t>
            </w:r>
          </w:p>
        </w:tc>
        <w:tc>
          <w:tcPr>
            <w:tcW w:w="1174" w:type="pct"/>
            <w:vAlign w:val="top"/>
          </w:tcPr>
          <w:p>
            <w:pPr>
              <w:spacing w:before="52"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内脏检疫线</w:t>
            </w:r>
          </w:p>
        </w:tc>
        <w:tc>
          <w:tcPr>
            <w:tcW w:w="471" w:type="pct"/>
            <w:vAlign w:val="top"/>
          </w:tcPr>
          <w:p>
            <w:pPr>
              <w:spacing w:before="88" w:line="195" w:lineRule="auto"/>
              <w:jc w:val="center"/>
              <w:rPr>
                <w:rFonts w:hint="default" w:ascii="Times New Roman" w:hAnsi="Times New Roman" w:eastAsia="宋体" w:cs="Times New Roman"/>
                <w:sz w:val="21"/>
                <w:szCs w:val="21"/>
                <w:highlight w:val="magenta"/>
              </w:rPr>
            </w:pPr>
            <w:r>
              <w:rPr>
                <w:rFonts w:hint="eastAsia" w:ascii="Times New Roman" w:hAnsi="Times New Roman" w:eastAsia="宋体" w:cs="Times New Roman"/>
                <w:sz w:val="21"/>
                <w:szCs w:val="21"/>
                <w:lang w:val="en-US" w:eastAsia="zh-CN"/>
              </w:rPr>
              <w:t>1</w:t>
            </w:r>
          </w:p>
        </w:tc>
        <w:tc>
          <w:tcPr>
            <w:tcW w:w="454" w:type="pct"/>
            <w:vAlign w:val="top"/>
          </w:tcPr>
          <w:p>
            <w:pPr>
              <w:spacing w:before="91" w:line="192"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条</w:t>
            </w:r>
          </w:p>
        </w:tc>
        <w:tc>
          <w:tcPr>
            <w:tcW w:w="2474" w:type="pct"/>
            <w:vAlign w:val="top"/>
          </w:tcPr>
          <w:p>
            <w:pPr>
              <w:spacing w:before="14" w:line="281"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outlineLvl w:val="2"/>
        <w:rPr>
          <w:rFonts w:hint="default" w:ascii="Times New Roman" w:hAnsi="Times New Roman" w:eastAsia="黑体" w:cs="Times New Roman"/>
          <w:sz w:val="24"/>
          <w:szCs w:val="24"/>
        </w:rPr>
      </w:pPr>
      <w:r>
        <w:rPr>
          <w:rFonts w:hint="default" w:ascii="Times New Roman" w:hAnsi="Times New Roman" w:eastAsia="Times New Roman" w:cs="Times New Roman"/>
          <w:spacing w:val="-1"/>
          <w:sz w:val="24"/>
          <w:szCs w:val="24"/>
        </w:rPr>
        <w:t>3.</w:t>
      </w:r>
      <w:r>
        <w:rPr>
          <w:rFonts w:hint="default" w:ascii="Times New Roman" w:hAnsi="Times New Roman" w:eastAsia="宋体" w:cs="Times New Roman"/>
          <w:spacing w:val="-1"/>
          <w:sz w:val="24"/>
          <w:szCs w:val="24"/>
          <w:lang w:val="en-US" w:eastAsia="zh-CN"/>
        </w:rPr>
        <w:t>4</w:t>
      </w:r>
      <w:r>
        <w:rPr>
          <w:rFonts w:hint="default" w:ascii="Times New Roman" w:hAnsi="Times New Roman" w:eastAsia="Times New Roman" w:cs="Times New Roman"/>
          <w:spacing w:val="-1"/>
          <w:sz w:val="24"/>
          <w:szCs w:val="24"/>
        </w:rPr>
        <w:t>.</w:t>
      </w:r>
      <w:r>
        <w:rPr>
          <w:rFonts w:hint="default" w:ascii="Times New Roman" w:hAnsi="Times New Roman" w:eastAsia="宋体" w:cs="Times New Roman"/>
          <w:spacing w:val="-1"/>
          <w:sz w:val="24"/>
          <w:szCs w:val="24"/>
          <w:lang w:val="en-US" w:eastAsia="zh-CN"/>
        </w:rPr>
        <w:t xml:space="preserve">6 </w:t>
      </w:r>
      <w:r>
        <w:rPr>
          <w:rFonts w:hint="default" w:ascii="Times New Roman" w:hAnsi="Times New Roman" w:eastAsia="Times New Roman" w:cs="Times New Roman"/>
          <w:spacing w:val="-1"/>
          <w:sz w:val="24"/>
          <w:szCs w:val="24"/>
        </w:rPr>
        <w:t xml:space="preserve"> </w:t>
      </w:r>
      <w:r>
        <w:rPr>
          <w:rFonts w:hint="default" w:ascii="Times New Roman" w:hAnsi="Times New Roman" w:eastAsia="黑体" w:cs="Times New Roman"/>
          <w:spacing w:val="-1"/>
          <w:sz w:val="24"/>
          <w:szCs w:val="24"/>
          <w:lang w:val="en-US" w:eastAsia="zh-CN"/>
        </w:rPr>
        <w:t>总</w:t>
      </w:r>
      <w:r>
        <w:rPr>
          <w:rFonts w:hint="default" w:ascii="Times New Roman" w:hAnsi="Times New Roman" w:eastAsia="黑体" w:cs="Times New Roman"/>
          <w:spacing w:val="-1"/>
          <w:sz w:val="24"/>
          <w:szCs w:val="24"/>
        </w:rPr>
        <w:t>平面布置</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cs="Times New Roman"/>
        </w:rPr>
      </w:pPr>
      <w:r>
        <w:rPr>
          <w:rFonts w:hint="default" w:ascii="Times New Roman" w:hAnsi="Times New Roman" w:eastAsia="宋体" w:cs="Times New Roman"/>
          <w:spacing w:val="-2"/>
          <w:sz w:val="24"/>
          <w:szCs w:val="24"/>
        </w:rPr>
        <w:t>本项目的建设地点位于</w:t>
      </w:r>
      <w:r>
        <w:rPr>
          <w:rFonts w:hint="default" w:ascii="Times New Roman" w:hAnsi="Times New Roman" w:eastAsia="宋体" w:cs="Times New Roman"/>
          <w:spacing w:val="-2"/>
          <w:sz w:val="24"/>
          <w:szCs w:val="24"/>
          <w:lang w:eastAsia="zh-CN"/>
        </w:rPr>
        <w:t>哈尔滨市巴彦县兴隆镇中兴村南门外</w:t>
      </w:r>
      <w:r>
        <w:rPr>
          <w:rFonts w:hint="default" w:ascii="Times New Roman" w:hAnsi="Times New Roman" w:eastAsia="宋体" w:cs="Times New Roman"/>
          <w:spacing w:val="-2"/>
          <w:sz w:val="24"/>
          <w:szCs w:val="24"/>
        </w:rPr>
        <w:t>，根据厂区地形地貌，</w:t>
      </w:r>
      <w:r>
        <w:rPr>
          <w:rFonts w:hint="default" w:ascii="Times New Roman" w:hAnsi="Times New Roman" w:eastAsia="宋体" w:cs="Times New Roman"/>
          <w:spacing w:val="-2"/>
          <w:sz w:val="24"/>
          <w:szCs w:val="24"/>
          <w:lang w:val="en-US" w:eastAsia="zh-CN"/>
        </w:rPr>
        <w:t>厂</w:t>
      </w:r>
      <w:r>
        <w:rPr>
          <w:rFonts w:hint="default" w:ascii="Times New Roman" w:hAnsi="Times New Roman" w:eastAsia="宋体" w:cs="Times New Roman"/>
          <w:spacing w:val="-2"/>
          <w:sz w:val="24"/>
          <w:szCs w:val="24"/>
        </w:rPr>
        <w:t>区</w:t>
      </w:r>
      <w:r>
        <w:rPr>
          <w:rFonts w:hint="default" w:ascii="Times New Roman" w:hAnsi="Times New Roman" w:eastAsia="宋体" w:cs="Times New Roman"/>
          <w:spacing w:val="-2"/>
          <w:sz w:val="24"/>
          <w:szCs w:val="24"/>
          <w:lang w:val="en-US" w:eastAsia="zh-CN"/>
        </w:rPr>
        <w:t>西</w:t>
      </w:r>
      <w:r>
        <w:rPr>
          <w:rFonts w:hint="default" w:ascii="Times New Roman" w:hAnsi="Times New Roman" w:eastAsia="宋体" w:cs="Times New Roman"/>
          <w:spacing w:val="-2"/>
          <w:sz w:val="24"/>
          <w:szCs w:val="24"/>
        </w:rPr>
        <w:t>侧设置两处出入口，作为物流、人流的进出口，生猪运输车辆由北侧入口直接进入待宰圈，</w:t>
      </w:r>
      <w:r>
        <w:rPr>
          <w:rFonts w:hint="default" w:ascii="Times New Roman" w:hAnsi="Times New Roman" w:eastAsia="宋体" w:cs="Times New Roman"/>
          <w:spacing w:val="-2"/>
          <w:sz w:val="24"/>
          <w:szCs w:val="24"/>
          <w:lang w:val="en-US" w:eastAsia="zh-CN"/>
        </w:rPr>
        <w:t>待宰圈位于厂区北侧</w:t>
      </w:r>
      <w:r>
        <w:rPr>
          <w:rFonts w:hint="default" w:ascii="Times New Roman" w:hAnsi="Times New Roman" w:eastAsia="宋体" w:cs="Times New Roman"/>
          <w:spacing w:val="-2"/>
          <w:sz w:val="24"/>
          <w:szCs w:val="24"/>
        </w:rPr>
        <w:t>，</w:t>
      </w:r>
      <w:r>
        <w:rPr>
          <w:rFonts w:hint="default" w:ascii="Times New Roman" w:hAnsi="Times New Roman" w:eastAsia="宋体" w:cs="Times New Roman"/>
          <w:spacing w:val="-2"/>
          <w:sz w:val="24"/>
          <w:szCs w:val="24"/>
          <w:lang w:val="en-US" w:eastAsia="zh-CN"/>
        </w:rPr>
        <w:t>办公室、屠宰车间、加工车间及污水处理站位于厂区中部，冷库及</w:t>
      </w:r>
      <w:r>
        <w:rPr>
          <w:rFonts w:hint="default" w:ascii="Times New Roman" w:hAnsi="Times New Roman" w:eastAsia="宋体" w:cs="Times New Roman"/>
          <w:spacing w:val="-2"/>
          <w:sz w:val="24"/>
          <w:szCs w:val="24"/>
        </w:rPr>
        <w:t>员工宿舍</w:t>
      </w:r>
      <w:r>
        <w:rPr>
          <w:rFonts w:hint="default" w:ascii="Times New Roman" w:hAnsi="Times New Roman" w:eastAsia="宋体" w:cs="Times New Roman"/>
          <w:spacing w:val="-2"/>
          <w:sz w:val="24"/>
          <w:szCs w:val="24"/>
          <w:lang w:val="en-US" w:eastAsia="zh-CN"/>
        </w:rPr>
        <w:t>位于厂区南侧</w:t>
      </w:r>
      <w:r>
        <w:rPr>
          <w:rFonts w:hint="default" w:ascii="Times New Roman" w:hAnsi="Times New Roman" w:eastAsia="宋体" w:cs="Times New Roman"/>
          <w:spacing w:val="-2"/>
          <w:sz w:val="24"/>
          <w:szCs w:val="24"/>
        </w:rPr>
        <w:t>，根据生产工艺流程及物流顺畅、短捷的原则，合理布置工艺路线，厂区总平面布置图见</w:t>
      </w:r>
      <w:r>
        <w:rPr>
          <w:rFonts w:hint="default" w:ascii="Times New Roman" w:hAnsi="Times New Roman" w:eastAsia="宋体" w:cs="Times New Roman"/>
          <w:spacing w:val="-2"/>
          <w:sz w:val="24"/>
          <w:szCs w:val="24"/>
          <w:highlight w:val="none"/>
          <w:lang w:val="en-US" w:eastAsia="zh-CN"/>
        </w:rPr>
        <w:t>附图2</w:t>
      </w:r>
      <w:r>
        <w:rPr>
          <w:rFonts w:hint="default" w:ascii="Times New Roman" w:hAnsi="Times New Roman" w:eastAsia="宋体" w:cs="Times New Roman"/>
          <w:spacing w:val="-2"/>
          <w:sz w:val="24"/>
          <w:szCs w:val="24"/>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outlineLvl w:val="2"/>
        <w:rPr>
          <w:rFonts w:hint="default" w:ascii="Times New Roman" w:hAnsi="Times New Roman" w:eastAsia="Times New Roman" w:cs="Times New Roman"/>
          <w:spacing w:val="-1"/>
          <w:sz w:val="24"/>
          <w:szCs w:val="24"/>
          <w:lang w:val="en-US" w:eastAsia="zh-CN"/>
        </w:rPr>
      </w:pPr>
      <w:r>
        <w:rPr>
          <w:rFonts w:hint="default" w:ascii="Times New Roman" w:hAnsi="Times New Roman" w:eastAsia="Times New Roman" w:cs="Times New Roman"/>
          <w:spacing w:val="-1"/>
          <w:sz w:val="24"/>
          <w:szCs w:val="24"/>
          <w:lang w:val="en-US" w:eastAsia="zh-CN"/>
        </w:rPr>
        <w:t>3.4.7  公用工程</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outlineLvl w:val="0"/>
        <w:rPr>
          <w:rFonts w:hint="default" w:ascii="Times New Roman" w:hAnsi="Times New Roman" w:eastAsia="宋体" w:cs="Times New Roman"/>
          <w:spacing w:val="-3"/>
          <w:sz w:val="24"/>
          <w:szCs w:val="24"/>
          <w:lang w:val="en-US" w:eastAsia="zh-CN"/>
        </w:rPr>
      </w:pPr>
      <w:bookmarkStart w:id="75" w:name="_Toc4940"/>
      <w:bookmarkStart w:id="76" w:name="_Toc29887"/>
      <w:bookmarkStart w:id="77" w:name="_Toc1151"/>
      <w:r>
        <w:rPr>
          <w:rFonts w:hint="default" w:ascii="Times New Roman" w:hAnsi="Times New Roman" w:eastAsia="宋体" w:cs="Times New Roman"/>
          <w:spacing w:val="-3"/>
          <w:sz w:val="24"/>
          <w:szCs w:val="24"/>
          <w:lang w:val="en-US" w:eastAsia="zh-CN"/>
        </w:rPr>
        <w:t>1、给水工程</w:t>
      </w:r>
      <w:bookmarkEnd w:id="75"/>
      <w:bookmarkEnd w:id="76"/>
      <w:bookmarkEnd w:id="77"/>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outlineLvl w:val="1"/>
        <w:rPr>
          <w:rFonts w:hint="default" w:ascii="Times New Roman" w:hAnsi="Times New Roman" w:eastAsia="宋体" w:cs="Times New Roman"/>
          <w:sz w:val="24"/>
          <w:szCs w:val="24"/>
          <w:lang w:val="en-US" w:eastAsia="zh-CN"/>
        </w:rPr>
      </w:pPr>
      <w:bookmarkStart w:id="78" w:name="_Toc12873"/>
      <w:bookmarkStart w:id="79" w:name="_Toc16721"/>
      <w:bookmarkStart w:id="80" w:name="_Toc26176"/>
      <w:r>
        <w:rPr>
          <w:rFonts w:hint="default" w:ascii="Times New Roman" w:hAnsi="Times New Roman" w:eastAsia="宋体" w:cs="Times New Roman"/>
          <w:spacing w:val="-3"/>
          <w:sz w:val="24"/>
          <w:szCs w:val="24"/>
          <w:lang w:val="en-US" w:eastAsia="zh-CN"/>
        </w:rPr>
        <w:t>（1）水源来源</w:t>
      </w:r>
      <w:bookmarkEnd w:id="78"/>
      <w:bookmarkEnd w:id="79"/>
      <w:bookmarkEnd w:id="80"/>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00" w:firstLineChars="200"/>
        <w:jc w:val="both"/>
        <w:textAlignment w:val="baseline"/>
        <w:rPr>
          <w:rFonts w:hint="default" w:ascii="Times New Roman" w:hAnsi="Times New Roman" w:eastAsia="宋体" w:cs="Times New Roman"/>
          <w:spacing w:val="-2"/>
          <w:sz w:val="24"/>
          <w:szCs w:val="24"/>
        </w:rPr>
      </w:pPr>
      <w:r>
        <w:rPr>
          <w:rFonts w:hint="default" w:ascii="Times New Roman" w:hAnsi="Times New Roman" w:eastAsia="宋体" w:cs="Times New Roman"/>
          <w:spacing w:val="5"/>
          <w:sz w:val="24"/>
          <w:szCs w:val="24"/>
        </w:rPr>
        <w:t>水源来</w:t>
      </w:r>
      <w:r>
        <w:rPr>
          <w:rFonts w:hint="default" w:ascii="Times New Roman" w:hAnsi="Times New Roman" w:eastAsia="宋体" w:cs="Times New Roman"/>
          <w:spacing w:val="5"/>
          <w:sz w:val="24"/>
          <w:szCs w:val="24"/>
          <w:lang w:val="en-US" w:eastAsia="zh-CN"/>
        </w:rPr>
        <w:t>自</w:t>
      </w:r>
      <w:r>
        <w:rPr>
          <w:rFonts w:hint="default" w:ascii="Times New Roman" w:hAnsi="Times New Roman" w:eastAsia="宋体" w:cs="Times New Roman"/>
          <w:spacing w:val="5"/>
          <w:sz w:val="24"/>
          <w:szCs w:val="24"/>
        </w:rPr>
        <w:t>市政自来水厂，从市政管网接入，依托厂内现有给水管网，</w:t>
      </w:r>
      <w:r>
        <w:rPr>
          <w:rFonts w:hint="default" w:ascii="Times New Roman" w:hAnsi="Times New Roman" w:eastAsia="宋体" w:cs="Times New Roman"/>
          <w:spacing w:val="6"/>
          <w:sz w:val="24"/>
          <w:szCs w:val="24"/>
        </w:rPr>
        <w:t>本项目用水</w:t>
      </w:r>
      <w:r>
        <w:rPr>
          <w:rFonts w:hint="default" w:ascii="Times New Roman" w:hAnsi="Times New Roman" w:eastAsia="宋体" w:cs="Times New Roman"/>
          <w:color w:val="000000" w:themeColor="text1"/>
          <w:spacing w:val="6"/>
          <w:sz w:val="24"/>
          <w:szCs w:val="24"/>
          <w14:textFill>
            <w14:solidFill>
              <w14:schemeClr w14:val="tx1"/>
            </w14:solidFill>
          </w14:textFill>
        </w:rPr>
        <w:t>量</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96493.99</w:t>
      </w:r>
      <w:r>
        <w:rPr>
          <w:rFonts w:hint="default" w:ascii="Times New Roman" w:hAnsi="Times New Roman" w:eastAsia="Times New Roman" w:cs="Times New Roman"/>
          <w:color w:val="000000" w:themeColor="text1"/>
          <w:spacing w:val="-2"/>
          <w:sz w:val="24"/>
          <w:szCs w:val="24"/>
          <w:highlight w:val="none"/>
          <w14:textFill>
            <w14:solidFill>
              <w14:schemeClr w14:val="tx1"/>
            </w14:solidFill>
          </w14:textFill>
        </w:rPr>
        <w:t>m</w:t>
      </w:r>
      <w:r>
        <w:rPr>
          <w:rFonts w:hint="default" w:ascii="Times New Roman" w:hAnsi="Times New Roman" w:eastAsia="Times New Roman" w:cs="Times New Roman"/>
          <w:color w:val="000000" w:themeColor="text1"/>
          <w:spacing w:val="-2"/>
          <w:position w:val="7"/>
          <w:sz w:val="15"/>
          <w:szCs w:val="15"/>
          <w:highlight w:val="none"/>
          <w14:textFill>
            <w14:solidFill>
              <w14:schemeClr w14:val="tx1"/>
            </w14:solidFill>
          </w14:textFill>
        </w:rPr>
        <w:t>3</w:t>
      </w:r>
      <w:r>
        <w:rPr>
          <w:rFonts w:hint="default" w:ascii="Times New Roman" w:hAnsi="Times New Roman" w:eastAsia="Times New Roman" w:cs="Times New Roman"/>
          <w:color w:val="000000" w:themeColor="text1"/>
          <w:spacing w:val="-2"/>
          <w:sz w:val="24"/>
          <w:szCs w:val="24"/>
          <w:highlight w:val="none"/>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a（283.80</w:t>
      </w:r>
      <w:r>
        <w:rPr>
          <w:rFonts w:hint="default" w:ascii="Times New Roman" w:hAnsi="Times New Roman" w:eastAsia="Times New Roman" w:cs="Times New Roman"/>
          <w:color w:val="000000" w:themeColor="text1"/>
          <w:spacing w:val="-2"/>
          <w:sz w:val="24"/>
          <w:szCs w:val="24"/>
          <w:highlight w:val="none"/>
          <w14:textFill>
            <w14:solidFill>
              <w14:schemeClr w14:val="tx1"/>
            </w14:solidFill>
          </w14:textFill>
        </w:rPr>
        <w:t>m</w:t>
      </w:r>
      <w:r>
        <w:rPr>
          <w:rFonts w:hint="default" w:ascii="Times New Roman" w:hAnsi="Times New Roman" w:eastAsia="Times New Roman" w:cs="Times New Roman"/>
          <w:color w:val="000000" w:themeColor="text1"/>
          <w:spacing w:val="-2"/>
          <w:position w:val="7"/>
          <w:sz w:val="15"/>
          <w:szCs w:val="15"/>
          <w:highlight w:val="none"/>
          <w14:textFill>
            <w14:solidFill>
              <w14:schemeClr w14:val="tx1"/>
            </w14:solidFill>
          </w14:textFill>
        </w:rPr>
        <w:t>3</w:t>
      </w:r>
      <w:r>
        <w:rPr>
          <w:rFonts w:hint="default" w:ascii="Times New Roman" w:hAnsi="Times New Roman" w:eastAsia="Times New Roman" w:cs="Times New Roman"/>
          <w:color w:val="000000" w:themeColor="text1"/>
          <w:spacing w:val="-2"/>
          <w:sz w:val="24"/>
          <w:szCs w:val="24"/>
          <w:highlight w:val="none"/>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d）</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，改扩建后全厂用水量103564.6</w:t>
      </w:r>
      <w:r>
        <w:rPr>
          <w:rFonts w:hint="default" w:ascii="Times New Roman" w:hAnsi="Times New Roman" w:eastAsia="Times New Roman" w:cs="Times New Roman"/>
          <w:color w:val="000000" w:themeColor="text1"/>
          <w:spacing w:val="-2"/>
          <w:sz w:val="24"/>
          <w:szCs w:val="24"/>
          <w:highlight w:val="none"/>
          <w14:textFill>
            <w14:solidFill>
              <w14:schemeClr w14:val="tx1"/>
            </w14:solidFill>
          </w14:textFill>
        </w:rPr>
        <w:t>m</w:t>
      </w:r>
      <w:r>
        <w:rPr>
          <w:rFonts w:hint="default" w:ascii="Times New Roman" w:hAnsi="Times New Roman" w:eastAsia="Times New Roman" w:cs="Times New Roman"/>
          <w:color w:val="000000" w:themeColor="text1"/>
          <w:spacing w:val="-2"/>
          <w:position w:val="7"/>
          <w:sz w:val="15"/>
          <w:szCs w:val="15"/>
          <w:highlight w:val="none"/>
          <w14:textFill>
            <w14:solidFill>
              <w14:schemeClr w14:val="tx1"/>
            </w14:solidFill>
          </w14:textFill>
        </w:rPr>
        <w:t>3</w:t>
      </w:r>
      <w:r>
        <w:rPr>
          <w:rFonts w:hint="default" w:ascii="Times New Roman" w:hAnsi="Times New Roman" w:eastAsia="Times New Roman" w:cs="Times New Roman"/>
          <w:color w:val="000000" w:themeColor="text1"/>
          <w:spacing w:val="-2"/>
          <w:sz w:val="24"/>
          <w:szCs w:val="24"/>
          <w:highlight w:val="none"/>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a（</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305.3</w:t>
      </w:r>
      <w:r>
        <w:rPr>
          <w:rFonts w:hint="default" w:ascii="Times New Roman" w:hAnsi="Times New Roman" w:eastAsia="Times New Roman" w:cs="Times New Roman"/>
          <w:color w:val="000000" w:themeColor="text1"/>
          <w:spacing w:val="-2"/>
          <w:sz w:val="24"/>
          <w:szCs w:val="24"/>
          <w:highlight w:val="none"/>
          <w14:textFill>
            <w14:solidFill>
              <w14:schemeClr w14:val="tx1"/>
            </w14:solidFill>
          </w14:textFill>
        </w:rPr>
        <w:t>m</w:t>
      </w:r>
      <w:r>
        <w:rPr>
          <w:rFonts w:hint="default" w:ascii="Times New Roman" w:hAnsi="Times New Roman" w:eastAsia="Times New Roman" w:cs="Times New Roman"/>
          <w:color w:val="000000" w:themeColor="text1"/>
          <w:spacing w:val="-2"/>
          <w:position w:val="7"/>
          <w:sz w:val="15"/>
          <w:szCs w:val="15"/>
          <w:highlight w:val="none"/>
          <w14:textFill>
            <w14:solidFill>
              <w14:schemeClr w14:val="tx1"/>
            </w14:solidFill>
          </w14:textFill>
        </w:rPr>
        <w:t>3</w:t>
      </w:r>
      <w:r>
        <w:rPr>
          <w:rFonts w:hint="default" w:ascii="Times New Roman" w:hAnsi="Times New Roman" w:eastAsia="Times New Roman" w:cs="Times New Roman"/>
          <w:color w:val="000000" w:themeColor="text1"/>
          <w:spacing w:val="-2"/>
          <w:sz w:val="24"/>
          <w:szCs w:val="24"/>
          <w:highlight w:val="none"/>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d）</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outlineLvl w:val="1"/>
        <w:rPr>
          <w:rFonts w:hint="default" w:ascii="Times New Roman" w:hAnsi="Times New Roman" w:eastAsia="宋体" w:cs="Times New Roman"/>
          <w:spacing w:val="-3"/>
          <w:sz w:val="24"/>
          <w:szCs w:val="24"/>
          <w:lang w:val="en-US" w:eastAsia="zh-CN"/>
        </w:rPr>
      </w:pPr>
      <w:bookmarkStart w:id="81" w:name="_Toc15583"/>
      <w:bookmarkStart w:id="82" w:name="_Toc18672"/>
      <w:bookmarkStart w:id="83" w:name="_Toc149"/>
      <w:r>
        <w:rPr>
          <w:rFonts w:hint="default" w:ascii="Times New Roman" w:hAnsi="Times New Roman" w:eastAsia="宋体" w:cs="Times New Roman"/>
          <w:spacing w:val="-3"/>
          <w:sz w:val="24"/>
          <w:szCs w:val="24"/>
          <w:lang w:val="en-US" w:eastAsia="zh-CN"/>
        </w:rPr>
        <w:t>（2）供水量</w:t>
      </w:r>
      <w:bookmarkEnd w:id="81"/>
      <w:bookmarkEnd w:id="82"/>
      <w:bookmarkEnd w:id="83"/>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00" w:firstLineChars="200"/>
        <w:jc w:val="both"/>
        <w:textAlignment w:val="baseline"/>
        <w:rPr>
          <w:rFonts w:hint="default" w:ascii="Times New Roman" w:hAnsi="Times New Roman" w:eastAsia="宋体" w:cs="Times New Roman"/>
          <w:spacing w:val="5"/>
          <w:sz w:val="24"/>
          <w:szCs w:val="24"/>
          <w:lang w:val="en-US" w:eastAsia="zh-CN"/>
        </w:rPr>
      </w:pPr>
      <w:r>
        <w:rPr>
          <w:rFonts w:hint="default" w:ascii="Times New Roman" w:hAnsi="Times New Roman" w:eastAsia="宋体" w:cs="Times New Roman"/>
          <w:spacing w:val="5"/>
          <w:sz w:val="24"/>
          <w:szCs w:val="24"/>
          <w:lang w:val="en-US" w:eastAsia="zh-CN"/>
        </w:rPr>
        <w:t>①生活用水</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00" w:firstLineChars="200"/>
        <w:jc w:val="both"/>
        <w:textAlignment w:val="baseline"/>
        <w:rPr>
          <w:rFonts w:hint="default" w:ascii="Times New Roman" w:hAnsi="Times New Roman" w:eastAsia="宋体" w:cs="Times New Roman"/>
          <w:spacing w:val="5"/>
          <w:sz w:val="24"/>
          <w:szCs w:val="24"/>
          <w:lang w:val="en-US" w:eastAsia="zh-CN"/>
        </w:rPr>
      </w:pPr>
      <w:r>
        <w:rPr>
          <w:rFonts w:hint="default" w:ascii="Times New Roman" w:hAnsi="Times New Roman" w:eastAsia="宋体" w:cs="Times New Roman"/>
          <w:spacing w:val="5"/>
          <w:sz w:val="24"/>
          <w:szCs w:val="24"/>
          <w:lang w:val="en-US" w:eastAsia="zh-CN"/>
        </w:rPr>
        <w:t>本次改扩建项目不新增工作人员，无新增生活用水。</w:t>
      </w:r>
      <w:r>
        <w:rPr>
          <w:rFonts w:hint="eastAsia" w:ascii="Times New Roman" w:hAnsi="Times New Roman" w:eastAsia="宋体" w:cs="Times New Roman"/>
          <w:spacing w:val="5"/>
          <w:sz w:val="24"/>
          <w:szCs w:val="24"/>
          <w:lang w:val="en-US" w:eastAsia="zh-CN"/>
        </w:rPr>
        <w:t>改扩建后全厂生活用水量为</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1564</w:t>
      </w:r>
      <w:r>
        <w:rPr>
          <w:rFonts w:hint="default" w:ascii="Times New Roman" w:hAnsi="Times New Roman" w:eastAsia="Times New Roman" w:cs="Times New Roman"/>
          <w:color w:val="000000" w:themeColor="text1"/>
          <w:spacing w:val="-2"/>
          <w:sz w:val="24"/>
          <w:szCs w:val="24"/>
          <w:highlight w:val="none"/>
          <w14:textFill>
            <w14:solidFill>
              <w14:schemeClr w14:val="tx1"/>
            </w14:solidFill>
          </w14:textFill>
        </w:rPr>
        <w:t>m</w:t>
      </w:r>
      <w:r>
        <w:rPr>
          <w:rFonts w:hint="default" w:ascii="Times New Roman" w:hAnsi="Times New Roman" w:eastAsia="Times New Roman" w:cs="Times New Roman"/>
          <w:color w:val="000000" w:themeColor="text1"/>
          <w:spacing w:val="-2"/>
          <w:position w:val="7"/>
          <w:sz w:val="15"/>
          <w:szCs w:val="15"/>
          <w:highlight w:val="none"/>
          <w14:textFill>
            <w14:solidFill>
              <w14:schemeClr w14:val="tx1"/>
            </w14:solidFill>
          </w14:textFill>
        </w:rPr>
        <w:t>3</w:t>
      </w:r>
      <w:r>
        <w:rPr>
          <w:rFonts w:hint="default" w:ascii="Times New Roman" w:hAnsi="Times New Roman" w:eastAsia="Times New Roman" w:cs="Times New Roman"/>
          <w:color w:val="000000" w:themeColor="text1"/>
          <w:spacing w:val="-2"/>
          <w:sz w:val="24"/>
          <w:szCs w:val="24"/>
          <w:highlight w:val="none"/>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a（</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4.6</w:t>
      </w:r>
      <w:r>
        <w:rPr>
          <w:rFonts w:hint="default" w:ascii="Times New Roman" w:hAnsi="Times New Roman" w:eastAsia="Times New Roman" w:cs="Times New Roman"/>
          <w:color w:val="000000" w:themeColor="text1"/>
          <w:spacing w:val="-2"/>
          <w:sz w:val="24"/>
          <w:szCs w:val="24"/>
          <w:highlight w:val="none"/>
          <w14:textFill>
            <w14:solidFill>
              <w14:schemeClr w14:val="tx1"/>
            </w14:solidFill>
          </w14:textFill>
        </w:rPr>
        <w:t>m</w:t>
      </w:r>
      <w:r>
        <w:rPr>
          <w:rFonts w:hint="default" w:ascii="Times New Roman" w:hAnsi="Times New Roman" w:eastAsia="Times New Roman" w:cs="Times New Roman"/>
          <w:color w:val="000000" w:themeColor="text1"/>
          <w:spacing w:val="-2"/>
          <w:position w:val="7"/>
          <w:sz w:val="15"/>
          <w:szCs w:val="15"/>
          <w:highlight w:val="none"/>
          <w14:textFill>
            <w14:solidFill>
              <w14:schemeClr w14:val="tx1"/>
            </w14:solidFill>
          </w14:textFill>
        </w:rPr>
        <w:t>3</w:t>
      </w:r>
      <w:r>
        <w:rPr>
          <w:rFonts w:hint="default" w:ascii="Times New Roman" w:hAnsi="Times New Roman" w:eastAsia="Times New Roman" w:cs="Times New Roman"/>
          <w:color w:val="000000" w:themeColor="text1"/>
          <w:spacing w:val="-2"/>
          <w:sz w:val="24"/>
          <w:szCs w:val="24"/>
          <w:highlight w:val="none"/>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d）</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00" w:firstLineChars="200"/>
        <w:jc w:val="both"/>
        <w:textAlignment w:val="baseline"/>
        <w:rPr>
          <w:rFonts w:hint="default" w:ascii="Times New Roman" w:hAnsi="Times New Roman" w:eastAsia="宋体" w:cs="Times New Roman"/>
          <w:spacing w:val="5"/>
          <w:sz w:val="24"/>
          <w:szCs w:val="24"/>
          <w:lang w:val="en-US" w:eastAsia="zh-CN"/>
        </w:rPr>
      </w:pPr>
      <w:r>
        <w:rPr>
          <w:rFonts w:hint="default" w:ascii="Times New Roman" w:hAnsi="Times New Roman" w:eastAsia="宋体" w:cs="Times New Roman"/>
          <w:spacing w:val="5"/>
          <w:sz w:val="24"/>
          <w:szCs w:val="24"/>
          <w:lang w:val="en-US" w:eastAsia="zh-CN"/>
        </w:rPr>
        <w:t>②待宰圈冲洗用水</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pacing w:val="0"/>
          <w:sz w:val="24"/>
          <w:szCs w:val="24"/>
        </w:rPr>
        <w:t>待宰</w:t>
      </w:r>
      <w:r>
        <w:rPr>
          <w:rFonts w:hint="default" w:ascii="Times New Roman" w:hAnsi="Times New Roman" w:eastAsia="宋体" w:cs="Times New Roman"/>
          <w:color w:val="auto"/>
          <w:spacing w:val="0"/>
          <w:sz w:val="24"/>
          <w:szCs w:val="24"/>
          <w:lang w:val="en-US" w:eastAsia="zh-CN"/>
        </w:rPr>
        <w:t>圈</w:t>
      </w:r>
      <w:r>
        <w:rPr>
          <w:rFonts w:hint="default" w:ascii="Times New Roman" w:hAnsi="Times New Roman" w:cs="Times New Roman"/>
          <w:color w:val="auto"/>
          <w:sz w:val="24"/>
          <w:szCs w:val="24"/>
        </w:rPr>
        <w:t>冲</w:t>
      </w:r>
      <w:r>
        <w:rPr>
          <w:rFonts w:hint="default" w:ascii="Times New Roman" w:hAnsi="Times New Roman" w:cs="Times New Roman"/>
          <w:color w:val="auto"/>
          <w:sz w:val="24"/>
        </w:rPr>
        <w:t>洗用水量取0.01m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/头，经生猪检疫，</w:t>
      </w:r>
      <w:r>
        <w:rPr>
          <w:rFonts w:hint="default" w:ascii="Times New Roman" w:hAnsi="Times New Roman" w:cs="Times New Roman"/>
          <w:color w:val="auto"/>
          <w:sz w:val="24"/>
          <w:lang w:val="en-US" w:eastAsia="zh-CN"/>
        </w:rPr>
        <w:t>病死猪按照1‰计，</w:t>
      </w:r>
      <w:r>
        <w:rPr>
          <w:rFonts w:hint="eastAsia" w:ascii="Times New Roman" w:hAnsi="Times New Roman" w:cs="Times New Roman"/>
          <w:color w:val="auto"/>
          <w:sz w:val="24"/>
          <w:lang w:val="en-US" w:eastAsia="zh-CN"/>
        </w:rPr>
        <w:t>本次扩建项目</w:t>
      </w:r>
      <w:r>
        <w:rPr>
          <w:rFonts w:hint="default" w:ascii="Times New Roman" w:hAnsi="Times New Roman" w:cs="Times New Roman"/>
          <w:color w:val="auto"/>
          <w:sz w:val="24"/>
          <w:lang w:val="en-US" w:eastAsia="zh-CN"/>
        </w:rPr>
        <w:t>活猪量为150849头/年，</w:t>
      </w:r>
      <w:r>
        <w:rPr>
          <w:rFonts w:hint="default" w:ascii="Times New Roman" w:hAnsi="Times New Roman" w:cs="Times New Roman"/>
          <w:color w:val="auto"/>
          <w:sz w:val="24"/>
          <w:lang w:val="en-GB" w:eastAsia="zh-CN"/>
        </w:rPr>
        <w:t>年工作</w:t>
      </w:r>
      <w:r>
        <w:rPr>
          <w:rFonts w:hint="default" w:ascii="Times New Roman" w:hAnsi="Times New Roman" w:cs="Times New Roman"/>
          <w:color w:val="auto"/>
          <w:sz w:val="24"/>
          <w:lang w:val="en-US" w:eastAsia="zh-CN"/>
        </w:rPr>
        <w:t>340</w:t>
      </w:r>
      <w:r>
        <w:rPr>
          <w:rFonts w:hint="default" w:ascii="Times New Roman" w:hAnsi="Times New Roman" w:cs="Times New Roman"/>
          <w:color w:val="auto"/>
          <w:sz w:val="24"/>
          <w:lang w:val="en-GB" w:eastAsia="zh-CN"/>
        </w:rPr>
        <w:t>天，</w:t>
      </w:r>
      <w:r>
        <w:rPr>
          <w:rFonts w:hint="default" w:ascii="Times New Roman" w:hAnsi="Times New Roman" w:cs="Times New Roman"/>
          <w:color w:val="auto"/>
          <w:sz w:val="24"/>
        </w:rPr>
        <w:t>则待</w:t>
      </w:r>
      <w:r>
        <w:rPr>
          <w:rFonts w:hint="default" w:ascii="Times New Roman" w:hAnsi="Times New Roman" w:cs="Times New Roman"/>
          <w:color w:val="auto"/>
          <w:sz w:val="24"/>
          <w:szCs w:val="24"/>
        </w:rPr>
        <w:t>宰</w:t>
      </w:r>
      <w:r>
        <w:rPr>
          <w:rFonts w:hint="default" w:ascii="Times New Roman" w:hAnsi="Times New Roman" w:eastAsia="宋体" w:cs="Times New Roman"/>
          <w:color w:val="auto"/>
          <w:spacing w:val="0"/>
          <w:sz w:val="24"/>
          <w:szCs w:val="24"/>
          <w:lang w:val="en-US" w:eastAsia="zh-CN"/>
        </w:rPr>
        <w:t>圈</w:t>
      </w:r>
      <w:r>
        <w:rPr>
          <w:rFonts w:hint="default" w:ascii="Times New Roman" w:hAnsi="Times New Roman" w:cs="Times New Roman"/>
          <w:color w:val="auto"/>
          <w:sz w:val="24"/>
        </w:rPr>
        <w:t>用水量</w:t>
      </w:r>
      <w:r>
        <w:rPr>
          <w:rFonts w:hint="default" w:ascii="Times New Roman" w:hAnsi="Times New Roman" w:cs="Times New Roman"/>
          <w:color w:val="auto"/>
          <w:sz w:val="24"/>
          <w:lang w:val="en-US" w:eastAsia="zh-CN"/>
        </w:rPr>
        <w:t>1508.49</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4.44</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default" w:ascii="Times New Roman" w:hAnsi="Times New Roman" w:eastAsia="宋体" w:cs="Times New Roman"/>
          <w:color w:val="auto"/>
          <w:sz w:val="24"/>
          <w:lang w:val="en-US" w:eastAsia="zh-CN"/>
        </w:rPr>
        <w:t>d</w:t>
      </w:r>
      <w:r>
        <w:rPr>
          <w:rFonts w:hint="default" w:ascii="Times New Roman" w:hAnsi="Times New Roman" w:eastAsia="宋体" w:cs="Times New Roman"/>
          <w:color w:val="auto"/>
          <w:sz w:val="24"/>
          <w:lang w:eastAsia="zh-CN"/>
        </w:rPr>
        <w:t>）</w:t>
      </w:r>
      <w:r>
        <w:rPr>
          <w:rFonts w:hint="default" w:ascii="Times New Roman" w:hAnsi="Times New Roman" w:cs="Times New Roman"/>
          <w:color w:val="auto"/>
          <w:sz w:val="24"/>
        </w:rPr>
        <w:t>。</w:t>
      </w:r>
      <w:r>
        <w:rPr>
          <w:rFonts w:hint="eastAsia" w:ascii="Times New Roman" w:hAnsi="Times New Roman" w:eastAsia="宋体" w:cs="Times New Roman"/>
          <w:color w:val="auto"/>
          <w:sz w:val="24"/>
          <w:lang w:val="en-US" w:eastAsia="zh-CN"/>
        </w:rPr>
        <w:t>改扩建后全厂</w:t>
      </w:r>
      <w:r>
        <w:rPr>
          <w:rFonts w:hint="default" w:ascii="Times New Roman" w:hAnsi="Times New Roman" w:cs="Times New Roman"/>
          <w:color w:val="auto"/>
          <w:sz w:val="24"/>
        </w:rPr>
        <w:t>待</w:t>
      </w:r>
      <w:r>
        <w:rPr>
          <w:rFonts w:hint="default" w:ascii="Times New Roman" w:hAnsi="Times New Roman" w:cs="Times New Roman"/>
          <w:color w:val="auto"/>
          <w:sz w:val="24"/>
          <w:szCs w:val="24"/>
        </w:rPr>
        <w:t>宰</w:t>
      </w:r>
      <w:r>
        <w:rPr>
          <w:rFonts w:hint="default" w:ascii="Times New Roman" w:hAnsi="Times New Roman" w:eastAsia="宋体" w:cs="Times New Roman"/>
          <w:color w:val="auto"/>
          <w:spacing w:val="0"/>
          <w:sz w:val="24"/>
          <w:szCs w:val="24"/>
          <w:lang w:val="en-US" w:eastAsia="zh-CN"/>
        </w:rPr>
        <w:t>圈</w:t>
      </w:r>
      <w:r>
        <w:rPr>
          <w:rFonts w:hint="default" w:ascii="Times New Roman" w:hAnsi="Times New Roman" w:cs="Times New Roman"/>
          <w:color w:val="auto"/>
          <w:sz w:val="24"/>
        </w:rPr>
        <w:t>用水量</w:t>
      </w:r>
      <w:r>
        <w:rPr>
          <w:rFonts w:hint="default" w:ascii="Times New Roman" w:hAnsi="Times New Roman" w:cs="Times New Roman"/>
          <w:color w:val="auto"/>
          <w:sz w:val="24"/>
          <w:lang w:val="en-US" w:eastAsia="zh-CN"/>
        </w:rPr>
        <w:t>15</w:t>
      </w:r>
      <w:r>
        <w:rPr>
          <w:rFonts w:hint="eastAsia" w:ascii="Times New Roman" w:hAnsi="Times New Roman" w:cs="Times New Roman"/>
          <w:color w:val="auto"/>
          <w:sz w:val="24"/>
          <w:lang w:val="en-US" w:eastAsia="zh-CN"/>
        </w:rPr>
        <w:t>98.4</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w:t>
      </w:r>
      <w:r>
        <w:rPr>
          <w:rFonts w:hint="default"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4.7</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default" w:ascii="Times New Roman" w:hAnsi="Times New Roman" w:eastAsia="宋体" w:cs="Times New Roman"/>
          <w:color w:val="auto"/>
          <w:sz w:val="24"/>
          <w:lang w:val="en-US" w:eastAsia="zh-CN"/>
        </w:rPr>
        <w:t>d</w:t>
      </w:r>
      <w:r>
        <w:rPr>
          <w:rFonts w:hint="default" w:ascii="Times New Roman" w:hAnsi="Times New Roman" w:eastAsia="宋体" w:cs="Times New Roman"/>
          <w:color w:val="auto"/>
          <w:sz w:val="24"/>
          <w:lang w:eastAsia="zh-CN"/>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pacing w:val="-3"/>
          <w:sz w:val="24"/>
          <w:szCs w:val="24"/>
          <w:lang w:val="en-US" w:eastAsia="zh-CN"/>
        </w:rPr>
      </w:pPr>
      <w:r>
        <w:rPr>
          <w:rFonts w:hint="default" w:ascii="Times New Roman" w:hAnsi="Times New Roman" w:eastAsia="宋体" w:cs="Times New Roman"/>
          <w:spacing w:val="-3"/>
          <w:sz w:val="24"/>
          <w:szCs w:val="24"/>
          <w:lang w:val="en-US" w:eastAsia="zh-CN"/>
        </w:rPr>
        <w:t>③屠宰用水</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pacing w:val="-3"/>
          <w:sz w:val="24"/>
          <w:szCs w:val="24"/>
          <w:lang w:val="en-US"/>
        </w:rPr>
      </w:pPr>
      <w:r>
        <w:rPr>
          <w:rFonts w:hint="default" w:ascii="Times New Roman" w:hAnsi="Times New Roman" w:eastAsia="宋体" w:cs="Times New Roman"/>
          <w:color w:val="auto"/>
          <w:sz w:val="24"/>
          <w:lang w:val="en-US" w:eastAsia="zh-CN"/>
        </w:rPr>
        <w:t>改扩建</w:t>
      </w:r>
      <w:r>
        <w:rPr>
          <w:rFonts w:hint="default" w:ascii="Times New Roman" w:hAnsi="Times New Roman" w:cs="Times New Roman"/>
          <w:color w:val="auto"/>
          <w:sz w:val="24"/>
        </w:rPr>
        <w:t>项目年生猪屠宰量为</w:t>
      </w:r>
      <w:r>
        <w:rPr>
          <w:rFonts w:hint="default" w:ascii="Times New Roman" w:hAnsi="Times New Roman" w:cs="Times New Roman"/>
          <w:color w:val="auto"/>
          <w:sz w:val="24"/>
          <w:lang w:val="en-US" w:eastAsia="zh-CN"/>
        </w:rPr>
        <w:t>15.1</w:t>
      </w:r>
      <w:r>
        <w:rPr>
          <w:rFonts w:hint="default" w:ascii="Times New Roman" w:hAnsi="Times New Roman" w:cs="Times New Roman"/>
          <w:color w:val="auto"/>
          <w:sz w:val="24"/>
        </w:rPr>
        <w:t>万头，经生猪检疫，</w:t>
      </w:r>
      <w:r>
        <w:rPr>
          <w:rFonts w:hint="default" w:ascii="Times New Roman" w:hAnsi="Times New Roman" w:cs="Times New Roman"/>
          <w:color w:val="auto"/>
          <w:sz w:val="24"/>
          <w:lang w:val="en-US" w:eastAsia="zh-CN"/>
        </w:rPr>
        <w:t>病死猪按照1‰计，活猪量为150849头，</w:t>
      </w:r>
      <w:r>
        <w:rPr>
          <w:rFonts w:hint="default" w:ascii="Times New Roman" w:hAnsi="Times New Roman" w:cs="Times New Roman"/>
          <w:color w:val="auto"/>
          <w:sz w:val="24"/>
          <w:lang w:val="en-GB" w:eastAsia="zh-CN"/>
        </w:rPr>
        <w:t>年工作</w:t>
      </w:r>
      <w:r>
        <w:rPr>
          <w:rFonts w:hint="default" w:ascii="Times New Roman" w:hAnsi="Times New Roman" w:cs="Times New Roman"/>
          <w:color w:val="auto"/>
          <w:sz w:val="24"/>
          <w:lang w:val="en-US" w:eastAsia="zh-CN"/>
        </w:rPr>
        <w:t>340</w:t>
      </w:r>
      <w:r>
        <w:rPr>
          <w:rFonts w:hint="default" w:ascii="Times New Roman" w:hAnsi="Times New Roman" w:cs="Times New Roman"/>
          <w:color w:val="auto"/>
          <w:sz w:val="24"/>
          <w:lang w:val="en-GB" w:eastAsia="zh-CN"/>
        </w:rPr>
        <w:t>天</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参考黑龙江省《用水定额标准》（DB23/T 727-20</w:t>
      </w:r>
      <w:r>
        <w:rPr>
          <w:rFonts w:hint="default" w:ascii="Times New Roman" w:hAnsi="Times New Roman" w:cs="Times New Roman"/>
          <w:color w:val="auto"/>
          <w:sz w:val="24"/>
          <w:lang w:val="en-US" w:eastAsia="zh-CN"/>
        </w:rPr>
        <w:t>21</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生猪屠宰</w:t>
      </w:r>
      <w:r>
        <w:rPr>
          <w:rFonts w:hint="default" w:ascii="Times New Roman" w:hAnsi="Times New Roman" w:cs="Times New Roman"/>
          <w:color w:val="auto"/>
          <w:sz w:val="24"/>
        </w:rPr>
        <w:t>用水定额为0.6m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/头，</w:t>
      </w:r>
      <w:r>
        <w:rPr>
          <w:rFonts w:hint="default" w:ascii="Times New Roman" w:hAnsi="Times New Roman" w:eastAsia="宋体" w:cs="Times New Roman"/>
          <w:b w:val="0"/>
          <w:bCs w:val="0"/>
          <w:color w:val="auto"/>
          <w:sz w:val="24"/>
          <w:szCs w:val="24"/>
          <w:highlight w:val="none"/>
          <w:u w:val="none"/>
        </w:rPr>
        <w:t>根据《屠宰与肉类加工废水治理工程技术规范》（HJ</w:t>
      </w:r>
      <w:r>
        <w:rPr>
          <w:rFonts w:hint="default" w:ascii="Times New Roman" w:hAnsi="Times New Roman" w:eastAsia="宋体" w:cs="Times New Roman"/>
          <w:b w:val="0"/>
          <w:bCs w:val="0"/>
          <w:color w:val="auto"/>
          <w:sz w:val="24"/>
          <w:szCs w:val="24"/>
          <w:highlight w:val="none"/>
          <w:u w:val="none"/>
          <w:lang w:val="en-US" w:eastAsia="zh-CN"/>
        </w:rPr>
        <w:t xml:space="preserve"> </w:t>
      </w:r>
      <w:r>
        <w:rPr>
          <w:rFonts w:hint="default" w:ascii="Times New Roman" w:hAnsi="Times New Roman" w:eastAsia="宋体" w:cs="Times New Roman"/>
          <w:b w:val="0"/>
          <w:bCs w:val="0"/>
          <w:color w:val="auto"/>
          <w:sz w:val="24"/>
          <w:szCs w:val="24"/>
          <w:highlight w:val="none"/>
          <w:u w:val="none"/>
        </w:rPr>
        <w:t>2004-2010），生猪屠宰废水产生量为0.5~0.7m</w:t>
      </w:r>
      <w:r>
        <w:rPr>
          <w:rFonts w:hint="default" w:ascii="Times New Roman" w:hAnsi="Times New Roman" w:eastAsia="宋体" w:cs="Times New Roman"/>
          <w:b w:val="0"/>
          <w:bCs w:val="0"/>
          <w:color w:val="auto"/>
          <w:sz w:val="24"/>
          <w:szCs w:val="24"/>
          <w:highlight w:val="none"/>
          <w:u w:val="none"/>
          <w:vertAlign w:val="superscript"/>
        </w:rPr>
        <w:t>3</w:t>
      </w:r>
      <w:r>
        <w:rPr>
          <w:rFonts w:hint="default" w:ascii="Times New Roman" w:hAnsi="Times New Roman" w:eastAsia="宋体" w:cs="Times New Roman"/>
          <w:b w:val="0"/>
          <w:bCs w:val="0"/>
          <w:color w:val="auto"/>
          <w:sz w:val="24"/>
          <w:szCs w:val="24"/>
          <w:highlight w:val="none"/>
          <w:u w:val="none"/>
        </w:rPr>
        <w:t>/头</w:t>
      </w:r>
      <w:r>
        <w:rPr>
          <w:rFonts w:hint="default" w:ascii="Times New Roman" w:hAnsi="Times New Roman" w:eastAsia="宋体" w:cs="Times New Roman"/>
          <w:b w:val="0"/>
          <w:bCs w:val="0"/>
          <w:color w:val="auto"/>
          <w:sz w:val="24"/>
          <w:szCs w:val="24"/>
          <w:highlight w:val="none"/>
          <w:u w:val="none"/>
          <w:lang w:eastAsia="zh-CN"/>
        </w:rPr>
        <w:t>，</w:t>
      </w:r>
      <w:r>
        <w:rPr>
          <w:rFonts w:hint="default" w:ascii="Times New Roman" w:hAnsi="Times New Roman" w:eastAsia="宋体" w:cs="Times New Roman"/>
          <w:b w:val="0"/>
          <w:bCs w:val="0"/>
          <w:color w:val="auto"/>
          <w:sz w:val="24"/>
          <w:szCs w:val="24"/>
          <w:highlight w:val="none"/>
          <w:u w:val="none"/>
        </w:rPr>
        <w:t>项目采用机械化屠宰，生猪屠宰用水量包括浸烫冲洗、烫毛冲洗、修刮冲洗、吊挂冲洗、挑胸冲洗、开膛冲洗、胸膛冲洗、内脏冲洗、猪体冲洗、头、尾、蹄加工冲洗、屠宰车间</w:t>
      </w:r>
      <w:r>
        <w:rPr>
          <w:rFonts w:hint="default" w:ascii="Times New Roman" w:hAnsi="Times New Roman" w:eastAsia="宋体" w:cs="Times New Roman"/>
          <w:b w:val="0"/>
          <w:bCs w:val="0"/>
          <w:color w:val="auto"/>
          <w:sz w:val="24"/>
          <w:szCs w:val="24"/>
          <w:highlight w:val="none"/>
          <w:u w:val="none"/>
          <w:lang w:val="en-US" w:eastAsia="zh-CN"/>
        </w:rPr>
        <w:t>、加工车间</w:t>
      </w:r>
      <w:r>
        <w:rPr>
          <w:rFonts w:hint="default" w:ascii="Times New Roman" w:hAnsi="Times New Roman" w:eastAsia="宋体" w:cs="Times New Roman"/>
          <w:b w:val="0"/>
          <w:bCs w:val="0"/>
          <w:color w:val="auto"/>
          <w:sz w:val="24"/>
          <w:szCs w:val="24"/>
          <w:highlight w:val="none"/>
          <w:u w:val="none"/>
        </w:rPr>
        <w:t>地面及设备冲洗等用水</w:t>
      </w:r>
      <w:r>
        <w:rPr>
          <w:rFonts w:hint="default" w:ascii="Times New Roman" w:hAnsi="Times New Roman" w:eastAsia="宋体" w:cs="Times New Roman"/>
          <w:b w:val="0"/>
          <w:bCs w:val="0"/>
          <w:color w:val="auto"/>
          <w:sz w:val="24"/>
          <w:szCs w:val="24"/>
          <w:highlight w:val="none"/>
          <w:u w:val="none"/>
          <w:lang w:eastAsia="zh-CN"/>
        </w:rPr>
        <w:t>，</w:t>
      </w:r>
      <w:r>
        <w:rPr>
          <w:rFonts w:hint="default" w:ascii="Times New Roman" w:hAnsi="Times New Roman" w:eastAsia="宋体" w:cs="Times New Roman"/>
          <w:b w:val="0"/>
          <w:bCs w:val="0"/>
          <w:color w:val="auto"/>
          <w:sz w:val="24"/>
          <w:szCs w:val="24"/>
          <w:highlight w:val="none"/>
          <w:u w:val="none"/>
          <w:lang w:val="en-US" w:eastAsia="zh-CN"/>
        </w:rPr>
        <w:t>本项目屠宰用水系数取</w:t>
      </w:r>
      <w:r>
        <w:rPr>
          <w:rFonts w:hint="default" w:ascii="Times New Roman" w:hAnsi="Times New Roman" w:cs="Times New Roman"/>
          <w:color w:val="auto"/>
          <w:sz w:val="24"/>
        </w:rPr>
        <w:t>0.6m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/头</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用水量为</w:t>
      </w:r>
      <w:r>
        <w:rPr>
          <w:rFonts w:hint="default" w:ascii="Times New Roman" w:hAnsi="Times New Roman" w:cs="Times New Roman"/>
          <w:color w:val="auto"/>
          <w:sz w:val="24"/>
          <w:lang w:val="en-US" w:eastAsia="zh-CN"/>
        </w:rPr>
        <w:t>90509.4</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w:t>
      </w:r>
      <w:r>
        <w:rPr>
          <w:rFonts w:hint="default" w:ascii="Times New Roman" w:hAnsi="Times New Roman" w:eastAsia="宋体" w:cs="Times New Roman"/>
          <w:color w:val="auto"/>
          <w:sz w:val="24"/>
          <w:lang w:eastAsia="zh-CN"/>
        </w:rPr>
        <w:t>（</w:t>
      </w:r>
      <w:r>
        <w:rPr>
          <w:rFonts w:hint="default" w:ascii="Times New Roman" w:hAnsi="Times New Roman" w:cs="Times New Roman"/>
          <w:color w:val="auto"/>
          <w:sz w:val="24"/>
          <w:lang w:val="en-US" w:eastAsia="zh-CN"/>
        </w:rPr>
        <w:t>266.2</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w:t>
      </w:r>
      <w:r>
        <w:rPr>
          <w:rFonts w:hint="default" w:ascii="Times New Roman" w:hAnsi="Times New Roman" w:eastAsia="宋体" w:cs="Times New Roman"/>
          <w:color w:val="auto"/>
          <w:sz w:val="24"/>
          <w:lang w:eastAsia="zh-CN"/>
        </w:rPr>
        <w:t>）</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其中屠宰加工冲洗用水为屠宰总水量的</w:t>
      </w:r>
      <w:r>
        <w:rPr>
          <w:rFonts w:hint="default" w:ascii="Times New Roman" w:hAnsi="Times New Roman" w:cs="Times New Roman"/>
          <w:color w:val="auto"/>
          <w:sz w:val="24"/>
          <w:lang w:val="en-US" w:eastAsia="zh-CN"/>
        </w:rPr>
        <w:t>80%，即72407.52</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w:t>
      </w:r>
      <w:r>
        <w:rPr>
          <w:rFonts w:hint="default" w:ascii="Times New Roman" w:hAnsi="Times New Roman" w:cs="Times New Roman"/>
          <w:color w:val="auto"/>
          <w:sz w:val="24"/>
          <w:lang w:val="en-US" w:eastAsia="zh-CN"/>
        </w:rPr>
        <w:t>（212.96</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default" w:ascii="Times New Roman" w:hAnsi="Times New Roman" w:eastAsia="宋体" w:cs="Times New Roman"/>
          <w:color w:val="auto"/>
          <w:sz w:val="24"/>
          <w:lang w:val="en-US" w:eastAsia="zh-CN"/>
        </w:rPr>
        <w:t>d）</w:t>
      </w:r>
      <w:r>
        <w:rPr>
          <w:rFonts w:hint="default" w:ascii="Times New Roman" w:hAnsi="Times New Roman" w:cs="Times New Roman"/>
          <w:color w:val="auto"/>
          <w:sz w:val="24"/>
          <w:lang w:eastAsia="zh-CN"/>
        </w:rPr>
        <w:t>，车间地面及设备冲洗水为屠宰总水量的</w:t>
      </w:r>
      <w:r>
        <w:rPr>
          <w:rFonts w:hint="default" w:ascii="Times New Roman" w:hAnsi="Times New Roman" w:cs="Times New Roman"/>
          <w:color w:val="auto"/>
          <w:sz w:val="24"/>
          <w:lang w:val="en-US" w:eastAsia="zh-CN"/>
        </w:rPr>
        <w:t>20%，即18101.88</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w:t>
      </w:r>
      <w:r>
        <w:rPr>
          <w:rFonts w:hint="default" w:ascii="Times New Roman" w:hAnsi="Times New Roman" w:cs="Times New Roman"/>
          <w:color w:val="auto"/>
          <w:sz w:val="24"/>
          <w:lang w:val="en-US" w:eastAsia="zh-CN"/>
        </w:rPr>
        <w:t>（53.24</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default" w:ascii="Times New Roman" w:hAnsi="Times New Roman" w:eastAsia="宋体" w:cs="Times New Roman"/>
          <w:color w:val="auto"/>
          <w:sz w:val="24"/>
          <w:lang w:val="en-US" w:eastAsia="zh-CN"/>
        </w:rPr>
        <w:t>d）</w:t>
      </w:r>
      <w:r>
        <w:rPr>
          <w:rFonts w:hint="default"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改扩建后全厂</w:t>
      </w:r>
      <w:r>
        <w:rPr>
          <w:rFonts w:hint="default" w:ascii="Times New Roman" w:hAnsi="Times New Roman" w:cs="Times New Roman"/>
          <w:color w:val="auto"/>
          <w:sz w:val="24"/>
        </w:rPr>
        <w:t>用水量为</w:t>
      </w:r>
      <w:r>
        <w:rPr>
          <w:rFonts w:hint="eastAsia" w:ascii="Times New Roman" w:hAnsi="Times New Roman" w:cs="Times New Roman"/>
          <w:color w:val="auto"/>
          <w:sz w:val="24"/>
          <w:lang w:val="en-US" w:eastAsia="zh-CN"/>
        </w:rPr>
        <w:t>95904</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w:t>
      </w:r>
      <w:r>
        <w:rPr>
          <w:rFonts w:hint="default" w:ascii="Times New Roman" w:hAnsi="Times New Roman" w:eastAsia="宋体" w:cs="Times New Roman"/>
          <w:color w:val="auto"/>
          <w:sz w:val="24"/>
          <w:lang w:eastAsia="zh-CN"/>
        </w:rPr>
        <w:t>（</w:t>
      </w:r>
      <w:r>
        <w:rPr>
          <w:rFonts w:hint="eastAsia" w:ascii="Times New Roman" w:hAnsi="Times New Roman" w:cs="Times New Roman"/>
          <w:color w:val="auto"/>
          <w:sz w:val="24"/>
          <w:lang w:val="en-US" w:eastAsia="zh-CN"/>
        </w:rPr>
        <w:t>282.07</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w:t>
      </w:r>
      <w:r>
        <w:rPr>
          <w:rFonts w:hint="default"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eastAsia="zh-CN"/>
        </w:rPr>
        <w:t>。</w:t>
      </w:r>
      <w:r>
        <w:rPr>
          <w:rFonts w:hint="default" w:ascii="Times New Roman" w:hAnsi="Times New Roman" w:cs="Times New Roman"/>
          <w:color w:val="auto"/>
          <w:sz w:val="24"/>
          <w:lang w:eastAsia="zh-CN"/>
        </w:rPr>
        <w:t>其中屠宰加工冲洗用水为屠宰总水量的</w:t>
      </w:r>
      <w:r>
        <w:rPr>
          <w:rFonts w:hint="default" w:ascii="Times New Roman" w:hAnsi="Times New Roman" w:cs="Times New Roman"/>
          <w:color w:val="auto"/>
          <w:sz w:val="24"/>
          <w:lang w:val="en-US" w:eastAsia="zh-CN"/>
        </w:rPr>
        <w:t>80%，即</w:t>
      </w:r>
      <w:r>
        <w:rPr>
          <w:rFonts w:hint="eastAsia" w:ascii="Times New Roman" w:hAnsi="Times New Roman" w:cs="Times New Roman"/>
          <w:color w:val="auto"/>
          <w:sz w:val="24"/>
          <w:lang w:val="en-US" w:eastAsia="zh-CN"/>
        </w:rPr>
        <w:t>76723.2</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225.67</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default" w:ascii="Times New Roman" w:hAnsi="Times New Roman" w:eastAsia="宋体" w:cs="Times New Roman"/>
          <w:color w:val="auto"/>
          <w:sz w:val="24"/>
          <w:lang w:val="en-US" w:eastAsia="zh-CN"/>
        </w:rPr>
        <w:t>d）</w:t>
      </w:r>
      <w:r>
        <w:rPr>
          <w:rFonts w:hint="default" w:ascii="Times New Roman" w:hAnsi="Times New Roman" w:cs="Times New Roman"/>
          <w:color w:val="auto"/>
          <w:sz w:val="24"/>
          <w:lang w:eastAsia="zh-CN"/>
        </w:rPr>
        <w:t>，车间地面及设备冲洗水为屠宰总水量的</w:t>
      </w:r>
      <w:r>
        <w:rPr>
          <w:rFonts w:hint="default" w:ascii="Times New Roman" w:hAnsi="Times New Roman" w:cs="Times New Roman"/>
          <w:color w:val="auto"/>
          <w:sz w:val="24"/>
          <w:lang w:val="en-US" w:eastAsia="zh-CN"/>
        </w:rPr>
        <w:t>20%，即</w:t>
      </w:r>
      <w:r>
        <w:rPr>
          <w:rFonts w:hint="eastAsia" w:ascii="Times New Roman" w:hAnsi="Times New Roman" w:cs="Times New Roman"/>
          <w:color w:val="auto"/>
          <w:sz w:val="24"/>
          <w:lang w:val="en-US" w:eastAsia="zh-CN"/>
        </w:rPr>
        <w:t>19180.8</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56.4</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default" w:ascii="Times New Roman" w:hAnsi="Times New Roman" w:eastAsia="宋体" w:cs="Times New Roman"/>
          <w:color w:val="auto"/>
          <w:sz w:val="24"/>
          <w:lang w:val="en-US" w:eastAsia="zh-CN"/>
        </w:rPr>
        <w:t>d）</w:t>
      </w:r>
      <w:r>
        <w:rPr>
          <w:rFonts w:hint="default" w:ascii="Times New Roman" w:hAnsi="Times New Roman" w:cs="Times New Roman"/>
          <w:color w:val="auto"/>
          <w:sz w:val="24"/>
          <w:lang w:eastAsia="zh-CN"/>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spacing w:val="-3"/>
          <w:sz w:val="24"/>
          <w:szCs w:val="24"/>
          <w:lang w:val="en-US" w:eastAsia="zh-CN"/>
        </w:rPr>
        <w:t>④</w:t>
      </w:r>
      <w:r>
        <w:rPr>
          <w:rFonts w:hint="default" w:ascii="Times New Roman" w:hAnsi="Times New Roman" w:eastAsia="宋体" w:cs="Times New Roman"/>
          <w:b w:val="0"/>
          <w:bCs w:val="0"/>
          <w:color w:val="auto"/>
          <w:sz w:val="24"/>
          <w:szCs w:val="24"/>
          <w:lang w:val="en-US" w:eastAsia="zh-CN"/>
        </w:rPr>
        <w:t>锅炉用水</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firstLine="480" w:firstLineChars="200"/>
        <w:jc w:val="both"/>
        <w:textAlignment w:val="baseline"/>
        <w:rPr>
          <w:rFonts w:hint="default" w:ascii="Times New Roman" w:hAnsi="Times New Roman" w:eastAsia="宋体" w:cs="Times New Roman"/>
          <w:color w:val="000000" w:themeColor="text1"/>
          <w:sz w:val="24"/>
          <w:szCs w:val="24"/>
          <w:highlight w:val="yellow"/>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t/h</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燃油</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蒸汽锅炉用软水量</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为产品所需蒸汽用水及锅炉排污补充水，蒸汽锅炉设计额定蒸发量1t/h ，日运营12h，年运营340d，所需蒸汽量为12t/d，4080t/a。则蒸汽用水量为4080t/a。</w:t>
      </w:r>
      <w:r>
        <w:rPr>
          <w:rFonts w:hint="default" w:ascii="Times New Roman" w:hAnsi="Times New Roman" w:eastAsia="宋体" w:cs="Times New Roman"/>
          <w:color w:val="auto"/>
          <w:sz w:val="24"/>
          <w:szCs w:val="24"/>
          <w:highlight w:val="none"/>
          <w:lang w:val="en-US" w:eastAsia="zh-CN"/>
        </w:rPr>
        <w:t>根据《排放源统计调查产排污核算方法和系数手册2021</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000000" w:themeColor="text1"/>
          <w:sz w:val="24"/>
          <w:szCs w:val="24"/>
          <w:highlight w:val="none"/>
          <w14:textFill>
            <w14:solidFill>
              <w14:schemeClr w14:val="tx1"/>
            </w14:solidFill>
          </w14:textFill>
        </w:rPr>
        <w:t>4430锅炉产排污量核算系数手册</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进行污染排放核算，本项目工业废水量产污系数为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1.33</w:t>
      </w:r>
      <w:r>
        <w:rPr>
          <w:rFonts w:hint="default" w:ascii="Times New Roman" w:hAnsi="Times New Roman" w:cs="Times New Roman"/>
          <w:color w:val="000000" w:themeColor="text1"/>
          <w:sz w:val="24"/>
          <w:szCs w:val="24"/>
          <w:highlight w:val="none"/>
          <w14:textFill>
            <w14:solidFill>
              <w14:schemeClr w14:val="tx1"/>
            </w14:solidFill>
          </w14:textFill>
        </w:rPr>
        <w:t>吨/吨-原料，本项目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燃油锅炉</w:t>
      </w:r>
      <w:r>
        <w:rPr>
          <w:rFonts w:hint="default" w:ascii="Times New Roman" w:hAnsi="Times New Roman" w:cs="Times New Roman"/>
          <w:color w:val="000000" w:themeColor="text1"/>
          <w:sz w:val="24"/>
          <w:szCs w:val="24"/>
          <w:highlight w:val="none"/>
          <w14:textFill>
            <w14:solidFill>
              <w14:schemeClr w14:val="tx1"/>
            </w14:solidFill>
          </w14:textFill>
        </w:rPr>
        <w:t>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燃料</w:t>
      </w:r>
      <w:r>
        <w:rPr>
          <w:rFonts w:hint="default" w:ascii="Times New Roman" w:hAnsi="Times New Roman" w:cs="Times New Roman"/>
          <w:color w:val="000000" w:themeColor="text1"/>
          <w:sz w:val="24"/>
          <w:szCs w:val="24"/>
          <w:highlight w:val="none"/>
          <w14:textFill>
            <w14:solidFill>
              <w14:schemeClr w14:val="tx1"/>
            </w14:solidFill>
          </w14:textFill>
        </w:rPr>
        <w:t>量</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为36t/a，</w:t>
      </w:r>
      <w:r>
        <w:rPr>
          <w:rFonts w:hint="default" w:ascii="Times New Roman" w:hAnsi="Times New Roman" w:cs="Times New Roman"/>
          <w:color w:val="000000" w:themeColor="text1"/>
          <w:sz w:val="24"/>
          <w:szCs w:val="24"/>
          <w:highlight w:val="none"/>
          <w14:textFill>
            <w14:solidFill>
              <w14:schemeClr w14:val="tx1"/>
            </w14:solidFill>
          </w14:textFill>
        </w:rPr>
        <w:t>锅炉排污水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+软化处理</w:t>
      </w:r>
      <w:r>
        <w:rPr>
          <w:rFonts w:hint="default" w:ascii="Times New Roman" w:hAnsi="Times New Roman" w:cs="Times New Roman"/>
          <w:color w:val="000000" w:themeColor="text1"/>
          <w:sz w:val="24"/>
          <w:szCs w:val="24"/>
          <w:highlight w:val="none"/>
          <w:lang w:eastAsia="zh-CN"/>
          <w14:textFill>
            <w14:solidFill>
              <w14:schemeClr w14:val="tx1"/>
            </w14:solidFill>
          </w14:textFill>
        </w:rPr>
        <w:t>废水</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产生量为1.33×36t</w:t>
      </w:r>
      <w:r>
        <w:rPr>
          <w:rFonts w:hint="default" w:ascii="Times New Roman" w:hAnsi="Times New Roman" w:cs="Times New Roman"/>
          <w:color w:val="000000" w:themeColor="text1"/>
          <w:sz w:val="24"/>
          <w:szCs w:val="24"/>
          <w:highlight w:val="none"/>
          <w14:textFill>
            <w14:solidFill>
              <w14:schemeClr w14:val="tx1"/>
            </w14:solidFill>
          </w14:textFill>
        </w:rPr>
        <w:t>/a</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=47.88t/a</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故锅炉总用水量为4127.88t/a。</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锅炉用软水由软化水制取系统提供，软水制备效率可达98%，因此</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锅炉总</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用水量为</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4212.1t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扩建后全厂锅炉总用水4218.2t/a。</w:t>
      </w:r>
    </w:p>
    <w:p>
      <w:pPr>
        <w:spacing w:line="360" w:lineRule="auto"/>
        <w:ind w:firstLine="48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⑤</w:t>
      </w:r>
      <w:r>
        <w:rPr>
          <w:rFonts w:hint="default" w:ascii="Times New Roman" w:hAnsi="Times New Roman" w:cs="Times New Roman"/>
          <w:color w:val="000000" w:themeColor="text1"/>
          <w:sz w:val="24"/>
          <w14:textFill>
            <w14:solidFill>
              <w14:schemeClr w14:val="tx1"/>
            </w14:solidFill>
          </w14:textFill>
        </w:rPr>
        <w:t>车辆冲洗</w:t>
      </w:r>
      <w:r>
        <w:rPr>
          <w:rFonts w:hint="default" w:ascii="Times New Roman" w:hAnsi="Times New Roman" w:eastAsia="宋体" w:cs="Times New Roman"/>
          <w:color w:val="000000" w:themeColor="text1"/>
          <w:sz w:val="24"/>
          <w:lang w:val="en-US" w:eastAsia="zh-CN"/>
          <w14:textFill>
            <w14:solidFill>
              <w14:schemeClr w14:val="tx1"/>
            </w14:solidFill>
          </w14:textFill>
        </w:rPr>
        <w:t>用</w:t>
      </w:r>
      <w:r>
        <w:rPr>
          <w:rFonts w:hint="default" w:ascii="Times New Roman" w:hAnsi="Times New Roman" w:cs="Times New Roman"/>
          <w:color w:val="000000" w:themeColor="text1"/>
          <w:sz w:val="24"/>
          <w14:textFill>
            <w14:solidFill>
              <w14:schemeClr w14:val="tx1"/>
            </w14:solidFill>
          </w14:textFill>
        </w:rPr>
        <w:t>水</w:t>
      </w:r>
    </w:p>
    <w:p>
      <w:pPr>
        <w:spacing w:line="360" w:lineRule="auto"/>
        <w:ind w:firstLine="480" w:firstLineChars="200"/>
        <w:jc w:val="both"/>
        <w:rPr>
          <w:rFonts w:hint="eastAsia" w:ascii="Times New Roman" w:hAnsi="Times New Roman" w:eastAsia="宋体" w:cs="Times New Roman"/>
          <w:color w:val="000000" w:themeColor="text1"/>
          <w:sz w:val="24"/>
          <w:szCs w:val="24"/>
          <w:highlight w:val="yellow"/>
          <w:lang w:val="en-US" w:eastAsia="zh-CN"/>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w:t>
      </w:r>
      <w:r>
        <w:rPr>
          <w:rFonts w:hint="default" w:ascii="Times New Roman" w:hAnsi="Times New Roman" w:eastAsia="宋体" w:cs="Times New Roman"/>
          <w:color w:val="000000" w:themeColor="text1"/>
          <w:sz w:val="24"/>
          <w:lang w:val="en-US" w:eastAsia="zh-CN"/>
          <w14:textFill>
            <w14:solidFill>
              <w14:schemeClr w14:val="tx1"/>
            </w14:solidFill>
          </w14:textFill>
        </w:rPr>
        <w:t>次扩建</w:t>
      </w:r>
      <w:r>
        <w:rPr>
          <w:rFonts w:hint="default" w:ascii="Times New Roman" w:hAnsi="Times New Roman" w:cs="Times New Roman"/>
          <w:color w:val="000000" w:themeColor="text1"/>
          <w:sz w:val="24"/>
          <w14:textFill>
            <w14:solidFill>
              <w14:schemeClr w14:val="tx1"/>
            </w14:solidFill>
          </w14:textFill>
        </w:rPr>
        <w:t>项目屠宰生猪</w:t>
      </w:r>
      <w:r>
        <w:rPr>
          <w:rFonts w:hint="default" w:ascii="Times New Roman" w:hAnsi="Times New Roman" w:eastAsia="宋体" w:cs="Times New Roman"/>
          <w:color w:val="000000" w:themeColor="text1"/>
          <w:sz w:val="24"/>
          <w:lang w:val="en-US" w:eastAsia="zh-CN"/>
          <w14:textFill>
            <w14:solidFill>
              <w14:schemeClr w14:val="tx1"/>
            </w14:solidFill>
          </w14:textFill>
        </w:rPr>
        <w:t>15.1</w:t>
      </w:r>
      <w:r>
        <w:rPr>
          <w:rFonts w:hint="default" w:ascii="Times New Roman" w:hAnsi="Times New Roman" w:cs="Times New Roman"/>
          <w:color w:val="000000" w:themeColor="text1"/>
          <w:sz w:val="24"/>
          <w14:textFill>
            <w14:solidFill>
              <w14:schemeClr w14:val="tx1"/>
            </w14:solidFill>
          </w14:textFill>
        </w:rPr>
        <w:t>万头/年，车辆平均运输量按</w:t>
      </w:r>
      <w:r>
        <w:rPr>
          <w:rFonts w:hint="default" w:ascii="Times New Roman" w:hAnsi="Times New Roman" w:eastAsia="宋体" w:cs="Times New Roman"/>
          <w:color w:val="000000" w:themeColor="text1"/>
          <w:sz w:val="24"/>
          <w:lang w:val="en-US" w:eastAsia="zh-CN"/>
          <w14:textFill>
            <w14:solidFill>
              <w14:schemeClr w14:val="tx1"/>
            </w14:solidFill>
          </w14:textFill>
        </w:rPr>
        <w:t>40</w:t>
      </w:r>
      <w:r>
        <w:rPr>
          <w:rFonts w:hint="default" w:ascii="Times New Roman" w:hAnsi="Times New Roman" w:cs="Times New Roman"/>
          <w:color w:val="000000" w:themeColor="text1"/>
          <w:sz w:val="24"/>
          <w14:textFill>
            <w14:solidFill>
              <w14:schemeClr w14:val="tx1"/>
            </w14:solidFill>
          </w14:textFill>
        </w:rPr>
        <w:t>头/车次计，</w:t>
      </w:r>
      <w:r>
        <w:rPr>
          <w:rFonts w:hint="default" w:ascii="Times New Roman" w:hAnsi="Times New Roman" w:eastAsia="宋体" w:cs="Times New Roman"/>
          <w:color w:val="000000" w:themeColor="text1"/>
          <w:sz w:val="24"/>
          <w:lang w:val="en-US" w:eastAsia="zh-CN"/>
          <w14:textFill>
            <w14:solidFill>
              <w14:schemeClr w14:val="tx1"/>
            </w14:solidFill>
          </w14:textFill>
        </w:rPr>
        <w:t>冬季车辆不冲洗，</w:t>
      </w:r>
      <w:r>
        <w:rPr>
          <w:rFonts w:hint="default" w:ascii="Times New Roman" w:hAnsi="Times New Roman" w:cs="Times New Roman"/>
          <w:color w:val="000000" w:themeColor="text1"/>
          <w:sz w:val="24"/>
          <w14:textFill>
            <w14:solidFill>
              <w14:schemeClr w14:val="tx1"/>
            </w14:solidFill>
          </w14:textFill>
        </w:rPr>
        <w:t>则生猪车辆运输次数约为</w:t>
      </w:r>
      <w:r>
        <w:rPr>
          <w:rFonts w:hint="default" w:ascii="Times New Roman" w:hAnsi="Times New Roman" w:eastAsia="宋体" w:cs="Times New Roman"/>
          <w:color w:val="000000" w:themeColor="text1"/>
          <w:sz w:val="24"/>
          <w:lang w:val="en-US" w:eastAsia="zh-CN"/>
          <w14:textFill>
            <w14:solidFill>
              <w14:schemeClr w14:val="tx1"/>
            </w14:solidFill>
          </w14:textFill>
        </w:rPr>
        <w:t>1320</w:t>
      </w:r>
      <w:r>
        <w:rPr>
          <w:rFonts w:hint="default" w:ascii="Times New Roman" w:hAnsi="Times New Roman" w:cs="Times New Roman"/>
          <w:color w:val="000000" w:themeColor="text1"/>
          <w:sz w:val="24"/>
          <w14:textFill>
            <w14:solidFill>
              <w14:schemeClr w14:val="tx1"/>
            </w14:solidFill>
          </w14:textFill>
        </w:rPr>
        <w:t>次/年</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车辆每次冲洗水量约200L/辆∙次计，则项目车辆冲洗用水量为</w:t>
      </w:r>
      <w:r>
        <w:rPr>
          <w:rFonts w:hint="default" w:ascii="Times New Roman" w:hAnsi="Times New Roman" w:cs="Times New Roman"/>
          <w:color w:val="000000" w:themeColor="text1"/>
          <w:sz w:val="24"/>
          <w:lang w:val="en-US" w:eastAsia="zh-CN"/>
          <w14:textFill>
            <w14:solidFill>
              <w14:schemeClr w14:val="tx1"/>
            </w14:solidFill>
          </w14:textFill>
        </w:rPr>
        <w:t>264</w:t>
      </w:r>
      <w:r>
        <w:rPr>
          <w:rFonts w:hint="default" w:ascii="Times New Roman" w:hAnsi="Times New Roman" w:cs="Times New Roman"/>
          <w:color w:val="000000" w:themeColor="text1"/>
          <w:sz w:val="24"/>
          <w14:textFill>
            <w14:solidFill>
              <w14:schemeClr w14:val="tx1"/>
            </w14:solidFill>
          </w14:textFill>
        </w:rPr>
        <w:t>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/a。</w:t>
      </w:r>
      <w:r>
        <w:rPr>
          <w:rFonts w:hint="eastAsia" w:ascii="Times New Roman" w:hAnsi="Times New Roman" w:eastAsia="宋体" w:cs="Times New Roman"/>
          <w:color w:val="000000" w:themeColor="text1"/>
          <w:sz w:val="24"/>
          <w:lang w:val="en-US" w:eastAsia="zh-CN"/>
          <w14:textFill>
            <w14:solidFill>
              <w14:schemeClr w14:val="tx1"/>
            </w14:solidFill>
          </w14:textFill>
        </w:rPr>
        <w:t>扩建后全厂屠宰生猪16万头/年，则扩建后全厂</w:t>
      </w:r>
      <w:r>
        <w:rPr>
          <w:rFonts w:hint="default" w:ascii="Times New Roman" w:hAnsi="Times New Roman" w:cs="Times New Roman"/>
          <w:color w:val="000000" w:themeColor="text1"/>
          <w:sz w:val="24"/>
          <w14:textFill>
            <w14:solidFill>
              <w14:schemeClr w14:val="tx1"/>
            </w14:solidFill>
          </w14:textFill>
        </w:rPr>
        <w:t>车辆冲洗用水量为</w:t>
      </w:r>
      <w:r>
        <w:rPr>
          <w:rFonts w:hint="eastAsia" w:ascii="Times New Roman" w:hAnsi="Times New Roman" w:cs="Times New Roman"/>
          <w:color w:val="000000" w:themeColor="text1"/>
          <w:sz w:val="24"/>
          <w:lang w:val="en-US" w:eastAsia="zh-CN"/>
          <w14:textFill>
            <w14:solidFill>
              <w14:schemeClr w14:val="tx1"/>
            </w14:solidFill>
          </w14:textFill>
        </w:rPr>
        <w:t>280</w:t>
      </w:r>
      <w:r>
        <w:rPr>
          <w:rFonts w:hint="default" w:ascii="Times New Roman" w:hAnsi="Times New Roman" w:cs="Times New Roman"/>
          <w:color w:val="000000" w:themeColor="text1"/>
          <w:sz w:val="24"/>
          <w14:textFill>
            <w14:solidFill>
              <w14:schemeClr w14:val="tx1"/>
            </w14:solidFill>
          </w14:textFill>
        </w:rPr>
        <w:t>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/a</w:t>
      </w:r>
      <w:r>
        <w:rPr>
          <w:rFonts w:hint="eastAsia" w:ascii="Times New Roman" w:hAnsi="Times New Roman" w:eastAsia="宋体" w:cs="Times New Roman"/>
          <w:color w:val="000000" w:themeColor="text1"/>
          <w:sz w:val="24"/>
          <w:lang w:eastAsia="zh-CN"/>
          <w14:textFill>
            <w14:solidFill>
              <w14:schemeClr w14:val="tx1"/>
            </w14:solidFill>
          </w14:textFill>
        </w:rPr>
        <w:t>。</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200" w:right="0" w:rightChars="0"/>
        <w:jc w:val="both"/>
        <w:textAlignment w:val="baseline"/>
        <w:outlineLvl w:val="0"/>
        <w:rPr>
          <w:rFonts w:hint="default" w:ascii="Times New Roman" w:hAnsi="Times New Roman" w:cs="Times New Roman"/>
          <w:b w:val="0"/>
          <w:bCs w:val="0"/>
          <w:lang w:val="en-US" w:eastAsia="zh-CN"/>
        </w:rPr>
      </w:pPr>
      <w:bookmarkStart w:id="84" w:name="_Toc17185"/>
      <w:bookmarkStart w:id="85" w:name="_Toc26941"/>
      <w:bookmarkStart w:id="86" w:name="_Toc16462"/>
      <w:r>
        <w:rPr>
          <w:rFonts w:hint="default" w:ascii="Times New Roman" w:hAnsi="Times New Roman" w:eastAsia="宋体" w:cs="Times New Roman"/>
          <w:b w:val="0"/>
          <w:bCs w:val="0"/>
          <w:spacing w:val="-3"/>
          <w:sz w:val="24"/>
          <w:szCs w:val="24"/>
          <w:lang w:val="en-US" w:eastAsia="zh-CN"/>
        </w:rPr>
        <w:t>2、排水工程</w:t>
      </w:r>
      <w:bookmarkEnd w:id="84"/>
      <w:bookmarkEnd w:id="85"/>
      <w:bookmarkEnd w:id="86"/>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cs="Times New Roman"/>
          <w:color w:val="auto"/>
          <w:sz w:val="24"/>
        </w:rPr>
      </w:pPr>
      <w:r>
        <w:rPr>
          <w:rFonts w:hint="default" w:ascii="Times New Roman" w:hAnsi="Times New Roman" w:eastAsia="宋体" w:cs="Times New Roman"/>
          <w:spacing w:val="-2"/>
          <w:sz w:val="24"/>
          <w:szCs w:val="24"/>
        </w:rPr>
        <w:t>本项目</w:t>
      </w:r>
      <w:r>
        <w:rPr>
          <w:rFonts w:hint="default" w:ascii="Times New Roman" w:hAnsi="Times New Roman" w:eastAsia="宋体" w:cs="Times New Roman"/>
          <w:spacing w:val="-2"/>
          <w:sz w:val="24"/>
          <w:szCs w:val="24"/>
          <w:lang w:val="en-US" w:eastAsia="zh-CN"/>
        </w:rPr>
        <w:t>不新增工作人员，无新增生活污水产生。生产废水</w:t>
      </w:r>
      <w:r>
        <w:rPr>
          <w:rFonts w:hint="default" w:ascii="Times New Roman" w:hAnsi="Times New Roman" w:eastAsia="宋体" w:cs="Times New Roman"/>
          <w:spacing w:val="-2"/>
          <w:sz w:val="24"/>
          <w:szCs w:val="24"/>
        </w:rPr>
        <w:t>主要来自于</w:t>
      </w:r>
      <w:r>
        <w:rPr>
          <w:rFonts w:hint="default" w:ascii="Times New Roman" w:hAnsi="Times New Roman" w:eastAsia="宋体" w:cs="Times New Roman"/>
          <w:spacing w:val="5"/>
          <w:sz w:val="24"/>
          <w:szCs w:val="24"/>
          <w:lang w:val="en-US" w:eastAsia="zh-CN"/>
        </w:rPr>
        <w:t>待宰圈冲洗排水、</w:t>
      </w:r>
      <w:r>
        <w:rPr>
          <w:rFonts w:hint="default" w:ascii="Times New Roman" w:hAnsi="Times New Roman" w:eastAsia="宋体" w:cs="Times New Roman"/>
          <w:spacing w:val="-2"/>
          <w:sz w:val="24"/>
          <w:szCs w:val="24"/>
        </w:rPr>
        <w:t>屠宰</w:t>
      </w:r>
      <w:r>
        <w:rPr>
          <w:rFonts w:hint="default" w:ascii="Times New Roman" w:hAnsi="Times New Roman" w:eastAsia="宋体" w:cs="Times New Roman"/>
          <w:spacing w:val="-2"/>
          <w:sz w:val="24"/>
          <w:szCs w:val="24"/>
          <w:lang w:val="en-US" w:eastAsia="zh-CN"/>
        </w:rPr>
        <w:t>车间排</w:t>
      </w:r>
      <w:r>
        <w:rPr>
          <w:rFonts w:hint="default" w:ascii="Times New Roman" w:hAnsi="Times New Roman" w:eastAsia="宋体" w:cs="Times New Roman"/>
          <w:spacing w:val="-2"/>
          <w:sz w:val="24"/>
          <w:szCs w:val="24"/>
        </w:rPr>
        <w:t>水、</w:t>
      </w:r>
      <w:r>
        <w:rPr>
          <w:rFonts w:hint="default" w:ascii="Times New Roman" w:hAnsi="Times New Roman" w:cs="Times New Roman"/>
          <w:color w:val="000000" w:themeColor="text1"/>
          <w:sz w:val="24"/>
          <w:szCs w:val="24"/>
          <w:highlight w:val="none"/>
          <w14:textFill>
            <w14:solidFill>
              <w14:schemeClr w14:val="tx1"/>
            </w14:solidFill>
          </w14:textFill>
        </w:rPr>
        <w:t>锅炉排污水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+软化处理</w:t>
      </w:r>
      <w:r>
        <w:rPr>
          <w:rFonts w:hint="default" w:ascii="Times New Roman" w:hAnsi="Times New Roman" w:cs="Times New Roman"/>
          <w:color w:val="000000" w:themeColor="text1"/>
          <w:sz w:val="24"/>
          <w:szCs w:val="24"/>
          <w:highlight w:val="none"/>
          <w:lang w:eastAsia="zh-CN"/>
          <w14:textFill>
            <w14:solidFill>
              <w14:schemeClr w14:val="tx1"/>
            </w14:solidFill>
          </w14:textFill>
        </w:rPr>
        <w:t>废水</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以及车辆冲洗排水</w:t>
      </w:r>
      <w:r>
        <w:rPr>
          <w:rFonts w:hint="default" w:ascii="Times New Roman" w:hAnsi="Times New Roman" w:eastAsia="宋体" w:cs="Times New Roman"/>
          <w:spacing w:val="-2"/>
          <w:sz w:val="24"/>
          <w:szCs w:val="24"/>
        </w:rPr>
        <w:t>等。</w:t>
      </w:r>
      <w:r>
        <w:rPr>
          <w:rFonts w:hint="default" w:ascii="Times New Roman" w:hAnsi="Times New Roman" w:cs="Times New Roman"/>
          <w:color w:val="auto"/>
          <w:sz w:val="24"/>
        </w:rPr>
        <w:t>本项目产生的生产废水经厂区污水处理站处理达到《肉类加工工业水污染物排放标准》（GB13457-92）畜类屠宰加工三级标准</w:t>
      </w:r>
      <w:r>
        <w:rPr>
          <w:rFonts w:hint="default" w:ascii="Times New Roman" w:hAnsi="Times New Roman" w:eastAsia="宋体" w:cs="Times New Roman"/>
          <w:color w:val="auto"/>
          <w:kern w:val="21"/>
          <w:sz w:val="24"/>
          <w:szCs w:val="24"/>
          <w:highlight w:val="none"/>
          <w:u w:val="none"/>
          <w:lang w:val="en-US" w:eastAsia="zh-CN" w:bidi="ar-SA"/>
        </w:rPr>
        <w:t>及兴隆镇污水处理厂设计进水水质指标的要求后</w:t>
      </w:r>
      <w:r>
        <w:rPr>
          <w:rFonts w:hint="default" w:ascii="Times New Roman" w:hAnsi="Times New Roman" w:cs="Times New Roman"/>
          <w:color w:val="auto"/>
          <w:sz w:val="24"/>
        </w:rPr>
        <w:t>，经市政管网排入</w:t>
      </w:r>
      <w:r>
        <w:rPr>
          <w:rFonts w:hint="default" w:ascii="Times New Roman" w:hAnsi="Times New Roman" w:cs="Times New Roman"/>
          <w:color w:val="auto"/>
          <w:sz w:val="24"/>
          <w:lang w:val="en-US" w:eastAsia="zh-CN"/>
        </w:rPr>
        <w:t>兴隆镇</w:t>
      </w:r>
      <w:r>
        <w:rPr>
          <w:rFonts w:hint="default" w:ascii="Times New Roman" w:hAnsi="Times New Roman" w:cs="Times New Roman"/>
          <w:color w:val="auto"/>
          <w:sz w:val="24"/>
        </w:rPr>
        <w:t>污水处理厂，经处理后排入</w:t>
      </w:r>
      <w:r>
        <w:rPr>
          <w:rFonts w:hint="default" w:ascii="Times New Roman" w:hAnsi="Times New Roman" w:cs="Times New Roman"/>
          <w:color w:val="auto"/>
          <w:sz w:val="24"/>
          <w:lang w:eastAsia="zh-CN"/>
        </w:rPr>
        <w:t>泥河</w:t>
      </w:r>
      <w:r>
        <w:rPr>
          <w:rFonts w:hint="default" w:ascii="Times New Roman" w:hAnsi="Times New Roman" w:cs="Times New Roman"/>
          <w:color w:val="auto"/>
          <w:sz w:val="24"/>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outlineLvl w:val="1"/>
        <w:rPr>
          <w:rFonts w:hint="default" w:ascii="Times New Roman" w:hAnsi="Times New Roman" w:eastAsia="宋体" w:cs="Times New Roman"/>
          <w:color w:val="auto"/>
          <w:sz w:val="24"/>
          <w:lang w:val="en-US" w:eastAsia="zh-CN"/>
        </w:rPr>
      </w:pPr>
      <w:bookmarkStart w:id="87" w:name="_Toc24139"/>
      <w:bookmarkStart w:id="88" w:name="_Toc28498"/>
      <w:bookmarkStart w:id="89" w:name="_Toc27807"/>
      <w:r>
        <w:rPr>
          <w:rFonts w:hint="default" w:ascii="Times New Roman" w:hAnsi="Times New Roman" w:eastAsia="宋体" w:cs="Times New Roman"/>
          <w:color w:val="auto"/>
          <w:sz w:val="24"/>
          <w:lang w:val="en-US" w:eastAsia="zh-CN"/>
        </w:rPr>
        <w:t>①</w:t>
      </w:r>
      <w:r>
        <w:rPr>
          <w:rFonts w:hint="default" w:ascii="Times New Roman" w:hAnsi="Times New Roman" w:eastAsia="宋体" w:cs="Times New Roman"/>
          <w:spacing w:val="5"/>
          <w:sz w:val="24"/>
          <w:szCs w:val="24"/>
          <w:lang w:val="en-US" w:eastAsia="zh-CN"/>
        </w:rPr>
        <w:t>待宰圈冲洗排水</w:t>
      </w:r>
      <w:bookmarkEnd w:id="87"/>
      <w:bookmarkEnd w:id="88"/>
      <w:bookmarkEnd w:id="89"/>
    </w:p>
    <w:p>
      <w:pPr>
        <w:pStyle w:val="5"/>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pacing w:val="0"/>
          <w:kern w:val="2"/>
          <w:sz w:val="24"/>
          <w:szCs w:val="24"/>
          <w:highlight w:val="green"/>
          <w:lang w:val="en-US" w:eastAsia="zh-CN"/>
        </w:rPr>
      </w:pPr>
      <w:r>
        <w:rPr>
          <w:rFonts w:hint="default" w:ascii="Times New Roman" w:hAnsi="Times New Roman" w:cs="Times New Roman"/>
          <w:color w:val="auto"/>
          <w:spacing w:val="0"/>
          <w:kern w:val="2"/>
          <w:szCs w:val="24"/>
          <w:highlight w:val="none"/>
        </w:rPr>
        <w:t>待宰</w:t>
      </w:r>
      <w:r>
        <w:rPr>
          <w:rFonts w:hint="default" w:ascii="Times New Roman" w:hAnsi="Times New Roman" w:cs="Times New Roman"/>
          <w:color w:val="auto"/>
          <w:spacing w:val="0"/>
          <w:kern w:val="2"/>
          <w:szCs w:val="24"/>
          <w:highlight w:val="none"/>
          <w:lang w:val="en-US" w:eastAsia="zh-CN"/>
        </w:rPr>
        <w:t>圈</w:t>
      </w:r>
      <w:r>
        <w:rPr>
          <w:rFonts w:hint="default" w:ascii="Times New Roman" w:hAnsi="Times New Roman" w:cs="Times New Roman"/>
          <w:color w:val="auto"/>
          <w:spacing w:val="0"/>
          <w:kern w:val="2"/>
          <w:szCs w:val="24"/>
          <w:highlight w:val="none"/>
        </w:rPr>
        <w:t>冲洗</w:t>
      </w:r>
      <w:r>
        <w:rPr>
          <w:rFonts w:hint="default" w:ascii="Times New Roman" w:hAnsi="Times New Roman" w:eastAsia="宋体" w:cs="Times New Roman"/>
          <w:color w:val="auto"/>
          <w:spacing w:val="0"/>
          <w:kern w:val="2"/>
          <w:szCs w:val="24"/>
          <w:highlight w:val="none"/>
          <w:lang w:val="en-US" w:eastAsia="zh-CN"/>
        </w:rPr>
        <w:t>废</w:t>
      </w:r>
      <w:r>
        <w:rPr>
          <w:rFonts w:hint="default" w:ascii="Times New Roman" w:hAnsi="Times New Roman" w:cs="Times New Roman"/>
          <w:color w:val="auto"/>
          <w:spacing w:val="0"/>
          <w:kern w:val="2"/>
          <w:szCs w:val="24"/>
          <w:highlight w:val="none"/>
        </w:rPr>
        <w:t>水量取0.008m</w:t>
      </w:r>
      <w:r>
        <w:rPr>
          <w:rFonts w:hint="default" w:ascii="Times New Roman" w:hAnsi="Times New Roman" w:cs="Times New Roman"/>
          <w:color w:val="auto"/>
          <w:spacing w:val="0"/>
          <w:kern w:val="2"/>
          <w:szCs w:val="24"/>
          <w:highlight w:val="none"/>
          <w:vertAlign w:val="superscript"/>
        </w:rPr>
        <w:t>3</w:t>
      </w:r>
      <w:r>
        <w:rPr>
          <w:rFonts w:hint="default" w:ascii="Times New Roman" w:hAnsi="Times New Roman" w:cs="Times New Roman"/>
          <w:color w:val="auto"/>
          <w:spacing w:val="0"/>
          <w:kern w:val="2"/>
          <w:szCs w:val="24"/>
          <w:highlight w:val="none"/>
        </w:rPr>
        <w:t>/头，</w:t>
      </w:r>
      <w:r>
        <w:rPr>
          <w:rFonts w:hint="eastAsia" w:ascii="Times New Roman" w:hAnsi="Times New Roman" w:eastAsia="宋体" w:cs="Times New Roman"/>
          <w:color w:val="auto"/>
          <w:spacing w:val="0"/>
          <w:kern w:val="2"/>
          <w:szCs w:val="24"/>
          <w:highlight w:val="none"/>
          <w:lang w:val="en-US" w:eastAsia="zh-CN"/>
        </w:rPr>
        <w:t>本次扩建项目</w:t>
      </w:r>
      <w:r>
        <w:rPr>
          <w:rFonts w:hint="default" w:ascii="Times New Roman" w:hAnsi="Times New Roman" w:eastAsia="宋体" w:cs="Times New Roman"/>
          <w:color w:val="auto"/>
          <w:spacing w:val="0"/>
          <w:kern w:val="2"/>
          <w:szCs w:val="24"/>
          <w:highlight w:val="none"/>
          <w:lang w:val="en-US" w:eastAsia="zh-CN"/>
        </w:rPr>
        <w:t>年</w:t>
      </w:r>
      <w:r>
        <w:rPr>
          <w:rFonts w:hint="default" w:ascii="Times New Roman" w:hAnsi="Times New Roman" w:cs="Times New Roman"/>
          <w:color w:val="auto"/>
          <w:spacing w:val="0"/>
          <w:kern w:val="2"/>
          <w:szCs w:val="24"/>
          <w:highlight w:val="none"/>
        </w:rPr>
        <w:t>屠宰生猪</w:t>
      </w:r>
      <w:r>
        <w:rPr>
          <w:rFonts w:hint="default" w:ascii="Times New Roman" w:hAnsi="Times New Roman" w:cs="Times New Roman"/>
          <w:color w:val="auto"/>
          <w:sz w:val="24"/>
          <w:highlight w:val="none"/>
          <w:lang w:val="en-US" w:eastAsia="zh-CN"/>
        </w:rPr>
        <w:t>150849</w:t>
      </w:r>
      <w:r>
        <w:rPr>
          <w:rFonts w:hint="default" w:ascii="Times New Roman" w:hAnsi="Times New Roman" w:cs="Times New Roman"/>
          <w:color w:val="auto"/>
          <w:spacing w:val="0"/>
          <w:kern w:val="2"/>
          <w:szCs w:val="24"/>
          <w:highlight w:val="none"/>
        </w:rPr>
        <w:t>头，则待宰</w:t>
      </w:r>
      <w:r>
        <w:rPr>
          <w:rFonts w:hint="default" w:ascii="Times New Roman" w:hAnsi="Times New Roman" w:cs="Times New Roman"/>
          <w:color w:val="auto"/>
          <w:spacing w:val="0"/>
          <w:kern w:val="2"/>
          <w:szCs w:val="24"/>
          <w:highlight w:val="none"/>
          <w:lang w:val="en-US" w:eastAsia="zh-CN"/>
        </w:rPr>
        <w:t>圈</w:t>
      </w:r>
      <w:r>
        <w:rPr>
          <w:rFonts w:hint="default" w:ascii="Times New Roman" w:hAnsi="Times New Roman" w:cs="Times New Roman"/>
          <w:color w:val="auto"/>
          <w:spacing w:val="0"/>
          <w:kern w:val="2"/>
          <w:szCs w:val="24"/>
          <w:highlight w:val="none"/>
        </w:rPr>
        <w:t>排水量为</w:t>
      </w:r>
      <w:r>
        <w:rPr>
          <w:rFonts w:hint="default" w:ascii="Times New Roman" w:hAnsi="Times New Roman" w:cs="Times New Roman"/>
          <w:color w:val="auto"/>
          <w:spacing w:val="0"/>
          <w:kern w:val="2"/>
          <w:szCs w:val="24"/>
          <w:highlight w:val="none"/>
          <w:lang w:val="en-US" w:eastAsia="zh-CN"/>
        </w:rPr>
        <w:t>1206.8</w:t>
      </w:r>
      <w:r>
        <w:rPr>
          <w:rFonts w:hint="default" w:ascii="Times New Roman" w:hAnsi="Times New Roman" w:cs="Times New Roman"/>
          <w:color w:val="auto"/>
          <w:spacing w:val="0"/>
          <w:kern w:val="2"/>
          <w:szCs w:val="24"/>
          <w:highlight w:val="none"/>
        </w:rPr>
        <w:t>m</w:t>
      </w:r>
      <w:r>
        <w:rPr>
          <w:rFonts w:hint="default" w:ascii="Times New Roman" w:hAnsi="Times New Roman" w:cs="Times New Roman"/>
          <w:color w:val="auto"/>
          <w:spacing w:val="0"/>
          <w:kern w:val="2"/>
          <w:szCs w:val="24"/>
          <w:highlight w:val="none"/>
          <w:vertAlign w:val="superscript"/>
        </w:rPr>
        <w:t>3</w:t>
      </w:r>
      <w:r>
        <w:rPr>
          <w:rFonts w:hint="default" w:ascii="Times New Roman" w:hAnsi="Times New Roman" w:cs="Times New Roman"/>
          <w:color w:val="auto"/>
          <w:spacing w:val="0"/>
          <w:kern w:val="2"/>
          <w:szCs w:val="24"/>
          <w:highlight w:val="none"/>
        </w:rPr>
        <w:t>/a</w:t>
      </w:r>
      <w:r>
        <w:rPr>
          <w:rFonts w:hint="default" w:ascii="Times New Roman" w:hAnsi="Times New Roman" w:eastAsia="宋体" w:cs="Times New Roman"/>
          <w:color w:val="auto"/>
          <w:spacing w:val="0"/>
          <w:kern w:val="2"/>
          <w:szCs w:val="24"/>
          <w:highlight w:val="none"/>
          <w:lang w:eastAsia="zh-CN"/>
        </w:rPr>
        <w:t>（</w:t>
      </w:r>
      <w:r>
        <w:rPr>
          <w:rFonts w:hint="default" w:ascii="Times New Roman" w:hAnsi="Times New Roman" w:cs="Times New Roman"/>
          <w:color w:val="auto"/>
          <w:spacing w:val="0"/>
          <w:kern w:val="2"/>
          <w:szCs w:val="24"/>
          <w:highlight w:val="none"/>
          <w:lang w:val="en-US" w:eastAsia="zh-CN"/>
        </w:rPr>
        <w:t>3.55</w:t>
      </w:r>
      <w:r>
        <w:rPr>
          <w:rFonts w:hint="default" w:ascii="Times New Roman" w:hAnsi="Times New Roman" w:cs="Times New Roman"/>
          <w:color w:val="auto"/>
          <w:spacing w:val="0"/>
          <w:kern w:val="2"/>
          <w:szCs w:val="24"/>
          <w:highlight w:val="none"/>
        </w:rPr>
        <w:t>m</w:t>
      </w:r>
      <w:r>
        <w:rPr>
          <w:rFonts w:hint="default" w:ascii="Times New Roman" w:hAnsi="Times New Roman" w:cs="Times New Roman"/>
          <w:color w:val="auto"/>
          <w:spacing w:val="0"/>
          <w:kern w:val="2"/>
          <w:szCs w:val="24"/>
          <w:highlight w:val="none"/>
          <w:vertAlign w:val="superscript"/>
        </w:rPr>
        <w:t>3</w:t>
      </w:r>
      <w:r>
        <w:rPr>
          <w:rFonts w:hint="default" w:ascii="Times New Roman" w:hAnsi="Times New Roman" w:cs="Times New Roman"/>
          <w:color w:val="auto"/>
          <w:spacing w:val="0"/>
          <w:kern w:val="2"/>
          <w:szCs w:val="24"/>
          <w:highlight w:val="none"/>
        </w:rPr>
        <w:t>/d</w:t>
      </w:r>
      <w:r>
        <w:rPr>
          <w:rFonts w:hint="default" w:ascii="Times New Roman" w:hAnsi="Times New Roman" w:eastAsia="宋体" w:cs="Times New Roman"/>
          <w:color w:val="auto"/>
          <w:spacing w:val="0"/>
          <w:kern w:val="2"/>
          <w:szCs w:val="24"/>
          <w:highlight w:val="none"/>
          <w:lang w:eastAsia="zh-CN"/>
        </w:rPr>
        <w:t>）</w:t>
      </w:r>
      <w:r>
        <w:rPr>
          <w:rFonts w:hint="default" w:ascii="Times New Roman" w:hAnsi="Times New Roman" w:cs="Times New Roman"/>
          <w:color w:val="auto"/>
          <w:spacing w:val="0"/>
          <w:kern w:val="2"/>
          <w:szCs w:val="24"/>
          <w:highlight w:val="none"/>
        </w:rPr>
        <w:t>，经检疫合格的猪准予屠宰，被送入待宰</w:t>
      </w:r>
      <w:r>
        <w:rPr>
          <w:rFonts w:hint="default" w:ascii="Times New Roman" w:hAnsi="Times New Roman" w:cs="Times New Roman"/>
          <w:color w:val="auto"/>
          <w:spacing w:val="0"/>
          <w:kern w:val="2"/>
          <w:szCs w:val="24"/>
          <w:highlight w:val="none"/>
          <w:lang w:val="en-US" w:eastAsia="zh-CN"/>
        </w:rPr>
        <w:t>圈</w:t>
      </w:r>
      <w:r>
        <w:rPr>
          <w:rFonts w:hint="default" w:ascii="Times New Roman" w:hAnsi="Times New Roman" w:cs="Times New Roman"/>
          <w:color w:val="auto"/>
          <w:spacing w:val="0"/>
          <w:kern w:val="2"/>
          <w:szCs w:val="24"/>
          <w:highlight w:val="none"/>
        </w:rPr>
        <w:t>停食静养12～24h，根据《第一次全国污染源普查 畜禽养殖业源产排污系数手册》（2009.2）东北区猪尿液量为3.62L/头﹒</w:t>
      </w:r>
      <w:r>
        <w:rPr>
          <w:rFonts w:hint="default" w:ascii="Times New Roman" w:hAnsi="Times New Roman" w:cs="Times New Roman"/>
          <w:color w:val="auto"/>
          <w:spacing w:val="0"/>
          <w:kern w:val="2"/>
          <w:szCs w:val="24"/>
          <w:highlight w:val="none"/>
          <w:lang w:eastAsia="zh-CN"/>
        </w:rPr>
        <w:t>待宰前</w:t>
      </w:r>
      <w:r>
        <w:rPr>
          <w:rFonts w:hint="default" w:ascii="Times New Roman" w:hAnsi="Times New Roman" w:cs="Times New Roman"/>
          <w:color w:val="auto"/>
          <w:spacing w:val="0"/>
          <w:kern w:val="2"/>
          <w:szCs w:val="24"/>
          <w:highlight w:val="none"/>
          <w:lang w:val="en-US" w:eastAsia="zh-CN"/>
        </w:rPr>
        <w:t>3小时停止喂水，尿液量取正常饲养70%，</w:t>
      </w:r>
      <w:r>
        <w:rPr>
          <w:rFonts w:hint="default" w:ascii="Times New Roman" w:hAnsi="Times New Roman" w:cs="Times New Roman"/>
          <w:color w:val="auto"/>
          <w:spacing w:val="0"/>
          <w:kern w:val="2"/>
          <w:szCs w:val="24"/>
          <w:highlight w:val="none"/>
        </w:rPr>
        <w:t>则产生尿液量</w:t>
      </w:r>
      <w:r>
        <w:rPr>
          <w:rFonts w:hint="default" w:ascii="Times New Roman" w:hAnsi="Times New Roman" w:cs="Times New Roman"/>
          <w:color w:val="auto"/>
          <w:spacing w:val="0"/>
          <w:kern w:val="2"/>
          <w:sz w:val="24"/>
          <w:szCs w:val="24"/>
          <w:highlight w:val="none"/>
        </w:rPr>
        <w:t>为</w:t>
      </w:r>
      <w:r>
        <w:rPr>
          <w:rFonts w:hint="default" w:ascii="Times New Roman" w:hAnsi="Times New Roman" w:cs="Times New Roman"/>
          <w:color w:val="auto"/>
          <w:spacing w:val="0"/>
          <w:kern w:val="2"/>
          <w:sz w:val="24"/>
          <w:szCs w:val="24"/>
          <w:highlight w:val="none"/>
          <w:lang w:val="en-US" w:eastAsia="zh-CN"/>
        </w:rPr>
        <w:t>382.2</w:t>
      </w:r>
      <w:r>
        <w:rPr>
          <w:rFonts w:hint="default" w:ascii="Times New Roman" w:hAnsi="Times New Roman" w:cs="Times New Roman"/>
          <w:color w:val="auto"/>
          <w:spacing w:val="0"/>
          <w:kern w:val="2"/>
          <w:sz w:val="24"/>
          <w:szCs w:val="24"/>
          <w:highlight w:val="none"/>
        </w:rPr>
        <w:t>m</w:t>
      </w:r>
      <w:r>
        <w:rPr>
          <w:rFonts w:hint="default" w:ascii="Times New Roman" w:hAnsi="Times New Roman" w:cs="Times New Roman"/>
          <w:color w:val="auto"/>
          <w:spacing w:val="0"/>
          <w:kern w:val="2"/>
          <w:sz w:val="24"/>
          <w:szCs w:val="24"/>
          <w:highlight w:val="none"/>
          <w:vertAlign w:val="superscript"/>
        </w:rPr>
        <w:t>3</w:t>
      </w:r>
      <w:r>
        <w:rPr>
          <w:rFonts w:hint="default" w:ascii="Times New Roman" w:hAnsi="Times New Roman" w:cs="Times New Roman"/>
          <w:color w:val="auto"/>
          <w:spacing w:val="0"/>
          <w:kern w:val="2"/>
          <w:sz w:val="24"/>
          <w:szCs w:val="24"/>
          <w:highlight w:val="none"/>
        </w:rPr>
        <w:t>/a</w:t>
      </w:r>
      <w:r>
        <w:rPr>
          <w:rFonts w:hint="default" w:ascii="Times New Roman" w:hAnsi="Times New Roman" w:eastAsia="宋体" w:cs="Times New Roman"/>
          <w:color w:val="auto"/>
          <w:spacing w:val="0"/>
          <w:kern w:val="2"/>
          <w:sz w:val="24"/>
          <w:szCs w:val="24"/>
          <w:highlight w:val="none"/>
          <w:lang w:eastAsia="zh-CN"/>
        </w:rPr>
        <w:t>（</w:t>
      </w:r>
      <w:r>
        <w:rPr>
          <w:rFonts w:hint="default" w:ascii="Times New Roman" w:hAnsi="Times New Roman" w:cs="Times New Roman"/>
          <w:color w:val="auto"/>
          <w:spacing w:val="0"/>
          <w:kern w:val="2"/>
          <w:sz w:val="24"/>
          <w:szCs w:val="24"/>
          <w:highlight w:val="none"/>
          <w:lang w:val="en-US" w:eastAsia="zh-CN"/>
        </w:rPr>
        <w:t>1.12</w:t>
      </w:r>
      <w:r>
        <w:rPr>
          <w:rFonts w:hint="default" w:ascii="Times New Roman" w:hAnsi="Times New Roman" w:cs="Times New Roman"/>
          <w:color w:val="auto"/>
          <w:spacing w:val="0"/>
          <w:kern w:val="2"/>
          <w:sz w:val="24"/>
          <w:szCs w:val="24"/>
          <w:highlight w:val="none"/>
        </w:rPr>
        <w:t>m</w:t>
      </w:r>
      <w:r>
        <w:rPr>
          <w:rFonts w:hint="default" w:ascii="Times New Roman" w:hAnsi="Times New Roman" w:cs="Times New Roman"/>
          <w:color w:val="auto"/>
          <w:spacing w:val="0"/>
          <w:kern w:val="2"/>
          <w:sz w:val="24"/>
          <w:szCs w:val="24"/>
          <w:highlight w:val="none"/>
          <w:vertAlign w:val="superscript"/>
        </w:rPr>
        <w:t>3</w:t>
      </w:r>
      <w:r>
        <w:rPr>
          <w:rFonts w:hint="default" w:ascii="Times New Roman" w:hAnsi="Times New Roman" w:cs="Times New Roman"/>
          <w:color w:val="auto"/>
          <w:spacing w:val="0"/>
          <w:kern w:val="2"/>
          <w:sz w:val="24"/>
          <w:szCs w:val="24"/>
          <w:highlight w:val="none"/>
        </w:rPr>
        <w:t>/d</w:t>
      </w:r>
      <w:r>
        <w:rPr>
          <w:rFonts w:hint="default" w:ascii="Times New Roman" w:hAnsi="Times New Roman" w:eastAsia="宋体" w:cs="Times New Roman"/>
          <w:color w:val="auto"/>
          <w:spacing w:val="0"/>
          <w:kern w:val="2"/>
          <w:sz w:val="24"/>
          <w:szCs w:val="24"/>
          <w:highlight w:val="none"/>
          <w:lang w:eastAsia="zh-CN"/>
        </w:rPr>
        <w:t>）</w:t>
      </w:r>
      <w:r>
        <w:rPr>
          <w:rFonts w:hint="default" w:ascii="Times New Roman" w:hAnsi="Times New Roman" w:cs="Times New Roman"/>
          <w:color w:val="auto"/>
          <w:spacing w:val="0"/>
          <w:kern w:val="2"/>
          <w:sz w:val="24"/>
          <w:szCs w:val="24"/>
          <w:highlight w:val="none"/>
        </w:rPr>
        <w:t>，则待宰</w:t>
      </w:r>
      <w:r>
        <w:rPr>
          <w:rFonts w:hint="default" w:ascii="Times New Roman" w:hAnsi="Times New Roman" w:cs="Times New Roman"/>
          <w:color w:val="auto"/>
          <w:spacing w:val="0"/>
          <w:kern w:val="2"/>
          <w:sz w:val="24"/>
          <w:szCs w:val="24"/>
          <w:highlight w:val="none"/>
          <w:lang w:val="en-US" w:eastAsia="zh-CN"/>
        </w:rPr>
        <w:t>圈</w:t>
      </w:r>
      <w:r>
        <w:rPr>
          <w:rFonts w:hint="default" w:ascii="Times New Roman" w:hAnsi="Times New Roman" w:cs="Times New Roman"/>
          <w:color w:val="auto"/>
          <w:spacing w:val="0"/>
          <w:kern w:val="2"/>
          <w:sz w:val="24"/>
          <w:szCs w:val="24"/>
          <w:highlight w:val="none"/>
        </w:rPr>
        <w:t>冲洗排水量为</w:t>
      </w:r>
      <w:r>
        <w:rPr>
          <w:rFonts w:hint="default" w:ascii="Times New Roman" w:hAnsi="Times New Roman" w:cs="Times New Roman"/>
          <w:color w:val="auto"/>
          <w:spacing w:val="0"/>
          <w:kern w:val="2"/>
          <w:sz w:val="24"/>
          <w:szCs w:val="24"/>
          <w:highlight w:val="none"/>
          <w:lang w:val="en-US" w:eastAsia="zh-CN"/>
        </w:rPr>
        <w:t>1589</w:t>
      </w:r>
      <w:r>
        <w:rPr>
          <w:rFonts w:hint="default" w:ascii="Times New Roman" w:hAnsi="Times New Roman" w:cs="Times New Roman"/>
          <w:color w:val="auto"/>
          <w:spacing w:val="0"/>
          <w:kern w:val="2"/>
          <w:sz w:val="24"/>
          <w:szCs w:val="24"/>
          <w:highlight w:val="none"/>
        </w:rPr>
        <w:t>m</w:t>
      </w:r>
      <w:r>
        <w:rPr>
          <w:rFonts w:hint="default" w:ascii="Times New Roman" w:hAnsi="Times New Roman" w:cs="Times New Roman"/>
          <w:color w:val="auto"/>
          <w:spacing w:val="0"/>
          <w:kern w:val="2"/>
          <w:sz w:val="24"/>
          <w:szCs w:val="24"/>
          <w:highlight w:val="none"/>
          <w:vertAlign w:val="superscript"/>
        </w:rPr>
        <w:t>3</w:t>
      </w:r>
      <w:r>
        <w:rPr>
          <w:rFonts w:hint="default" w:ascii="Times New Roman" w:hAnsi="Times New Roman" w:cs="Times New Roman"/>
          <w:color w:val="auto"/>
          <w:spacing w:val="0"/>
          <w:kern w:val="2"/>
          <w:sz w:val="24"/>
          <w:szCs w:val="24"/>
          <w:highlight w:val="none"/>
        </w:rPr>
        <w:t>/a</w:t>
      </w:r>
      <w:r>
        <w:rPr>
          <w:rFonts w:hint="default" w:ascii="Times New Roman" w:hAnsi="Times New Roman" w:eastAsia="宋体" w:cs="Times New Roman"/>
          <w:color w:val="auto"/>
          <w:spacing w:val="0"/>
          <w:kern w:val="2"/>
          <w:sz w:val="24"/>
          <w:szCs w:val="24"/>
          <w:highlight w:val="none"/>
          <w:lang w:eastAsia="zh-CN"/>
        </w:rPr>
        <w:t>（</w:t>
      </w:r>
      <w:r>
        <w:rPr>
          <w:rFonts w:hint="default" w:ascii="Times New Roman" w:hAnsi="Times New Roman" w:cs="Times New Roman"/>
          <w:color w:val="auto"/>
          <w:spacing w:val="0"/>
          <w:kern w:val="2"/>
          <w:sz w:val="24"/>
          <w:szCs w:val="24"/>
          <w:highlight w:val="none"/>
          <w:lang w:val="en-US" w:eastAsia="zh-CN"/>
        </w:rPr>
        <w:t>4.67</w:t>
      </w:r>
      <w:r>
        <w:rPr>
          <w:rFonts w:hint="default" w:ascii="Times New Roman" w:hAnsi="Times New Roman" w:cs="Times New Roman"/>
          <w:color w:val="auto"/>
          <w:spacing w:val="0"/>
          <w:kern w:val="2"/>
          <w:sz w:val="24"/>
          <w:szCs w:val="24"/>
          <w:highlight w:val="none"/>
        </w:rPr>
        <w:t>m</w:t>
      </w:r>
      <w:r>
        <w:rPr>
          <w:rFonts w:hint="default" w:ascii="Times New Roman" w:hAnsi="Times New Roman" w:cs="Times New Roman"/>
          <w:color w:val="auto"/>
          <w:spacing w:val="0"/>
          <w:kern w:val="2"/>
          <w:sz w:val="24"/>
          <w:szCs w:val="24"/>
          <w:highlight w:val="none"/>
          <w:vertAlign w:val="superscript"/>
        </w:rPr>
        <w:t>3</w:t>
      </w:r>
      <w:r>
        <w:rPr>
          <w:rFonts w:hint="default" w:ascii="Times New Roman" w:hAnsi="Times New Roman" w:cs="Times New Roman"/>
          <w:color w:val="auto"/>
          <w:spacing w:val="0"/>
          <w:kern w:val="2"/>
          <w:sz w:val="24"/>
          <w:szCs w:val="24"/>
          <w:highlight w:val="none"/>
        </w:rPr>
        <w:t>/d</w:t>
      </w:r>
      <w:r>
        <w:rPr>
          <w:rFonts w:hint="default" w:ascii="Times New Roman" w:hAnsi="Times New Roman" w:eastAsia="宋体" w:cs="Times New Roman"/>
          <w:color w:val="auto"/>
          <w:spacing w:val="0"/>
          <w:kern w:val="2"/>
          <w:sz w:val="24"/>
          <w:szCs w:val="24"/>
          <w:highlight w:val="none"/>
          <w:lang w:eastAsia="zh-CN"/>
        </w:rPr>
        <w:t>）</w:t>
      </w:r>
      <w:r>
        <w:rPr>
          <w:rFonts w:hint="default" w:ascii="Times New Roman" w:hAnsi="Times New Roman" w:cs="Times New Roman"/>
          <w:color w:val="auto"/>
          <w:spacing w:val="0"/>
          <w:kern w:val="2"/>
          <w:sz w:val="24"/>
          <w:szCs w:val="24"/>
          <w:highlight w:val="none"/>
        </w:rPr>
        <w:t>。</w:t>
      </w:r>
      <w:r>
        <w:rPr>
          <w:rFonts w:hint="eastAsia" w:ascii="Times New Roman" w:hAnsi="Times New Roman" w:eastAsia="宋体" w:cs="Times New Roman"/>
          <w:color w:val="auto"/>
          <w:spacing w:val="0"/>
          <w:kern w:val="2"/>
          <w:sz w:val="24"/>
          <w:szCs w:val="24"/>
          <w:highlight w:val="none"/>
          <w:lang w:val="en-US" w:eastAsia="zh-CN"/>
        </w:rPr>
        <w:t>扩建后全厂年屠宰160000头，</w:t>
      </w:r>
      <w:r>
        <w:rPr>
          <w:rFonts w:hint="default" w:ascii="Times New Roman" w:hAnsi="Times New Roman" w:cs="Times New Roman"/>
          <w:color w:val="auto"/>
          <w:spacing w:val="0"/>
          <w:kern w:val="2"/>
          <w:szCs w:val="24"/>
          <w:highlight w:val="none"/>
        </w:rPr>
        <w:t>则待宰</w:t>
      </w:r>
      <w:r>
        <w:rPr>
          <w:rFonts w:hint="default" w:ascii="Times New Roman" w:hAnsi="Times New Roman" w:cs="Times New Roman"/>
          <w:color w:val="auto"/>
          <w:spacing w:val="0"/>
          <w:kern w:val="2"/>
          <w:szCs w:val="24"/>
          <w:highlight w:val="none"/>
          <w:lang w:val="en-US" w:eastAsia="zh-CN"/>
        </w:rPr>
        <w:t>圈</w:t>
      </w:r>
      <w:r>
        <w:rPr>
          <w:rFonts w:hint="default" w:ascii="Times New Roman" w:hAnsi="Times New Roman" w:cs="Times New Roman"/>
          <w:color w:val="auto"/>
          <w:spacing w:val="0"/>
          <w:kern w:val="2"/>
          <w:szCs w:val="24"/>
          <w:highlight w:val="none"/>
        </w:rPr>
        <w:t>排水量为</w:t>
      </w:r>
      <w:r>
        <w:rPr>
          <w:rFonts w:hint="eastAsia" w:ascii="Times New Roman" w:hAnsi="Times New Roman" w:cs="Times New Roman"/>
          <w:color w:val="auto"/>
          <w:spacing w:val="0"/>
          <w:kern w:val="2"/>
          <w:szCs w:val="24"/>
          <w:highlight w:val="none"/>
          <w:lang w:val="en-US" w:eastAsia="zh-CN"/>
        </w:rPr>
        <w:t>1280</w:t>
      </w:r>
      <w:r>
        <w:rPr>
          <w:rFonts w:hint="default" w:ascii="Times New Roman" w:hAnsi="Times New Roman" w:cs="Times New Roman"/>
          <w:color w:val="auto"/>
          <w:spacing w:val="0"/>
          <w:kern w:val="2"/>
          <w:szCs w:val="24"/>
          <w:highlight w:val="none"/>
        </w:rPr>
        <w:t>m</w:t>
      </w:r>
      <w:r>
        <w:rPr>
          <w:rFonts w:hint="default" w:ascii="Times New Roman" w:hAnsi="Times New Roman" w:cs="Times New Roman"/>
          <w:color w:val="auto"/>
          <w:spacing w:val="0"/>
          <w:kern w:val="2"/>
          <w:szCs w:val="24"/>
          <w:highlight w:val="none"/>
          <w:vertAlign w:val="superscript"/>
        </w:rPr>
        <w:t>3</w:t>
      </w:r>
      <w:r>
        <w:rPr>
          <w:rFonts w:hint="default" w:ascii="Times New Roman" w:hAnsi="Times New Roman" w:cs="Times New Roman"/>
          <w:color w:val="auto"/>
          <w:spacing w:val="0"/>
          <w:kern w:val="2"/>
          <w:szCs w:val="24"/>
          <w:highlight w:val="none"/>
        </w:rPr>
        <w:t>/a</w:t>
      </w:r>
      <w:r>
        <w:rPr>
          <w:rFonts w:hint="default" w:ascii="Times New Roman" w:hAnsi="Times New Roman" w:eastAsia="宋体" w:cs="Times New Roman"/>
          <w:color w:val="auto"/>
          <w:spacing w:val="0"/>
          <w:kern w:val="2"/>
          <w:szCs w:val="24"/>
          <w:highlight w:val="none"/>
          <w:lang w:eastAsia="zh-CN"/>
        </w:rPr>
        <w:t>（</w:t>
      </w:r>
      <w:r>
        <w:rPr>
          <w:rFonts w:hint="eastAsia" w:ascii="Times New Roman" w:hAnsi="Times New Roman" w:cs="Times New Roman"/>
          <w:color w:val="auto"/>
          <w:spacing w:val="0"/>
          <w:kern w:val="2"/>
          <w:szCs w:val="24"/>
          <w:highlight w:val="none"/>
          <w:lang w:val="en-US" w:eastAsia="zh-CN"/>
        </w:rPr>
        <w:t>3.76</w:t>
      </w:r>
      <w:r>
        <w:rPr>
          <w:rFonts w:hint="default" w:ascii="Times New Roman" w:hAnsi="Times New Roman" w:cs="Times New Roman"/>
          <w:color w:val="auto"/>
          <w:spacing w:val="0"/>
          <w:kern w:val="2"/>
          <w:szCs w:val="24"/>
          <w:highlight w:val="none"/>
        </w:rPr>
        <w:t>m</w:t>
      </w:r>
      <w:r>
        <w:rPr>
          <w:rFonts w:hint="default" w:ascii="Times New Roman" w:hAnsi="Times New Roman" w:cs="Times New Roman"/>
          <w:color w:val="auto"/>
          <w:spacing w:val="0"/>
          <w:kern w:val="2"/>
          <w:szCs w:val="24"/>
          <w:highlight w:val="none"/>
          <w:vertAlign w:val="superscript"/>
        </w:rPr>
        <w:t>3</w:t>
      </w:r>
      <w:r>
        <w:rPr>
          <w:rFonts w:hint="default" w:ascii="Times New Roman" w:hAnsi="Times New Roman" w:cs="Times New Roman"/>
          <w:color w:val="auto"/>
          <w:spacing w:val="0"/>
          <w:kern w:val="2"/>
          <w:szCs w:val="24"/>
          <w:highlight w:val="none"/>
        </w:rPr>
        <w:t>/d</w:t>
      </w:r>
      <w:r>
        <w:rPr>
          <w:rFonts w:hint="default" w:ascii="Times New Roman" w:hAnsi="Times New Roman" w:eastAsia="宋体" w:cs="Times New Roman"/>
          <w:color w:val="auto"/>
          <w:spacing w:val="0"/>
          <w:kern w:val="2"/>
          <w:szCs w:val="24"/>
          <w:highlight w:val="none"/>
          <w:lang w:eastAsia="zh-CN"/>
        </w:rPr>
        <w:t>）</w:t>
      </w:r>
      <w:r>
        <w:rPr>
          <w:rFonts w:hint="eastAsia" w:ascii="Times New Roman" w:hAnsi="Times New Roman" w:eastAsia="宋体" w:cs="Times New Roman"/>
          <w:color w:val="auto"/>
          <w:spacing w:val="0"/>
          <w:kern w:val="2"/>
          <w:szCs w:val="24"/>
          <w:highlight w:val="none"/>
          <w:lang w:eastAsia="zh-CN"/>
        </w:rPr>
        <w:t>，</w:t>
      </w:r>
      <w:r>
        <w:rPr>
          <w:rFonts w:hint="default" w:ascii="Times New Roman" w:hAnsi="Times New Roman" w:cs="Times New Roman"/>
          <w:color w:val="auto"/>
          <w:spacing w:val="0"/>
          <w:kern w:val="2"/>
          <w:szCs w:val="24"/>
          <w:highlight w:val="none"/>
        </w:rPr>
        <w:t>产生尿液量</w:t>
      </w:r>
      <w:r>
        <w:rPr>
          <w:rFonts w:hint="default" w:ascii="Times New Roman" w:hAnsi="Times New Roman" w:cs="Times New Roman"/>
          <w:color w:val="auto"/>
          <w:spacing w:val="0"/>
          <w:kern w:val="2"/>
          <w:sz w:val="24"/>
          <w:szCs w:val="24"/>
          <w:highlight w:val="none"/>
        </w:rPr>
        <w:t>为</w:t>
      </w:r>
      <w:r>
        <w:rPr>
          <w:rFonts w:hint="eastAsia" w:ascii="Times New Roman" w:hAnsi="Times New Roman" w:eastAsia="宋体" w:cs="Times New Roman"/>
          <w:color w:val="auto"/>
          <w:spacing w:val="0"/>
          <w:kern w:val="2"/>
          <w:sz w:val="24"/>
          <w:szCs w:val="24"/>
          <w:highlight w:val="none"/>
          <w:lang w:val="en-US" w:eastAsia="zh-CN"/>
        </w:rPr>
        <w:t>403.71</w:t>
      </w:r>
      <w:r>
        <w:rPr>
          <w:rFonts w:hint="default" w:ascii="Times New Roman" w:hAnsi="Times New Roman" w:cs="Times New Roman"/>
          <w:color w:val="auto"/>
          <w:spacing w:val="0"/>
          <w:kern w:val="2"/>
          <w:sz w:val="24"/>
          <w:szCs w:val="24"/>
          <w:highlight w:val="none"/>
        </w:rPr>
        <w:t>m</w:t>
      </w:r>
      <w:r>
        <w:rPr>
          <w:rFonts w:hint="default" w:ascii="Times New Roman" w:hAnsi="Times New Roman" w:cs="Times New Roman"/>
          <w:color w:val="auto"/>
          <w:spacing w:val="0"/>
          <w:kern w:val="2"/>
          <w:sz w:val="24"/>
          <w:szCs w:val="24"/>
          <w:highlight w:val="none"/>
          <w:vertAlign w:val="superscript"/>
        </w:rPr>
        <w:t>3</w:t>
      </w:r>
      <w:r>
        <w:rPr>
          <w:rFonts w:hint="default" w:ascii="Times New Roman" w:hAnsi="Times New Roman" w:cs="Times New Roman"/>
          <w:color w:val="auto"/>
          <w:spacing w:val="0"/>
          <w:kern w:val="2"/>
          <w:sz w:val="24"/>
          <w:szCs w:val="24"/>
          <w:highlight w:val="none"/>
        </w:rPr>
        <w:t>/a</w:t>
      </w:r>
      <w:r>
        <w:rPr>
          <w:rFonts w:hint="default" w:ascii="Times New Roman" w:hAnsi="Times New Roman" w:eastAsia="宋体" w:cs="Times New Roman"/>
          <w:color w:val="auto"/>
          <w:spacing w:val="0"/>
          <w:kern w:val="2"/>
          <w:sz w:val="24"/>
          <w:szCs w:val="24"/>
          <w:highlight w:val="none"/>
          <w:lang w:eastAsia="zh-CN"/>
        </w:rPr>
        <w:t>（</w:t>
      </w:r>
      <w:r>
        <w:rPr>
          <w:rFonts w:hint="default" w:ascii="Times New Roman" w:hAnsi="Times New Roman" w:cs="Times New Roman"/>
          <w:color w:val="auto"/>
          <w:spacing w:val="0"/>
          <w:kern w:val="2"/>
          <w:sz w:val="24"/>
          <w:szCs w:val="24"/>
          <w:highlight w:val="none"/>
          <w:lang w:val="en-US" w:eastAsia="zh-CN"/>
        </w:rPr>
        <w:t>1.</w:t>
      </w:r>
      <w:r>
        <w:rPr>
          <w:rFonts w:hint="eastAsia" w:ascii="Times New Roman" w:hAnsi="Times New Roman" w:cs="Times New Roman"/>
          <w:color w:val="auto"/>
          <w:spacing w:val="0"/>
          <w:kern w:val="2"/>
          <w:sz w:val="24"/>
          <w:szCs w:val="24"/>
          <w:highlight w:val="none"/>
          <w:lang w:val="en-US" w:eastAsia="zh-CN"/>
        </w:rPr>
        <w:t>19</w:t>
      </w:r>
      <w:r>
        <w:rPr>
          <w:rFonts w:hint="default" w:ascii="Times New Roman" w:hAnsi="Times New Roman" w:cs="Times New Roman"/>
          <w:color w:val="auto"/>
          <w:spacing w:val="0"/>
          <w:kern w:val="2"/>
          <w:sz w:val="24"/>
          <w:szCs w:val="24"/>
          <w:highlight w:val="none"/>
        </w:rPr>
        <w:t>m</w:t>
      </w:r>
      <w:r>
        <w:rPr>
          <w:rFonts w:hint="default" w:ascii="Times New Roman" w:hAnsi="Times New Roman" w:cs="Times New Roman"/>
          <w:color w:val="auto"/>
          <w:spacing w:val="0"/>
          <w:kern w:val="2"/>
          <w:sz w:val="24"/>
          <w:szCs w:val="24"/>
          <w:highlight w:val="none"/>
          <w:vertAlign w:val="superscript"/>
        </w:rPr>
        <w:t>3</w:t>
      </w:r>
      <w:r>
        <w:rPr>
          <w:rFonts w:hint="default" w:ascii="Times New Roman" w:hAnsi="Times New Roman" w:cs="Times New Roman"/>
          <w:color w:val="auto"/>
          <w:spacing w:val="0"/>
          <w:kern w:val="2"/>
          <w:sz w:val="24"/>
          <w:szCs w:val="24"/>
          <w:highlight w:val="none"/>
        </w:rPr>
        <w:t>/d</w:t>
      </w:r>
      <w:r>
        <w:rPr>
          <w:rFonts w:hint="default" w:ascii="Times New Roman" w:hAnsi="Times New Roman" w:eastAsia="宋体" w:cs="Times New Roman"/>
          <w:color w:val="auto"/>
          <w:spacing w:val="0"/>
          <w:kern w:val="2"/>
          <w:sz w:val="24"/>
          <w:szCs w:val="24"/>
          <w:highlight w:val="none"/>
          <w:lang w:eastAsia="zh-CN"/>
        </w:rPr>
        <w:t>）</w:t>
      </w:r>
      <w:r>
        <w:rPr>
          <w:rFonts w:hint="default" w:ascii="Times New Roman" w:hAnsi="Times New Roman" w:cs="Times New Roman"/>
          <w:color w:val="auto"/>
          <w:spacing w:val="0"/>
          <w:kern w:val="2"/>
          <w:sz w:val="24"/>
          <w:szCs w:val="24"/>
          <w:highlight w:val="none"/>
        </w:rPr>
        <w:t>，则待宰</w:t>
      </w:r>
      <w:r>
        <w:rPr>
          <w:rFonts w:hint="default" w:ascii="Times New Roman" w:hAnsi="Times New Roman" w:cs="Times New Roman"/>
          <w:color w:val="auto"/>
          <w:spacing w:val="0"/>
          <w:kern w:val="2"/>
          <w:sz w:val="24"/>
          <w:szCs w:val="24"/>
          <w:highlight w:val="none"/>
          <w:lang w:val="en-US" w:eastAsia="zh-CN"/>
        </w:rPr>
        <w:t>圈</w:t>
      </w:r>
      <w:r>
        <w:rPr>
          <w:rFonts w:hint="default" w:ascii="Times New Roman" w:hAnsi="Times New Roman" w:cs="Times New Roman"/>
          <w:color w:val="auto"/>
          <w:spacing w:val="0"/>
          <w:kern w:val="2"/>
          <w:sz w:val="24"/>
          <w:szCs w:val="24"/>
          <w:highlight w:val="none"/>
        </w:rPr>
        <w:t>冲洗排水量为</w:t>
      </w:r>
      <w:r>
        <w:rPr>
          <w:rFonts w:hint="eastAsia" w:ascii="Times New Roman" w:hAnsi="Times New Roman" w:cs="Times New Roman"/>
          <w:color w:val="auto"/>
          <w:spacing w:val="0"/>
          <w:kern w:val="2"/>
          <w:sz w:val="24"/>
          <w:szCs w:val="24"/>
          <w:highlight w:val="none"/>
          <w:lang w:val="en-US" w:eastAsia="zh-CN"/>
        </w:rPr>
        <w:t>1683.71</w:t>
      </w:r>
      <w:r>
        <w:rPr>
          <w:rFonts w:hint="default" w:ascii="Times New Roman" w:hAnsi="Times New Roman" w:cs="Times New Roman"/>
          <w:color w:val="auto"/>
          <w:spacing w:val="0"/>
          <w:kern w:val="2"/>
          <w:sz w:val="24"/>
          <w:szCs w:val="24"/>
          <w:highlight w:val="none"/>
        </w:rPr>
        <w:t>m</w:t>
      </w:r>
      <w:r>
        <w:rPr>
          <w:rFonts w:hint="default" w:ascii="Times New Roman" w:hAnsi="Times New Roman" w:cs="Times New Roman"/>
          <w:color w:val="auto"/>
          <w:spacing w:val="0"/>
          <w:kern w:val="2"/>
          <w:sz w:val="24"/>
          <w:szCs w:val="24"/>
          <w:highlight w:val="none"/>
          <w:vertAlign w:val="superscript"/>
        </w:rPr>
        <w:t>3</w:t>
      </w:r>
      <w:r>
        <w:rPr>
          <w:rFonts w:hint="default" w:ascii="Times New Roman" w:hAnsi="Times New Roman" w:cs="Times New Roman"/>
          <w:color w:val="auto"/>
          <w:spacing w:val="0"/>
          <w:kern w:val="2"/>
          <w:sz w:val="24"/>
          <w:szCs w:val="24"/>
          <w:highlight w:val="none"/>
        </w:rPr>
        <w:t>/a</w:t>
      </w:r>
      <w:r>
        <w:rPr>
          <w:rFonts w:hint="default" w:ascii="Times New Roman" w:hAnsi="Times New Roman" w:eastAsia="宋体" w:cs="Times New Roman"/>
          <w:color w:val="auto"/>
          <w:spacing w:val="0"/>
          <w:kern w:val="2"/>
          <w:sz w:val="24"/>
          <w:szCs w:val="24"/>
          <w:highlight w:val="none"/>
          <w:lang w:eastAsia="zh-CN"/>
        </w:rPr>
        <w:t>（</w:t>
      </w:r>
      <w:r>
        <w:rPr>
          <w:rFonts w:hint="eastAsia" w:ascii="Times New Roman" w:hAnsi="Times New Roman" w:cs="Times New Roman"/>
          <w:color w:val="auto"/>
          <w:spacing w:val="0"/>
          <w:kern w:val="2"/>
          <w:sz w:val="24"/>
          <w:szCs w:val="24"/>
          <w:highlight w:val="none"/>
          <w:lang w:val="en-US" w:eastAsia="zh-CN"/>
        </w:rPr>
        <w:t>4.95</w:t>
      </w:r>
      <w:r>
        <w:rPr>
          <w:rFonts w:hint="default" w:ascii="Times New Roman" w:hAnsi="Times New Roman" w:cs="Times New Roman"/>
          <w:color w:val="auto"/>
          <w:spacing w:val="0"/>
          <w:kern w:val="2"/>
          <w:sz w:val="24"/>
          <w:szCs w:val="24"/>
          <w:highlight w:val="none"/>
        </w:rPr>
        <w:t>m</w:t>
      </w:r>
      <w:r>
        <w:rPr>
          <w:rFonts w:hint="default" w:ascii="Times New Roman" w:hAnsi="Times New Roman" w:cs="Times New Roman"/>
          <w:color w:val="auto"/>
          <w:spacing w:val="0"/>
          <w:kern w:val="2"/>
          <w:sz w:val="24"/>
          <w:szCs w:val="24"/>
          <w:highlight w:val="none"/>
          <w:vertAlign w:val="superscript"/>
        </w:rPr>
        <w:t>3</w:t>
      </w:r>
      <w:r>
        <w:rPr>
          <w:rFonts w:hint="default" w:ascii="Times New Roman" w:hAnsi="Times New Roman" w:cs="Times New Roman"/>
          <w:color w:val="auto"/>
          <w:spacing w:val="0"/>
          <w:kern w:val="2"/>
          <w:sz w:val="24"/>
          <w:szCs w:val="24"/>
          <w:highlight w:val="none"/>
        </w:rPr>
        <w:t>/d</w:t>
      </w:r>
      <w:r>
        <w:rPr>
          <w:rFonts w:hint="default" w:ascii="Times New Roman" w:hAnsi="Times New Roman" w:eastAsia="宋体" w:cs="Times New Roman"/>
          <w:color w:val="auto"/>
          <w:spacing w:val="0"/>
          <w:kern w:val="2"/>
          <w:sz w:val="24"/>
          <w:szCs w:val="24"/>
          <w:highlight w:val="none"/>
          <w:lang w:eastAsia="zh-CN"/>
        </w:rPr>
        <w:t>）</w:t>
      </w:r>
      <w:r>
        <w:rPr>
          <w:rFonts w:hint="eastAsia" w:ascii="Times New Roman" w:hAnsi="Times New Roman" w:eastAsia="宋体" w:cs="Times New Roman"/>
          <w:color w:val="auto"/>
          <w:spacing w:val="0"/>
          <w:kern w:val="2"/>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1"/>
        <w:rPr>
          <w:rFonts w:hint="default" w:ascii="Times New Roman" w:hAnsi="Times New Roman" w:eastAsia="宋体" w:cs="Times New Roman"/>
          <w:b w:val="0"/>
          <w:bCs w:val="0"/>
          <w:color w:val="auto"/>
          <w:sz w:val="24"/>
          <w:szCs w:val="24"/>
          <w:lang w:val="en-US" w:eastAsia="zh-CN"/>
        </w:rPr>
      </w:pPr>
      <w:bookmarkStart w:id="90" w:name="_Toc19178"/>
      <w:bookmarkStart w:id="91" w:name="_Toc2239"/>
      <w:bookmarkStart w:id="92" w:name="_Toc28785"/>
      <w:r>
        <w:rPr>
          <w:rFonts w:hint="default" w:ascii="Times New Roman" w:hAnsi="Times New Roman" w:eastAsia="宋体" w:cs="Times New Roman"/>
          <w:b w:val="0"/>
          <w:bCs w:val="0"/>
          <w:color w:val="auto"/>
          <w:sz w:val="24"/>
          <w:szCs w:val="24"/>
          <w:lang w:val="en-US" w:eastAsia="zh-CN"/>
        </w:rPr>
        <w:fldChar w:fldCharType="begin"/>
      </w:r>
      <w:r>
        <w:rPr>
          <w:rFonts w:hint="default" w:ascii="Times New Roman" w:hAnsi="Times New Roman" w:eastAsia="宋体" w:cs="Times New Roman"/>
          <w:b w:val="0"/>
          <w:bCs w:val="0"/>
          <w:color w:val="auto"/>
          <w:sz w:val="24"/>
          <w:szCs w:val="24"/>
          <w:lang w:val="en-US" w:eastAsia="zh-CN"/>
        </w:rPr>
        <w:instrText xml:space="preserve"> = 2 \* GB3 \* MERGEFORMAT </w:instrText>
      </w:r>
      <w:r>
        <w:rPr>
          <w:rFonts w:hint="default" w:ascii="Times New Roman" w:hAnsi="Times New Roman" w:eastAsia="宋体" w:cs="Times New Roman"/>
          <w:b w:val="0"/>
          <w:bCs w:val="0"/>
          <w:color w:val="auto"/>
          <w:sz w:val="24"/>
          <w:szCs w:val="24"/>
          <w:lang w:val="en-US" w:eastAsia="zh-CN"/>
        </w:rPr>
        <w:fldChar w:fldCharType="separate"/>
      </w:r>
      <w:r>
        <w:rPr>
          <w:rFonts w:hint="default" w:ascii="Times New Roman" w:hAnsi="Times New Roman" w:eastAsia="宋体" w:cs="Times New Roman"/>
          <w:b w:val="0"/>
          <w:bCs w:val="0"/>
          <w:color w:val="auto"/>
          <w:sz w:val="24"/>
          <w:szCs w:val="24"/>
          <w:lang w:val="en-US" w:eastAsia="zh-CN"/>
        </w:rPr>
        <w:t>②</w:t>
      </w:r>
      <w:r>
        <w:rPr>
          <w:rFonts w:hint="default" w:ascii="Times New Roman" w:hAnsi="Times New Roman" w:eastAsia="宋体" w:cs="Times New Roman"/>
          <w:b w:val="0"/>
          <w:bCs w:val="0"/>
          <w:color w:val="auto"/>
          <w:sz w:val="24"/>
          <w:szCs w:val="24"/>
          <w:lang w:val="en-US" w:eastAsia="zh-CN"/>
        </w:rPr>
        <w:fldChar w:fldCharType="end"/>
      </w:r>
      <w:r>
        <w:rPr>
          <w:rFonts w:hint="default" w:ascii="Times New Roman" w:hAnsi="Times New Roman" w:eastAsia="宋体" w:cs="Times New Roman"/>
          <w:b w:val="0"/>
          <w:bCs w:val="0"/>
          <w:color w:val="auto"/>
          <w:sz w:val="24"/>
          <w:szCs w:val="24"/>
          <w:lang w:val="en-US" w:eastAsia="zh-CN"/>
        </w:rPr>
        <w:t>屠宰车间排水</w:t>
      </w:r>
      <w:bookmarkEnd w:id="90"/>
      <w:bookmarkEnd w:id="91"/>
      <w:bookmarkEnd w:id="92"/>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pacing w:val="0"/>
          <w:sz w:val="24"/>
          <w:szCs w:val="24"/>
        </w:rPr>
        <w:t>屠宰车间排水水量以用水量的80%计，排水量为</w:t>
      </w:r>
      <w:r>
        <w:rPr>
          <w:rFonts w:hint="default" w:ascii="Times New Roman" w:hAnsi="Times New Roman" w:eastAsia="宋体" w:cs="Times New Roman"/>
          <w:color w:val="auto"/>
          <w:spacing w:val="0"/>
          <w:sz w:val="24"/>
          <w:szCs w:val="24"/>
          <w:lang w:val="en-US" w:eastAsia="zh-CN"/>
        </w:rPr>
        <w:t>72407.52</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w:t>
      </w:r>
      <w:r>
        <w:rPr>
          <w:rFonts w:hint="default" w:ascii="Times New Roman" w:hAnsi="Times New Roman" w:cs="Times New Roman"/>
          <w:color w:val="auto"/>
          <w:sz w:val="24"/>
          <w:lang w:val="en-US" w:eastAsia="zh-CN"/>
        </w:rPr>
        <w:t>（212.96</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default" w:ascii="Times New Roman" w:hAnsi="Times New Roman" w:eastAsia="宋体" w:cs="Times New Roman"/>
          <w:color w:val="auto"/>
          <w:sz w:val="24"/>
          <w:lang w:val="en-US" w:eastAsia="zh-CN"/>
        </w:rPr>
        <w:t>d）</w:t>
      </w:r>
      <w:r>
        <w:rPr>
          <w:rFonts w:hint="default" w:ascii="Times New Roman" w:hAnsi="Times New Roman" w:cs="Times New Roman"/>
          <w:color w:val="auto"/>
          <w:spacing w:val="0"/>
          <w:sz w:val="24"/>
          <w:szCs w:val="24"/>
        </w:rPr>
        <w:t>。</w:t>
      </w:r>
      <w:r>
        <w:rPr>
          <w:rFonts w:hint="default" w:ascii="Times New Roman" w:hAnsi="Times New Roman" w:cs="Times New Roman"/>
          <w:color w:val="auto"/>
          <w:sz w:val="24"/>
          <w:lang w:eastAsia="zh-CN"/>
        </w:rPr>
        <w:t>其中屠宰加工冲洗排水为</w:t>
      </w:r>
      <w:r>
        <w:rPr>
          <w:rFonts w:hint="default" w:ascii="Times New Roman" w:hAnsi="Times New Roman" w:eastAsia="宋体" w:cs="Times New Roman"/>
          <w:color w:val="auto"/>
          <w:spacing w:val="0"/>
          <w:sz w:val="24"/>
          <w:szCs w:val="24"/>
          <w:lang w:val="en-US" w:eastAsia="zh-CN"/>
        </w:rPr>
        <w:t>57926.02</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w:t>
      </w:r>
      <w:r>
        <w:rPr>
          <w:rFonts w:hint="default" w:ascii="Times New Roman" w:hAnsi="Times New Roman" w:cs="Times New Roman"/>
          <w:color w:val="auto"/>
          <w:sz w:val="24"/>
          <w:lang w:val="en-US" w:eastAsia="zh-CN"/>
        </w:rPr>
        <w:t>（170.37</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default" w:ascii="Times New Roman" w:hAnsi="Times New Roman" w:eastAsia="宋体" w:cs="Times New Roman"/>
          <w:color w:val="auto"/>
          <w:sz w:val="24"/>
          <w:lang w:val="en-US" w:eastAsia="zh-CN"/>
        </w:rPr>
        <w:t>d）</w:t>
      </w:r>
      <w:r>
        <w:rPr>
          <w:rFonts w:hint="default" w:ascii="Times New Roman" w:hAnsi="Times New Roman" w:cs="Times New Roman"/>
          <w:color w:val="auto"/>
          <w:sz w:val="24"/>
          <w:lang w:eastAsia="zh-CN"/>
        </w:rPr>
        <w:t>，车间地面及设备冲洗排水为</w:t>
      </w:r>
      <w:r>
        <w:rPr>
          <w:rFonts w:hint="default" w:ascii="Times New Roman" w:hAnsi="Times New Roman" w:eastAsia="宋体" w:cs="Times New Roman"/>
          <w:color w:val="auto"/>
          <w:spacing w:val="0"/>
          <w:sz w:val="24"/>
          <w:szCs w:val="24"/>
          <w:lang w:val="en-US" w:eastAsia="zh-CN"/>
        </w:rPr>
        <w:t>14481.50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w:t>
      </w:r>
      <w:r>
        <w:rPr>
          <w:rFonts w:hint="default" w:ascii="Times New Roman" w:hAnsi="Times New Roman" w:cs="Times New Roman"/>
          <w:color w:val="auto"/>
          <w:sz w:val="24"/>
          <w:lang w:val="en-US" w:eastAsia="zh-CN"/>
        </w:rPr>
        <w:t>（42.59</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default" w:ascii="Times New Roman" w:hAnsi="Times New Roman" w:eastAsia="宋体" w:cs="Times New Roman"/>
          <w:color w:val="auto"/>
          <w:sz w:val="24"/>
          <w:lang w:val="en-US" w:eastAsia="zh-CN"/>
        </w:rPr>
        <w:t>d）</w:t>
      </w:r>
      <w:r>
        <w:rPr>
          <w:rFonts w:hint="default"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扩建后全厂</w:t>
      </w:r>
      <w:r>
        <w:rPr>
          <w:rFonts w:hint="default" w:ascii="Times New Roman" w:hAnsi="Times New Roman" w:cs="Times New Roman"/>
          <w:color w:val="auto"/>
          <w:spacing w:val="0"/>
          <w:sz w:val="24"/>
          <w:szCs w:val="24"/>
        </w:rPr>
        <w:t>屠宰车间排水水量以用水量的80%计</w:t>
      </w:r>
      <w:r>
        <w:rPr>
          <w:rFonts w:hint="eastAsia" w:ascii="Times New Roman" w:hAnsi="Times New Roman" w:eastAsia="宋体" w:cs="Times New Roman"/>
          <w:color w:val="auto"/>
          <w:spacing w:val="0"/>
          <w:sz w:val="24"/>
          <w:szCs w:val="24"/>
          <w:lang w:eastAsia="zh-CN"/>
        </w:rPr>
        <w:t>，</w:t>
      </w:r>
      <w:r>
        <w:rPr>
          <w:rFonts w:hint="eastAsia" w:ascii="Times New Roman" w:hAnsi="Times New Roman" w:eastAsia="宋体" w:cs="Times New Roman"/>
          <w:color w:val="auto"/>
          <w:spacing w:val="0"/>
          <w:sz w:val="24"/>
          <w:szCs w:val="24"/>
          <w:lang w:val="en-US" w:eastAsia="zh-CN"/>
        </w:rPr>
        <w:t>则排水量为76723.2</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225.65</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default" w:ascii="Times New Roman" w:hAnsi="Times New Roman" w:eastAsia="宋体" w:cs="Times New Roman"/>
          <w:color w:val="auto"/>
          <w:sz w:val="24"/>
          <w:lang w:val="en-US" w:eastAsia="zh-CN"/>
        </w:rPr>
        <w:t>d）</w:t>
      </w:r>
      <w:r>
        <w:rPr>
          <w:rFonts w:hint="eastAsia" w:ascii="Times New Roman" w:hAnsi="Times New Roman" w:eastAsia="宋体"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1"/>
        <w:rPr>
          <w:rFonts w:hint="default" w:ascii="Times New Roman" w:hAnsi="Times New Roman" w:eastAsia="宋体" w:cs="Times New Roman"/>
          <w:b w:val="0"/>
          <w:bCs w:val="0"/>
          <w:color w:val="auto"/>
          <w:sz w:val="24"/>
          <w:szCs w:val="24"/>
          <w:lang w:val="en-US" w:eastAsia="zh-CN"/>
        </w:rPr>
      </w:pPr>
      <w:bookmarkStart w:id="93" w:name="_Toc10503"/>
      <w:bookmarkStart w:id="94" w:name="_Toc4538"/>
      <w:bookmarkStart w:id="95" w:name="_Toc30883"/>
      <w:r>
        <w:rPr>
          <w:rFonts w:hint="default" w:ascii="Times New Roman" w:hAnsi="Times New Roman" w:eastAsia="宋体" w:cs="Times New Roman"/>
          <w:b w:val="0"/>
          <w:bCs w:val="0"/>
          <w:color w:val="auto"/>
          <w:sz w:val="24"/>
          <w:szCs w:val="24"/>
          <w:lang w:val="en-US" w:eastAsia="zh-CN"/>
        </w:rPr>
        <w:t>③</w:t>
      </w:r>
      <w:r>
        <w:rPr>
          <w:rFonts w:hint="default" w:ascii="Times New Roman" w:hAnsi="Times New Roman" w:cs="Times New Roman"/>
          <w:color w:val="000000" w:themeColor="text1"/>
          <w:sz w:val="24"/>
          <w:szCs w:val="24"/>
          <w:highlight w:val="none"/>
          <w14:textFill>
            <w14:solidFill>
              <w14:schemeClr w14:val="tx1"/>
            </w14:solidFill>
          </w14:textFill>
        </w:rPr>
        <w:t>锅炉排污水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+软化处理</w:t>
      </w:r>
      <w:r>
        <w:rPr>
          <w:rFonts w:hint="default" w:ascii="Times New Roman" w:hAnsi="Times New Roman" w:cs="Times New Roman"/>
          <w:color w:val="000000" w:themeColor="text1"/>
          <w:sz w:val="24"/>
          <w:szCs w:val="24"/>
          <w:highlight w:val="none"/>
          <w:lang w:eastAsia="zh-CN"/>
          <w14:textFill>
            <w14:solidFill>
              <w14:schemeClr w14:val="tx1"/>
            </w14:solidFill>
          </w14:textFill>
        </w:rPr>
        <w:t>废水</w:t>
      </w:r>
      <w:bookmarkEnd w:id="93"/>
      <w:bookmarkEnd w:id="94"/>
      <w:bookmarkEnd w:id="95"/>
    </w:p>
    <w:p>
      <w:pPr>
        <w:pStyle w:val="29"/>
        <w:jc w:val="both"/>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w:t>
      </w:r>
      <w:r>
        <w:rPr>
          <w:rFonts w:hint="default" w:ascii="Times New Roman" w:hAnsi="Times New Roman" w:cs="Times New Roman"/>
          <w:color w:val="000000" w:themeColor="text1"/>
          <w:sz w:val="24"/>
          <w:highlight w:val="none"/>
          <w:lang w:val="en-US" w:eastAsia="zh-CN"/>
          <w14:textFill>
            <w14:solidFill>
              <w14:schemeClr w14:val="tx1"/>
            </w14:solidFill>
          </w14:textFill>
        </w:rPr>
        <w:t>全年</w:t>
      </w:r>
      <w:r>
        <w:rPr>
          <w:rFonts w:hint="default" w:ascii="Times New Roman" w:hAnsi="Times New Roman" w:cs="Times New Roman"/>
          <w:color w:val="000000" w:themeColor="text1"/>
          <w:sz w:val="24"/>
          <w:highlight w:val="none"/>
          <w14:textFill>
            <w14:solidFill>
              <w14:schemeClr w14:val="tx1"/>
            </w14:solidFill>
          </w14:textFill>
        </w:rPr>
        <w:t>生产使用</w:t>
      </w:r>
      <w:r>
        <w:rPr>
          <w:rFonts w:hint="default" w:ascii="Times New Roman" w:hAnsi="Times New Roman" w:cs="Times New Roman"/>
          <w:color w:val="000000" w:themeColor="text1"/>
          <w:sz w:val="24"/>
          <w:highlight w:val="none"/>
          <w:lang w:val="en-US" w:eastAsia="zh-CN"/>
          <w14:textFill>
            <w14:solidFill>
              <w14:schemeClr w14:val="tx1"/>
            </w14:solidFill>
          </w14:textFill>
        </w:rPr>
        <w:t>1</w:t>
      </w:r>
      <w:r>
        <w:rPr>
          <w:rFonts w:hint="default" w:ascii="Times New Roman" w:hAnsi="Times New Roman" w:cs="Times New Roman"/>
          <w:color w:val="000000" w:themeColor="text1"/>
          <w:sz w:val="24"/>
          <w:highlight w:val="none"/>
          <w14:textFill>
            <w14:solidFill>
              <w14:schemeClr w14:val="tx1"/>
            </w14:solidFill>
          </w14:textFill>
        </w:rPr>
        <w:t>t/h蒸汽</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燃油</w:t>
      </w:r>
      <w:r>
        <w:rPr>
          <w:rFonts w:hint="default" w:ascii="Times New Roman" w:hAnsi="Times New Roman" w:cs="Times New Roman"/>
          <w:color w:val="000000" w:themeColor="text1"/>
          <w:sz w:val="24"/>
          <w:highlight w:val="none"/>
          <w14:textFill>
            <w14:solidFill>
              <w14:schemeClr w14:val="tx1"/>
            </w14:solidFill>
          </w14:textFill>
        </w:rPr>
        <w:t>锅炉提供热</w:t>
      </w:r>
      <w:r>
        <w:rPr>
          <w:rFonts w:hint="default" w:ascii="Times New Roman" w:hAnsi="Times New Roman" w:cs="Times New Roman"/>
          <w:color w:val="000000" w:themeColor="text1"/>
          <w:sz w:val="24"/>
          <w:szCs w:val="24"/>
          <w:highlight w:val="none"/>
          <w14:textFill>
            <w14:solidFill>
              <w14:schemeClr w14:val="tx1"/>
            </w14:solidFill>
          </w14:textFill>
        </w:rPr>
        <w:t>量，</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w:t>
      </w:r>
      <w:r>
        <w:rPr>
          <w:rFonts w:hint="default" w:ascii="Times New Roman" w:hAnsi="Times New Roman" w:eastAsia="宋体" w:cs="Times New Roman"/>
          <w:color w:val="auto"/>
          <w:sz w:val="24"/>
          <w:szCs w:val="24"/>
          <w:highlight w:val="none"/>
          <w:lang w:val="en-US" w:eastAsia="zh-CN"/>
        </w:rPr>
        <w:t>《排放源统计调查产排污核算方法和系数手册2021</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000000" w:themeColor="text1"/>
          <w:sz w:val="24"/>
          <w:szCs w:val="24"/>
          <w:highlight w:val="none"/>
          <w14:textFill>
            <w14:solidFill>
              <w14:schemeClr w14:val="tx1"/>
            </w14:solidFill>
          </w14:textFill>
        </w:rPr>
        <w:t>4430锅炉产排污量核算系数手册</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进行污染排放核算，本项目工业废水量产污系数为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1.33</w:t>
      </w:r>
      <w:r>
        <w:rPr>
          <w:rFonts w:hint="default" w:ascii="Times New Roman" w:hAnsi="Times New Roman" w:cs="Times New Roman"/>
          <w:color w:val="000000" w:themeColor="text1"/>
          <w:sz w:val="24"/>
          <w:szCs w:val="24"/>
          <w:highlight w:val="none"/>
          <w14:textFill>
            <w14:solidFill>
              <w14:schemeClr w14:val="tx1"/>
            </w14:solidFill>
          </w14:textFill>
        </w:rPr>
        <w:t>吨/吨-原料，本项目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燃油锅炉</w:t>
      </w:r>
      <w:r>
        <w:rPr>
          <w:rFonts w:hint="default" w:ascii="Times New Roman" w:hAnsi="Times New Roman" w:cs="Times New Roman"/>
          <w:color w:val="000000" w:themeColor="text1"/>
          <w:sz w:val="24"/>
          <w:szCs w:val="24"/>
          <w:highlight w:val="none"/>
          <w14:textFill>
            <w14:solidFill>
              <w14:schemeClr w14:val="tx1"/>
            </w14:solidFill>
          </w14:textFill>
        </w:rPr>
        <w:t>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燃料</w:t>
      </w:r>
      <w:r>
        <w:rPr>
          <w:rFonts w:hint="default" w:ascii="Times New Roman" w:hAnsi="Times New Roman" w:cs="Times New Roman"/>
          <w:color w:val="000000" w:themeColor="text1"/>
          <w:sz w:val="24"/>
          <w:szCs w:val="24"/>
          <w:highlight w:val="none"/>
          <w14:textFill>
            <w14:solidFill>
              <w14:schemeClr w14:val="tx1"/>
            </w14:solidFill>
          </w14:textFill>
        </w:rPr>
        <w:t>量</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为36t/a，燃料量计算如下：</w:t>
      </w:r>
    </w:p>
    <w:p>
      <w:pPr>
        <w:pStyle w:val="57"/>
        <w:keepNext w:val="0"/>
        <w:keepLines w:val="0"/>
        <w:pageBreakBefore w:val="0"/>
        <w:widowControl/>
        <w:numPr>
          <w:ilvl w:val="0"/>
          <w:numId w:val="0"/>
        </w:numPr>
        <w:kinsoku w:val="0"/>
        <w:wordWrap/>
        <w:overflowPunct/>
        <w:topLinePunct w:val="0"/>
        <w:autoSpaceDE w:val="0"/>
        <w:autoSpaceDN w:val="0"/>
        <w:bidi w:val="0"/>
        <w:adjustRightInd w:val="0"/>
        <w:snapToGrid w:val="0"/>
        <w:spacing w:before="0" w:after="0" w:line="360" w:lineRule="auto"/>
        <w:ind w:firstLine="480" w:firstLineChars="200"/>
        <w:jc w:val="both"/>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所需热量计算说明——计算液态水从</w:t>
      </w:r>
      <w:r>
        <w:rPr>
          <w:rFonts w:hint="default" w:ascii="Times New Roman" w:hAnsi="Times New Roman" w:cs="Times New Roman"/>
          <w:color w:val="000000" w:themeColor="text1"/>
          <w:highlight w:val="none"/>
          <w:lang w:eastAsia="zh-CN"/>
          <w14:textFill>
            <w14:solidFill>
              <w14:schemeClr w14:val="tx1"/>
            </w14:solidFill>
          </w14:textFill>
        </w:rPr>
        <w:t>20℃</w:t>
      </w:r>
      <w:r>
        <w:rPr>
          <w:rFonts w:hint="default" w:ascii="Times New Roman" w:hAnsi="Times New Roman" w:cs="Times New Roman"/>
          <w:color w:val="000000" w:themeColor="text1"/>
          <w:highlight w:val="none"/>
          <w14:textFill>
            <w14:solidFill>
              <w14:schemeClr w14:val="tx1"/>
            </w14:solidFill>
          </w14:textFill>
        </w:rPr>
        <w:t>完全汽化所需的热量分为两个部分，1、液态水温度由</w:t>
      </w:r>
      <w:r>
        <w:rPr>
          <w:rFonts w:hint="default" w:ascii="Times New Roman" w:hAnsi="Times New Roman" w:cs="Times New Roman"/>
          <w:color w:val="000000" w:themeColor="text1"/>
          <w:highlight w:val="none"/>
          <w:lang w:eastAsia="zh-CN"/>
          <w14:textFill>
            <w14:solidFill>
              <w14:schemeClr w14:val="tx1"/>
            </w14:solidFill>
          </w14:textFill>
        </w:rPr>
        <w:t>20℃</w:t>
      </w:r>
      <w:r>
        <w:rPr>
          <w:rFonts w:hint="default" w:ascii="Times New Roman" w:hAnsi="Times New Roman" w:cs="Times New Roman"/>
          <w:color w:val="000000" w:themeColor="text1"/>
          <w:highlight w:val="none"/>
          <w14:textFill>
            <w14:solidFill>
              <w14:schemeClr w14:val="tx1"/>
            </w14:solidFill>
          </w14:textFill>
        </w:rPr>
        <w:t>上升到100℃需要的热量；2、100℃时水由液态变成气态的汽化潜热。以上1+2=水分烘干所需的热量。</w:t>
      </w:r>
    </w:p>
    <w:p>
      <w:pPr>
        <w:pStyle w:val="45"/>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shd w:val="clear" w:color="auto" w:fill="FFFFFF"/>
          <w14:textFill>
            <w14:solidFill>
              <w14:schemeClr w14:val="tx1"/>
            </w14:solidFill>
          </w14:textFill>
        </w:rPr>
        <w:t>Q</w:t>
      </w:r>
      <w:r>
        <w:rPr>
          <w:rFonts w:hint="default" w:ascii="Times New Roman" w:hAnsi="Times New Roman" w:cs="Times New Roman" w:eastAsiaTheme="minorEastAsia"/>
          <w:color w:val="000000" w:themeColor="text1"/>
          <w:highlight w:val="none"/>
          <w:shd w:val="clear" w:color="auto" w:fill="FFFFFF"/>
          <w:vertAlign w:val="subscript"/>
          <w14:textFill>
            <w14:solidFill>
              <w14:schemeClr w14:val="tx1"/>
            </w14:solidFill>
          </w14:textFill>
        </w:rPr>
        <w:t>1</w:t>
      </w:r>
      <w:r>
        <w:rPr>
          <w:rFonts w:hint="default" w:ascii="Times New Roman" w:hAnsi="Times New Roman" w:cs="Times New Roman" w:eastAsiaTheme="minorEastAsia"/>
          <w:color w:val="000000" w:themeColor="text1"/>
          <w:highlight w:val="none"/>
          <w14:textFill>
            <w14:solidFill>
              <w14:schemeClr w14:val="tx1"/>
            </w14:solidFill>
          </w14:textFill>
        </w:rPr>
        <w:t>的计算——根据热量计算公式中的比热容公式计算：</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center"/>
        <w:textAlignment w:val="baseline"/>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pP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Q</w:t>
      </w:r>
      <w:r>
        <w:rPr>
          <w:rFonts w:hint="default" w:ascii="Times New Roman" w:hAnsi="Times New Roman" w:cs="Times New Roman" w:eastAsiaTheme="minorEastAsia"/>
          <w:color w:val="000000" w:themeColor="text1"/>
          <w:sz w:val="24"/>
          <w:highlight w:val="none"/>
          <w:shd w:val="clear" w:color="auto" w:fill="FFFFFF"/>
          <w:vertAlign w:val="subscript"/>
          <w14:textFill>
            <w14:solidFill>
              <w14:schemeClr w14:val="tx1"/>
            </w14:solidFill>
          </w14:textFill>
        </w:rPr>
        <w:t>1</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=cm</w:t>
      </w:r>
      <w:r>
        <w:rPr>
          <w:rFonts w:hint="default" w:ascii="Times New Roman" w:hAnsi="Times New Roman" w:cs="Times New Roman"/>
          <w:color w:val="000000" w:themeColor="text1"/>
          <w:sz w:val="24"/>
          <w:highlight w:val="none"/>
          <w:shd w:val="clear" w:color="auto" w:fill="FFFFFF"/>
          <w14:textFill>
            <w14:solidFill>
              <w14:schemeClr w14:val="tx1"/>
            </w14:solidFill>
          </w14:textFill>
        </w:rPr>
        <w:t>△</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t</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式中：</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c——这种物体的比热容，水的比热容：4.2×10</w:t>
      </w:r>
      <w:r>
        <w:rPr>
          <w:rFonts w:hint="default" w:ascii="Times New Roman" w:hAnsi="Times New Roman" w:cs="Times New Roman" w:eastAsiaTheme="minorEastAsia"/>
          <w:color w:val="000000" w:themeColor="text1"/>
          <w:sz w:val="24"/>
          <w:highlight w:val="none"/>
          <w:vertAlign w:val="superscript"/>
          <w14:textFill>
            <w14:solidFill>
              <w14:schemeClr w14:val="tx1"/>
            </w14:solidFill>
          </w14:textFill>
        </w:rPr>
        <w:t>3</w:t>
      </w:r>
      <w:r>
        <w:rPr>
          <w:rFonts w:hint="default" w:ascii="Times New Roman" w:hAnsi="Times New Roman" w:cs="Times New Roman" w:eastAsiaTheme="minorEastAsia"/>
          <w:color w:val="000000" w:themeColor="text1"/>
          <w:sz w:val="24"/>
          <w:highlight w:val="none"/>
          <w14:textFill>
            <w14:solidFill>
              <w14:schemeClr w14:val="tx1"/>
            </w14:solidFill>
          </w14:textFill>
        </w:rPr>
        <w:t>J/（Kg·℃）</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m——这种物体的质量，取1</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×10</w:t>
      </w:r>
      <w:r>
        <w:rPr>
          <w:rFonts w:hint="default" w:ascii="Times New Roman" w:hAnsi="Times New Roman" w:cs="Times New Roman" w:eastAsiaTheme="minorEastAsia"/>
          <w:color w:val="000000" w:themeColor="text1"/>
          <w:sz w:val="24"/>
          <w:highlight w:val="none"/>
          <w:shd w:val="clear" w:color="auto" w:fill="FFFFFF"/>
          <w:vertAlign w:val="superscript"/>
          <w14:textFill>
            <w14:solidFill>
              <w14:schemeClr w14:val="tx1"/>
            </w14:solidFill>
          </w14:textFill>
        </w:rPr>
        <w:t>3</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kg</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Δt——这种物体上升的温度差值，100℃-</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20℃</w:t>
      </w:r>
      <w:r>
        <w:rPr>
          <w:rFonts w:hint="default" w:ascii="Times New Roman" w:hAnsi="Times New Roman" w:cs="Times New Roman" w:eastAsiaTheme="minorEastAsia"/>
          <w:color w:val="000000" w:themeColor="text1"/>
          <w:sz w:val="24"/>
          <w:highlight w:val="none"/>
          <w14:textFill>
            <w14:solidFill>
              <w14:schemeClr w14:val="tx1"/>
            </w14:solidFill>
          </w14:textFill>
        </w:rPr>
        <w:t>=</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80℃</w:t>
      </w:r>
      <w:r>
        <w:rPr>
          <w:rFonts w:hint="default" w:ascii="Times New Roman" w:hAnsi="Times New Roman" w:cs="Times New Roman" w:eastAsiaTheme="minorEastAsia"/>
          <w:color w:val="000000" w:themeColor="text1"/>
          <w:sz w:val="24"/>
          <w:highlight w:val="none"/>
          <w14:textFill>
            <w14:solidFill>
              <w14:schemeClr w14:val="tx1"/>
            </w14:solidFill>
          </w14:textFill>
        </w:rPr>
        <w:t>，本项目锅炉水的起始温度为</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20℃</w:t>
      </w:r>
      <w:r>
        <w:rPr>
          <w:rFonts w:hint="default" w:ascii="Times New Roman" w:hAnsi="Times New Roman" w:cs="Times New Roman" w:eastAsiaTheme="minorEastAsia"/>
          <w:color w:val="000000" w:themeColor="text1"/>
          <w:sz w:val="24"/>
          <w:highlight w:val="none"/>
          <w14:textFill>
            <w14:solidFill>
              <w14:schemeClr w14:val="tx1"/>
            </w14:solidFill>
          </w14:textFill>
        </w:rPr>
        <w:t>，100℃为标准气压下水的沸点。</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Style w:val="58"/>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Q</w:t>
      </w:r>
      <w:r>
        <w:rPr>
          <w:rFonts w:hint="default" w:ascii="Times New Roman" w:hAnsi="Times New Roman" w:cs="Times New Roman" w:eastAsiaTheme="minorEastAsia"/>
          <w:color w:val="000000" w:themeColor="text1"/>
          <w:sz w:val="24"/>
          <w:highlight w:val="none"/>
          <w:vertAlign w:val="subscript"/>
          <w14:textFill>
            <w14:solidFill>
              <w14:schemeClr w14:val="tx1"/>
            </w14:solidFill>
          </w14:textFill>
        </w:rPr>
        <w:t>1</w:t>
      </w:r>
      <w:r>
        <w:rPr>
          <w:rFonts w:hint="default" w:ascii="Times New Roman" w:hAnsi="Times New Roman" w:cs="Times New Roman" w:eastAsiaTheme="minorEastAsia"/>
          <w:color w:val="000000" w:themeColor="text1"/>
          <w:sz w:val="24"/>
          <w:highlight w:val="none"/>
          <w14:textFill>
            <w14:solidFill>
              <w14:schemeClr w14:val="tx1"/>
            </w14:solidFill>
          </w14:textFill>
        </w:rPr>
        <w:t>——这种物体吸收的热量数，单位J</w:t>
      </w:r>
    </w:p>
    <w:p>
      <w:pPr>
        <w:pStyle w:val="45"/>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将1t水从</w:t>
      </w:r>
      <w:r>
        <w:rPr>
          <w:rFonts w:hint="default" w:ascii="Times New Roman" w:hAnsi="Times New Roman" w:cs="Times New Roman" w:eastAsiaTheme="minorEastAsia"/>
          <w:color w:val="000000" w:themeColor="text1"/>
          <w:highlight w:val="none"/>
          <w:lang w:eastAsia="zh-CN"/>
          <w14:textFill>
            <w14:solidFill>
              <w14:schemeClr w14:val="tx1"/>
            </w14:solidFill>
          </w14:textFill>
        </w:rPr>
        <w:t>20℃</w:t>
      </w:r>
      <w:r>
        <w:rPr>
          <w:rFonts w:hint="default" w:ascii="Times New Roman" w:hAnsi="Times New Roman" w:cs="Times New Roman" w:eastAsiaTheme="minorEastAsia"/>
          <w:color w:val="000000" w:themeColor="text1"/>
          <w:highlight w:val="none"/>
          <w14:textFill>
            <w14:solidFill>
              <w14:schemeClr w14:val="tx1"/>
            </w14:solidFill>
          </w14:textFill>
        </w:rPr>
        <w:t>液态加热到100℃需要热量为：</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pP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Q</w:t>
      </w:r>
      <w:r>
        <w:rPr>
          <w:rFonts w:hint="default" w:ascii="Times New Roman" w:hAnsi="Times New Roman" w:cs="Times New Roman" w:eastAsiaTheme="minorEastAsia"/>
          <w:color w:val="000000" w:themeColor="text1"/>
          <w:sz w:val="24"/>
          <w:highlight w:val="none"/>
          <w:shd w:val="clear" w:color="auto" w:fill="FFFFFF"/>
          <w:vertAlign w:val="subscript"/>
          <w14:textFill>
            <w14:solidFill>
              <w14:schemeClr w14:val="tx1"/>
            </w14:solidFill>
          </w14:textFill>
        </w:rPr>
        <w:t>1</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=cm</w:t>
      </w:r>
      <w:r>
        <w:rPr>
          <w:rFonts w:hint="default" w:ascii="Times New Roman" w:hAnsi="Times New Roman" w:cs="Times New Roman"/>
          <w:color w:val="000000" w:themeColor="text1"/>
          <w:sz w:val="24"/>
          <w:highlight w:val="none"/>
          <w:shd w:val="clear" w:color="auto" w:fill="FFFFFF"/>
          <w14:textFill>
            <w14:solidFill>
              <w14:schemeClr w14:val="tx1"/>
            </w14:solidFill>
          </w14:textFill>
        </w:rPr>
        <w:t>△</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t</w:t>
      </w:r>
      <w:r>
        <w:rPr>
          <w:rStyle w:val="58"/>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4.2×10</w:t>
      </w:r>
      <w:r>
        <w:rPr>
          <w:rFonts w:hint="default" w:ascii="Times New Roman" w:hAnsi="Times New Roman" w:cs="Times New Roman" w:eastAsiaTheme="minorEastAsia"/>
          <w:color w:val="000000" w:themeColor="text1"/>
          <w:sz w:val="24"/>
          <w:highlight w:val="none"/>
          <w:shd w:val="clear" w:color="auto" w:fill="FFFFFF"/>
          <w:vertAlign w:val="superscript"/>
          <w14:textFill>
            <w14:solidFill>
              <w14:schemeClr w14:val="tx1"/>
            </w14:solidFill>
          </w14:textFill>
        </w:rPr>
        <w:t>3</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J/（kg·℃）×（1×10</w:t>
      </w:r>
      <w:r>
        <w:rPr>
          <w:rFonts w:hint="default" w:ascii="Times New Roman" w:hAnsi="Times New Roman" w:cs="Times New Roman" w:eastAsiaTheme="minorEastAsia"/>
          <w:color w:val="000000" w:themeColor="text1"/>
          <w:sz w:val="24"/>
          <w:highlight w:val="none"/>
          <w:shd w:val="clear" w:color="auto" w:fill="FFFFFF"/>
          <w:vertAlign w:val="superscript"/>
          <w14:textFill>
            <w14:solidFill>
              <w14:schemeClr w14:val="tx1"/>
            </w14:solidFill>
          </w14:textFill>
        </w:rPr>
        <w:t>3</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kg）×[100℃-</w:t>
      </w:r>
      <w:r>
        <w:rPr>
          <w:rFonts w:hint="default" w:ascii="Times New Roman" w:hAnsi="Times New Roman" w:cs="Times New Roman" w:eastAsiaTheme="minorEastAsia"/>
          <w:color w:val="000000" w:themeColor="text1"/>
          <w:sz w:val="24"/>
          <w:highlight w:val="none"/>
          <w:shd w:val="clear" w:color="auto" w:fill="FFFFFF"/>
          <w:lang w:eastAsia="zh-CN"/>
          <w14:textFill>
            <w14:solidFill>
              <w14:schemeClr w14:val="tx1"/>
            </w14:solidFill>
          </w14:textFill>
        </w:rPr>
        <w:t>20℃</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w:t>
      </w:r>
      <w:r>
        <w:rPr>
          <w:rFonts w:hint="default" w:ascii="Times New Roman" w:hAnsi="Times New Roman" w:cs="Times New Roman" w:eastAsiaTheme="minorEastAsia"/>
          <w:color w:val="000000" w:themeColor="text1"/>
          <w:sz w:val="24"/>
          <w:highlight w:val="none"/>
          <w:shd w:val="clear" w:color="auto" w:fill="FFFFFF"/>
          <w:lang w:eastAsia="zh-CN"/>
          <w14:textFill>
            <w14:solidFill>
              <w14:schemeClr w14:val="tx1"/>
            </w14:solidFill>
          </w14:textFill>
        </w:rPr>
        <w:t>3.36×10</w:t>
      </w:r>
      <w:r>
        <w:rPr>
          <w:rFonts w:hint="default" w:ascii="Times New Roman" w:hAnsi="Times New Roman" w:cs="Times New Roman" w:eastAsiaTheme="minorEastAsia"/>
          <w:color w:val="000000" w:themeColor="text1"/>
          <w:sz w:val="24"/>
          <w:highlight w:val="none"/>
          <w:shd w:val="clear" w:color="auto" w:fill="FFFFFF"/>
          <w:vertAlign w:val="superscript"/>
          <w14:textFill>
            <w14:solidFill>
              <w14:schemeClr w14:val="tx1"/>
            </w14:solidFill>
          </w14:textFill>
        </w:rPr>
        <w:t>8</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J。</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pP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Q</w:t>
      </w:r>
      <w:r>
        <w:rPr>
          <w:rFonts w:hint="default" w:ascii="Times New Roman" w:hAnsi="Times New Roman" w:cs="Times New Roman" w:eastAsiaTheme="minorEastAsia"/>
          <w:color w:val="000000" w:themeColor="text1"/>
          <w:sz w:val="24"/>
          <w:highlight w:val="none"/>
          <w:shd w:val="clear" w:color="auto" w:fill="FFFFFF"/>
          <w:vertAlign w:val="subscript"/>
          <w14:textFill>
            <w14:solidFill>
              <w14:schemeClr w14:val="tx1"/>
            </w14:solidFill>
          </w14:textFill>
        </w:rPr>
        <w:t>2</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的计算——汽化热是一个物质的物理性质。其定义为：在标准大气压（101.325kPa）下，使一</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"https://www.baidu.com/s?wd=%E6%91%A9%E5%B0%94&amp;tn=SE_PcZhidaonwhc_ngpagmjz&amp;rsv_dl=gh_pc_zhidao" \t "_blank"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摩尔</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fldChar w:fldCharType="end"/>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物质在一定温度下蒸发所需要的热量，对于一种物质其为温度的函数。</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pP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根据汽化潜热查询表可知，0.1Mpa，100℃水的汽化热为40.8kJ/mol，相当于2260kJ/kg。</w:t>
      </w:r>
    </w:p>
    <w:p>
      <w:pPr>
        <w:pStyle w:val="45"/>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将1t水从100</w:t>
      </w:r>
      <w:r>
        <w:rPr>
          <w:rFonts w:hint="default" w:ascii="Times New Roman" w:hAnsi="Times New Roman" w:cs="Times New Roman" w:eastAsiaTheme="minorEastAsia"/>
          <w:color w:val="000000" w:themeColor="text1"/>
          <w:highlight w:val="none"/>
          <w:lang w:eastAsia="ja-JP"/>
          <w14:textFill>
            <w14:solidFill>
              <w14:schemeClr w14:val="tx1"/>
            </w14:solidFill>
          </w14:textFill>
        </w:rPr>
        <w:t>℃</w:t>
      </w:r>
      <w:r>
        <w:rPr>
          <w:rFonts w:hint="default" w:ascii="Times New Roman" w:hAnsi="Times New Roman" w:cs="Times New Roman" w:eastAsiaTheme="minorEastAsia"/>
          <w:color w:val="000000" w:themeColor="text1"/>
          <w:highlight w:val="none"/>
          <w14:textFill>
            <w14:solidFill>
              <w14:schemeClr w14:val="tx1"/>
            </w14:solidFill>
          </w14:textFill>
        </w:rPr>
        <w:t>液态变为汽态需要热量为：</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center"/>
        <w:textAlignment w:val="baseline"/>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pP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Q</w:t>
      </w:r>
      <w:r>
        <w:rPr>
          <w:rFonts w:hint="default" w:ascii="Times New Roman" w:hAnsi="Times New Roman" w:cs="Times New Roman" w:eastAsiaTheme="minorEastAsia"/>
          <w:color w:val="000000" w:themeColor="text1"/>
          <w:sz w:val="24"/>
          <w:highlight w:val="none"/>
          <w:shd w:val="clear" w:color="auto" w:fill="FFFFFF"/>
          <w:vertAlign w:val="subscript"/>
          <w14:textFill>
            <w14:solidFill>
              <w14:schemeClr w14:val="tx1"/>
            </w14:solidFill>
          </w14:textFill>
        </w:rPr>
        <w:t>2</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=m×汽化热</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pP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式中：</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pP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Q</w:t>
      </w:r>
      <w:r>
        <w:rPr>
          <w:rFonts w:hint="default" w:ascii="Times New Roman" w:hAnsi="Times New Roman" w:cs="Times New Roman" w:eastAsiaTheme="minorEastAsia"/>
          <w:color w:val="000000" w:themeColor="text1"/>
          <w:sz w:val="24"/>
          <w:highlight w:val="none"/>
          <w:shd w:val="clear" w:color="auto" w:fill="FFFFFF"/>
          <w:vertAlign w:val="subscript"/>
          <w14:textFill>
            <w14:solidFill>
              <w14:schemeClr w14:val="tx1"/>
            </w14:solidFill>
          </w14:textFill>
        </w:rPr>
        <w:t>2</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——这种物体吸收的热量数，单位J</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pP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m——这种物体的质量，取1×10</w:t>
      </w:r>
      <w:r>
        <w:rPr>
          <w:rFonts w:hint="default" w:ascii="Times New Roman" w:hAnsi="Times New Roman" w:cs="Times New Roman" w:eastAsiaTheme="minorEastAsia"/>
          <w:color w:val="000000" w:themeColor="text1"/>
          <w:sz w:val="24"/>
          <w:highlight w:val="none"/>
          <w:shd w:val="clear" w:color="auto" w:fill="FFFFFF"/>
          <w:vertAlign w:val="superscript"/>
          <w14:textFill>
            <w14:solidFill>
              <w14:schemeClr w14:val="tx1"/>
            </w14:solidFill>
          </w14:textFill>
        </w:rPr>
        <w:t>3</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kg</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pP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汽化热——这种物质的汽化热，取2260kJ/kg</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pP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Q</w:t>
      </w:r>
      <w:r>
        <w:rPr>
          <w:rFonts w:hint="default" w:ascii="Times New Roman" w:hAnsi="Times New Roman" w:cs="Times New Roman" w:eastAsiaTheme="minorEastAsia"/>
          <w:color w:val="000000" w:themeColor="text1"/>
          <w:sz w:val="24"/>
          <w:highlight w:val="none"/>
          <w:shd w:val="clear" w:color="auto" w:fill="FFFFFF"/>
          <w:vertAlign w:val="subscript"/>
          <w14:textFill>
            <w14:solidFill>
              <w14:schemeClr w14:val="tx1"/>
            </w14:solidFill>
          </w14:textFill>
        </w:rPr>
        <w:t>2</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=m×汽化热=1×10</w:t>
      </w:r>
      <w:r>
        <w:rPr>
          <w:rFonts w:hint="default" w:ascii="Times New Roman" w:hAnsi="Times New Roman" w:cs="Times New Roman" w:eastAsiaTheme="minorEastAsia"/>
          <w:color w:val="000000" w:themeColor="text1"/>
          <w:sz w:val="24"/>
          <w:highlight w:val="none"/>
          <w:shd w:val="clear" w:color="auto" w:fill="FFFFFF"/>
          <w:vertAlign w:val="superscript"/>
          <w14:textFill>
            <w14:solidFill>
              <w14:schemeClr w14:val="tx1"/>
            </w14:solidFill>
          </w14:textFill>
        </w:rPr>
        <w:t>3</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kg×2260kJ/kg=2.26×10</w:t>
      </w:r>
      <w:r>
        <w:rPr>
          <w:rFonts w:hint="default" w:ascii="Times New Roman" w:hAnsi="Times New Roman" w:cs="Times New Roman" w:eastAsiaTheme="minorEastAsia"/>
          <w:color w:val="000000" w:themeColor="text1"/>
          <w:sz w:val="24"/>
          <w:highlight w:val="none"/>
          <w:shd w:val="clear" w:color="auto" w:fill="FFFFFF"/>
          <w:vertAlign w:val="superscript"/>
          <w14:textFill>
            <w14:solidFill>
              <w14:schemeClr w14:val="tx1"/>
            </w14:solidFill>
          </w14:textFill>
        </w:rPr>
        <w:t>6</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J</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sz w:val="24"/>
          <w:highlight w:val="none"/>
          <w:shd w:val="clear" w:color="auto" w:fill="FFFFFF"/>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综上，将1t</w:t>
      </w:r>
      <w:r>
        <w:rPr>
          <w:rFonts w:hint="default" w:ascii="Times New Roman" w:hAnsi="Times New Roman" w:cs="Times New Roman" w:eastAsiaTheme="minorEastAsia"/>
          <w:color w:val="000000" w:themeColor="text1"/>
          <w:sz w:val="24"/>
          <w:highlight w:val="none"/>
          <w14:textFill>
            <w14:solidFill>
              <w14:schemeClr w14:val="tx1"/>
            </w14:solidFill>
          </w14:textFill>
        </w:rPr>
        <w:t>液态水从</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20℃</w:t>
      </w:r>
      <w:r>
        <w:rPr>
          <w:rFonts w:hint="default" w:ascii="Times New Roman" w:hAnsi="Times New Roman" w:cs="Times New Roman" w:eastAsiaTheme="minorEastAsia"/>
          <w:color w:val="000000" w:themeColor="text1"/>
          <w:sz w:val="24"/>
          <w:highlight w:val="none"/>
          <w14:textFill>
            <w14:solidFill>
              <w14:schemeClr w14:val="tx1"/>
            </w14:solidFill>
          </w14:textFill>
        </w:rPr>
        <w:t>完全汽化所需的热量Q=Q</w:t>
      </w:r>
      <w:r>
        <w:rPr>
          <w:rFonts w:hint="default" w:ascii="Times New Roman" w:hAnsi="Times New Roman" w:cs="Times New Roman" w:eastAsiaTheme="minorEastAsia"/>
          <w:color w:val="000000" w:themeColor="text1"/>
          <w:sz w:val="24"/>
          <w:highlight w:val="none"/>
          <w:vertAlign w:val="subscript"/>
          <w14:textFill>
            <w14:solidFill>
              <w14:schemeClr w14:val="tx1"/>
            </w14:solidFill>
          </w14:textFill>
        </w:rPr>
        <w:t>1</w:t>
      </w:r>
      <w:r>
        <w:rPr>
          <w:rFonts w:hint="default" w:ascii="Times New Roman" w:hAnsi="Times New Roman" w:cs="Times New Roman" w:eastAsiaTheme="minorEastAsia"/>
          <w:color w:val="000000" w:themeColor="text1"/>
          <w:sz w:val="24"/>
          <w:highlight w:val="none"/>
          <w14:textFill>
            <w14:solidFill>
              <w14:schemeClr w14:val="tx1"/>
            </w14:solidFill>
          </w14:textFill>
        </w:rPr>
        <w:t>+Q</w:t>
      </w:r>
      <w:r>
        <w:rPr>
          <w:rFonts w:hint="default" w:ascii="Times New Roman" w:hAnsi="Times New Roman" w:cs="Times New Roman" w:eastAsiaTheme="minorEastAsia"/>
          <w:color w:val="000000" w:themeColor="text1"/>
          <w:sz w:val="24"/>
          <w:highlight w:val="none"/>
          <w:vertAlign w:val="subscript"/>
          <w14:textFill>
            <w14:solidFill>
              <w14:schemeClr w14:val="tx1"/>
            </w14:solidFill>
          </w14:textFill>
        </w:rPr>
        <w:t>2</w:t>
      </w:r>
      <w:r>
        <w:rPr>
          <w:rFonts w:hint="default" w:ascii="Times New Roman" w:hAnsi="Times New Roman" w:cs="Times New Roman" w:eastAsiaTheme="minorEastAsia"/>
          <w:color w:val="000000" w:themeColor="text1"/>
          <w:sz w:val="24"/>
          <w:highlight w:val="none"/>
          <w14:textFill>
            <w14:solidFill>
              <w14:schemeClr w14:val="tx1"/>
            </w14:solidFill>
          </w14:textFill>
        </w:rPr>
        <w:t>=</w:t>
      </w:r>
      <w:r>
        <w:rPr>
          <w:rFonts w:hint="default" w:ascii="Times New Roman" w:hAnsi="Times New Roman" w:cs="Times New Roman" w:eastAsiaTheme="minorEastAsia"/>
          <w:color w:val="000000" w:themeColor="text1"/>
          <w:sz w:val="24"/>
          <w:highlight w:val="none"/>
          <w:shd w:val="clear" w:color="auto" w:fill="FFFFFF"/>
          <w:lang w:eastAsia="zh-CN"/>
          <w14:textFill>
            <w14:solidFill>
              <w14:schemeClr w14:val="tx1"/>
            </w14:solidFill>
          </w14:textFill>
        </w:rPr>
        <w:t>3.36×10</w:t>
      </w:r>
      <w:r>
        <w:rPr>
          <w:rFonts w:hint="default" w:ascii="Times New Roman" w:hAnsi="Times New Roman" w:cs="Times New Roman" w:eastAsiaTheme="minorEastAsia"/>
          <w:color w:val="000000" w:themeColor="text1"/>
          <w:sz w:val="24"/>
          <w:highlight w:val="none"/>
          <w:shd w:val="clear" w:color="auto" w:fill="FFFFFF"/>
          <w:vertAlign w:val="superscript"/>
          <w14:textFill>
            <w14:solidFill>
              <w14:schemeClr w14:val="tx1"/>
            </w14:solidFill>
          </w14:textFill>
        </w:rPr>
        <w:t>8</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J</w:t>
      </w:r>
      <w:r>
        <w:rPr>
          <w:rFonts w:hint="default" w:ascii="Times New Roman" w:hAnsi="Times New Roman" w:cs="Times New Roman" w:eastAsiaTheme="minorEastAsia"/>
          <w:color w:val="000000" w:themeColor="text1"/>
          <w:sz w:val="24"/>
          <w:highlight w:val="none"/>
          <w14:textFill>
            <w14:solidFill>
              <w14:schemeClr w14:val="tx1"/>
            </w14:solidFill>
          </w14:textFill>
        </w:rPr>
        <w:t>+</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2.26×10</w:t>
      </w:r>
      <w:r>
        <w:rPr>
          <w:rFonts w:hint="default" w:ascii="Times New Roman" w:hAnsi="Times New Roman" w:cs="Times New Roman" w:eastAsiaTheme="minorEastAsia"/>
          <w:color w:val="000000" w:themeColor="text1"/>
          <w:sz w:val="24"/>
          <w:highlight w:val="none"/>
          <w:shd w:val="clear" w:color="auto" w:fill="FFFFFF"/>
          <w:vertAlign w:val="superscript"/>
          <w14:textFill>
            <w14:solidFill>
              <w14:schemeClr w14:val="tx1"/>
            </w14:solidFill>
          </w14:textFill>
        </w:rPr>
        <w:t>6</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J=</w:t>
      </w:r>
      <w:r>
        <w:rPr>
          <w:rFonts w:hint="default" w:ascii="Times New Roman" w:hAnsi="Times New Roman" w:cs="Times New Roman" w:eastAsiaTheme="minorEastAsia"/>
          <w:color w:val="000000" w:themeColor="text1"/>
          <w:sz w:val="24"/>
          <w:highlight w:val="none"/>
          <w:shd w:val="clear" w:color="auto" w:fill="FFFFFF"/>
          <w:lang w:eastAsia="zh-CN"/>
          <w14:textFill>
            <w14:solidFill>
              <w14:schemeClr w14:val="tx1"/>
            </w14:solidFill>
          </w14:textFill>
        </w:rPr>
        <w:t>3.3826×10</w:t>
      </w:r>
      <w:r>
        <w:rPr>
          <w:rFonts w:hint="default" w:ascii="Times New Roman" w:hAnsi="Times New Roman" w:cs="Times New Roman" w:eastAsiaTheme="minorEastAsia"/>
          <w:color w:val="000000" w:themeColor="text1"/>
          <w:sz w:val="24"/>
          <w:highlight w:val="none"/>
          <w:shd w:val="clear" w:color="auto" w:fill="FFFFFF"/>
          <w:vertAlign w:val="superscript"/>
          <w14:textFill>
            <w14:solidFill>
              <w14:schemeClr w14:val="tx1"/>
            </w14:solidFill>
          </w14:textFill>
        </w:rPr>
        <w:t>8</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J</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pP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本项目</w:t>
      </w:r>
      <w:r>
        <w:rPr>
          <w:rFonts w:hint="default" w:ascii="Times New Roman" w:hAnsi="Times New Roman" w:cs="Times New Roman" w:eastAsiaTheme="minorEastAsia"/>
          <w:color w:val="000000" w:themeColor="text1"/>
          <w:sz w:val="24"/>
          <w:highlight w:val="none"/>
          <w:shd w:val="clear" w:color="auto" w:fill="FFFFFF"/>
          <w:lang w:val="en-US" w:eastAsia="zh-CN"/>
          <w14:textFill>
            <w14:solidFill>
              <w14:schemeClr w14:val="tx1"/>
            </w14:solidFill>
          </w14:textFill>
        </w:rPr>
        <w:t>蒸汽锅炉</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需要蒸干的水分为</w:t>
      </w:r>
      <w:r>
        <w:rPr>
          <w:rFonts w:hint="default" w:ascii="Times New Roman" w:hAnsi="Times New Roman" w:cs="Times New Roman" w:eastAsiaTheme="minorEastAsia"/>
          <w:color w:val="000000" w:themeColor="text1"/>
          <w:sz w:val="24"/>
          <w:highlight w:val="none"/>
          <w:shd w:val="clear" w:color="auto" w:fill="FFFFFF"/>
          <w:lang w:val="en-US" w:eastAsia="zh-CN"/>
          <w14:textFill>
            <w14:solidFill>
              <w14:schemeClr w14:val="tx1"/>
            </w14:solidFill>
          </w14:textFill>
        </w:rPr>
        <w:t>4080</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t/a，所需热量即</w:t>
      </w:r>
      <w:r>
        <w:rPr>
          <w:rFonts w:hint="default" w:ascii="Times New Roman" w:hAnsi="Times New Roman" w:cs="Times New Roman" w:eastAsiaTheme="minorEastAsia"/>
          <w:color w:val="000000" w:themeColor="text1"/>
          <w:sz w:val="24"/>
          <w:highlight w:val="none"/>
          <w:shd w:val="clear" w:color="auto" w:fill="FFFFFF"/>
          <w:lang w:eastAsia="zh-CN"/>
          <w14:textFill>
            <w14:solidFill>
              <w14:schemeClr w14:val="tx1"/>
            </w14:solidFill>
          </w14:textFill>
        </w:rPr>
        <w:t>3.3826×10</w:t>
      </w:r>
      <w:r>
        <w:rPr>
          <w:rFonts w:hint="default" w:ascii="Times New Roman" w:hAnsi="Times New Roman" w:cs="Times New Roman" w:eastAsiaTheme="minorEastAsia"/>
          <w:color w:val="000000" w:themeColor="text1"/>
          <w:sz w:val="24"/>
          <w:highlight w:val="none"/>
          <w:shd w:val="clear" w:color="auto" w:fill="FFFFFF"/>
          <w:vertAlign w:val="superscript"/>
          <w14:textFill>
            <w14:solidFill>
              <w14:schemeClr w14:val="tx1"/>
            </w14:solidFill>
          </w14:textFill>
        </w:rPr>
        <w:t>8</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J/t×</w:t>
      </w:r>
      <w:r>
        <w:rPr>
          <w:rFonts w:hint="default" w:ascii="Times New Roman" w:hAnsi="Times New Roman" w:cs="Times New Roman" w:eastAsiaTheme="minorEastAsia"/>
          <w:color w:val="000000" w:themeColor="text1"/>
          <w:sz w:val="24"/>
          <w:highlight w:val="none"/>
          <w:shd w:val="clear" w:color="auto" w:fill="FFFFFF"/>
          <w:lang w:val="en-US" w:eastAsia="zh-CN"/>
          <w14:textFill>
            <w14:solidFill>
              <w14:schemeClr w14:val="tx1"/>
            </w14:solidFill>
          </w14:textFill>
        </w:rPr>
        <w:t>4080</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t/a=</w:t>
      </w:r>
      <w:r>
        <w:rPr>
          <w:rFonts w:hint="default" w:ascii="Times New Roman" w:hAnsi="Times New Roman" w:cs="Times New Roman" w:eastAsiaTheme="minorEastAsia"/>
          <w:color w:val="000000" w:themeColor="text1"/>
          <w:sz w:val="24"/>
          <w:highlight w:val="none"/>
          <w:shd w:val="clear" w:color="auto" w:fill="FFFFFF"/>
          <w:lang w:val="en-US" w:eastAsia="zh-CN"/>
          <w14:textFill>
            <w14:solidFill>
              <w14:schemeClr w14:val="tx1"/>
            </w14:solidFill>
          </w14:textFill>
        </w:rPr>
        <w:t>1.38×10</w:t>
      </w:r>
      <w:r>
        <w:rPr>
          <w:rFonts w:hint="default" w:ascii="Times New Roman" w:hAnsi="Times New Roman" w:cs="Times New Roman" w:eastAsiaTheme="minorEastAsia"/>
          <w:color w:val="000000" w:themeColor="text1"/>
          <w:sz w:val="24"/>
          <w:highlight w:val="none"/>
          <w:shd w:val="clear" w:color="auto" w:fill="FFFFFF"/>
          <w:vertAlign w:val="superscript"/>
          <w14:textFill>
            <w14:solidFill>
              <w14:schemeClr w14:val="tx1"/>
            </w14:solidFill>
          </w14:textFill>
        </w:rPr>
        <w:t>1</w:t>
      </w:r>
      <w:r>
        <w:rPr>
          <w:rFonts w:hint="default" w:ascii="Times New Roman" w:hAnsi="Times New Roman" w:cs="Times New Roman" w:eastAsiaTheme="minorEastAsia"/>
          <w:color w:val="000000" w:themeColor="text1"/>
          <w:sz w:val="24"/>
          <w:highlight w:val="none"/>
          <w:shd w:val="clear" w:color="auto" w:fill="FFFFFF"/>
          <w:vertAlign w:val="superscript"/>
          <w:lang w:val="en-US" w:eastAsia="zh-CN"/>
          <w14:textFill>
            <w14:solidFill>
              <w14:schemeClr w14:val="tx1"/>
            </w14:solidFill>
          </w14:textFill>
        </w:rPr>
        <w:t>2</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J。</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生产供热</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需要的</w:t>
      </w:r>
      <w:r>
        <w:rPr>
          <w:rFonts w:hint="default" w:ascii="Times New Roman" w:hAnsi="Times New Roman" w:cs="Times New Roman" w:eastAsiaTheme="minorEastAsia"/>
          <w:color w:val="000000" w:themeColor="text1"/>
          <w:sz w:val="24"/>
          <w:highlight w:val="none"/>
          <w:shd w:val="clear" w:color="auto" w:fill="FFFFFF"/>
          <w:lang w:val="en-US" w:eastAsia="zh-CN"/>
          <w14:textFill>
            <w14:solidFill>
              <w14:schemeClr w14:val="tx1"/>
            </w14:solidFill>
          </w14:textFill>
        </w:rPr>
        <w:t>燃油量</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——本项目使用的</w:t>
      </w:r>
      <w:r>
        <w:rPr>
          <w:rFonts w:hint="default" w:ascii="Times New Roman" w:hAnsi="Times New Roman" w:cs="Times New Roman" w:eastAsiaTheme="minorEastAsia"/>
          <w:color w:val="000000" w:themeColor="text1"/>
          <w:sz w:val="24"/>
          <w:highlight w:val="none"/>
          <w:shd w:val="clear" w:color="auto" w:fill="FFFFFF"/>
          <w:lang w:val="en-US" w:eastAsia="zh-CN"/>
          <w14:textFill>
            <w14:solidFill>
              <w14:schemeClr w14:val="tx1"/>
            </w14:solidFill>
          </w14:textFill>
        </w:rPr>
        <w:t>柴油</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低位发热量为</w:t>
      </w:r>
      <w:r>
        <w:rPr>
          <w:rFonts w:hint="default" w:ascii="Times New Roman" w:hAnsi="Times New Roman" w:cs="Times New Roman" w:eastAsiaTheme="minorEastAsia"/>
          <w:color w:val="000000" w:themeColor="text1"/>
          <w:sz w:val="24"/>
          <w:highlight w:val="none"/>
          <w:shd w:val="clear" w:color="auto" w:fill="FFFFFF"/>
          <w:lang w:val="en-US" w:eastAsia="zh-CN"/>
          <w14:textFill>
            <w14:solidFill>
              <w14:schemeClr w14:val="tx1"/>
            </w14:solidFill>
          </w14:textFill>
        </w:rPr>
        <w:t>42.552</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MJ/kg，则本项目所需的</w:t>
      </w:r>
      <w:r>
        <w:rPr>
          <w:rFonts w:hint="default" w:ascii="Times New Roman" w:hAnsi="Times New Roman" w:cs="Times New Roman" w:eastAsiaTheme="minorEastAsia"/>
          <w:color w:val="000000" w:themeColor="text1"/>
          <w:sz w:val="24"/>
          <w:highlight w:val="none"/>
          <w:shd w:val="clear" w:color="auto" w:fill="FFFFFF"/>
          <w:lang w:val="en-US" w:eastAsia="zh-CN"/>
          <w14:textFill>
            <w14:solidFill>
              <w14:schemeClr w14:val="tx1"/>
            </w14:solidFill>
          </w14:textFill>
        </w:rPr>
        <w:t>燃油</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量为</w:t>
      </w:r>
      <w:r>
        <w:rPr>
          <w:rFonts w:hint="default" w:ascii="Times New Roman" w:hAnsi="Times New Roman" w:cs="Times New Roman" w:eastAsiaTheme="minorEastAsia"/>
          <w:color w:val="000000" w:themeColor="text1"/>
          <w:sz w:val="24"/>
          <w:highlight w:val="none"/>
          <w:shd w:val="clear" w:color="auto" w:fill="FFFFFF"/>
          <w:lang w:val="en-US" w:eastAsia="zh-CN"/>
          <w14:textFill>
            <w14:solidFill>
              <w14:schemeClr w14:val="tx1"/>
            </w14:solidFill>
          </w14:textFill>
        </w:rPr>
        <w:t>1.38×10</w:t>
      </w:r>
      <w:r>
        <w:rPr>
          <w:rFonts w:hint="default" w:ascii="Times New Roman" w:hAnsi="Times New Roman" w:cs="Times New Roman" w:eastAsiaTheme="minorEastAsia"/>
          <w:color w:val="000000" w:themeColor="text1"/>
          <w:sz w:val="24"/>
          <w:highlight w:val="none"/>
          <w:shd w:val="clear" w:color="auto" w:fill="FFFFFF"/>
          <w:vertAlign w:val="superscript"/>
          <w14:textFill>
            <w14:solidFill>
              <w14:schemeClr w14:val="tx1"/>
            </w14:solidFill>
          </w14:textFill>
        </w:rPr>
        <w:t>1</w:t>
      </w:r>
      <w:r>
        <w:rPr>
          <w:rFonts w:hint="default" w:ascii="Times New Roman" w:hAnsi="Times New Roman" w:cs="Times New Roman" w:eastAsiaTheme="minorEastAsia"/>
          <w:color w:val="000000" w:themeColor="text1"/>
          <w:sz w:val="24"/>
          <w:highlight w:val="none"/>
          <w:shd w:val="clear" w:color="auto" w:fill="FFFFFF"/>
          <w:vertAlign w:val="superscript"/>
          <w:lang w:val="en-US" w:eastAsia="zh-CN"/>
          <w14:textFill>
            <w14:solidFill>
              <w14:schemeClr w14:val="tx1"/>
            </w14:solidFill>
          </w14:textFill>
        </w:rPr>
        <w:t>2</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J</w:t>
      </w:r>
      <w:r>
        <w:rPr>
          <w:rFonts w:hint="default" w:ascii="Times New Roman" w:hAnsi="Times New Roman" w:cs="Times New Roman" w:eastAsiaTheme="minorEastAsia"/>
          <w:color w:val="000000" w:themeColor="text1"/>
          <w:sz w:val="24"/>
          <w:highlight w:val="none"/>
          <w14:textFill>
            <w14:solidFill>
              <w14:schemeClr w14:val="tx1"/>
            </w14:solidFill>
          </w14:textFill>
        </w:rPr>
        <w:t>÷</w:t>
      </w:r>
      <w:r>
        <w:rPr>
          <w:rFonts w:hint="default" w:ascii="Times New Roman" w:hAnsi="Times New Roman" w:cs="Times New Roman" w:eastAsiaTheme="minorEastAsia"/>
          <w:color w:val="000000" w:themeColor="text1"/>
          <w:sz w:val="24"/>
          <w:highlight w:val="none"/>
          <w:shd w:val="clear" w:color="auto" w:fill="FFFFFF"/>
          <w:lang w:val="en-US" w:eastAsia="zh-CN"/>
          <w14:textFill>
            <w14:solidFill>
              <w14:schemeClr w14:val="tx1"/>
            </w14:solidFill>
          </w14:textFill>
        </w:rPr>
        <w:t>42.552</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MJ/</w:t>
      </w:r>
      <w:r>
        <w:rPr>
          <w:rFonts w:hint="default" w:ascii="Times New Roman" w:hAnsi="Times New Roman" w:cs="Times New Roman" w:eastAsiaTheme="minorEastAsia"/>
          <w:color w:val="000000" w:themeColor="text1"/>
          <w:sz w:val="24"/>
          <w:highlight w:val="none"/>
          <w:shd w:val="clear" w:color="auto" w:fill="FFFFFF"/>
          <w:lang w:val="en-US" w:eastAsia="zh-CN"/>
          <w14:textFill>
            <w14:solidFill>
              <w14:schemeClr w14:val="tx1"/>
            </w14:solidFill>
          </w14:textFill>
        </w:rPr>
        <w:t>kg÷10</w:t>
      </w:r>
      <w:r>
        <w:rPr>
          <w:rFonts w:hint="default" w:ascii="Times New Roman" w:hAnsi="Times New Roman" w:cs="Times New Roman" w:eastAsiaTheme="minorEastAsia"/>
          <w:color w:val="000000" w:themeColor="text1"/>
          <w:sz w:val="24"/>
          <w:highlight w:val="none"/>
          <w:shd w:val="clear" w:color="auto" w:fill="FFFFFF"/>
          <w:vertAlign w:val="superscript"/>
          <w:lang w:val="en-US" w:eastAsia="zh-CN"/>
          <w14:textFill>
            <w14:solidFill>
              <w14:schemeClr w14:val="tx1"/>
            </w14:solidFill>
          </w14:textFill>
        </w:rPr>
        <w:t>-6</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w:t>
      </w:r>
      <w:r>
        <w:rPr>
          <w:rFonts w:hint="default" w:ascii="Times New Roman" w:hAnsi="Times New Roman" w:cs="Times New Roman" w:eastAsiaTheme="minorEastAsia"/>
          <w:color w:val="000000" w:themeColor="text1"/>
          <w:sz w:val="24"/>
          <w:highlight w:val="none"/>
          <w:shd w:val="clear" w:color="auto" w:fill="FFFFFF"/>
          <w:lang w:val="en-US" w:eastAsia="zh-CN"/>
          <w14:textFill>
            <w14:solidFill>
              <w14:schemeClr w14:val="tx1"/>
            </w14:solidFill>
          </w14:textFill>
        </w:rPr>
        <w:t>32.4t/</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a。</w:t>
      </w:r>
      <w:r>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t>燃油</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锅炉热效率为</w:t>
      </w:r>
      <w:r>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t>90</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%，则本项目</w:t>
      </w:r>
      <w:r>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t>燃油</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消耗量为</w:t>
      </w:r>
      <w:r>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t>36t</w:t>
      </w:r>
      <w:r>
        <w:rPr>
          <w:rFonts w:hint="default" w:ascii="Times New Roman" w:hAnsi="Times New Roman" w:cs="Times New Roman" w:eastAsiaTheme="minorEastAsia"/>
          <w:color w:val="000000" w:themeColor="text1"/>
          <w:sz w:val="24"/>
          <w:highlight w:val="none"/>
          <w:shd w:val="clear" w:color="auto" w:fill="FFFFFF"/>
          <w14:textFill>
            <w14:solidFill>
              <w14:schemeClr w14:val="tx1"/>
            </w14:solidFill>
          </w14:textFill>
        </w:rPr>
        <w:t>/a</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则</w:t>
      </w:r>
      <w:r>
        <w:rPr>
          <w:rFonts w:hint="default" w:ascii="Times New Roman" w:hAnsi="Times New Roman" w:cs="Times New Roman"/>
          <w:color w:val="000000" w:themeColor="text1"/>
          <w:sz w:val="24"/>
          <w:szCs w:val="24"/>
          <w:highlight w:val="none"/>
          <w14:textFill>
            <w14:solidFill>
              <w14:schemeClr w14:val="tx1"/>
            </w14:solidFill>
          </w14:textFill>
        </w:rPr>
        <w:t>锅炉排污水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+软化处理</w:t>
      </w:r>
      <w:r>
        <w:rPr>
          <w:rFonts w:hint="default" w:ascii="Times New Roman" w:hAnsi="Times New Roman" w:cs="Times New Roman"/>
          <w:color w:val="000000" w:themeColor="text1"/>
          <w:sz w:val="24"/>
          <w:szCs w:val="24"/>
          <w:highlight w:val="none"/>
          <w:lang w:eastAsia="zh-CN"/>
          <w14:textFill>
            <w14:solidFill>
              <w14:schemeClr w14:val="tx1"/>
            </w14:solidFill>
          </w14:textFill>
        </w:rPr>
        <w:t>废水</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产生量1.33×36t</w:t>
      </w:r>
      <w:r>
        <w:rPr>
          <w:rFonts w:hint="default" w:ascii="Times New Roman" w:hAnsi="Times New Roman" w:cs="Times New Roman"/>
          <w:color w:val="000000" w:themeColor="text1"/>
          <w:sz w:val="24"/>
          <w:szCs w:val="24"/>
          <w:highlight w:val="none"/>
          <w14:textFill>
            <w14:solidFill>
              <w14:schemeClr w14:val="tx1"/>
            </w14:solidFill>
          </w14:textFill>
        </w:rPr>
        <w:t>/a</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=47.88t/a</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p>
    <w:p>
      <w:pPr>
        <w:spacing w:line="360" w:lineRule="auto"/>
        <w:ind w:firstLine="480"/>
        <w:jc w:val="left"/>
        <w:outlineLvl w:val="1"/>
        <w:rPr>
          <w:rFonts w:hint="default" w:ascii="Times New Roman" w:hAnsi="Times New Roman" w:eastAsia="宋体" w:cs="Times New Roman"/>
          <w:color w:val="000000" w:themeColor="text1"/>
          <w:sz w:val="24"/>
          <w:lang w:eastAsia="zh-CN"/>
          <w14:textFill>
            <w14:solidFill>
              <w14:schemeClr w14:val="tx1"/>
            </w14:solidFill>
          </w14:textFill>
        </w:rPr>
      </w:pPr>
      <w:bookmarkStart w:id="96" w:name="_Toc20459"/>
      <w:bookmarkStart w:id="97" w:name="_Toc9301"/>
      <w:bookmarkStart w:id="98" w:name="_Toc23798"/>
      <w:r>
        <w:rPr>
          <w:rFonts w:hint="default" w:ascii="Times New Roman" w:hAnsi="Times New Roman" w:eastAsia="宋体" w:cs="Times New Roman"/>
          <w:color w:val="000000" w:themeColor="text1"/>
          <w:sz w:val="24"/>
          <w:lang w:val="en-US" w:eastAsia="zh-CN"/>
          <w14:textFill>
            <w14:solidFill>
              <w14:schemeClr w14:val="tx1"/>
            </w14:solidFill>
          </w14:textFill>
        </w:rPr>
        <w:t>④</w:t>
      </w:r>
      <w:r>
        <w:rPr>
          <w:rFonts w:hint="default" w:ascii="Times New Roman" w:hAnsi="Times New Roman" w:cs="Times New Roman"/>
          <w:color w:val="000000" w:themeColor="text1"/>
          <w:sz w:val="24"/>
          <w14:textFill>
            <w14:solidFill>
              <w14:schemeClr w14:val="tx1"/>
            </w14:solidFill>
          </w14:textFill>
        </w:rPr>
        <w:t>车辆冲洗</w:t>
      </w:r>
      <w:r>
        <w:rPr>
          <w:rFonts w:hint="default" w:ascii="Times New Roman" w:hAnsi="Times New Roman" w:eastAsia="宋体" w:cs="Times New Roman"/>
          <w:color w:val="000000" w:themeColor="text1"/>
          <w:sz w:val="24"/>
          <w:lang w:val="en-US" w:eastAsia="zh-CN"/>
          <w14:textFill>
            <w14:solidFill>
              <w14:schemeClr w14:val="tx1"/>
            </w14:solidFill>
          </w14:textFill>
        </w:rPr>
        <w:t>排水</w:t>
      </w:r>
      <w:bookmarkEnd w:id="96"/>
      <w:bookmarkEnd w:id="97"/>
      <w:bookmarkEnd w:id="98"/>
    </w:p>
    <w:p>
      <w:pPr>
        <w:spacing w:line="360" w:lineRule="auto"/>
        <w:ind w:firstLine="480" w:firstLineChars="200"/>
        <w:rPr>
          <w:rFonts w:hint="default" w:ascii="Times New Roman" w:hAnsi="Times New Roman" w:eastAsia="宋体" w:cs="Times New Roman"/>
          <w:color w:val="000000" w:themeColor="text1"/>
          <w:sz w:val="24"/>
          <w:szCs w:val="24"/>
          <w:highlight w:val="yellow"/>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排污系数以0.8计，</w:t>
      </w:r>
      <w:r>
        <w:rPr>
          <w:rFonts w:hint="default" w:ascii="Times New Roman" w:hAnsi="Times New Roman" w:cs="Times New Roman"/>
          <w:color w:val="000000" w:themeColor="text1"/>
          <w:sz w:val="24"/>
          <w14:textFill>
            <w14:solidFill>
              <w14:schemeClr w14:val="tx1"/>
            </w14:solidFill>
          </w14:textFill>
        </w:rPr>
        <w:t>则项目车辆冲洗</w:t>
      </w:r>
      <w:r>
        <w:rPr>
          <w:rFonts w:hint="default" w:ascii="Times New Roman" w:hAnsi="Times New Roman" w:eastAsia="宋体" w:cs="Times New Roman"/>
          <w:color w:val="000000" w:themeColor="text1"/>
          <w:sz w:val="24"/>
          <w:lang w:val="en-US" w:eastAsia="zh-CN"/>
          <w14:textFill>
            <w14:solidFill>
              <w14:schemeClr w14:val="tx1"/>
            </w14:solidFill>
          </w14:textFill>
        </w:rPr>
        <w:t>排</w:t>
      </w:r>
      <w:r>
        <w:rPr>
          <w:rFonts w:hint="default" w:ascii="Times New Roman" w:hAnsi="Times New Roman" w:cs="Times New Roman"/>
          <w:color w:val="000000" w:themeColor="text1"/>
          <w:sz w:val="24"/>
          <w14:textFill>
            <w14:solidFill>
              <w14:schemeClr w14:val="tx1"/>
            </w14:solidFill>
          </w14:textFill>
        </w:rPr>
        <w:t>水量为</w:t>
      </w:r>
      <w:r>
        <w:rPr>
          <w:rFonts w:hint="default" w:ascii="Times New Roman" w:hAnsi="Times New Roman" w:cs="Times New Roman"/>
          <w:color w:val="000000" w:themeColor="text1"/>
          <w:sz w:val="24"/>
          <w:lang w:val="en-US" w:eastAsia="zh-CN"/>
          <w14:textFill>
            <w14:solidFill>
              <w14:schemeClr w14:val="tx1"/>
            </w14:solidFill>
          </w14:textFill>
        </w:rPr>
        <w:t>211.2</w:t>
      </w:r>
      <w:r>
        <w:rPr>
          <w:rFonts w:hint="default" w:ascii="Times New Roman" w:hAnsi="Times New Roman" w:cs="Times New Roman"/>
          <w:color w:val="000000" w:themeColor="text1"/>
          <w:sz w:val="24"/>
          <w14:textFill>
            <w14:solidFill>
              <w14:schemeClr w14:val="tx1"/>
            </w14:solidFill>
          </w14:textFill>
        </w:rPr>
        <w:t>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/a。</w:t>
      </w:r>
      <w:r>
        <w:rPr>
          <w:rFonts w:hint="eastAsia" w:ascii="Times New Roman" w:hAnsi="Times New Roman" w:eastAsia="宋体" w:cs="Times New Roman"/>
          <w:color w:val="000000" w:themeColor="text1"/>
          <w:sz w:val="24"/>
          <w:lang w:val="en-US" w:eastAsia="zh-CN"/>
          <w14:textFill>
            <w14:solidFill>
              <w14:schemeClr w14:val="tx1"/>
            </w14:solidFill>
          </w14:textFill>
        </w:rPr>
        <w:t>扩建后全厂</w:t>
      </w:r>
      <w:r>
        <w:rPr>
          <w:rFonts w:hint="default" w:ascii="Times New Roman" w:hAnsi="Times New Roman" w:cs="Times New Roman"/>
          <w:color w:val="000000" w:themeColor="text1"/>
          <w:sz w:val="24"/>
          <w14:textFill>
            <w14:solidFill>
              <w14:schemeClr w14:val="tx1"/>
            </w14:solidFill>
          </w14:textFill>
        </w:rPr>
        <w:t>车辆冲洗</w:t>
      </w:r>
      <w:r>
        <w:rPr>
          <w:rFonts w:hint="default" w:ascii="Times New Roman" w:hAnsi="Times New Roman" w:eastAsia="宋体" w:cs="Times New Roman"/>
          <w:color w:val="000000" w:themeColor="text1"/>
          <w:sz w:val="24"/>
          <w:lang w:val="en-US" w:eastAsia="zh-CN"/>
          <w14:textFill>
            <w14:solidFill>
              <w14:schemeClr w14:val="tx1"/>
            </w14:solidFill>
          </w14:textFill>
        </w:rPr>
        <w:t>排</w:t>
      </w:r>
      <w:r>
        <w:rPr>
          <w:rFonts w:hint="default" w:ascii="Times New Roman" w:hAnsi="Times New Roman" w:cs="Times New Roman"/>
          <w:color w:val="000000" w:themeColor="text1"/>
          <w:sz w:val="24"/>
          <w14:textFill>
            <w14:solidFill>
              <w14:schemeClr w14:val="tx1"/>
            </w14:solidFill>
          </w14:textFill>
        </w:rPr>
        <w:t>水量为</w:t>
      </w:r>
      <w:r>
        <w:rPr>
          <w:rFonts w:hint="default" w:ascii="Times New Roman" w:hAnsi="Times New Roman" w:cs="Times New Roman"/>
          <w:color w:val="000000" w:themeColor="text1"/>
          <w:sz w:val="24"/>
          <w:lang w:val="en-US" w:eastAsia="zh-CN"/>
          <w14:textFill>
            <w14:solidFill>
              <w14:schemeClr w14:val="tx1"/>
            </w14:solidFill>
          </w14:textFill>
        </w:rPr>
        <w:t>2</w:t>
      </w:r>
      <w:r>
        <w:rPr>
          <w:rFonts w:hint="eastAsia" w:ascii="Times New Roman" w:hAnsi="Times New Roman" w:cs="Times New Roman"/>
          <w:color w:val="000000" w:themeColor="text1"/>
          <w:sz w:val="24"/>
          <w:lang w:val="en-US" w:eastAsia="zh-CN"/>
          <w14:textFill>
            <w14:solidFill>
              <w14:schemeClr w14:val="tx1"/>
            </w14:solidFill>
          </w14:textFill>
        </w:rPr>
        <w:t>24</w:t>
      </w:r>
      <w:r>
        <w:rPr>
          <w:rFonts w:hint="default" w:ascii="Times New Roman" w:hAnsi="Times New Roman" w:cs="Times New Roman"/>
          <w:color w:val="000000" w:themeColor="text1"/>
          <w:sz w:val="24"/>
          <w14:textFill>
            <w14:solidFill>
              <w14:schemeClr w14:val="tx1"/>
            </w14:solidFill>
          </w14:textFill>
        </w:rPr>
        <w:t>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/a</w:t>
      </w:r>
    </w:p>
    <w:p>
      <w:pPr>
        <w:pStyle w:val="30"/>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综上，扩建</w:t>
      </w:r>
      <w:r>
        <w:rPr>
          <w:rFonts w:hint="default" w:ascii="Times New Roman" w:hAnsi="Times New Roman" w:cs="Times New Roman"/>
          <w:color w:val="000000" w:themeColor="text1"/>
          <w:sz w:val="24"/>
          <w14:textFill>
            <w14:solidFill>
              <w14:schemeClr w14:val="tx1"/>
            </w14:solidFill>
          </w14:textFill>
        </w:rPr>
        <w:t>项目总排水量</w:t>
      </w:r>
      <w:r>
        <w:rPr>
          <w:rFonts w:hint="default" w:ascii="Times New Roman" w:hAnsi="Times New Roman" w:eastAsia="宋体" w:cs="Times New Roman"/>
          <w:color w:val="000000" w:themeColor="text1"/>
          <w:sz w:val="24"/>
          <w:lang w:val="en-US" w:eastAsia="zh-CN"/>
          <w14:textFill>
            <w14:solidFill>
              <w14:schemeClr w14:val="tx1"/>
            </w14:solidFill>
          </w14:textFill>
        </w:rPr>
        <w:t>为74235.6</w:t>
      </w:r>
      <w:r>
        <w:rPr>
          <w:rFonts w:hint="default" w:ascii="Times New Roman" w:hAnsi="Times New Roman" w:cs="Times New Roman"/>
          <w:color w:val="000000" w:themeColor="text1"/>
          <w:sz w:val="24"/>
          <w14:textFill>
            <w14:solidFill>
              <w14:schemeClr w14:val="tx1"/>
            </w14:solidFill>
          </w14:textFill>
        </w:rPr>
        <w:t>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/a</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218.34</w:t>
      </w:r>
      <w:r>
        <w:rPr>
          <w:rFonts w:hint="default" w:ascii="Times New Roman" w:hAnsi="Times New Roman" w:cs="Times New Roman"/>
          <w:color w:val="000000" w:themeColor="text1"/>
          <w:sz w:val="24"/>
          <w14:textFill>
            <w14:solidFill>
              <w14:schemeClr w14:val="tx1"/>
            </w14:solidFill>
          </w14:textFill>
        </w:rPr>
        <w:t>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d）</w:t>
      </w:r>
      <w:r>
        <w:rPr>
          <w:rFonts w:hint="eastAsia" w:ascii="Times New Roman" w:hAnsi="Times New Roman" w:eastAsia="宋体" w:cs="Times New Roman"/>
          <w:color w:val="000000" w:themeColor="text1"/>
          <w:sz w:val="24"/>
          <w:lang w:val="en-US" w:eastAsia="zh-CN"/>
          <w14:textFill>
            <w14:solidFill>
              <w14:schemeClr w14:val="tx1"/>
            </w14:solidFill>
          </w14:textFill>
        </w:rPr>
        <w:t>，扩建后全厂总排水量为79932.69</w:t>
      </w:r>
      <w:r>
        <w:rPr>
          <w:rFonts w:hint="default" w:ascii="Times New Roman" w:hAnsi="Times New Roman" w:cs="Times New Roman"/>
          <w:color w:val="000000" w:themeColor="text1"/>
          <w:sz w:val="24"/>
          <w14:textFill>
            <w14:solidFill>
              <w14:schemeClr w14:val="tx1"/>
            </w14:solidFill>
          </w14:textFill>
        </w:rPr>
        <w:t>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/a</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235.09</w:t>
      </w:r>
      <w:r>
        <w:rPr>
          <w:rFonts w:hint="default" w:ascii="Times New Roman" w:hAnsi="Times New Roman" w:cs="Times New Roman"/>
          <w:color w:val="000000" w:themeColor="text1"/>
          <w:sz w:val="24"/>
          <w14:textFill>
            <w14:solidFill>
              <w14:schemeClr w14:val="tx1"/>
            </w14:solidFill>
          </w14:textFill>
        </w:rPr>
        <w:t>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d）</w:t>
      </w:r>
      <w:r>
        <w:rPr>
          <w:rFonts w:hint="default" w:ascii="Times New Roman" w:hAnsi="Times New Roman" w:eastAsia="宋体" w:cs="Times New Roman"/>
          <w:color w:val="000000" w:themeColor="text1"/>
          <w:sz w:val="24"/>
          <w:lang w:eastAsia="zh-CN"/>
          <w14:textFill>
            <w14:solidFill>
              <w14:schemeClr w14:val="tx1"/>
            </w14:solidFill>
          </w14:textFill>
        </w:rPr>
        <w:t>。</w:t>
      </w:r>
    </w:p>
    <w:p>
      <w:pPr>
        <w:pStyle w:val="30"/>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kern w:val="21"/>
          <w:sz w:val="24"/>
          <w:szCs w:val="24"/>
          <w:highlight w:val="none"/>
          <w:u w:val="none"/>
          <w:lang w:val="en-US" w:eastAsia="zh-CN" w:bidi="ar-SA"/>
        </w:rPr>
      </w:pPr>
      <w:r>
        <w:rPr>
          <w:rFonts w:hint="default" w:ascii="Times New Roman" w:hAnsi="Times New Roman" w:eastAsia="宋体" w:cs="Times New Roman"/>
          <w:color w:val="auto"/>
          <w:kern w:val="21"/>
          <w:sz w:val="24"/>
          <w:szCs w:val="24"/>
          <w:highlight w:val="none"/>
          <w:u w:val="none"/>
          <w:lang w:val="en-US" w:eastAsia="zh-CN" w:bidi="ar-SA"/>
        </w:rPr>
        <w:t>项目产生的废水经管道送入厂内污水处理站，污水处理站采用沉淀池+气浮池+调节池+水解酸化+好氧生物池+MBR膜池+污泥消化池+</w:t>
      </w:r>
      <w:r>
        <w:rPr>
          <w:rFonts w:hint="eastAsia" w:ascii="Times New Roman" w:hAnsi="Times New Roman" w:eastAsia="宋体" w:cs="Times New Roman"/>
          <w:color w:val="auto"/>
          <w:kern w:val="21"/>
          <w:sz w:val="24"/>
          <w:szCs w:val="24"/>
          <w:highlight w:val="none"/>
          <w:u w:val="none"/>
          <w:lang w:val="en-US" w:eastAsia="zh-CN" w:bidi="ar-SA"/>
        </w:rPr>
        <w:t>紫外</w:t>
      </w:r>
      <w:r>
        <w:rPr>
          <w:rFonts w:hint="default" w:ascii="Times New Roman" w:hAnsi="Times New Roman" w:eastAsia="宋体" w:cs="Times New Roman"/>
          <w:color w:val="auto"/>
          <w:kern w:val="21"/>
          <w:sz w:val="24"/>
          <w:szCs w:val="24"/>
          <w:highlight w:val="none"/>
          <w:u w:val="none"/>
          <w:lang w:val="en-US" w:eastAsia="zh-CN" w:bidi="ar-SA"/>
        </w:rPr>
        <w:t>消毒工艺处理后，设计处理污水规模为300m</w:t>
      </w:r>
      <w:r>
        <w:rPr>
          <w:rFonts w:hint="default" w:ascii="Times New Roman" w:hAnsi="Times New Roman" w:eastAsia="宋体" w:cs="Times New Roman"/>
          <w:color w:val="auto"/>
          <w:kern w:val="21"/>
          <w:sz w:val="24"/>
          <w:szCs w:val="24"/>
          <w:highlight w:val="none"/>
          <w:u w:val="none"/>
          <w:vertAlign w:val="superscript"/>
          <w:lang w:val="en-US" w:eastAsia="zh-CN" w:bidi="ar-SA"/>
        </w:rPr>
        <w:t>3</w:t>
      </w:r>
      <w:r>
        <w:rPr>
          <w:rFonts w:hint="default" w:ascii="Times New Roman" w:hAnsi="Times New Roman" w:eastAsia="宋体" w:cs="Times New Roman"/>
          <w:color w:val="auto"/>
          <w:kern w:val="21"/>
          <w:sz w:val="24"/>
          <w:szCs w:val="24"/>
          <w:highlight w:val="none"/>
          <w:u w:val="none"/>
          <w:lang w:val="en-US" w:eastAsia="zh-CN" w:bidi="ar-SA"/>
        </w:rPr>
        <w:t>/d，满足于本项目</w:t>
      </w:r>
      <w:r>
        <w:rPr>
          <w:rFonts w:hint="eastAsia" w:ascii="Times New Roman" w:hAnsi="Times New Roman" w:eastAsia="宋体" w:cs="Times New Roman"/>
          <w:color w:val="auto"/>
          <w:kern w:val="21"/>
          <w:sz w:val="24"/>
          <w:szCs w:val="24"/>
          <w:highlight w:val="none"/>
          <w:u w:val="none"/>
          <w:lang w:val="en-US" w:eastAsia="zh-CN" w:bidi="ar-SA"/>
        </w:rPr>
        <w:t>扩建后</w:t>
      </w:r>
      <w:r>
        <w:rPr>
          <w:rFonts w:hint="default" w:ascii="Times New Roman" w:hAnsi="Times New Roman" w:eastAsia="宋体" w:cs="Times New Roman"/>
          <w:color w:val="auto"/>
          <w:kern w:val="21"/>
          <w:sz w:val="24"/>
          <w:szCs w:val="24"/>
          <w:highlight w:val="none"/>
          <w:u w:val="none"/>
          <w:lang w:val="en-US" w:eastAsia="zh-CN" w:bidi="ar-SA"/>
        </w:rPr>
        <w:t>最大废水排放量</w:t>
      </w:r>
      <w:r>
        <w:rPr>
          <w:rFonts w:hint="eastAsia" w:ascii="Times New Roman" w:hAnsi="Times New Roman" w:cs="Times New Roman"/>
          <w:color w:val="auto"/>
          <w:sz w:val="24"/>
          <w:highlight w:val="none"/>
          <w:lang w:val="en-US" w:eastAsia="zh-CN"/>
        </w:rPr>
        <w:t>235.09</w:t>
      </w:r>
      <w:r>
        <w:rPr>
          <w:rFonts w:hint="default" w:ascii="Times New Roman" w:hAnsi="Times New Roman" w:eastAsia="宋体" w:cs="Times New Roman"/>
          <w:color w:val="auto"/>
          <w:kern w:val="21"/>
          <w:sz w:val="24"/>
          <w:szCs w:val="24"/>
          <w:highlight w:val="none"/>
          <w:u w:val="none"/>
          <w:lang w:val="en-US" w:eastAsia="zh-CN" w:bidi="ar-SA"/>
        </w:rPr>
        <w:t>m</w:t>
      </w:r>
      <w:r>
        <w:rPr>
          <w:rFonts w:hint="default" w:ascii="Times New Roman" w:hAnsi="Times New Roman" w:eastAsia="宋体" w:cs="Times New Roman"/>
          <w:color w:val="auto"/>
          <w:kern w:val="21"/>
          <w:sz w:val="24"/>
          <w:szCs w:val="24"/>
          <w:highlight w:val="none"/>
          <w:u w:val="none"/>
          <w:vertAlign w:val="superscript"/>
          <w:lang w:val="en-US" w:eastAsia="zh-CN" w:bidi="ar-SA"/>
        </w:rPr>
        <w:t>3</w:t>
      </w:r>
      <w:r>
        <w:rPr>
          <w:rFonts w:hint="default" w:ascii="Times New Roman" w:hAnsi="Times New Roman" w:eastAsia="宋体" w:cs="Times New Roman"/>
          <w:color w:val="auto"/>
          <w:kern w:val="21"/>
          <w:sz w:val="24"/>
          <w:szCs w:val="24"/>
          <w:highlight w:val="none"/>
          <w:u w:val="none"/>
          <w:lang w:val="en-US" w:eastAsia="zh-CN" w:bidi="ar-SA"/>
        </w:rPr>
        <w:t>/d的处理需要，处理后的废水满足《肉类加工工业水污染物排放标准》</w:t>
      </w:r>
      <w:r>
        <w:rPr>
          <w:rFonts w:hint="default" w:ascii="Times New Roman" w:hAnsi="Times New Roman" w:eastAsia="宋体" w:cs="Times New Roman"/>
          <w:color w:val="auto"/>
          <w:sz w:val="24"/>
        </w:rPr>
        <w:t>（GB13457-92）表3</w:t>
      </w:r>
      <w:r>
        <w:rPr>
          <w:rFonts w:hint="default" w:ascii="Times New Roman" w:hAnsi="Times New Roman" w:eastAsia="宋体" w:cs="Times New Roman"/>
          <w:color w:val="auto"/>
          <w:kern w:val="21"/>
          <w:sz w:val="24"/>
          <w:szCs w:val="24"/>
          <w:highlight w:val="none"/>
          <w:u w:val="none"/>
          <w:lang w:val="en-US" w:eastAsia="zh-CN" w:bidi="ar-SA"/>
        </w:rPr>
        <w:t>中畜类屠宰加工及肉制品加工三级标准及兴隆镇污水处理厂设计进水水质指标的要求后排入兴隆镇污水处理厂处理，</w:t>
      </w:r>
      <w:r>
        <w:rPr>
          <w:rFonts w:hint="eastAsia" w:ascii="Times New Roman" w:hAnsi="Times New Roman" w:eastAsia="宋体" w:cs="Times New Roman"/>
          <w:color w:val="auto"/>
          <w:kern w:val="21"/>
          <w:sz w:val="24"/>
          <w:szCs w:val="24"/>
          <w:highlight w:val="none"/>
          <w:u w:val="none"/>
          <w:lang w:val="en-US" w:eastAsia="zh-CN" w:bidi="ar-SA"/>
        </w:rPr>
        <w:t>排入泥河</w:t>
      </w:r>
      <w:r>
        <w:rPr>
          <w:rFonts w:hint="default" w:ascii="Times New Roman" w:hAnsi="Times New Roman" w:eastAsia="宋体" w:cs="Times New Roman"/>
          <w:color w:val="auto"/>
          <w:kern w:val="21"/>
          <w:sz w:val="24"/>
          <w:szCs w:val="24"/>
          <w:highlight w:val="none"/>
          <w:u w:val="none"/>
          <w:lang w:val="en-US" w:eastAsia="zh-CN" w:bidi="ar-SA"/>
        </w:rPr>
        <w:t>。</w:t>
      </w:r>
    </w:p>
    <w:p>
      <w:pPr>
        <w:pStyle w:val="30"/>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兴隆镇污水厂设计处理规模1万m</w:t>
      </w:r>
      <w:r>
        <w:rPr>
          <w:rFonts w:hint="default" w:ascii="Times New Roman" w:hAnsi="Times New Roman" w:eastAsia="宋体" w:cs="Times New Roman"/>
          <w:color w:val="000000" w:themeColor="text1"/>
          <w:kern w:val="21"/>
          <w:sz w:val="24"/>
          <w:szCs w:val="24"/>
          <w:highlight w:val="none"/>
          <w:u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/d，污水处理工艺采用预处理+倒置 A</w:t>
      </w:r>
      <w:r>
        <w:rPr>
          <w:rFonts w:hint="default" w:ascii="Times New Roman" w:hAnsi="Times New Roman" w:eastAsia="宋体" w:cs="Times New Roman"/>
          <w:color w:val="000000" w:themeColor="text1"/>
          <w:kern w:val="21"/>
          <w:sz w:val="24"/>
          <w:szCs w:val="24"/>
          <w:highlight w:val="none"/>
          <w:u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 xml:space="preserve"> /O+二沉池+混凝沉淀+过滤+ 紫外线消毒工艺，污水排放标准执行《城镇污水处理厂污染物排放标准》（GB18918-2002）中一级 A 排放标准后经龙须沟汇入泥河。本项目</w:t>
      </w:r>
      <w:r>
        <w:rPr>
          <w:rFonts w:hint="eastAsia"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扩建后</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排入兴隆镇污水处理厂水量为</w:t>
      </w:r>
      <w:r>
        <w:rPr>
          <w:rFonts w:hint="eastAsia"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235.09</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m</w:t>
      </w:r>
      <w:r>
        <w:rPr>
          <w:rFonts w:hint="default" w:ascii="Times New Roman" w:hAnsi="Times New Roman" w:eastAsia="宋体" w:cs="Times New Roman"/>
          <w:color w:val="000000" w:themeColor="text1"/>
          <w:kern w:val="21"/>
          <w:sz w:val="24"/>
          <w:szCs w:val="24"/>
          <w:highlight w:val="none"/>
          <w:u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/d，污水厂现有余量5000m</w:t>
      </w:r>
      <w:r>
        <w:rPr>
          <w:rFonts w:hint="default" w:ascii="Times New Roman" w:hAnsi="Times New Roman" w:eastAsia="宋体" w:cs="Times New Roman"/>
          <w:color w:val="000000" w:themeColor="text1"/>
          <w:kern w:val="21"/>
          <w:sz w:val="24"/>
          <w:szCs w:val="24"/>
          <w:highlight w:val="none"/>
          <w:u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 xml:space="preserve">/d，有能力接纳本项目废水，能够满足本项目废水排放要求。 </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outlineLvl w:val="0"/>
        <w:rPr>
          <w:rFonts w:hint="default" w:ascii="Times New Roman" w:hAnsi="Times New Roman" w:eastAsia="宋体" w:cs="Times New Roman"/>
          <w:b w:val="0"/>
          <w:bCs w:val="0"/>
          <w:sz w:val="24"/>
          <w:szCs w:val="24"/>
          <w:lang w:val="en-US" w:eastAsia="zh-CN"/>
        </w:rPr>
      </w:pPr>
      <w:bookmarkStart w:id="99" w:name="_Toc22248"/>
      <w:bookmarkStart w:id="100" w:name="_Toc14128"/>
      <w:bookmarkStart w:id="101" w:name="_Toc12201"/>
      <w:r>
        <w:rPr>
          <w:rFonts w:hint="default" w:ascii="Times New Roman" w:hAnsi="Times New Roman" w:eastAsia="宋体" w:cs="Times New Roman"/>
          <w:b w:val="0"/>
          <w:bCs w:val="0"/>
          <w:spacing w:val="-5"/>
          <w:sz w:val="24"/>
          <w:szCs w:val="24"/>
          <w:lang w:val="en-US" w:eastAsia="zh-CN"/>
        </w:rPr>
        <w:t>3、</w:t>
      </w:r>
      <w:r>
        <w:rPr>
          <w:rFonts w:hint="default" w:ascii="Times New Roman" w:hAnsi="Times New Roman" w:eastAsia="宋体" w:cs="Times New Roman"/>
          <w:b w:val="0"/>
          <w:bCs w:val="0"/>
          <w:spacing w:val="-5"/>
          <w:sz w:val="24"/>
          <w:szCs w:val="24"/>
        </w:rPr>
        <w:t>供电</w:t>
      </w:r>
      <w:r>
        <w:rPr>
          <w:rFonts w:hint="default" w:ascii="Times New Roman" w:hAnsi="Times New Roman" w:eastAsia="宋体" w:cs="Times New Roman"/>
          <w:b w:val="0"/>
          <w:bCs w:val="0"/>
          <w:spacing w:val="-5"/>
          <w:sz w:val="24"/>
          <w:szCs w:val="24"/>
          <w:lang w:val="en-US" w:eastAsia="zh-CN"/>
        </w:rPr>
        <w:t>工程</w:t>
      </w:r>
      <w:bookmarkEnd w:id="99"/>
      <w:bookmarkEnd w:id="100"/>
      <w:bookmarkEnd w:id="101"/>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default" w:ascii="Times New Roman" w:hAnsi="Times New Roman" w:eastAsia="宋体" w:cs="Times New Roman"/>
          <w:spacing w:val="-2"/>
          <w:position w:val="18"/>
          <w:sz w:val="24"/>
          <w:szCs w:val="24"/>
        </w:rPr>
        <w:t>本项目依托现有供电系统，电源来自市政供电</w:t>
      </w:r>
      <w:r>
        <w:rPr>
          <w:rFonts w:hint="default" w:ascii="Times New Roman" w:hAnsi="Times New Roman" w:eastAsia="宋体" w:cs="Times New Roman"/>
          <w:spacing w:val="-2"/>
          <w:position w:val="18"/>
          <w:sz w:val="24"/>
          <w:szCs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outlineLvl w:val="0"/>
        <w:rPr>
          <w:rFonts w:hint="default" w:ascii="Times New Roman" w:hAnsi="Times New Roman" w:eastAsia="宋体" w:cs="Times New Roman"/>
          <w:b w:val="0"/>
          <w:bCs w:val="0"/>
          <w:spacing w:val="-5"/>
          <w:sz w:val="24"/>
          <w:szCs w:val="24"/>
          <w:lang w:val="en-US" w:eastAsia="zh-CN"/>
        </w:rPr>
      </w:pPr>
      <w:bookmarkStart w:id="102" w:name="_Toc20151"/>
      <w:bookmarkStart w:id="103" w:name="_Toc27534"/>
      <w:bookmarkStart w:id="104" w:name="_Toc4258"/>
      <w:r>
        <w:rPr>
          <w:rFonts w:hint="default" w:ascii="Times New Roman" w:hAnsi="Times New Roman" w:eastAsia="宋体" w:cs="Times New Roman"/>
          <w:b w:val="0"/>
          <w:bCs w:val="0"/>
          <w:spacing w:val="-5"/>
          <w:sz w:val="24"/>
          <w:szCs w:val="24"/>
          <w:lang w:val="en-US" w:eastAsia="zh-CN"/>
        </w:rPr>
        <w:t>4、</w:t>
      </w:r>
      <w:r>
        <w:rPr>
          <w:rFonts w:hint="default" w:ascii="Times New Roman" w:hAnsi="Times New Roman" w:eastAsia="宋体" w:cs="Times New Roman"/>
          <w:b w:val="0"/>
          <w:bCs w:val="0"/>
          <w:spacing w:val="-5"/>
          <w:sz w:val="24"/>
          <w:szCs w:val="24"/>
        </w:rPr>
        <w:t>供热</w:t>
      </w:r>
      <w:r>
        <w:rPr>
          <w:rFonts w:hint="default" w:ascii="Times New Roman" w:hAnsi="Times New Roman" w:eastAsia="宋体" w:cs="Times New Roman"/>
          <w:b w:val="0"/>
          <w:bCs w:val="0"/>
          <w:spacing w:val="-5"/>
          <w:sz w:val="24"/>
          <w:szCs w:val="24"/>
          <w:lang w:val="en-US" w:eastAsia="zh-CN"/>
        </w:rPr>
        <w:t>工程</w:t>
      </w:r>
      <w:bookmarkEnd w:id="102"/>
      <w:bookmarkEnd w:id="103"/>
      <w:bookmarkEnd w:id="104"/>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cs="Times New Roman"/>
          <w:color w:val="auto"/>
          <w:sz w:val="24"/>
        </w:rPr>
        <w:t>项目生产使用</w:t>
      </w: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rPr>
        <w:t>t/h</w:t>
      </w:r>
      <w:r>
        <w:rPr>
          <w:rFonts w:hint="default" w:ascii="Times New Roman" w:hAnsi="Times New Roman" w:eastAsia="宋体" w:cs="Times New Roman"/>
          <w:color w:val="auto"/>
          <w:sz w:val="24"/>
          <w:lang w:val="en-US" w:eastAsia="zh-CN"/>
        </w:rPr>
        <w:t>燃油</w:t>
      </w:r>
      <w:r>
        <w:rPr>
          <w:rFonts w:hint="default" w:ascii="Times New Roman" w:hAnsi="Times New Roman" w:cs="Times New Roman"/>
          <w:color w:val="auto"/>
          <w:sz w:val="24"/>
        </w:rPr>
        <w:t>蒸汽锅炉提供热</w:t>
      </w:r>
      <w:r>
        <w:rPr>
          <w:rFonts w:hint="default" w:ascii="Times New Roman" w:hAnsi="Times New Roman" w:cs="Times New Roman"/>
          <w:color w:val="auto"/>
          <w:sz w:val="24"/>
          <w:szCs w:val="24"/>
        </w:rPr>
        <w:t>量，</w:t>
      </w:r>
      <w:r>
        <w:rPr>
          <w:rFonts w:hint="default" w:ascii="Times New Roman" w:hAnsi="Times New Roman" w:eastAsia="宋体" w:cs="Times New Roman"/>
          <w:color w:val="auto"/>
          <w:sz w:val="24"/>
          <w:szCs w:val="24"/>
          <w:highlight w:val="none"/>
          <w:u w:val="none"/>
          <w:lang w:eastAsia="zh-CN"/>
        </w:rPr>
        <w:t>生产供热主要用于屠宰用水中烫猪池用水的加热。</w:t>
      </w:r>
      <w:r>
        <w:rPr>
          <w:rFonts w:hint="default" w:ascii="Times New Roman" w:hAnsi="Times New Roman" w:eastAsia="宋体" w:cs="Times New Roman"/>
          <w:color w:val="auto"/>
          <w:sz w:val="24"/>
          <w:szCs w:val="24"/>
          <w:highlight w:val="none"/>
          <w:u w:val="none"/>
          <w:lang w:val="en-US" w:eastAsia="zh-CN"/>
        </w:rPr>
        <w:t>办公室冬季采用电采暖。</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jc w:val="both"/>
        <w:textAlignment w:val="baseline"/>
        <w:outlineLvl w:val="1"/>
        <w:rPr>
          <w:rFonts w:hint="default" w:ascii="Times New Roman" w:hAnsi="Times New Roman" w:eastAsia="黑体" w:cs="Times New Roman"/>
          <w:sz w:val="24"/>
          <w:szCs w:val="24"/>
        </w:rPr>
      </w:pPr>
      <w:bookmarkStart w:id="105" w:name="_Toc9689"/>
      <w:bookmarkStart w:id="106" w:name="_Toc13516"/>
      <w:bookmarkStart w:id="107" w:name="_Toc8715"/>
      <w:r>
        <w:rPr>
          <w:rFonts w:hint="default" w:ascii="Times New Roman" w:hAnsi="Times New Roman" w:eastAsia="Times New Roman" w:cs="Times New Roman"/>
          <w:spacing w:val="-2"/>
          <w:sz w:val="24"/>
          <w:szCs w:val="24"/>
        </w:rPr>
        <w:t>3.</w:t>
      </w:r>
      <w:r>
        <w:rPr>
          <w:rFonts w:hint="default" w:ascii="Times New Roman" w:hAnsi="Times New Roman" w:eastAsia="宋体" w:cs="Times New Roman"/>
          <w:spacing w:val="-2"/>
          <w:sz w:val="24"/>
          <w:szCs w:val="24"/>
          <w:lang w:val="en-US" w:eastAsia="zh-CN"/>
        </w:rPr>
        <w:t>4</w:t>
      </w:r>
      <w:r>
        <w:rPr>
          <w:rFonts w:hint="default" w:ascii="Times New Roman" w:hAnsi="Times New Roman" w:eastAsia="Times New Roman" w:cs="Times New Roman"/>
          <w:spacing w:val="-2"/>
          <w:sz w:val="24"/>
          <w:szCs w:val="24"/>
        </w:rPr>
        <w:t>.</w:t>
      </w:r>
      <w:r>
        <w:rPr>
          <w:rFonts w:hint="default" w:ascii="Times New Roman" w:hAnsi="Times New Roman" w:eastAsia="宋体" w:cs="Times New Roman"/>
          <w:spacing w:val="-32"/>
          <w:sz w:val="24"/>
          <w:szCs w:val="24"/>
          <w:lang w:val="en-US" w:eastAsia="zh-CN"/>
        </w:rPr>
        <w:t>8</w:t>
      </w:r>
      <w:r>
        <w:rPr>
          <w:rFonts w:hint="default" w:ascii="Times New Roman" w:hAnsi="Times New Roman" w:eastAsia="Times New Roman" w:cs="Times New Roman"/>
          <w:spacing w:val="-2"/>
          <w:sz w:val="24"/>
          <w:szCs w:val="24"/>
        </w:rPr>
        <w:t xml:space="preserve"> </w:t>
      </w:r>
      <w:r>
        <w:rPr>
          <w:rFonts w:hint="default" w:ascii="Times New Roman" w:hAnsi="Times New Roman" w:eastAsia="宋体" w:cs="Times New Roman"/>
          <w:spacing w:val="-2"/>
          <w:sz w:val="24"/>
          <w:szCs w:val="24"/>
          <w:lang w:val="en-US" w:eastAsia="zh-CN"/>
        </w:rPr>
        <w:t xml:space="preserve"> </w:t>
      </w:r>
      <w:r>
        <w:rPr>
          <w:rFonts w:hint="default" w:ascii="Times New Roman" w:hAnsi="Times New Roman" w:eastAsia="黑体" w:cs="Times New Roman"/>
          <w:spacing w:val="-2"/>
          <w:sz w:val="24"/>
          <w:szCs w:val="24"/>
        </w:rPr>
        <w:t>项目劳动定员及生产班制</w:t>
      </w:r>
      <w:bookmarkEnd w:id="105"/>
      <w:bookmarkEnd w:id="106"/>
      <w:bookmarkEnd w:id="107"/>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本项目现有工程劳动定员为40人，本次不新增劳动定员，工作时间12h/d，年工作340d。</w:t>
      </w:r>
    </w:p>
    <w:p>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outlineLvl w:val="1"/>
        <w:rPr>
          <w:rFonts w:hint="default" w:ascii="Times New Roman" w:hAnsi="Times New Roman" w:eastAsia="黑体" w:cs="Times New Roman"/>
          <w:sz w:val="28"/>
          <w:szCs w:val="28"/>
        </w:rPr>
      </w:pPr>
      <w:bookmarkStart w:id="108" w:name="_Toc17211"/>
      <w:r>
        <w:rPr>
          <w:rFonts w:hint="default" w:ascii="Times New Roman" w:hAnsi="Times New Roman" w:eastAsia="Times New Roman" w:cs="Times New Roman"/>
          <w:spacing w:val="-1"/>
          <w:sz w:val="28"/>
          <w:szCs w:val="28"/>
        </w:rPr>
        <w:t>3.</w:t>
      </w:r>
      <w:r>
        <w:rPr>
          <w:rFonts w:hint="default" w:ascii="Times New Roman" w:hAnsi="Times New Roman" w:eastAsia="宋体" w:cs="Times New Roman"/>
          <w:spacing w:val="-1"/>
          <w:sz w:val="28"/>
          <w:szCs w:val="28"/>
          <w:lang w:val="en-US" w:eastAsia="zh-CN"/>
        </w:rPr>
        <w:t>5</w:t>
      </w:r>
      <w:r>
        <w:rPr>
          <w:rFonts w:hint="default" w:ascii="Times New Roman" w:hAnsi="Times New Roman" w:eastAsia="Times New Roman" w:cs="Times New Roman"/>
          <w:spacing w:val="-1"/>
          <w:sz w:val="28"/>
          <w:szCs w:val="28"/>
        </w:rPr>
        <w:t xml:space="preserve">  </w:t>
      </w:r>
      <w:r>
        <w:rPr>
          <w:rFonts w:hint="default" w:ascii="Times New Roman" w:hAnsi="Times New Roman" w:eastAsia="黑体" w:cs="Times New Roman"/>
          <w:spacing w:val="-1"/>
          <w:sz w:val="28"/>
          <w:szCs w:val="28"/>
        </w:rPr>
        <w:t>依托工程可行性分析</w:t>
      </w:r>
      <w:bookmarkEnd w:id="108"/>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pPr>
      <w:r>
        <w:rPr>
          <w:rFonts w:hint="default" w:ascii="Times New Roman" w:hAnsi="Times New Roman" w:eastAsia="宋体" w:cs="Times New Roman"/>
          <w:color w:val="auto"/>
          <w:sz w:val="24"/>
          <w:szCs w:val="24"/>
          <w:highlight w:val="none"/>
          <w:u w:val="none"/>
          <w:lang w:val="en-US" w:eastAsia="zh-CN"/>
        </w:rPr>
        <w:t>本次改扩建项目依托厂区内现有燃油锅炉、待宰圈、屠宰车间、冷库、办公室、员工宿舍等。本项目公辅设施依托情况见下表。</w:t>
      </w:r>
    </w:p>
    <w:p>
      <w:pPr>
        <w:spacing w:before="128" w:line="227" w:lineRule="auto"/>
        <w:ind w:left="3143"/>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31"/>
          <w:sz w:val="20"/>
          <w:szCs w:val="20"/>
          <w:highlight w:val="none"/>
        </w:rPr>
        <w:t xml:space="preserve"> </w:t>
      </w:r>
      <w:r>
        <w:rPr>
          <w:rFonts w:hint="default" w:ascii="Times New Roman" w:hAnsi="Times New Roman" w:eastAsia="Times New Roman" w:cs="Times New Roman"/>
          <w:b/>
          <w:bCs/>
          <w:spacing w:val="6"/>
          <w:sz w:val="20"/>
          <w:szCs w:val="20"/>
          <w:highlight w:val="none"/>
        </w:rPr>
        <w:t>3</w:t>
      </w:r>
      <w:r>
        <w:rPr>
          <w:rFonts w:hint="eastAsia" w:ascii="Times New Roman" w:hAnsi="Times New Roman" w:eastAsia="宋体" w:cs="Times New Roman"/>
          <w:b/>
          <w:bCs/>
          <w:spacing w:val="6"/>
          <w:sz w:val="20"/>
          <w:szCs w:val="20"/>
          <w:highlight w:val="none"/>
          <w:lang w:val="en-US" w:eastAsia="zh-CN"/>
        </w:rPr>
        <w:t>-</w:t>
      </w:r>
      <w:r>
        <w:rPr>
          <w:rFonts w:hint="default" w:ascii="Times New Roman" w:hAnsi="Times New Roman" w:eastAsia="宋体" w:cs="Times New Roman"/>
          <w:b/>
          <w:bCs/>
          <w:spacing w:val="6"/>
          <w:sz w:val="20"/>
          <w:szCs w:val="20"/>
          <w:highlight w:val="none"/>
          <w:lang w:val="en-US" w:eastAsia="zh-CN"/>
        </w:rPr>
        <w:t>5</w:t>
      </w:r>
      <w:r>
        <w:rPr>
          <w:rFonts w:hint="default" w:ascii="Times New Roman" w:hAnsi="Times New Roman" w:eastAsia="Times New Roman" w:cs="Times New Roman"/>
          <w:b/>
          <w:bCs/>
          <w:spacing w:val="6"/>
          <w:sz w:val="20"/>
          <w:szCs w:val="20"/>
          <w:highlight w:val="none"/>
        </w:rPr>
        <w:t xml:space="preserve">-1    </w:t>
      </w: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公辅设施依托情况表</w:t>
      </w:r>
    </w:p>
    <w:p>
      <w:pPr>
        <w:spacing w:line="19" w:lineRule="exact"/>
        <w:rPr>
          <w:rFonts w:hint="default" w:ascii="Times New Roman" w:hAnsi="Times New Roman" w:cs="Times New Roman"/>
          <w:highlight w:val="none"/>
        </w:rPr>
      </w:pPr>
    </w:p>
    <w:tbl>
      <w:tblPr>
        <w:tblStyle w:val="34"/>
        <w:tblW w:w="917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48"/>
        <w:gridCol w:w="1342"/>
        <w:gridCol w:w="762"/>
        <w:gridCol w:w="1124"/>
        <w:gridCol w:w="1887"/>
        <w:gridCol w:w="1170"/>
        <w:gridCol w:w="1358"/>
        <w:gridCol w:w="88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jc w:val="center"/>
        </w:trPr>
        <w:tc>
          <w:tcPr>
            <w:tcW w:w="648" w:type="dxa"/>
            <w:vAlign w:val="top"/>
          </w:tcPr>
          <w:p>
            <w:pPr>
              <w:spacing w:before="86" w:line="221" w:lineRule="auto"/>
              <w:ind w:left="146"/>
              <w:rPr>
                <w:rFonts w:hint="default" w:ascii="Times New Roman" w:hAnsi="Times New Roman" w:eastAsia="宋体" w:cs="Times New Roman"/>
                <w:sz w:val="18"/>
                <w:szCs w:val="18"/>
                <w:highlight w:val="none"/>
              </w:rPr>
            </w:pPr>
            <w:r>
              <w:rPr>
                <w:rFonts w:hint="default" w:ascii="Times New Roman" w:hAnsi="Times New Roman" w:eastAsia="宋体" w:cs="Times New Roman"/>
                <w:spacing w:val="-4"/>
                <w:sz w:val="18"/>
                <w:szCs w:val="18"/>
                <w:highlight w:val="none"/>
              </w:rPr>
              <w:t>序号</w:t>
            </w:r>
          </w:p>
        </w:tc>
        <w:tc>
          <w:tcPr>
            <w:tcW w:w="1342" w:type="dxa"/>
            <w:vAlign w:val="top"/>
          </w:tcPr>
          <w:p>
            <w:pPr>
              <w:spacing w:before="69" w:line="228" w:lineRule="auto"/>
              <w:ind w:left="251"/>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工程项目</w:t>
            </w:r>
          </w:p>
        </w:tc>
        <w:tc>
          <w:tcPr>
            <w:tcW w:w="762" w:type="dxa"/>
            <w:vAlign w:val="top"/>
          </w:tcPr>
          <w:p>
            <w:pPr>
              <w:spacing w:before="69" w:line="228" w:lineRule="auto"/>
              <w:ind w:left="173"/>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单位</w:t>
            </w:r>
          </w:p>
        </w:tc>
        <w:tc>
          <w:tcPr>
            <w:tcW w:w="1124" w:type="dxa"/>
            <w:vAlign w:val="top"/>
          </w:tcPr>
          <w:p>
            <w:pPr>
              <w:spacing w:before="68" w:line="228" w:lineRule="auto"/>
              <w:ind w:left="143"/>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9"/>
                <w:sz w:val="20"/>
                <w:szCs w:val="20"/>
                <w:highlight w:val="none"/>
              </w:rPr>
              <w:t>现有能力</w:t>
            </w:r>
          </w:p>
        </w:tc>
        <w:tc>
          <w:tcPr>
            <w:tcW w:w="1887" w:type="dxa"/>
            <w:vAlign w:val="top"/>
          </w:tcPr>
          <w:p>
            <w:pPr>
              <w:spacing w:before="69" w:line="228" w:lineRule="auto"/>
              <w:ind w:left="207"/>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10"/>
                <w:sz w:val="20"/>
                <w:szCs w:val="20"/>
                <w:highlight w:val="none"/>
              </w:rPr>
              <w:t>现有工程需求量</w:t>
            </w:r>
          </w:p>
        </w:tc>
        <w:tc>
          <w:tcPr>
            <w:tcW w:w="1170" w:type="dxa"/>
            <w:vAlign w:val="top"/>
          </w:tcPr>
          <w:p>
            <w:pPr>
              <w:spacing w:before="69" w:line="228" w:lineRule="auto"/>
              <w:ind w:left="168"/>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9"/>
                <w:sz w:val="20"/>
                <w:szCs w:val="20"/>
                <w:highlight w:val="none"/>
              </w:rPr>
              <w:t>现有余量</w:t>
            </w:r>
          </w:p>
        </w:tc>
        <w:tc>
          <w:tcPr>
            <w:tcW w:w="1358" w:type="dxa"/>
            <w:vAlign w:val="top"/>
          </w:tcPr>
          <w:p>
            <w:pPr>
              <w:spacing w:before="68" w:line="227" w:lineRule="auto"/>
              <w:ind w:left="51"/>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10"/>
                <w:sz w:val="20"/>
                <w:szCs w:val="20"/>
                <w:highlight w:val="none"/>
              </w:rPr>
              <w:t>本项目需求量</w:t>
            </w:r>
          </w:p>
        </w:tc>
        <w:tc>
          <w:tcPr>
            <w:tcW w:w="882" w:type="dxa"/>
            <w:vAlign w:val="top"/>
          </w:tcPr>
          <w:p>
            <w:pPr>
              <w:spacing w:before="69" w:line="228" w:lineRule="auto"/>
              <w:ind w:left="25"/>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是否扩容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648" w:type="dxa"/>
            <w:vAlign w:val="top"/>
          </w:tcPr>
          <w:p>
            <w:pPr>
              <w:spacing w:before="104" w:line="188" w:lineRule="auto"/>
              <w:ind w:left="295"/>
              <w:rPr>
                <w:rFonts w:hint="default" w:ascii="Times New Roman" w:hAnsi="Times New Roman" w:eastAsia="Times New Roman" w:cs="Times New Roman"/>
                <w:sz w:val="18"/>
                <w:szCs w:val="18"/>
                <w:highlight w:val="none"/>
              </w:rPr>
            </w:pPr>
            <w:r>
              <w:rPr>
                <w:rFonts w:hint="default" w:ascii="Times New Roman" w:hAnsi="Times New Roman" w:eastAsia="Times New Roman" w:cs="Times New Roman"/>
                <w:sz w:val="18"/>
                <w:szCs w:val="18"/>
                <w:highlight w:val="none"/>
              </w:rPr>
              <w:t>1</w:t>
            </w:r>
          </w:p>
        </w:tc>
        <w:tc>
          <w:tcPr>
            <w:tcW w:w="1342" w:type="dxa"/>
            <w:vAlign w:val="top"/>
          </w:tcPr>
          <w:p>
            <w:pPr>
              <w:spacing w:before="60"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lang w:val="en-US" w:eastAsia="zh-CN"/>
              </w:rPr>
              <w:t>燃油</w:t>
            </w:r>
            <w:r>
              <w:rPr>
                <w:rFonts w:hint="default" w:ascii="Times New Roman" w:hAnsi="Times New Roman" w:eastAsia="宋体" w:cs="Times New Roman"/>
                <w:spacing w:val="7"/>
                <w:sz w:val="20"/>
                <w:szCs w:val="20"/>
                <w:highlight w:val="none"/>
              </w:rPr>
              <w:t>锅炉</w:t>
            </w:r>
          </w:p>
        </w:tc>
        <w:tc>
          <w:tcPr>
            <w:tcW w:w="762" w:type="dxa"/>
            <w:vAlign w:val="top"/>
          </w:tcPr>
          <w:p>
            <w:pPr>
              <w:spacing w:before="92" w:line="199" w:lineRule="auto"/>
              <w:ind w:left="269"/>
              <w:jc w:val="both"/>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t/h</w:t>
            </w:r>
          </w:p>
        </w:tc>
        <w:tc>
          <w:tcPr>
            <w:tcW w:w="1124" w:type="dxa"/>
            <w:vAlign w:val="top"/>
          </w:tcPr>
          <w:p>
            <w:pPr>
              <w:spacing w:before="96" w:line="195" w:lineRule="auto"/>
              <w:jc w:val="center"/>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sz w:val="20"/>
                <w:szCs w:val="20"/>
                <w:highlight w:val="none"/>
                <w:lang w:val="en-US" w:eastAsia="zh-CN"/>
              </w:rPr>
              <w:t>1</w:t>
            </w:r>
          </w:p>
        </w:tc>
        <w:tc>
          <w:tcPr>
            <w:tcW w:w="1887" w:type="dxa"/>
            <w:vAlign w:val="top"/>
          </w:tcPr>
          <w:p>
            <w:pPr>
              <w:spacing w:before="60" w:line="238" w:lineRule="auto"/>
              <w:jc w:val="center"/>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3"/>
                <w:sz w:val="20"/>
                <w:szCs w:val="20"/>
                <w:highlight w:val="none"/>
              </w:rPr>
              <w:t>0.2</w:t>
            </w:r>
            <w:r>
              <w:rPr>
                <w:rFonts w:hint="default" w:ascii="Times New Roman" w:hAnsi="Times New Roman" w:eastAsia="宋体" w:cs="Times New Roman"/>
                <w:spacing w:val="3"/>
                <w:sz w:val="20"/>
                <w:szCs w:val="20"/>
                <w:highlight w:val="none"/>
              </w:rPr>
              <w:t>（</w:t>
            </w:r>
            <w:r>
              <w:rPr>
                <w:rFonts w:hint="default" w:ascii="Times New Roman" w:hAnsi="Times New Roman" w:eastAsia="宋体" w:cs="Times New Roman"/>
                <w:spacing w:val="3"/>
                <w:sz w:val="20"/>
                <w:szCs w:val="20"/>
                <w:highlight w:val="none"/>
                <w:lang w:val="en-US" w:eastAsia="zh-CN"/>
              </w:rPr>
              <w:t>12</w:t>
            </w:r>
            <w:r>
              <w:rPr>
                <w:rFonts w:hint="default" w:ascii="Times New Roman" w:hAnsi="Times New Roman" w:eastAsia="Times New Roman" w:cs="Times New Roman"/>
                <w:spacing w:val="3"/>
                <w:sz w:val="20"/>
                <w:szCs w:val="20"/>
                <w:highlight w:val="none"/>
              </w:rPr>
              <w:t>h/d</w:t>
            </w:r>
            <w:r>
              <w:rPr>
                <w:rFonts w:hint="default" w:ascii="Times New Roman" w:hAnsi="Times New Roman" w:eastAsia="宋体" w:cs="Times New Roman"/>
                <w:spacing w:val="3"/>
                <w:sz w:val="20"/>
                <w:szCs w:val="20"/>
                <w:highlight w:val="none"/>
              </w:rPr>
              <w:t>）</w:t>
            </w:r>
          </w:p>
        </w:tc>
        <w:tc>
          <w:tcPr>
            <w:tcW w:w="1170" w:type="dxa"/>
            <w:vAlign w:val="top"/>
          </w:tcPr>
          <w:p>
            <w:pPr>
              <w:spacing w:before="60" w:line="238" w:lineRule="auto"/>
              <w:jc w:val="center"/>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2"/>
                <w:sz w:val="20"/>
                <w:szCs w:val="20"/>
                <w:highlight w:val="none"/>
              </w:rPr>
              <w:t>1.8</w:t>
            </w:r>
            <w:r>
              <w:rPr>
                <w:rFonts w:hint="default" w:ascii="Times New Roman" w:hAnsi="Times New Roman" w:eastAsia="宋体" w:cs="Times New Roman"/>
                <w:spacing w:val="-2"/>
                <w:sz w:val="20"/>
                <w:szCs w:val="20"/>
                <w:highlight w:val="none"/>
              </w:rPr>
              <w:t>（</w:t>
            </w:r>
            <w:r>
              <w:rPr>
                <w:rFonts w:hint="default" w:ascii="Times New Roman" w:hAnsi="Times New Roman" w:eastAsia="宋体" w:cs="Times New Roman"/>
                <w:spacing w:val="-2"/>
                <w:sz w:val="20"/>
                <w:szCs w:val="20"/>
                <w:highlight w:val="none"/>
                <w:lang w:val="en-US" w:eastAsia="zh-CN"/>
              </w:rPr>
              <w:t>12</w:t>
            </w:r>
            <w:r>
              <w:rPr>
                <w:rFonts w:hint="default" w:ascii="Times New Roman" w:hAnsi="Times New Roman" w:eastAsia="Times New Roman" w:cs="Times New Roman"/>
                <w:spacing w:val="-2"/>
                <w:sz w:val="20"/>
                <w:szCs w:val="20"/>
                <w:highlight w:val="none"/>
              </w:rPr>
              <w:t>h/d</w:t>
            </w:r>
            <w:r>
              <w:rPr>
                <w:rFonts w:hint="default" w:ascii="Times New Roman" w:hAnsi="Times New Roman" w:eastAsia="宋体" w:cs="Times New Roman"/>
                <w:spacing w:val="-2"/>
                <w:sz w:val="20"/>
                <w:szCs w:val="20"/>
                <w:highlight w:val="none"/>
              </w:rPr>
              <w:t>）</w:t>
            </w:r>
          </w:p>
        </w:tc>
        <w:tc>
          <w:tcPr>
            <w:tcW w:w="1358" w:type="dxa"/>
            <w:vAlign w:val="top"/>
          </w:tcPr>
          <w:p>
            <w:pPr>
              <w:spacing w:before="96"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1.8</w:t>
            </w:r>
          </w:p>
        </w:tc>
        <w:tc>
          <w:tcPr>
            <w:tcW w:w="882" w:type="dxa"/>
            <w:vAlign w:val="top"/>
          </w:tcPr>
          <w:p>
            <w:pPr>
              <w:spacing w:before="60" w:line="228" w:lineRule="auto"/>
              <w:ind w:left="348"/>
              <w:rPr>
                <w:rFonts w:hint="default" w:ascii="Times New Roman" w:hAnsi="Times New Roman" w:eastAsia="宋体" w:cs="Times New Roman"/>
                <w:sz w:val="20"/>
                <w:szCs w:val="20"/>
                <w:highlight w:val="none"/>
              </w:rPr>
            </w:pPr>
            <w:r>
              <w:rPr>
                <w:rFonts w:hint="default" w:ascii="Times New Roman" w:hAnsi="Times New Roman" w:eastAsia="宋体" w:cs="Times New Roman"/>
                <w:sz w:val="20"/>
                <w:szCs w:val="20"/>
                <w:highlight w:val="none"/>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4" w:hRule="atLeast"/>
          <w:jc w:val="center"/>
        </w:trPr>
        <w:tc>
          <w:tcPr>
            <w:tcW w:w="648" w:type="dxa"/>
            <w:vAlign w:val="top"/>
          </w:tcPr>
          <w:p>
            <w:pPr>
              <w:spacing w:before="112" w:line="188" w:lineRule="auto"/>
              <w:ind w:left="278"/>
              <w:rPr>
                <w:rFonts w:hint="default" w:ascii="Times New Roman" w:hAnsi="Times New Roman" w:eastAsia="Times New Roman" w:cs="Times New Roman"/>
                <w:sz w:val="18"/>
                <w:szCs w:val="18"/>
                <w:highlight w:val="none"/>
              </w:rPr>
            </w:pPr>
            <w:r>
              <w:rPr>
                <w:rFonts w:hint="default" w:ascii="Times New Roman" w:hAnsi="Times New Roman" w:eastAsia="Times New Roman" w:cs="Times New Roman"/>
                <w:sz w:val="18"/>
                <w:szCs w:val="18"/>
                <w:highlight w:val="none"/>
              </w:rPr>
              <w:t>2</w:t>
            </w:r>
          </w:p>
        </w:tc>
        <w:tc>
          <w:tcPr>
            <w:tcW w:w="1342" w:type="dxa"/>
            <w:vAlign w:val="top"/>
          </w:tcPr>
          <w:p>
            <w:pPr>
              <w:spacing w:before="65" w:line="228" w:lineRule="auto"/>
              <w:jc w:val="center"/>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spacing w:val="6"/>
                <w:sz w:val="20"/>
                <w:szCs w:val="20"/>
                <w:highlight w:val="none"/>
                <w:lang w:val="en-US" w:eastAsia="zh-CN"/>
              </w:rPr>
              <w:t>屠宰生产线</w:t>
            </w:r>
          </w:p>
        </w:tc>
        <w:tc>
          <w:tcPr>
            <w:tcW w:w="762" w:type="dxa"/>
            <w:vAlign w:val="top"/>
          </w:tcPr>
          <w:p>
            <w:pPr>
              <w:spacing w:before="81" w:line="216" w:lineRule="auto"/>
              <w:jc w:val="center"/>
              <w:rPr>
                <w:rFonts w:hint="default" w:ascii="Times New Roman" w:hAnsi="Times New Roman" w:eastAsia="宋体" w:cs="Times New Roman"/>
                <w:sz w:val="13"/>
                <w:szCs w:val="13"/>
                <w:highlight w:val="none"/>
                <w:lang w:eastAsia="zh-CN"/>
              </w:rPr>
            </w:pPr>
            <w:r>
              <w:rPr>
                <w:rFonts w:hint="default" w:ascii="Times New Roman" w:hAnsi="Times New Roman" w:eastAsia="宋体" w:cs="Times New Roman"/>
                <w:spacing w:val="3"/>
                <w:position w:val="-3"/>
                <w:sz w:val="20"/>
                <w:szCs w:val="20"/>
                <w:highlight w:val="none"/>
                <w:lang w:val="en-US" w:eastAsia="zh-CN"/>
              </w:rPr>
              <w:t>条</w:t>
            </w:r>
          </w:p>
        </w:tc>
        <w:tc>
          <w:tcPr>
            <w:tcW w:w="1124" w:type="dxa"/>
            <w:vAlign w:val="top"/>
          </w:tcPr>
          <w:p>
            <w:pPr>
              <w:spacing w:before="101"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9000头</w:t>
            </w:r>
          </w:p>
        </w:tc>
        <w:tc>
          <w:tcPr>
            <w:tcW w:w="1887" w:type="dxa"/>
            <w:vAlign w:val="top"/>
          </w:tcPr>
          <w:p>
            <w:pPr>
              <w:spacing w:before="101"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pacing w:val="1"/>
                <w:sz w:val="20"/>
                <w:szCs w:val="20"/>
                <w:highlight w:val="none"/>
                <w:lang w:val="en-US" w:eastAsia="zh-CN"/>
              </w:rPr>
              <w:t>160000头</w:t>
            </w:r>
          </w:p>
        </w:tc>
        <w:tc>
          <w:tcPr>
            <w:tcW w:w="1170" w:type="dxa"/>
            <w:vAlign w:val="top"/>
          </w:tcPr>
          <w:p>
            <w:pPr>
              <w:spacing w:before="101" w:line="195" w:lineRule="auto"/>
              <w:jc w:val="center"/>
              <w:rPr>
                <w:rFonts w:hint="default" w:ascii="Times New Roman" w:hAnsi="Times New Roman" w:eastAsia="宋体" w:cs="Times New Roman"/>
                <w:sz w:val="20"/>
                <w:szCs w:val="20"/>
                <w:highlight w:val="none"/>
                <w:lang w:eastAsia="zh-CN"/>
              </w:rPr>
            </w:pPr>
            <w:r>
              <w:rPr>
                <w:rFonts w:hint="eastAsia" w:ascii="Times New Roman" w:hAnsi="Times New Roman" w:eastAsia="宋体" w:cs="Times New Roman"/>
                <w:spacing w:val="3"/>
                <w:sz w:val="20"/>
                <w:szCs w:val="20"/>
                <w:highlight w:val="none"/>
                <w:lang w:val="en-US" w:eastAsia="zh-CN"/>
              </w:rPr>
              <w:t>0</w:t>
            </w:r>
          </w:p>
        </w:tc>
        <w:tc>
          <w:tcPr>
            <w:tcW w:w="1358" w:type="dxa"/>
            <w:vAlign w:val="top"/>
          </w:tcPr>
          <w:p>
            <w:pPr>
              <w:spacing w:before="101"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pacing w:val="4"/>
                <w:sz w:val="20"/>
                <w:szCs w:val="20"/>
                <w:highlight w:val="none"/>
                <w:lang w:val="en-US" w:eastAsia="zh-CN"/>
              </w:rPr>
              <w:t>152000头</w:t>
            </w:r>
          </w:p>
        </w:tc>
        <w:tc>
          <w:tcPr>
            <w:tcW w:w="882" w:type="dxa"/>
            <w:vAlign w:val="top"/>
          </w:tcPr>
          <w:p>
            <w:pPr>
              <w:spacing w:before="66" w:line="228" w:lineRule="auto"/>
              <w:ind w:left="348"/>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sz w:val="20"/>
                <w:szCs w:val="20"/>
                <w:highlight w:val="none"/>
                <w:lang w:val="en-US" w:eastAsia="zh-CN"/>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jc w:val="center"/>
        </w:trPr>
        <w:tc>
          <w:tcPr>
            <w:tcW w:w="648" w:type="dxa"/>
            <w:vAlign w:val="top"/>
          </w:tcPr>
          <w:p>
            <w:pPr>
              <w:spacing w:before="116" w:line="185" w:lineRule="auto"/>
              <w:ind w:left="283"/>
              <w:rPr>
                <w:rFonts w:hint="default" w:ascii="Times New Roman" w:hAnsi="Times New Roman" w:eastAsia="宋体" w:cs="Times New Roman"/>
                <w:sz w:val="18"/>
                <w:szCs w:val="18"/>
                <w:highlight w:val="none"/>
                <w:lang w:eastAsia="zh-CN"/>
              </w:rPr>
            </w:pPr>
            <w:r>
              <w:rPr>
                <w:rFonts w:hint="default" w:ascii="Times New Roman" w:hAnsi="Times New Roman" w:eastAsia="宋体" w:cs="Times New Roman"/>
                <w:sz w:val="18"/>
                <w:szCs w:val="18"/>
                <w:highlight w:val="none"/>
                <w:lang w:val="en-US" w:eastAsia="zh-CN"/>
              </w:rPr>
              <w:t>3</w:t>
            </w:r>
          </w:p>
        </w:tc>
        <w:tc>
          <w:tcPr>
            <w:tcW w:w="1342" w:type="dxa"/>
            <w:vAlign w:val="top"/>
          </w:tcPr>
          <w:p>
            <w:pPr>
              <w:spacing w:before="69"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污水处理站</w:t>
            </w:r>
          </w:p>
        </w:tc>
        <w:tc>
          <w:tcPr>
            <w:tcW w:w="762" w:type="dxa"/>
            <w:vAlign w:val="top"/>
          </w:tcPr>
          <w:p>
            <w:pPr>
              <w:spacing w:before="85" w:line="216" w:lineRule="auto"/>
              <w:ind w:left="182"/>
              <w:jc w:val="both"/>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m</w:t>
            </w:r>
            <w:r>
              <w:rPr>
                <w:rFonts w:hint="default" w:ascii="Times New Roman" w:hAnsi="Times New Roman" w:eastAsia="Times New Roman" w:cs="Times New Roman"/>
                <w:spacing w:val="3"/>
                <w:position w:val="5"/>
                <w:sz w:val="13"/>
                <w:szCs w:val="13"/>
                <w:highlight w:val="none"/>
              </w:rPr>
              <w:t>3</w:t>
            </w:r>
            <w:r>
              <w:rPr>
                <w:rFonts w:hint="default" w:ascii="Times New Roman" w:hAnsi="Times New Roman" w:eastAsia="Times New Roman" w:cs="Times New Roman"/>
                <w:spacing w:val="3"/>
                <w:sz w:val="20"/>
                <w:szCs w:val="20"/>
                <w:highlight w:val="none"/>
              </w:rPr>
              <w:t>/d</w:t>
            </w:r>
          </w:p>
        </w:tc>
        <w:tc>
          <w:tcPr>
            <w:tcW w:w="1124" w:type="dxa"/>
            <w:vAlign w:val="top"/>
          </w:tcPr>
          <w:p>
            <w:pPr>
              <w:spacing w:before="105"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pacing w:val="2"/>
                <w:sz w:val="20"/>
                <w:szCs w:val="20"/>
                <w:highlight w:val="none"/>
                <w:lang w:val="en-US" w:eastAsia="zh-CN"/>
              </w:rPr>
              <w:t>300</w:t>
            </w:r>
            <w:r>
              <w:rPr>
                <w:rFonts w:hint="eastAsia" w:ascii="Times New Roman" w:hAnsi="Times New Roman" w:eastAsia="宋体" w:cs="Times New Roman"/>
                <w:sz w:val="20"/>
                <w:szCs w:val="20"/>
                <w:highlight w:val="none"/>
                <w:lang w:val="en-US" w:eastAsia="zh-CN"/>
              </w:rPr>
              <w:t>m</w:t>
            </w:r>
            <w:r>
              <w:rPr>
                <w:rFonts w:hint="eastAsia" w:ascii="Times New Roman" w:hAnsi="Times New Roman" w:eastAsia="宋体" w:cs="Times New Roman"/>
                <w:sz w:val="20"/>
                <w:szCs w:val="20"/>
                <w:highlight w:val="none"/>
                <w:vertAlign w:val="superscript"/>
                <w:lang w:val="en-US" w:eastAsia="zh-CN"/>
              </w:rPr>
              <w:t>3</w:t>
            </w:r>
            <w:r>
              <w:rPr>
                <w:rFonts w:hint="eastAsia" w:ascii="Times New Roman" w:hAnsi="Times New Roman" w:eastAsia="宋体" w:cs="Times New Roman"/>
                <w:sz w:val="20"/>
                <w:szCs w:val="20"/>
                <w:highlight w:val="none"/>
                <w:lang w:val="en-US" w:eastAsia="zh-CN"/>
              </w:rPr>
              <w:t>/d</w:t>
            </w:r>
          </w:p>
        </w:tc>
        <w:tc>
          <w:tcPr>
            <w:tcW w:w="1887" w:type="dxa"/>
            <w:vAlign w:val="top"/>
          </w:tcPr>
          <w:p>
            <w:pPr>
              <w:spacing w:before="105"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15.3m</w:t>
            </w:r>
            <w:r>
              <w:rPr>
                <w:rFonts w:hint="eastAsia" w:ascii="Times New Roman" w:hAnsi="Times New Roman" w:eastAsia="宋体" w:cs="Times New Roman"/>
                <w:sz w:val="20"/>
                <w:szCs w:val="20"/>
                <w:highlight w:val="none"/>
                <w:vertAlign w:val="superscript"/>
                <w:lang w:val="en-US" w:eastAsia="zh-CN"/>
              </w:rPr>
              <w:t>3</w:t>
            </w:r>
            <w:r>
              <w:rPr>
                <w:rFonts w:hint="eastAsia" w:ascii="Times New Roman" w:hAnsi="Times New Roman" w:eastAsia="宋体" w:cs="Times New Roman"/>
                <w:sz w:val="20"/>
                <w:szCs w:val="20"/>
                <w:highlight w:val="none"/>
                <w:lang w:val="en-US" w:eastAsia="zh-CN"/>
              </w:rPr>
              <w:t>/d</w:t>
            </w:r>
          </w:p>
        </w:tc>
        <w:tc>
          <w:tcPr>
            <w:tcW w:w="1170" w:type="dxa"/>
            <w:vAlign w:val="top"/>
          </w:tcPr>
          <w:p>
            <w:pPr>
              <w:spacing w:before="105"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pacing w:val="3"/>
                <w:sz w:val="20"/>
                <w:szCs w:val="20"/>
                <w:highlight w:val="none"/>
                <w:lang w:val="en-US" w:eastAsia="zh-CN"/>
              </w:rPr>
              <w:t>284.7</w:t>
            </w:r>
            <w:r>
              <w:rPr>
                <w:rFonts w:hint="eastAsia" w:ascii="Times New Roman" w:hAnsi="Times New Roman" w:eastAsia="宋体" w:cs="Times New Roman"/>
                <w:sz w:val="20"/>
                <w:szCs w:val="20"/>
                <w:highlight w:val="none"/>
                <w:lang w:val="en-US" w:eastAsia="zh-CN"/>
              </w:rPr>
              <w:t>m</w:t>
            </w:r>
            <w:r>
              <w:rPr>
                <w:rFonts w:hint="eastAsia" w:ascii="Times New Roman" w:hAnsi="Times New Roman" w:eastAsia="宋体" w:cs="Times New Roman"/>
                <w:sz w:val="20"/>
                <w:szCs w:val="20"/>
                <w:highlight w:val="none"/>
                <w:vertAlign w:val="superscript"/>
                <w:lang w:val="en-US" w:eastAsia="zh-CN"/>
              </w:rPr>
              <w:t>3</w:t>
            </w:r>
            <w:r>
              <w:rPr>
                <w:rFonts w:hint="eastAsia" w:ascii="Times New Roman" w:hAnsi="Times New Roman" w:eastAsia="宋体" w:cs="Times New Roman"/>
                <w:sz w:val="20"/>
                <w:szCs w:val="20"/>
                <w:highlight w:val="none"/>
                <w:lang w:val="en-US" w:eastAsia="zh-CN"/>
              </w:rPr>
              <w:t>/d</w:t>
            </w:r>
          </w:p>
        </w:tc>
        <w:tc>
          <w:tcPr>
            <w:tcW w:w="1358" w:type="dxa"/>
            <w:vAlign w:val="top"/>
          </w:tcPr>
          <w:p>
            <w:pPr>
              <w:spacing w:before="105"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218.34m</w:t>
            </w:r>
            <w:r>
              <w:rPr>
                <w:rFonts w:hint="eastAsia" w:ascii="Times New Roman" w:hAnsi="Times New Roman" w:eastAsia="宋体" w:cs="Times New Roman"/>
                <w:sz w:val="20"/>
                <w:szCs w:val="20"/>
                <w:highlight w:val="none"/>
                <w:vertAlign w:val="superscript"/>
                <w:lang w:val="en-US" w:eastAsia="zh-CN"/>
              </w:rPr>
              <w:t>3</w:t>
            </w:r>
            <w:r>
              <w:rPr>
                <w:rFonts w:hint="eastAsia" w:ascii="Times New Roman" w:hAnsi="Times New Roman" w:eastAsia="宋体" w:cs="Times New Roman"/>
                <w:sz w:val="20"/>
                <w:szCs w:val="20"/>
                <w:highlight w:val="none"/>
                <w:lang w:val="en-US" w:eastAsia="zh-CN"/>
              </w:rPr>
              <w:t>/d</w:t>
            </w:r>
          </w:p>
        </w:tc>
        <w:tc>
          <w:tcPr>
            <w:tcW w:w="882" w:type="dxa"/>
            <w:vAlign w:val="top"/>
          </w:tcPr>
          <w:p>
            <w:pPr>
              <w:spacing w:before="69" w:line="231" w:lineRule="auto"/>
              <w:ind w:left="344"/>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648" w:type="dxa"/>
            <w:vAlign w:val="top"/>
          </w:tcPr>
          <w:p>
            <w:pPr>
              <w:spacing w:before="115" w:line="188" w:lineRule="auto"/>
              <w:ind w:left="282"/>
              <w:rPr>
                <w:rFonts w:hint="default" w:ascii="Times New Roman" w:hAnsi="Times New Roman" w:eastAsia="宋体" w:cs="Times New Roman"/>
                <w:sz w:val="18"/>
                <w:szCs w:val="18"/>
                <w:highlight w:val="none"/>
                <w:lang w:eastAsia="zh-CN"/>
              </w:rPr>
            </w:pPr>
            <w:r>
              <w:rPr>
                <w:rFonts w:hint="default" w:ascii="Times New Roman" w:hAnsi="Times New Roman" w:eastAsia="宋体" w:cs="Times New Roman"/>
                <w:sz w:val="18"/>
                <w:szCs w:val="18"/>
                <w:highlight w:val="none"/>
                <w:lang w:val="en-US" w:eastAsia="zh-CN"/>
              </w:rPr>
              <w:t>4</w:t>
            </w:r>
          </w:p>
        </w:tc>
        <w:tc>
          <w:tcPr>
            <w:tcW w:w="1342" w:type="dxa"/>
            <w:vAlign w:val="top"/>
          </w:tcPr>
          <w:p>
            <w:pPr>
              <w:spacing w:before="68"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冷库</w:t>
            </w:r>
          </w:p>
        </w:tc>
        <w:tc>
          <w:tcPr>
            <w:tcW w:w="762" w:type="dxa"/>
            <w:vAlign w:val="top"/>
          </w:tcPr>
          <w:p>
            <w:pPr>
              <w:spacing w:before="122" w:line="176" w:lineRule="auto"/>
              <w:ind w:left="350"/>
              <w:jc w:val="both"/>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t</w:t>
            </w:r>
          </w:p>
        </w:tc>
        <w:tc>
          <w:tcPr>
            <w:tcW w:w="1124" w:type="dxa"/>
            <w:vAlign w:val="top"/>
          </w:tcPr>
          <w:p>
            <w:pPr>
              <w:spacing w:before="104"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50t</w:t>
            </w:r>
          </w:p>
        </w:tc>
        <w:tc>
          <w:tcPr>
            <w:tcW w:w="1887" w:type="dxa"/>
            <w:vAlign w:val="top"/>
          </w:tcPr>
          <w:p>
            <w:pPr>
              <w:spacing w:before="104"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5t</w:t>
            </w:r>
          </w:p>
        </w:tc>
        <w:tc>
          <w:tcPr>
            <w:tcW w:w="1170" w:type="dxa"/>
            <w:vAlign w:val="top"/>
          </w:tcPr>
          <w:p>
            <w:pPr>
              <w:spacing w:before="104"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45t</w:t>
            </w:r>
          </w:p>
        </w:tc>
        <w:tc>
          <w:tcPr>
            <w:tcW w:w="1358" w:type="dxa"/>
            <w:vAlign w:val="top"/>
          </w:tcPr>
          <w:p>
            <w:pPr>
              <w:spacing w:before="104"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30t</w:t>
            </w:r>
          </w:p>
        </w:tc>
        <w:tc>
          <w:tcPr>
            <w:tcW w:w="882" w:type="dxa"/>
            <w:vAlign w:val="top"/>
          </w:tcPr>
          <w:p>
            <w:pPr>
              <w:spacing w:before="68" w:line="228" w:lineRule="auto"/>
              <w:ind w:left="348"/>
              <w:rPr>
                <w:rFonts w:hint="default" w:ascii="Times New Roman" w:hAnsi="Times New Roman" w:eastAsia="宋体" w:cs="Times New Roman"/>
                <w:sz w:val="20"/>
                <w:szCs w:val="20"/>
                <w:highlight w:val="none"/>
              </w:rPr>
            </w:pPr>
            <w:r>
              <w:rPr>
                <w:rFonts w:hint="default" w:ascii="Times New Roman" w:hAnsi="Times New Roman" w:eastAsia="宋体" w:cs="Times New Roman"/>
                <w:sz w:val="20"/>
                <w:szCs w:val="20"/>
                <w:highlight w:val="none"/>
              </w:rPr>
              <w:t>否</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outlineLvl w:val="1"/>
        <w:rPr>
          <w:rFonts w:hint="default" w:ascii="Times New Roman" w:hAnsi="Times New Roman" w:eastAsia="黑体" w:cs="Times New Roman"/>
          <w:spacing w:val="-1"/>
          <w:sz w:val="28"/>
          <w:szCs w:val="28"/>
          <w:lang w:eastAsia="zh-CN"/>
        </w:rPr>
      </w:pPr>
      <w:bookmarkStart w:id="109" w:name="_Toc30360"/>
      <w:r>
        <w:rPr>
          <w:rFonts w:hint="default" w:ascii="Times New Roman" w:hAnsi="Times New Roman" w:eastAsia="黑体" w:cs="Times New Roman"/>
          <w:spacing w:val="-1"/>
          <w:sz w:val="28"/>
          <w:szCs w:val="28"/>
        </w:rPr>
        <w:t>3.</w:t>
      </w:r>
      <w:r>
        <w:rPr>
          <w:rFonts w:hint="default" w:ascii="Times New Roman" w:hAnsi="Times New Roman" w:eastAsia="黑体" w:cs="Times New Roman"/>
          <w:spacing w:val="-1"/>
          <w:sz w:val="28"/>
          <w:szCs w:val="28"/>
          <w:lang w:val="en-US" w:eastAsia="zh-CN"/>
        </w:rPr>
        <w:t xml:space="preserve">6 </w:t>
      </w:r>
      <w:r>
        <w:rPr>
          <w:rFonts w:hint="default" w:ascii="Times New Roman" w:hAnsi="Times New Roman" w:eastAsia="黑体" w:cs="Times New Roman"/>
          <w:spacing w:val="-1"/>
          <w:sz w:val="28"/>
          <w:szCs w:val="28"/>
        </w:rPr>
        <w:t xml:space="preserve"> 工程分析</w:t>
      </w:r>
      <w:bookmarkEnd w:id="109"/>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1"/>
        <w:rPr>
          <w:rFonts w:hint="default" w:ascii="Times New Roman" w:hAnsi="Times New Roman" w:eastAsia="宋体" w:cs="Times New Roman"/>
          <w:sz w:val="24"/>
          <w:szCs w:val="24"/>
        </w:rPr>
      </w:pPr>
      <w:bookmarkStart w:id="110" w:name="_Toc4661"/>
      <w:bookmarkStart w:id="111" w:name="_Toc18812"/>
      <w:bookmarkStart w:id="112" w:name="_Toc21186"/>
      <w:r>
        <w:rPr>
          <w:rFonts w:hint="default" w:ascii="Times New Roman" w:hAnsi="Times New Roman" w:eastAsia="Times New Roman" w:cs="Times New Roman"/>
          <w:b/>
          <w:bCs/>
          <w:spacing w:val="5"/>
          <w:sz w:val="24"/>
          <w:szCs w:val="24"/>
        </w:rPr>
        <w:t>3.</w:t>
      </w:r>
      <w:r>
        <w:rPr>
          <w:rFonts w:hint="default" w:ascii="Times New Roman" w:hAnsi="Times New Roman" w:eastAsia="宋体" w:cs="Times New Roman"/>
          <w:b/>
          <w:bCs/>
          <w:spacing w:val="5"/>
          <w:sz w:val="24"/>
          <w:szCs w:val="24"/>
          <w:lang w:val="en-US" w:eastAsia="zh-CN"/>
        </w:rPr>
        <w:t>6</w:t>
      </w:r>
      <w:r>
        <w:rPr>
          <w:rFonts w:hint="default" w:ascii="Times New Roman" w:hAnsi="Times New Roman" w:eastAsia="Times New Roman" w:cs="Times New Roman"/>
          <w:b/>
          <w:bCs/>
          <w:spacing w:val="5"/>
          <w:sz w:val="24"/>
          <w:szCs w:val="24"/>
        </w:rPr>
        <w:t xml:space="preserve">.1  </w:t>
      </w:r>
      <w:r>
        <w:rPr>
          <w:rFonts w:hint="default" w:ascii="Times New Roman" w:hAnsi="Times New Roman" w:eastAsia="宋体" w:cs="Times New Roman"/>
          <w:spacing w:val="5"/>
          <w:sz w:val="24"/>
          <w:szCs w:val="24"/>
          <w:highlight w:val="none"/>
          <w14:textOutline w14:w="4358" w14:cap="sq" w14:cmpd="sng">
            <w14:solidFill>
              <w14:srgbClr w14:val="000000"/>
            </w14:solidFill>
            <w14:prstDash w14:val="solid"/>
            <w14:bevel/>
          </w14:textOutline>
        </w:rPr>
        <w:t>施工期污染源分析</w:t>
      </w:r>
      <w:bookmarkEnd w:id="110"/>
      <w:bookmarkEnd w:id="111"/>
      <w:bookmarkEnd w:id="112"/>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default" w:ascii="Times New Roman" w:hAnsi="Times New Roman" w:eastAsia="宋体" w:cs="Times New Roman"/>
          <w:spacing w:val="-2"/>
          <w:position w:val="18"/>
          <w:sz w:val="24"/>
          <w:szCs w:val="24"/>
        </w:rPr>
        <w:t>项目</w:t>
      </w:r>
      <w:r>
        <w:rPr>
          <w:rFonts w:hint="default" w:ascii="Times New Roman" w:hAnsi="Times New Roman" w:eastAsia="宋体" w:cs="Times New Roman"/>
          <w:spacing w:val="-2"/>
          <w:position w:val="18"/>
          <w:sz w:val="24"/>
          <w:szCs w:val="24"/>
          <w:lang w:eastAsia="zh-CN"/>
        </w:rPr>
        <w:t>大部分</w:t>
      </w:r>
      <w:r>
        <w:rPr>
          <w:rFonts w:hint="default" w:ascii="Times New Roman" w:hAnsi="Times New Roman" w:eastAsia="宋体" w:cs="Times New Roman"/>
          <w:spacing w:val="-2"/>
          <w:position w:val="18"/>
          <w:sz w:val="24"/>
          <w:szCs w:val="24"/>
        </w:rPr>
        <w:t>主体及附属工程的主体土建已基本完成。待建部分包括</w:t>
      </w:r>
      <w:r>
        <w:rPr>
          <w:rFonts w:hint="default" w:ascii="Times New Roman" w:hAnsi="Times New Roman" w:eastAsia="宋体" w:cs="Times New Roman"/>
          <w:spacing w:val="-2"/>
          <w:position w:val="18"/>
          <w:sz w:val="24"/>
          <w:szCs w:val="24"/>
          <w:lang w:val="en-US" w:eastAsia="zh-CN"/>
        </w:rPr>
        <w:t>屠宰</w:t>
      </w:r>
      <w:r>
        <w:rPr>
          <w:rFonts w:hint="eastAsia" w:ascii="Times New Roman" w:hAnsi="Times New Roman" w:eastAsia="宋体" w:cs="Times New Roman"/>
          <w:spacing w:val="-2"/>
          <w:position w:val="18"/>
          <w:sz w:val="24"/>
          <w:szCs w:val="24"/>
          <w:lang w:val="en-US" w:eastAsia="zh-CN"/>
        </w:rPr>
        <w:t>加工</w:t>
      </w:r>
      <w:r>
        <w:rPr>
          <w:rFonts w:hint="default" w:ascii="Times New Roman" w:hAnsi="Times New Roman" w:eastAsia="宋体" w:cs="Times New Roman"/>
          <w:spacing w:val="-2"/>
          <w:position w:val="18"/>
          <w:sz w:val="24"/>
          <w:szCs w:val="24"/>
          <w:lang w:eastAsia="zh-CN"/>
        </w:rPr>
        <w:t>车间</w:t>
      </w:r>
      <w:r>
        <w:rPr>
          <w:rFonts w:hint="default" w:ascii="Times New Roman" w:hAnsi="Times New Roman" w:eastAsia="宋体" w:cs="Times New Roman"/>
          <w:spacing w:val="-2"/>
          <w:position w:val="18"/>
          <w:sz w:val="24"/>
          <w:szCs w:val="24"/>
          <w:lang w:val="en-US" w:eastAsia="zh-CN"/>
        </w:rPr>
        <w:t>以及污水处理站</w:t>
      </w:r>
      <w:r>
        <w:rPr>
          <w:rFonts w:hint="eastAsia" w:ascii="Times New Roman" w:hAnsi="Times New Roman" w:eastAsia="宋体" w:cs="Times New Roman"/>
          <w:spacing w:val="-2"/>
          <w:position w:val="18"/>
          <w:sz w:val="24"/>
          <w:szCs w:val="24"/>
          <w:lang w:val="en-US" w:eastAsia="zh-CN"/>
        </w:rPr>
        <w:t>的废气处理设施及事故池</w:t>
      </w:r>
      <w:r>
        <w:rPr>
          <w:rFonts w:hint="default" w:ascii="Times New Roman" w:hAnsi="Times New Roman" w:eastAsia="宋体" w:cs="Times New Roman"/>
          <w:spacing w:val="-2"/>
          <w:position w:val="18"/>
          <w:sz w:val="24"/>
          <w:szCs w:val="24"/>
          <w:lang w:val="en-US" w:eastAsia="zh-CN"/>
        </w:rPr>
        <w:t>的</w:t>
      </w:r>
      <w:r>
        <w:rPr>
          <w:rFonts w:hint="eastAsia" w:ascii="Times New Roman" w:hAnsi="Times New Roman" w:eastAsia="宋体" w:cs="Times New Roman"/>
          <w:spacing w:val="-2"/>
          <w:position w:val="18"/>
          <w:sz w:val="24"/>
          <w:szCs w:val="24"/>
          <w:lang w:val="en-US" w:eastAsia="zh-CN"/>
        </w:rPr>
        <w:t>建设</w:t>
      </w:r>
      <w:r>
        <w:rPr>
          <w:rFonts w:hint="eastAsia" w:ascii="Times New Roman" w:hAnsi="Times New Roman" w:eastAsia="宋体" w:cs="Times New Roman"/>
          <w:spacing w:val="-2"/>
          <w:position w:val="18"/>
          <w:sz w:val="24"/>
          <w:szCs w:val="24"/>
          <w:lang w:eastAsia="zh-CN"/>
        </w:rPr>
        <w:t>。施工期</w:t>
      </w:r>
      <w:r>
        <w:rPr>
          <w:rFonts w:hint="eastAsia" w:ascii="Times New Roman" w:hAnsi="Times New Roman" w:eastAsia="宋体" w:cs="Times New Roman"/>
          <w:spacing w:val="-2"/>
          <w:position w:val="18"/>
          <w:sz w:val="24"/>
          <w:szCs w:val="24"/>
          <w:lang w:val="en-US" w:eastAsia="zh-CN"/>
        </w:rPr>
        <w:t>环境影响较小</w:t>
      </w:r>
      <w:r>
        <w:rPr>
          <w:rFonts w:hint="eastAsia" w:ascii="Times New Roman" w:hAnsi="Times New Roman" w:eastAsia="宋体" w:cs="Times New Roman"/>
          <w:spacing w:val="-2"/>
          <w:position w:val="18"/>
          <w:sz w:val="24"/>
          <w:szCs w:val="24"/>
          <w:lang w:eastAsia="zh-CN"/>
        </w:rPr>
        <w:t>。环境影响主要来源于运营期。</w:t>
      </w:r>
    </w:p>
    <w:p>
      <w:pPr>
        <w:keepNext w:val="0"/>
        <w:keepLines w:val="0"/>
        <w:pageBreakBefore w:val="0"/>
        <w:wordWrap/>
        <w:overflowPunct/>
        <w:topLinePunct w:val="0"/>
        <w:bidi w:val="0"/>
        <w:spacing w:line="360" w:lineRule="auto"/>
        <w:ind w:left="0" w:firstLine="500" w:firstLineChars="200"/>
        <w:jc w:val="both"/>
        <w:outlineLvl w:val="3"/>
        <w:rPr>
          <w:rFonts w:hint="default" w:ascii="Times New Roman" w:hAnsi="Times New Roman" w:eastAsia="黑体" w:cs="Times New Roman"/>
          <w:spacing w:val="5"/>
          <w:sz w:val="24"/>
          <w:szCs w:val="24"/>
          <w:highlight w:val="none"/>
          <w:lang w:val="zh-CN" w:eastAsia="zh-CN"/>
        </w:rPr>
      </w:pPr>
      <w:r>
        <w:rPr>
          <w:rFonts w:hint="eastAsia" w:ascii="Times New Roman" w:hAnsi="Times New Roman" w:eastAsia="黑体" w:cs="Times New Roman"/>
          <w:spacing w:val="5"/>
          <w:sz w:val="24"/>
          <w:szCs w:val="24"/>
          <w:highlight w:val="none"/>
          <w:lang w:val="en-US" w:eastAsia="zh-CN"/>
        </w:rPr>
        <w:t>3.6</w:t>
      </w:r>
      <w:r>
        <w:rPr>
          <w:rFonts w:hint="eastAsia" w:ascii="Times New Roman" w:hAnsi="Times New Roman" w:eastAsia="黑体" w:cs="Times New Roman"/>
          <w:spacing w:val="5"/>
          <w:sz w:val="24"/>
          <w:szCs w:val="24"/>
          <w:highlight w:val="none"/>
          <w:lang w:val="zh-CN" w:eastAsia="zh-CN"/>
        </w:rPr>
        <w:t>.1.1</w:t>
      </w:r>
      <w:r>
        <w:rPr>
          <w:rFonts w:hint="default" w:ascii="Times New Roman" w:hAnsi="Times New Roman" w:eastAsia="黑体" w:cs="Times New Roman"/>
          <w:spacing w:val="5"/>
          <w:sz w:val="24"/>
          <w:szCs w:val="24"/>
          <w:highlight w:val="none"/>
          <w:lang w:val="en-US" w:eastAsia="zh-CN"/>
        </w:rPr>
        <w:t>施工期大气环境影响因素分析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default" w:ascii="Times New Roman" w:hAnsi="Times New Roman" w:eastAsia="宋体" w:cs="Times New Roman"/>
          <w:spacing w:val="-2"/>
          <w:position w:val="18"/>
          <w:sz w:val="24"/>
          <w:szCs w:val="24"/>
        </w:rPr>
        <w:t>对整个施工期而言，施工过程中对环境造成影响较为突出的是扬尘污染。施工期产生的扬尘主要集中在平整土地等施工阶段。按起尘的原因可分为风力起尘和动力起尘，其中风力起尘主要是由于露天堆放的建材及裸露的施工区表层浮尘因天气干燥及大风，产生风力扬尘；而动力起尘，主要是在建材的装卸、搅拌过程中，由于外力而产生的尘粒再悬浮而造成，其中施工及装卸车辆造成的扬尘最为严重。</w:t>
      </w:r>
    </w:p>
    <w:p>
      <w:pPr>
        <w:keepNext w:val="0"/>
        <w:keepLines w:val="0"/>
        <w:pageBreakBefore w:val="0"/>
        <w:wordWrap/>
        <w:overflowPunct/>
        <w:topLinePunct w:val="0"/>
        <w:bidi w:val="0"/>
        <w:spacing w:line="360" w:lineRule="auto"/>
        <w:ind w:left="0" w:firstLine="500" w:firstLineChars="200"/>
        <w:jc w:val="both"/>
        <w:outlineLvl w:val="3"/>
        <w:rPr>
          <w:rFonts w:hint="default" w:ascii="Times New Roman" w:hAnsi="Times New Roman" w:eastAsia="黑体" w:cs="Times New Roman"/>
          <w:spacing w:val="5"/>
          <w:sz w:val="24"/>
          <w:szCs w:val="24"/>
          <w:highlight w:val="none"/>
          <w:lang w:val="en-US" w:eastAsia="zh-CN"/>
        </w:rPr>
      </w:pPr>
      <w:r>
        <w:rPr>
          <w:rFonts w:hint="eastAsia" w:ascii="Times New Roman" w:hAnsi="Times New Roman" w:eastAsia="黑体" w:cs="Times New Roman"/>
          <w:spacing w:val="5"/>
          <w:sz w:val="24"/>
          <w:szCs w:val="24"/>
          <w:highlight w:val="none"/>
          <w:lang w:val="zh-CN" w:eastAsia="zh-CN"/>
        </w:rPr>
        <w:t>3.</w:t>
      </w:r>
      <w:r>
        <w:rPr>
          <w:rFonts w:hint="eastAsia" w:ascii="Times New Roman" w:hAnsi="Times New Roman" w:eastAsia="黑体" w:cs="Times New Roman"/>
          <w:spacing w:val="5"/>
          <w:sz w:val="24"/>
          <w:szCs w:val="24"/>
          <w:highlight w:val="none"/>
          <w:lang w:val="en-US" w:eastAsia="zh-CN"/>
        </w:rPr>
        <w:t>6</w:t>
      </w:r>
      <w:r>
        <w:rPr>
          <w:rFonts w:hint="eastAsia" w:ascii="Times New Roman" w:hAnsi="Times New Roman" w:eastAsia="黑体" w:cs="Times New Roman"/>
          <w:spacing w:val="5"/>
          <w:sz w:val="24"/>
          <w:szCs w:val="24"/>
          <w:highlight w:val="none"/>
          <w:lang w:val="zh-CN" w:eastAsia="zh-CN"/>
        </w:rPr>
        <w:t>.1.2</w:t>
      </w:r>
      <w:r>
        <w:rPr>
          <w:rFonts w:hint="default" w:ascii="Times New Roman" w:hAnsi="Times New Roman" w:eastAsia="黑体" w:cs="Times New Roman"/>
          <w:spacing w:val="5"/>
          <w:sz w:val="24"/>
          <w:szCs w:val="24"/>
          <w:highlight w:val="none"/>
          <w:lang w:val="en-US" w:eastAsia="zh-CN"/>
        </w:rPr>
        <w:t>施工期水环境影响因素分析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eastAsia" w:ascii="Times New Roman" w:hAnsi="Times New Roman" w:eastAsia="宋体" w:cs="Times New Roman"/>
          <w:spacing w:val="-2"/>
          <w:position w:val="18"/>
          <w:sz w:val="24"/>
          <w:szCs w:val="24"/>
        </w:rPr>
        <w:t>①施工废水</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default" w:ascii="Times New Roman" w:hAnsi="Times New Roman" w:eastAsia="宋体" w:cs="Times New Roman"/>
          <w:spacing w:val="-2"/>
          <w:position w:val="18"/>
          <w:sz w:val="24"/>
          <w:szCs w:val="24"/>
        </w:rPr>
        <w:t>施工废水主要来源于机械设备及运输车辆冲洗废水。施工现场设置沉淀池，</w:t>
      </w:r>
      <w:r>
        <w:rPr>
          <w:rFonts w:hint="eastAsia" w:ascii="Times New Roman" w:hAnsi="Times New Roman" w:eastAsia="宋体" w:cs="Times New Roman"/>
          <w:spacing w:val="-2"/>
          <w:position w:val="18"/>
          <w:sz w:val="24"/>
          <w:szCs w:val="24"/>
        </w:rPr>
        <w:t>施工</w:t>
      </w:r>
      <w:r>
        <w:rPr>
          <w:rFonts w:hint="default" w:ascii="Times New Roman" w:hAnsi="Times New Roman" w:eastAsia="宋体" w:cs="Times New Roman"/>
          <w:spacing w:val="-2"/>
          <w:position w:val="18"/>
          <w:sz w:val="24"/>
          <w:szCs w:val="24"/>
        </w:rPr>
        <w:t>废水</w:t>
      </w:r>
      <w:r>
        <w:rPr>
          <w:rFonts w:hint="eastAsia" w:ascii="Times New Roman" w:hAnsi="Times New Roman" w:eastAsia="宋体" w:cs="Times New Roman"/>
          <w:spacing w:val="-2"/>
          <w:position w:val="18"/>
          <w:sz w:val="24"/>
          <w:szCs w:val="24"/>
        </w:rPr>
        <w:t>经</w:t>
      </w:r>
      <w:r>
        <w:rPr>
          <w:rFonts w:hint="default" w:ascii="Times New Roman" w:hAnsi="Times New Roman" w:eastAsia="宋体" w:cs="Times New Roman"/>
          <w:spacing w:val="-2"/>
          <w:position w:val="18"/>
          <w:sz w:val="24"/>
          <w:szCs w:val="24"/>
        </w:rPr>
        <w:t>沉淀后</w:t>
      </w:r>
      <w:r>
        <w:rPr>
          <w:rFonts w:hint="eastAsia" w:ascii="Times New Roman" w:hAnsi="Times New Roman" w:eastAsia="宋体" w:cs="Times New Roman"/>
          <w:spacing w:val="-2"/>
          <w:position w:val="18"/>
          <w:sz w:val="24"/>
          <w:szCs w:val="24"/>
        </w:rPr>
        <w:t>用于</w:t>
      </w:r>
      <w:r>
        <w:rPr>
          <w:rFonts w:hint="default" w:ascii="Times New Roman" w:hAnsi="Times New Roman" w:eastAsia="宋体" w:cs="Times New Roman"/>
          <w:spacing w:val="-2"/>
          <w:position w:val="18"/>
          <w:sz w:val="24"/>
          <w:szCs w:val="24"/>
        </w:rPr>
        <w:t>场地降尘，不外排。</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eastAsia" w:ascii="Times New Roman" w:hAnsi="Times New Roman" w:eastAsia="宋体" w:cs="Times New Roman"/>
          <w:spacing w:val="-2"/>
          <w:position w:val="18"/>
          <w:sz w:val="24"/>
          <w:szCs w:val="24"/>
        </w:rPr>
        <w:t>②生活污水</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lang w:val="zh-CN"/>
        </w:rPr>
      </w:pPr>
      <w:r>
        <w:rPr>
          <w:rFonts w:hint="default" w:ascii="Times New Roman" w:hAnsi="Times New Roman" w:eastAsia="宋体" w:cs="Times New Roman"/>
          <w:spacing w:val="-2"/>
          <w:position w:val="18"/>
          <w:sz w:val="24"/>
          <w:szCs w:val="24"/>
        </w:rPr>
        <w:t>本项目施工人员产生的生活污水排入防渗旱厕，定期清掏，外运堆肥。</w:t>
      </w:r>
    </w:p>
    <w:p>
      <w:pPr>
        <w:keepNext w:val="0"/>
        <w:keepLines w:val="0"/>
        <w:pageBreakBefore w:val="0"/>
        <w:wordWrap/>
        <w:overflowPunct/>
        <w:topLinePunct w:val="0"/>
        <w:bidi w:val="0"/>
        <w:spacing w:line="360" w:lineRule="auto"/>
        <w:ind w:left="0" w:firstLine="500" w:firstLineChars="200"/>
        <w:jc w:val="both"/>
        <w:outlineLvl w:val="3"/>
        <w:rPr>
          <w:rFonts w:hint="default" w:ascii="Times New Roman" w:hAnsi="Times New Roman" w:eastAsia="黑体" w:cs="Times New Roman"/>
          <w:spacing w:val="5"/>
          <w:sz w:val="24"/>
          <w:szCs w:val="24"/>
          <w:highlight w:val="none"/>
          <w:lang w:val="zh-CN" w:eastAsia="zh-CN"/>
        </w:rPr>
      </w:pPr>
      <w:r>
        <w:rPr>
          <w:rFonts w:hint="eastAsia" w:ascii="Times New Roman" w:hAnsi="Times New Roman" w:eastAsia="黑体" w:cs="Times New Roman"/>
          <w:spacing w:val="5"/>
          <w:sz w:val="24"/>
          <w:szCs w:val="24"/>
          <w:highlight w:val="none"/>
          <w:lang w:val="zh-CN" w:eastAsia="zh-CN"/>
        </w:rPr>
        <w:t>3.</w:t>
      </w:r>
      <w:r>
        <w:rPr>
          <w:rFonts w:hint="eastAsia" w:ascii="Times New Roman" w:hAnsi="Times New Roman" w:eastAsia="黑体" w:cs="Times New Roman"/>
          <w:spacing w:val="5"/>
          <w:sz w:val="24"/>
          <w:szCs w:val="24"/>
          <w:highlight w:val="none"/>
          <w:lang w:val="en-US" w:eastAsia="zh-CN"/>
        </w:rPr>
        <w:t>6</w:t>
      </w:r>
      <w:r>
        <w:rPr>
          <w:rFonts w:hint="eastAsia" w:ascii="Times New Roman" w:hAnsi="Times New Roman" w:eastAsia="黑体" w:cs="Times New Roman"/>
          <w:spacing w:val="5"/>
          <w:sz w:val="24"/>
          <w:szCs w:val="24"/>
          <w:highlight w:val="none"/>
          <w:lang w:val="zh-CN" w:eastAsia="zh-CN"/>
        </w:rPr>
        <w:t>.1.3</w:t>
      </w:r>
      <w:r>
        <w:rPr>
          <w:rFonts w:hint="default" w:ascii="Times New Roman" w:hAnsi="Times New Roman" w:eastAsia="黑体" w:cs="Times New Roman"/>
          <w:spacing w:val="5"/>
          <w:sz w:val="24"/>
          <w:szCs w:val="24"/>
          <w:highlight w:val="none"/>
          <w:lang w:val="en-US" w:eastAsia="zh-CN"/>
        </w:rPr>
        <w:t>施工期噪声影响因素分析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lang w:val="zh-CN"/>
        </w:rPr>
      </w:pPr>
      <w:r>
        <w:rPr>
          <w:rFonts w:hint="default" w:ascii="Times New Roman" w:hAnsi="Times New Roman" w:eastAsia="宋体" w:cs="Times New Roman"/>
          <w:spacing w:val="-2"/>
          <w:position w:val="18"/>
          <w:sz w:val="24"/>
          <w:szCs w:val="24"/>
        </w:rPr>
        <w:t>施工期的噪声主要可分为机械噪声、施工作业噪声和施工车辆噪声。机械噪声主要由施工机械所造成，多为点声源；施工作业噪声主要指一些零星的敲打声、装卸车辆的撞击声、吆喝声、拆装模板的撞击声等，多为瞬间噪声；施工车辆的噪声属于交通噪声</w:t>
      </w:r>
      <w:r>
        <w:rPr>
          <w:rFonts w:hint="eastAsia" w:ascii="Times New Roman" w:hAnsi="Times New Roman" w:eastAsia="宋体" w:cs="Times New Roman"/>
          <w:spacing w:val="-2"/>
          <w:position w:val="18"/>
          <w:sz w:val="24"/>
          <w:szCs w:val="24"/>
        </w:rPr>
        <w:t>。</w:t>
      </w:r>
    </w:p>
    <w:p>
      <w:pPr>
        <w:keepNext w:val="0"/>
        <w:keepLines w:val="0"/>
        <w:pageBreakBefore w:val="0"/>
        <w:wordWrap/>
        <w:overflowPunct/>
        <w:topLinePunct w:val="0"/>
        <w:bidi w:val="0"/>
        <w:spacing w:line="360" w:lineRule="auto"/>
        <w:ind w:left="0" w:firstLine="500" w:firstLineChars="200"/>
        <w:jc w:val="both"/>
        <w:outlineLvl w:val="3"/>
        <w:rPr>
          <w:rFonts w:hint="default" w:ascii="Times New Roman" w:hAnsi="Times New Roman" w:eastAsia="黑体" w:cs="Times New Roman"/>
          <w:spacing w:val="5"/>
          <w:sz w:val="24"/>
          <w:szCs w:val="24"/>
          <w:highlight w:val="none"/>
          <w:lang w:val="zh-CN" w:eastAsia="zh-CN"/>
        </w:rPr>
      </w:pPr>
      <w:r>
        <w:rPr>
          <w:rFonts w:hint="eastAsia" w:ascii="Times New Roman" w:hAnsi="Times New Roman" w:eastAsia="黑体" w:cs="Times New Roman"/>
          <w:spacing w:val="5"/>
          <w:sz w:val="24"/>
          <w:szCs w:val="24"/>
          <w:highlight w:val="none"/>
          <w:lang w:val="zh-CN" w:eastAsia="zh-CN"/>
        </w:rPr>
        <w:t>3.</w:t>
      </w:r>
      <w:r>
        <w:rPr>
          <w:rFonts w:hint="eastAsia" w:ascii="Times New Roman" w:hAnsi="Times New Roman" w:eastAsia="黑体" w:cs="Times New Roman"/>
          <w:spacing w:val="5"/>
          <w:sz w:val="24"/>
          <w:szCs w:val="24"/>
          <w:highlight w:val="none"/>
          <w:lang w:val="en-US" w:eastAsia="zh-CN"/>
        </w:rPr>
        <w:t>6</w:t>
      </w:r>
      <w:r>
        <w:rPr>
          <w:rFonts w:hint="eastAsia" w:ascii="Times New Roman" w:hAnsi="Times New Roman" w:eastAsia="黑体" w:cs="Times New Roman"/>
          <w:spacing w:val="5"/>
          <w:sz w:val="24"/>
          <w:szCs w:val="24"/>
          <w:highlight w:val="none"/>
          <w:lang w:val="zh-CN" w:eastAsia="zh-CN"/>
        </w:rPr>
        <w:t>.1.4</w:t>
      </w:r>
      <w:r>
        <w:rPr>
          <w:rFonts w:hint="default" w:ascii="Times New Roman" w:hAnsi="Times New Roman" w:eastAsia="黑体" w:cs="Times New Roman"/>
          <w:spacing w:val="5"/>
          <w:sz w:val="24"/>
          <w:szCs w:val="24"/>
          <w:highlight w:val="none"/>
          <w:lang w:val="zh-CN" w:eastAsia="zh-CN"/>
        </w:rPr>
        <w:t>施工期固体废物影响因素分析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default" w:ascii="Times New Roman" w:hAnsi="Times New Roman" w:eastAsia="宋体" w:cs="Times New Roman"/>
          <w:spacing w:val="-2"/>
          <w:position w:val="18"/>
          <w:sz w:val="24"/>
          <w:szCs w:val="24"/>
        </w:rPr>
        <w:t>施工期产生的固体废弃物主要是</w:t>
      </w:r>
      <w:r>
        <w:rPr>
          <w:rFonts w:hint="eastAsia" w:ascii="Times New Roman" w:hAnsi="Times New Roman" w:eastAsia="宋体" w:cs="Times New Roman"/>
          <w:spacing w:val="-2"/>
          <w:position w:val="18"/>
          <w:sz w:val="24"/>
          <w:szCs w:val="24"/>
        </w:rPr>
        <w:t>施工废物</w:t>
      </w:r>
      <w:r>
        <w:rPr>
          <w:rFonts w:hint="default" w:ascii="Times New Roman" w:hAnsi="Times New Roman" w:eastAsia="宋体" w:cs="Times New Roman"/>
          <w:spacing w:val="-2"/>
          <w:position w:val="18"/>
          <w:sz w:val="24"/>
          <w:szCs w:val="24"/>
        </w:rPr>
        <w:t>及施工人员生活垃圾。</w:t>
      </w:r>
      <w:r>
        <w:rPr>
          <w:rFonts w:hint="eastAsia" w:ascii="Times New Roman" w:hAnsi="Times New Roman" w:eastAsia="宋体" w:cs="Times New Roman"/>
          <w:spacing w:val="-2"/>
          <w:position w:val="18"/>
          <w:sz w:val="24"/>
          <w:szCs w:val="24"/>
        </w:rPr>
        <w:t>施工废物</w:t>
      </w:r>
      <w:r>
        <w:rPr>
          <w:rFonts w:hint="default" w:ascii="Times New Roman" w:hAnsi="Times New Roman" w:eastAsia="宋体" w:cs="Times New Roman"/>
          <w:spacing w:val="-2"/>
          <w:position w:val="18"/>
          <w:sz w:val="24"/>
          <w:szCs w:val="24"/>
        </w:rPr>
        <w:t>主要包括平整场地</w:t>
      </w:r>
      <w:r>
        <w:rPr>
          <w:rFonts w:hint="eastAsia" w:ascii="Times New Roman" w:hAnsi="Times New Roman" w:eastAsia="宋体" w:cs="Times New Roman"/>
          <w:spacing w:val="-2"/>
          <w:position w:val="18"/>
          <w:sz w:val="24"/>
          <w:szCs w:val="24"/>
        </w:rPr>
        <w:t>和地基开挖</w:t>
      </w:r>
      <w:r>
        <w:rPr>
          <w:rFonts w:hint="default" w:ascii="Times New Roman" w:hAnsi="Times New Roman" w:eastAsia="宋体" w:cs="Times New Roman"/>
          <w:spacing w:val="-2"/>
          <w:position w:val="18"/>
          <w:sz w:val="24"/>
          <w:szCs w:val="24"/>
        </w:rPr>
        <w:t>产生的</w:t>
      </w:r>
      <w:r>
        <w:rPr>
          <w:rFonts w:hint="eastAsia" w:ascii="Times New Roman" w:hAnsi="Times New Roman" w:eastAsia="宋体" w:cs="Times New Roman"/>
          <w:spacing w:val="-2"/>
          <w:position w:val="18"/>
          <w:sz w:val="24"/>
          <w:szCs w:val="24"/>
        </w:rPr>
        <w:t>少量</w:t>
      </w:r>
      <w:r>
        <w:rPr>
          <w:rFonts w:hint="default" w:ascii="Times New Roman" w:hAnsi="Times New Roman" w:eastAsia="宋体" w:cs="Times New Roman"/>
          <w:spacing w:val="-2"/>
          <w:position w:val="18"/>
          <w:sz w:val="24"/>
          <w:szCs w:val="24"/>
        </w:rPr>
        <w:t>弃土弃渣</w:t>
      </w:r>
      <w:r>
        <w:rPr>
          <w:rFonts w:hint="eastAsia" w:ascii="Times New Roman" w:hAnsi="Times New Roman" w:eastAsia="宋体" w:cs="Times New Roman"/>
          <w:spacing w:val="-2"/>
          <w:position w:val="18"/>
          <w:sz w:val="24"/>
          <w:szCs w:val="24"/>
        </w:rPr>
        <w:t>、</w:t>
      </w:r>
      <w:r>
        <w:rPr>
          <w:rFonts w:hint="default" w:ascii="Times New Roman" w:hAnsi="Times New Roman" w:eastAsia="宋体" w:cs="Times New Roman"/>
          <w:spacing w:val="-2"/>
          <w:position w:val="18"/>
          <w:sz w:val="24"/>
          <w:szCs w:val="24"/>
        </w:rPr>
        <w:t>建筑</w:t>
      </w:r>
      <w:r>
        <w:rPr>
          <w:rFonts w:hint="eastAsia" w:ascii="Times New Roman" w:hAnsi="Times New Roman" w:eastAsia="宋体" w:cs="Times New Roman"/>
          <w:spacing w:val="-2"/>
          <w:position w:val="18"/>
          <w:sz w:val="24"/>
          <w:szCs w:val="24"/>
        </w:rPr>
        <w:t>垃圾</w:t>
      </w:r>
      <w:r>
        <w:rPr>
          <w:rFonts w:hint="default" w:ascii="Times New Roman" w:hAnsi="Times New Roman" w:eastAsia="宋体" w:cs="Times New Roman"/>
          <w:spacing w:val="-2"/>
          <w:position w:val="18"/>
          <w:sz w:val="24"/>
          <w:szCs w:val="24"/>
        </w:rPr>
        <w:t>等。</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1"/>
        <w:rPr>
          <w:rFonts w:hint="default" w:ascii="Times New Roman" w:hAnsi="Times New Roman" w:eastAsia="宋体" w:cs="Times New Roman"/>
          <w:sz w:val="24"/>
          <w:szCs w:val="24"/>
        </w:rPr>
      </w:pPr>
      <w:bookmarkStart w:id="113" w:name="_Toc26974"/>
      <w:bookmarkStart w:id="114" w:name="_Toc26924"/>
      <w:bookmarkStart w:id="115" w:name="_Toc7259"/>
      <w:r>
        <w:rPr>
          <w:rFonts w:hint="default" w:ascii="Times New Roman" w:hAnsi="Times New Roman" w:eastAsia="Times New Roman" w:cs="Times New Roman"/>
          <w:b/>
          <w:bCs/>
          <w:spacing w:val="4"/>
          <w:sz w:val="24"/>
          <w:szCs w:val="24"/>
        </w:rPr>
        <w:t>3.</w:t>
      </w:r>
      <w:r>
        <w:rPr>
          <w:rFonts w:hint="default" w:ascii="Times New Roman" w:hAnsi="Times New Roman" w:eastAsia="宋体" w:cs="Times New Roman"/>
          <w:b/>
          <w:bCs/>
          <w:spacing w:val="4"/>
          <w:sz w:val="24"/>
          <w:szCs w:val="24"/>
          <w:lang w:val="en-US" w:eastAsia="zh-CN"/>
        </w:rPr>
        <w:t>6</w:t>
      </w:r>
      <w:r>
        <w:rPr>
          <w:rFonts w:hint="default" w:ascii="Times New Roman" w:hAnsi="Times New Roman" w:eastAsia="Times New Roman" w:cs="Times New Roman"/>
          <w:b/>
          <w:bCs/>
          <w:spacing w:val="4"/>
          <w:sz w:val="24"/>
          <w:szCs w:val="24"/>
        </w:rPr>
        <w:t>.2</w:t>
      </w:r>
      <w:r>
        <w:rPr>
          <w:rFonts w:hint="default" w:ascii="Times New Roman" w:hAnsi="Times New Roman" w:eastAsia="Times New Roman" w:cs="Times New Roman"/>
          <w:b/>
          <w:bCs/>
          <w:spacing w:val="17"/>
          <w:sz w:val="24"/>
          <w:szCs w:val="24"/>
        </w:rPr>
        <w:t xml:space="preserve">  </w:t>
      </w:r>
      <w:r>
        <w:rPr>
          <w:rFonts w:hint="default" w:ascii="Times New Roman" w:hAnsi="Times New Roman" w:eastAsia="宋体" w:cs="Times New Roman"/>
          <w:spacing w:val="4"/>
          <w:sz w:val="24"/>
          <w:szCs w:val="24"/>
          <w14:textOutline w14:w="4358" w14:cap="sq" w14:cmpd="sng">
            <w14:solidFill>
              <w14:srgbClr w14:val="000000"/>
            </w14:solidFill>
            <w14:prstDash w14:val="solid"/>
            <w14:bevel/>
          </w14:textOutline>
        </w:rPr>
        <w:t>营运期污染源分析</w:t>
      </w:r>
      <w:bookmarkEnd w:id="113"/>
      <w:bookmarkEnd w:id="114"/>
      <w:bookmarkEnd w:id="115"/>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420" w:firstLineChars="200"/>
        <w:jc w:val="both"/>
        <w:textAlignment w:val="baseline"/>
        <w:outlineLvl w:val="3"/>
        <w:rPr>
          <w:rFonts w:hint="default" w:ascii="Times New Roman" w:hAnsi="Times New Roman" w:eastAsia="黑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"3.3.2.1" </w:instrText>
      </w:r>
      <w:r>
        <w:rPr>
          <w:rFonts w:hint="default" w:ascii="Times New Roman" w:hAnsi="Times New Roman" w:cs="Times New Roman"/>
        </w:rPr>
        <w:fldChar w:fldCharType="separate"/>
      </w:r>
      <w:r>
        <w:rPr>
          <w:rFonts w:hint="default" w:ascii="Times New Roman" w:hAnsi="Times New Roman" w:eastAsia="Times New Roman" w:cs="Times New Roman"/>
          <w:spacing w:val="5"/>
          <w:sz w:val="24"/>
          <w:szCs w:val="24"/>
        </w:rPr>
        <w:t>3.</w:t>
      </w:r>
      <w:r>
        <w:rPr>
          <w:rFonts w:hint="default" w:ascii="Times New Roman" w:hAnsi="Times New Roman" w:eastAsia="宋体" w:cs="Times New Roman"/>
          <w:spacing w:val="5"/>
          <w:sz w:val="24"/>
          <w:szCs w:val="24"/>
          <w:lang w:val="en-US" w:eastAsia="zh-CN"/>
        </w:rPr>
        <w:t>6</w:t>
      </w:r>
      <w:r>
        <w:rPr>
          <w:rFonts w:hint="default" w:ascii="Times New Roman" w:hAnsi="Times New Roman" w:eastAsia="Times New Roman" w:cs="Times New Roman"/>
          <w:spacing w:val="5"/>
          <w:sz w:val="24"/>
          <w:szCs w:val="24"/>
        </w:rPr>
        <w:t>.2.1</w:t>
      </w:r>
      <w:r>
        <w:rPr>
          <w:rFonts w:hint="default" w:ascii="Times New Roman" w:hAnsi="Times New Roman" w:eastAsia="Times New Roman" w:cs="Times New Roman"/>
          <w:spacing w:val="5"/>
          <w:sz w:val="24"/>
          <w:szCs w:val="24"/>
        </w:rPr>
        <w:fldChar w:fldCharType="end"/>
      </w:r>
      <w:r>
        <w:rPr>
          <w:rFonts w:hint="default" w:ascii="Times New Roman" w:hAnsi="Times New Roman" w:eastAsia="Times New Roman" w:cs="Times New Roman"/>
          <w:spacing w:val="5"/>
          <w:sz w:val="24"/>
          <w:szCs w:val="24"/>
        </w:rPr>
        <w:t xml:space="preserve">  </w:t>
      </w:r>
      <w:r>
        <w:rPr>
          <w:rFonts w:hint="default" w:ascii="Times New Roman" w:hAnsi="Times New Roman" w:eastAsia="黑体" w:cs="Times New Roman"/>
          <w:spacing w:val="5"/>
          <w:sz w:val="24"/>
          <w:szCs w:val="24"/>
        </w:rPr>
        <w:t>生猪进厂及其产污环节</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472" w:firstLineChars="200"/>
        <w:jc w:val="both"/>
        <w:textAlignment w:val="baseline"/>
        <w:rPr>
          <w:rFonts w:hint="default" w:ascii="Times New Roman" w:hAnsi="Times New Roman" w:eastAsia="宋体" w:cs="Times New Roman"/>
          <w:spacing w:val="-2"/>
          <w:position w:val="18"/>
          <w:sz w:val="24"/>
          <w:szCs w:val="24"/>
          <w:highlight w:val="none"/>
        </w:rPr>
      </w:pPr>
      <w:r>
        <w:rPr>
          <w:rFonts w:hint="default" w:ascii="Times New Roman" w:hAnsi="Times New Roman" w:eastAsia="宋体" w:cs="Times New Roman"/>
          <w:spacing w:val="-2"/>
          <w:position w:val="18"/>
          <w:sz w:val="24"/>
          <w:szCs w:val="24"/>
          <w:highlight w:val="none"/>
        </w:rPr>
        <w:t>运输车辆进入厂区后将生猪卸入待宰圈，空车到洗车台进行整车清洗，清洗干净的空车出门。其工艺流程及排污点示意图详见下图。</w:t>
      </w:r>
    </w:p>
    <w:p>
      <w:pPr>
        <w:pStyle w:val="6"/>
        <w:spacing w:line="302" w:lineRule="auto"/>
        <w:rPr>
          <w:rFonts w:hint="default" w:ascii="Times New Roman" w:hAnsi="Times New Roman" w:cs="Times New Roman"/>
          <w:highlight w:val="none"/>
        </w:rPr>
      </w:pPr>
    </w:p>
    <w:p>
      <w:pPr>
        <w:spacing w:line="1116" w:lineRule="exact"/>
        <w:ind w:firstLine="1236"/>
        <w:rPr>
          <w:rFonts w:hint="default" w:ascii="Times New Roman" w:hAnsi="Times New Roman" w:cs="Times New Roman"/>
          <w:highlight w:val="none"/>
        </w:rPr>
      </w:pPr>
      <w:r>
        <w:rPr>
          <w:rFonts w:hint="default" w:ascii="Times New Roman" w:hAnsi="Times New Roman" w:cs="Times New Roman"/>
          <w:position w:val="-22"/>
          <w:highlight w:val="none"/>
        </w:rPr>
        <w:drawing>
          <wp:inline distT="0" distB="0" distL="0" distR="0">
            <wp:extent cx="4190365" cy="708025"/>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34"/>
                    <a:stretch>
                      <a:fillRect/>
                    </a:stretch>
                  </pic:blipFill>
                  <pic:spPr>
                    <a:xfrm>
                      <a:off x="0" y="0"/>
                      <a:ext cx="4190879" cy="708594"/>
                    </a:xfrm>
                    <a:prstGeom prst="rect">
                      <a:avLst/>
                    </a:prstGeom>
                  </pic:spPr>
                </pic:pic>
              </a:graphicData>
            </a:graphic>
          </wp:inline>
        </w:drawing>
      </w:r>
    </w:p>
    <w:p>
      <w:pPr>
        <w:spacing w:before="66" w:line="228" w:lineRule="auto"/>
        <w:ind w:left="2792"/>
        <w:rPr>
          <w:rFonts w:hint="default" w:ascii="Times New Roman" w:hAnsi="Times New Roman" w:cs="Times New Roman"/>
          <w:highlight w:val="none"/>
        </w:rPr>
      </w:pP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图</w:t>
      </w:r>
      <w:r>
        <w:rPr>
          <w:rFonts w:hint="default" w:ascii="Times New Roman" w:hAnsi="Times New Roman" w:eastAsia="宋体" w:cs="Times New Roman"/>
          <w:spacing w:val="-30"/>
          <w:sz w:val="20"/>
          <w:szCs w:val="20"/>
          <w:highlight w:val="none"/>
        </w:rPr>
        <w:t xml:space="preserve"> </w:t>
      </w:r>
      <w:r>
        <w:rPr>
          <w:rFonts w:hint="default" w:ascii="Times New Roman" w:hAnsi="Times New Roman" w:eastAsia="Times New Roman" w:cs="Times New Roman"/>
          <w:b/>
          <w:bCs/>
          <w:spacing w:val="6"/>
          <w:sz w:val="20"/>
          <w:szCs w:val="20"/>
          <w:highlight w:val="none"/>
        </w:rPr>
        <w:t>3</w:t>
      </w:r>
      <w:r>
        <w:rPr>
          <w:rFonts w:hint="eastAsia" w:ascii="Times New Roman" w:hAnsi="Times New Roman" w:eastAsia="宋体" w:cs="Times New Roman"/>
          <w:b/>
          <w:bCs/>
          <w:spacing w:val="6"/>
          <w:sz w:val="20"/>
          <w:szCs w:val="20"/>
          <w:highlight w:val="none"/>
          <w:lang w:val="en-US" w:eastAsia="zh-CN"/>
        </w:rPr>
        <w:t>-</w:t>
      </w:r>
      <w:r>
        <w:rPr>
          <w:rFonts w:hint="default" w:ascii="Times New Roman" w:hAnsi="Times New Roman" w:eastAsia="宋体" w:cs="Times New Roman"/>
          <w:b/>
          <w:bCs/>
          <w:spacing w:val="6"/>
          <w:sz w:val="20"/>
          <w:szCs w:val="20"/>
          <w:highlight w:val="none"/>
          <w:lang w:val="en-US" w:eastAsia="zh-CN"/>
        </w:rPr>
        <w:t>6</w:t>
      </w:r>
      <w:r>
        <w:rPr>
          <w:rFonts w:hint="default" w:ascii="Times New Roman" w:hAnsi="Times New Roman" w:eastAsia="Times New Roman" w:cs="Times New Roman"/>
          <w:b/>
          <w:bCs/>
          <w:spacing w:val="6"/>
          <w:sz w:val="20"/>
          <w:szCs w:val="20"/>
          <w:highlight w:val="none"/>
        </w:rPr>
        <w:t>-</w:t>
      </w:r>
      <w:r>
        <w:rPr>
          <w:rFonts w:hint="default" w:ascii="Times New Roman" w:hAnsi="Times New Roman" w:eastAsia="宋体" w:cs="Times New Roman"/>
          <w:b/>
          <w:bCs/>
          <w:spacing w:val="6"/>
          <w:sz w:val="20"/>
          <w:szCs w:val="20"/>
          <w:highlight w:val="none"/>
          <w:lang w:val="en-US" w:eastAsia="zh-CN"/>
        </w:rPr>
        <w:t>1</w:t>
      </w:r>
      <w:r>
        <w:rPr>
          <w:rFonts w:hint="default" w:ascii="Times New Roman" w:hAnsi="Times New Roman" w:eastAsia="Times New Roman" w:cs="Times New Roman"/>
          <w:b/>
          <w:bCs/>
          <w:spacing w:val="6"/>
          <w:sz w:val="20"/>
          <w:szCs w:val="20"/>
          <w:highlight w:val="none"/>
        </w:rPr>
        <w:t xml:space="preserve">  </w:t>
      </w: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生猪运输工序及排污点示意图</w:t>
      </w:r>
    </w:p>
    <w:p>
      <w:pPr>
        <w:keepNext w:val="0"/>
        <w:keepLines w:val="0"/>
        <w:pageBreakBefore w:val="0"/>
        <w:wordWrap/>
        <w:overflowPunct/>
        <w:topLinePunct w:val="0"/>
        <w:bidi w:val="0"/>
        <w:spacing w:line="360" w:lineRule="auto"/>
        <w:ind w:left="0" w:firstLine="420" w:firstLineChars="200"/>
        <w:jc w:val="both"/>
        <w:outlineLvl w:val="3"/>
        <w:rPr>
          <w:rFonts w:hint="default" w:ascii="Times New Roman" w:hAnsi="Times New Roman" w:eastAsia="黑体" w:cs="Times New Roman"/>
          <w:spacing w:val="5"/>
          <w:sz w:val="24"/>
          <w:szCs w:val="24"/>
          <w:highlight w:val="none"/>
          <w:lang w:val="en-US" w:eastAsia="zh-CN"/>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"3.2.2.2" </w:instrText>
      </w:r>
      <w:r>
        <w:rPr>
          <w:rFonts w:hint="default" w:ascii="Times New Roman" w:hAnsi="Times New Roman" w:cs="Times New Roman"/>
          <w:highlight w:val="none"/>
        </w:rPr>
        <w:fldChar w:fldCharType="separate"/>
      </w:r>
      <w:r>
        <w:rPr>
          <w:rFonts w:hint="default" w:ascii="Times New Roman" w:hAnsi="Times New Roman" w:eastAsia="Times New Roman" w:cs="Times New Roman"/>
          <w:spacing w:val="5"/>
          <w:sz w:val="24"/>
          <w:szCs w:val="24"/>
          <w:highlight w:val="none"/>
        </w:rPr>
        <w:t>3.</w:t>
      </w:r>
      <w:r>
        <w:rPr>
          <w:rFonts w:hint="default" w:ascii="Times New Roman" w:hAnsi="Times New Roman" w:eastAsia="宋体" w:cs="Times New Roman"/>
          <w:spacing w:val="5"/>
          <w:sz w:val="24"/>
          <w:szCs w:val="24"/>
          <w:highlight w:val="none"/>
          <w:lang w:val="en-US" w:eastAsia="zh-CN"/>
        </w:rPr>
        <w:t>6</w:t>
      </w:r>
      <w:r>
        <w:rPr>
          <w:rFonts w:hint="default" w:ascii="Times New Roman" w:hAnsi="Times New Roman" w:eastAsia="Times New Roman" w:cs="Times New Roman"/>
          <w:spacing w:val="5"/>
          <w:sz w:val="24"/>
          <w:szCs w:val="24"/>
          <w:highlight w:val="none"/>
        </w:rPr>
        <w:t>.2.2</w:t>
      </w:r>
      <w:r>
        <w:rPr>
          <w:rFonts w:hint="default" w:ascii="Times New Roman" w:hAnsi="Times New Roman" w:eastAsia="Times New Roman" w:cs="Times New Roman"/>
          <w:spacing w:val="5"/>
          <w:sz w:val="24"/>
          <w:szCs w:val="24"/>
          <w:highlight w:val="none"/>
        </w:rPr>
        <w:fldChar w:fldCharType="end"/>
      </w:r>
      <w:r>
        <w:rPr>
          <w:rFonts w:hint="default" w:ascii="Times New Roman" w:hAnsi="Times New Roman" w:eastAsia="Times New Roman" w:cs="Times New Roman"/>
          <w:spacing w:val="5"/>
          <w:sz w:val="24"/>
          <w:szCs w:val="24"/>
          <w:highlight w:val="none"/>
        </w:rPr>
        <w:t xml:space="preserve">  </w:t>
      </w:r>
      <w:r>
        <w:rPr>
          <w:rFonts w:hint="default" w:ascii="Times New Roman" w:hAnsi="Times New Roman" w:eastAsia="黑体" w:cs="Times New Roman"/>
          <w:spacing w:val="5"/>
          <w:sz w:val="24"/>
          <w:szCs w:val="24"/>
          <w:highlight w:val="none"/>
          <w:lang w:val="en-US" w:eastAsia="zh-CN"/>
        </w:rPr>
        <w:t>生猪屠宰加工工艺流程</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本项目采用全套机械杀猪、分割生产线，整个过程分为宰前处理、屠宰、排酸、分割、包装储藏5个工段。</w:t>
      </w:r>
      <w:r>
        <w:rPr>
          <w:rStyle w:val="52"/>
          <w:rFonts w:hint="default" w:ascii="Times New Roman" w:hAnsi="Times New Roman" w:eastAsia="宋体" w:cs="Times New Roman"/>
          <w:color w:val="auto"/>
          <w:sz w:val="24"/>
          <w:szCs w:val="24"/>
          <w:highlight w:val="none"/>
          <w:shd w:val="clear" w:color="auto" w:fill="FFFFFF"/>
        </w:rPr>
        <w:t>从宰杀放血到胴体加工完成的时间及放血开始到取出内脏的时间均应符合现行国家标准</w:t>
      </w:r>
      <w:r>
        <w:rPr>
          <w:rStyle w:val="52"/>
          <w:rFonts w:hint="eastAsia" w:ascii="Times New Roman" w:hAnsi="Times New Roman" w:eastAsia="宋体" w:cs="Times New Roman"/>
          <w:color w:val="auto"/>
          <w:sz w:val="24"/>
          <w:szCs w:val="24"/>
          <w:highlight w:val="none"/>
          <w:shd w:val="clear" w:color="auto" w:fill="FFFFFF"/>
          <w:lang w:eastAsia="zh-CN"/>
        </w:rPr>
        <w:t>《畜禽屠宰操作规程 生猪》(GB/T 17236-2019)）</w:t>
      </w:r>
      <w:r>
        <w:rPr>
          <w:rStyle w:val="52"/>
          <w:rFonts w:hint="default" w:ascii="Times New Roman" w:hAnsi="Times New Roman" w:eastAsia="宋体" w:cs="Times New Roman"/>
          <w:color w:val="auto"/>
          <w:sz w:val="24"/>
          <w:szCs w:val="24"/>
          <w:highlight w:val="none"/>
          <w:shd w:val="clear" w:color="auto" w:fill="FFFFFF"/>
        </w:rPr>
        <w:t>的规定。</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outlineLvl w:val="0"/>
        <w:rPr>
          <w:rFonts w:hint="default" w:ascii="Times New Roman" w:hAnsi="Times New Roman" w:eastAsia="宋体" w:cs="Times New Roman"/>
          <w:b w:val="0"/>
          <w:bCs w:val="0"/>
          <w:color w:val="auto"/>
          <w:sz w:val="24"/>
          <w:szCs w:val="24"/>
          <w:highlight w:val="none"/>
          <w:lang w:val="en-US" w:eastAsia="zh-CN"/>
        </w:rPr>
      </w:pPr>
      <w:bookmarkStart w:id="116" w:name="_Toc17934"/>
      <w:bookmarkStart w:id="117" w:name="_Toc9458"/>
      <w:bookmarkStart w:id="118" w:name="_Toc20287"/>
      <w:bookmarkStart w:id="119" w:name="_Toc25669"/>
      <w:bookmarkStart w:id="120" w:name="_Toc13702"/>
      <w:r>
        <w:rPr>
          <w:rFonts w:hint="default" w:ascii="Times New Roman" w:hAnsi="Times New Roman" w:eastAsia="宋体" w:cs="Times New Roman"/>
          <w:b w:val="0"/>
          <w:bCs w:val="0"/>
          <w:color w:val="auto"/>
          <w:sz w:val="24"/>
          <w:szCs w:val="24"/>
          <w:highlight w:val="none"/>
          <w:lang w:val="en-US" w:eastAsia="zh-CN"/>
        </w:rPr>
        <w:t>1、宰前处理</w:t>
      </w:r>
      <w:bookmarkEnd w:id="116"/>
      <w:bookmarkEnd w:id="117"/>
      <w:bookmarkEnd w:id="118"/>
      <w:bookmarkEnd w:id="119"/>
      <w:bookmarkEnd w:id="120"/>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outlineLvl w:val="1"/>
        <w:rPr>
          <w:rFonts w:hint="default" w:ascii="Times New Roman" w:hAnsi="Times New Roman" w:eastAsia="宋体" w:cs="Times New Roman"/>
          <w:b w:val="0"/>
          <w:bCs w:val="0"/>
          <w:color w:val="auto"/>
          <w:sz w:val="24"/>
          <w:szCs w:val="24"/>
          <w:highlight w:val="none"/>
          <w:lang w:val="en-US" w:eastAsia="zh-CN"/>
        </w:rPr>
      </w:pPr>
      <w:bookmarkStart w:id="121" w:name="_Toc5366"/>
      <w:bookmarkStart w:id="122" w:name="_Toc9609"/>
      <w:bookmarkStart w:id="123" w:name="_Toc15548"/>
      <w:bookmarkStart w:id="124" w:name="_Toc3217"/>
      <w:bookmarkStart w:id="125" w:name="_Toc11399"/>
      <w:r>
        <w:rPr>
          <w:rFonts w:hint="default" w:ascii="Times New Roman" w:hAnsi="Times New Roman" w:eastAsia="宋体" w:cs="Times New Roman"/>
          <w:b w:val="0"/>
          <w:bCs w:val="0"/>
          <w:color w:val="auto"/>
          <w:sz w:val="24"/>
          <w:szCs w:val="24"/>
          <w:highlight w:val="none"/>
          <w:lang w:val="en-US" w:eastAsia="zh-CN"/>
        </w:rPr>
        <w:t>①进厂检疫</w:t>
      </w:r>
      <w:bookmarkEnd w:id="121"/>
      <w:bookmarkEnd w:id="122"/>
      <w:bookmarkEnd w:id="123"/>
      <w:bookmarkEnd w:id="124"/>
      <w:bookmarkEnd w:id="125"/>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生猪在屠宰前12～24h被运至屠宰场，在未卸车之前，检疫员向货主索要《动物产地检疫合格证明》和《动物及动物产品运载工具消毒证明》后，根据检疫证核对活猪头数，并对活猪进行感官检查。感官检查主要是对猪的精神和外观进行系统的观察，初步确定其健康状态，不合格猪退回，感官检查合格的生猪进入厂区待宰圈。</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outlineLvl w:val="1"/>
        <w:rPr>
          <w:rFonts w:hint="default" w:ascii="Times New Roman" w:hAnsi="Times New Roman" w:eastAsia="宋体" w:cs="Times New Roman"/>
          <w:b w:val="0"/>
          <w:bCs w:val="0"/>
          <w:color w:val="auto"/>
          <w:sz w:val="24"/>
          <w:szCs w:val="24"/>
          <w:highlight w:val="none"/>
          <w:lang w:val="en-US" w:eastAsia="zh-CN"/>
        </w:rPr>
      </w:pPr>
      <w:bookmarkStart w:id="126" w:name="_Toc19179"/>
      <w:bookmarkStart w:id="127" w:name="_Toc320"/>
      <w:bookmarkStart w:id="128" w:name="_Toc28292"/>
      <w:bookmarkStart w:id="129" w:name="_Toc21115"/>
      <w:bookmarkStart w:id="130" w:name="_Toc23154"/>
      <w:r>
        <w:rPr>
          <w:rFonts w:hint="default" w:ascii="Times New Roman" w:hAnsi="Times New Roman" w:eastAsia="宋体" w:cs="Times New Roman"/>
          <w:b w:val="0"/>
          <w:bCs w:val="0"/>
          <w:color w:val="auto"/>
          <w:sz w:val="24"/>
          <w:szCs w:val="24"/>
          <w:highlight w:val="none"/>
          <w:lang w:val="en-US" w:eastAsia="zh-CN"/>
        </w:rPr>
        <w:t>②候宰休息、检疫</w:t>
      </w:r>
      <w:bookmarkEnd w:id="126"/>
      <w:bookmarkEnd w:id="127"/>
      <w:bookmarkEnd w:id="128"/>
      <w:bookmarkEnd w:id="129"/>
      <w:bookmarkEnd w:id="130"/>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经检疫合格的猪准予屠宰，被送入待宰圈停食静养12～24h，供给充足的饮水</w:t>
      </w:r>
      <w:r>
        <w:rPr>
          <w:rFonts w:hint="default" w:ascii="Times New Roman" w:hAnsi="Times New Roman" w:eastAsia="宋体" w:cs="Times New Roman"/>
          <w:color w:val="auto"/>
          <w:sz w:val="24"/>
          <w:szCs w:val="24"/>
          <w:highlight w:val="none"/>
          <w:lang w:eastAsia="zh-CN"/>
        </w:rPr>
        <w:t>，待宰前</w:t>
      </w:r>
      <w:r>
        <w:rPr>
          <w:rFonts w:hint="default" w:ascii="Times New Roman" w:hAnsi="Times New Roman" w:eastAsia="宋体" w:cs="Times New Roman"/>
          <w:color w:val="auto"/>
          <w:sz w:val="24"/>
          <w:szCs w:val="24"/>
          <w:highlight w:val="none"/>
          <w:lang w:val="en-US" w:eastAsia="zh-CN"/>
        </w:rPr>
        <w:t>3h</w:t>
      </w:r>
      <w:r>
        <w:rPr>
          <w:rFonts w:hint="default" w:ascii="Times New Roman" w:hAnsi="Times New Roman" w:eastAsia="宋体" w:cs="Times New Roman"/>
          <w:color w:val="auto"/>
          <w:sz w:val="24"/>
          <w:szCs w:val="24"/>
          <w:highlight w:val="none"/>
          <w:lang w:eastAsia="zh-CN"/>
        </w:rPr>
        <w:t>停止喂水</w:t>
      </w:r>
      <w:r>
        <w:rPr>
          <w:rFonts w:hint="default" w:ascii="Times New Roman" w:hAnsi="Times New Roman" w:eastAsia="宋体" w:cs="Times New Roman"/>
          <w:color w:val="auto"/>
          <w:sz w:val="24"/>
          <w:szCs w:val="24"/>
          <w:highlight w:val="none"/>
        </w:rPr>
        <w:t>。宰前休息，保证活猪有充分的休息时间，使活猪保持安静的状态，能够有利于放血，并防止代谢机能旺盛，消除应激反应，减少猪体内产生淤血的现象，进而提高肉的商品价值。</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活猪在候宰时，检疫员进入待宰圈内观察猪休息、行动状态，如发现异常，随时剔出检查，必要时急宰后剖检诊断：临宰前要对猪进行一次普查，减少屠宰过程中病猪与健康猪的交叉感染，以保证产品质量。发现病死猪立即送入</w:t>
      </w:r>
      <w:r>
        <w:rPr>
          <w:rFonts w:hint="eastAsia" w:ascii="Times New Roman" w:hAnsi="Times New Roman" w:eastAsia="宋体" w:cs="Times New Roman"/>
          <w:color w:val="auto"/>
          <w:sz w:val="24"/>
          <w:szCs w:val="24"/>
          <w:highlight w:val="none"/>
          <w:lang w:val="en-US" w:eastAsia="zh-CN"/>
        </w:rPr>
        <w:t>巴彦县燊缘无害化处理有限公司</w:t>
      </w:r>
      <w:r>
        <w:rPr>
          <w:rFonts w:hint="default" w:ascii="Times New Roman" w:hAnsi="Times New Roman" w:eastAsia="宋体" w:cs="Times New Roman"/>
          <w:color w:val="auto"/>
          <w:sz w:val="24"/>
          <w:szCs w:val="24"/>
          <w:highlight w:val="none"/>
          <w:lang w:val="en-US" w:eastAsia="zh-CN"/>
        </w:rPr>
        <w:t>处理</w:t>
      </w:r>
      <w:r>
        <w:rPr>
          <w:rFonts w:hint="default" w:ascii="Times New Roman" w:hAnsi="Times New Roman" w:eastAsia="宋体" w:cs="Times New Roman"/>
          <w:color w:val="auto"/>
          <w:sz w:val="24"/>
          <w:szCs w:val="24"/>
          <w:highlight w:val="none"/>
        </w:rPr>
        <w:t>。</w:t>
      </w:r>
    </w:p>
    <w:p>
      <w:pPr>
        <w:pStyle w:val="29"/>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本工序产生病死猪S1-</w:t>
      </w:r>
      <w:r>
        <w:rPr>
          <w:rFonts w:hint="eastAsia"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outlineLvl w:val="1"/>
        <w:rPr>
          <w:rFonts w:hint="default" w:ascii="Times New Roman" w:hAnsi="Times New Roman" w:eastAsia="宋体" w:cs="Times New Roman"/>
          <w:b w:val="0"/>
          <w:bCs w:val="0"/>
          <w:color w:val="auto"/>
          <w:sz w:val="24"/>
          <w:szCs w:val="24"/>
          <w:highlight w:val="none"/>
          <w:lang w:val="en-US" w:eastAsia="zh-CN"/>
        </w:rPr>
      </w:pPr>
      <w:bookmarkStart w:id="131" w:name="_Toc31338"/>
      <w:bookmarkStart w:id="132" w:name="_Toc13046"/>
      <w:bookmarkStart w:id="133" w:name="_Toc3512"/>
      <w:bookmarkStart w:id="134" w:name="_Toc18321"/>
      <w:bookmarkStart w:id="135" w:name="_Toc25250"/>
      <w:r>
        <w:rPr>
          <w:rFonts w:hint="default" w:ascii="Times New Roman" w:hAnsi="Times New Roman" w:eastAsia="宋体" w:cs="Times New Roman"/>
          <w:b w:val="0"/>
          <w:bCs w:val="0"/>
          <w:color w:val="auto"/>
          <w:sz w:val="24"/>
          <w:szCs w:val="24"/>
          <w:highlight w:val="none"/>
          <w:lang w:val="en-US" w:eastAsia="zh-CN"/>
        </w:rPr>
        <w:t>③称重</w:t>
      </w:r>
      <w:bookmarkEnd w:id="131"/>
      <w:bookmarkEnd w:id="132"/>
      <w:r>
        <w:rPr>
          <w:rFonts w:hint="default" w:ascii="Times New Roman" w:hAnsi="Times New Roman" w:eastAsia="宋体" w:cs="Times New Roman"/>
          <w:b w:val="0"/>
          <w:bCs w:val="0"/>
          <w:color w:val="auto"/>
          <w:sz w:val="24"/>
          <w:szCs w:val="24"/>
          <w:highlight w:val="none"/>
          <w:lang w:val="en-US" w:eastAsia="zh-CN"/>
        </w:rPr>
        <w:t>、淋浴</w:t>
      </w:r>
      <w:bookmarkEnd w:id="133"/>
      <w:bookmarkEnd w:id="134"/>
      <w:bookmarkEnd w:id="135"/>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宰前检疫合格的待宰猪，沿赶猪通道被赶至地磅上称重。</w:t>
      </w:r>
      <w:r>
        <w:rPr>
          <w:rFonts w:hint="default" w:ascii="Times New Roman" w:hAnsi="Times New Roman" w:eastAsia="宋体" w:cs="Times New Roman"/>
          <w:color w:val="auto"/>
          <w:sz w:val="24"/>
          <w:szCs w:val="24"/>
          <w:highlight w:val="none"/>
          <w:lang w:eastAsia="zh-CN"/>
        </w:rPr>
        <w:t>而后</w:t>
      </w:r>
      <w:r>
        <w:rPr>
          <w:rFonts w:hint="default" w:ascii="Times New Roman" w:hAnsi="Times New Roman" w:eastAsia="宋体" w:cs="Times New Roman"/>
          <w:color w:val="auto"/>
          <w:sz w:val="24"/>
          <w:szCs w:val="24"/>
          <w:highlight w:val="none"/>
        </w:rPr>
        <w:t>用30℃左右温水均匀冲淋猪体，冲淋时间5~10分钟，清洗生猪体表灰尘、污泥、粪便等污物，以减少猪身上的附着物对屠宰过程的污染。而且，淋浴能使猪有舒适的感觉，可促使毛细血管收缩，便于充分放血。淋浴后，活猪沿赶猪通道被赶至屠宰分割车间</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本工序将产生</w:t>
      </w:r>
      <w:r>
        <w:rPr>
          <w:rFonts w:hint="eastAsia" w:ascii="Times New Roman" w:hAnsi="Times New Roman" w:eastAsia="宋体" w:cs="Times New Roman"/>
          <w:color w:val="auto"/>
          <w:sz w:val="24"/>
          <w:szCs w:val="24"/>
          <w:highlight w:val="none"/>
          <w:lang w:val="en-US" w:eastAsia="zh-CN"/>
        </w:rPr>
        <w:t>待宰圈</w:t>
      </w:r>
      <w:r>
        <w:rPr>
          <w:rFonts w:hint="default" w:ascii="Times New Roman" w:hAnsi="Times New Roman" w:eastAsia="宋体" w:cs="Times New Roman"/>
          <w:color w:val="auto"/>
          <w:sz w:val="24"/>
          <w:szCs w:val="24"/>
          <w:highlight w:val="none"/>
        </w:rPr>
        <w:t>臭气G1-1，废水有待宰猪的尿液</w:t>
      </w:r>
      <w:r>
        <w:rPr>
          <w:rFonts w:hint="default" w:ascii="Times New Roman" w:hAnsi="Times New Roman" w:eastAsia="宋体" w:cs="Times New Roman"/>
          <w:color w:val="auto"/>
          <w:sz w:val="24"/>
          <w:szCs w:val="24"/>
          <w:highlight w:val="none"/>
          <w:lang w:val="en-US" w:eastAsia="zh-CN"/>
        </w:rPr>
        <w:t>和冲洗水</w:t>
      </w:r>
      <w:r>
        <w:rPr>
          <w:rFonts w:hint="default" w:ascii="Times New Roman" w:hAnsi="Times New Roman" w:eastAsia="宋体" w:cs="Times New Roman"/>
          <w:color w:val="auto"/>
          <w:sz w:val="24"/>
          <w:szCs w:val="24"/>
          <w:highlight w:val="none"/>
        </w:rPr>
        <w:t>W1-</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；固体废物有待宰猪的粪便S1-1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检疫废物S1-</w:t>
      </w:r>
      <w:r>
        <w:rPr>
          <w:rFonts w:hint="eastAsia"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病死猪S1-</w:t>
      </w:r>
      <w:r>
        <w:rPr>
          <w:rFonts w:hint="eastAsia"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en-US" w:eastAsia="zh-CN"/>
        </w:rPr>
        <w:t>；击晕噪声N1-1</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outlineLvl w:val="0"/>
        <w:rPr>
          <w:rFonts w:hint="default" w:ascii="Times New Roman" w:hAnsi="Times New Roman" w:eastAsia="宋体" w:cs="Times New Roman"/>
          <w:b w:val="0"/>
          <w:bCs w:val="0"/>
          <w:color w:val="auto"/>
          <w:sz w:val="24"/>
          <w:szCs w:val="24"/>
          <w:highlight w:val="none"/>
          <w:lang w:val="en-US" w:eastAsia="zh-CN"/>
        </w:rPr>
      </w:pPr>
      <w:bookmarkStart w:id="136" w:name="_Toc12909"/>
      <w:bookmarkStart w:id="137" w:name="_Toc23554"/>
      <w:bookmarkStart w:id="138" w:name="_Toc15031"/>
      <w:bookmarkStart w:id="139" w:name="_Toc8498"/>
      <w:bookmarkStart w:id="140" w:name="_Toc16242"/>
      <w:r>
        <w:rPr>
          <w:rFonts w:hint="default" w:ascii="Times New Roman" w:hAnsi="Times New Roman" w:eastAsia="宋体" w:cs="Times New Roman"/>
          <w:b w:val="0"/>
          <w:bCs w:val="0"/>
          <w:color w:val="auto"/>
          <w:sz w:val="24"/>
          <w:szCs w:val="24"/>
          <w:highlight w:val="none"/>
          <w:lang w:val="en-US" w:eastAsia="zh-CN"/>
        </w:rPr>
        <w:t>2、屠宰</w:t>
      </w:r>
      <w:bookmarkEnd w:id="136"/>
      <w:bookmarkEnd w:id="137"/>
      <w:bookmarkEnd w:id="138"/>
      <w:bookmarkEnd w:id="139"/>
      <w:bookmarkEnd w:id="140"/>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outlineLvl w:val="1"/>
        <w:rPr>
          <w:rFonts w:hint="default" w:ascii="Times New Roman" w:hAnsi="Times New Roman" w:eastAsia="宋体" w:cs="Times New Roman"/>
          <w:color w:val="auto"/>
          <w:sz w:val="24"/>
          <w:szCs w:val="24"/>
          <w:highlight w:val="none"/>
        </w:rPr>
      </w:pPr>
      <w:bookmarkStart w:id="141" w:name="_Toc9371"/>
      <w:bookmarkStart w:id="142" w:name="_Toc1214"/>
      <w:bookmarkStart w:id="143" w:name="_Toc10066"/>
      <w:bookmarkStart w:id="144" w:name="_Toc11011"/>
      <w:bookmarkStart w:id="145" w:name="_Toc28523"/>
      <w:r>
        <w:rPr>
          <w:rFonts w:hint="default" w:ascii="Times New Roman" w:hAnsi="Times New Roman" w:eastAsia="宋体" w:cs="Times New Roman"/>
          <w:color w:val="auto"/>
          <w:sz w:val="24"/>
          <w:szCs w:val="24"/>
          <w:highlight w:val="none"/>
        </w:rPr>
        <w:t>①击晕</w:t>
      </w:r>
      <w:bookmarkEnd w:id="141"/>
      <w:bookmarkEnd w:id="142"/>
      <w:bookmarkEnd w:id="143"/>
      <w:bookmarkEnd w:id="144"/>
      <w:bookmarkEnd w:id="145"/>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击晕是生猪屠宰过程中的一个重要环节，采用瞬间击晕的目的是使生猪暂时失去知觉，处于昏迷状态，以便刺杀放血，确保刺杀操作工的安全，减少劳动强度，提高劳动生产率，确保屠宰场周围环境的安静，同时也挺高了肉品的质量。</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三点式自动电击晕机是目前最先进的一种麻电设备，活猪通过赶猪道进入麻电机的输入装置，拖着猪的腹部四蹄悬空经过1～2分钟的输送，消除猪的紧张状态，在猪不紧张的情况下瞬间脑、心麻电，击晕时间：1～3s，击晕电压：150～300V，击晕电流：1～3安培，击晕频率：800赫兹。这种击晕方式没有血斑，没有骨折，延缓PH值的下降，大大改善了猪肉的品质，同时也改善了动物福利。</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outlineLvl w:val="1"/>
        <w:rPr>
          <w:rFonts w:hint="default" w:ascii="Times New Roman" w:hAnsi="Times New Roman" w:eastAsia="宋体" w:cs="Times New Roman"/>
          <w:color w:val="auto"/>
          <w:sz w:val="24"/>
          <w:szCs w:val="24"/>
          <w:highlight w:val="none"/>
        </w:rPr>
      </w:pPr>
      <w:bookmarkStart w:id="146" w:name="_Toc8467"/>
      <w:bookmarkStart w:id="147" w:name="_Toc8877"/>
      <w:bookmarkStart w:id="148" w:name="_Toc3062"/>
      <w:bookmarkStart w:id="149" w:name="_Toc20923"/>
      <w:bookmarkStart w:id="150" w:name="_Toc17152"/>
      <w:r>
        <w:rPr>
          <w:rFonts w:hint="default" w:ascii="Times New Roman" w:hAnsi="Times New Roman" w:eastAsia="宋体" w:cs="Times New Roman"/>
          <w:color w:val="auto"/>
          <w:sz w:val="24"/>
          <w:szCs w:val="24"/>
          <w:highlight w:val="none"/>
        </w:rPr>
        <w:t>②刺杀放血</w:t>
      </w:r>
      <w:bookmarkEnd w:id="146"/>
      <w:bookmarkEnd w:id="147"/>
      <w:bookmarkEnd w:id="148"/>
      <w:bookmarkEnd w:id="149"/>
      <w:bookmarkEnd w:id="150"/>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卧式放血：击晕后的毛猪通过滑槽滑入卧式放血平板输送机上持刀刺杀放血，通过1～2分钟沥血输送，猪体有90%的血液流入血液收集槽内，这种屠宰方式有利于血液的收集和利用，也提高了宰杀能力。也是和三点式电击晕机最完美的组合方式。</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毛猪放血自动输送线轨道设计距车间的地坪高度不低于3400mm，在毛猪放血自动输送线上主要完成的工序：上挂（刺杀）、沥血、猪体的清洗、去头、尾、蹄等，沥血时间一般设计为5min。</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本工序将有猪血产生，在专用容器内临时储存、凝固成血块后外售。</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outlineLvl w:val="1"/>
        <w:rPr>
          <w:rFonts w:hint="default" w:ascii="Times New Roman" w:hAnsi="Times New Roman" w:eastAsia="宋体" w:cs="Times New Roman"/>
          <w:color w:val="auto"/>
          <w:sz w:val="24"/>
          <w:szCs w:val="24"/>
          <w:highlight w:val="none"/>
        </w:rPr>
      </w:pPr>
      <w:bookmarkStart w:id="151" w:name="_Toc11601"/>
      <w:bookmarkStart w:id="152" w:name="_Toc19272"/>
      <w:bookmarkStart w:id="153" w:name="_Toc24786"/>
      <w:bookmarkStart w:id="154" w:name="_Toc12445"/>
      <w:bookmarkStart w:id="155" w:name="_Toc14722"/>
      <w:r>
        <w:rPr>
          <w:rFonts w:hint="default" w:ascii="Times New Roman" w:hAnsi="Times New Roman" w:eastAsia="宋体" w:cs="Times New Roman"/>
          <w:color w:val="auto"/>
          <w:sz w:val="24"/>
          <w:szCs w:val="24"/>
          <w:highlight w:val="none"/>
        </w:rPr>
        <w:t>③浸烫刨毛</w:t>
      </w:r>
      <w:bookmarkEnd w:id="151"/>
      <w:bookmarkEnd w:id="152"/>
      <w:bookmarkEnd w:id="153"/>
      <w:bookmarkEnd w:id="154"/>
      <w:bookmarkEnd w:id="155"/>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烫猪池浸烫：将放好血的毛猪通过卸猪器卸入烫猪池的接收台上，慢慢的把猪体滑入烫猪池内浸烫，浸烫的方式烫猪机摇烫，烫毛池的水温一般控制在58～62℃之间，水温过高防止把猪体烫白，影响脱毛效果。浸烫时间：4～6min。</w:t>
      </w:r>
    </w:p>
    <w:p>
      <w:pPr>
        <w:pStyle w:val="6"/>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机械脱毛后仍不能将毛全部清除干净，仍需进一步刮毛修整对生猪进行再次处理，脱毛后的猪屠体放置在清水池中浸泡1-2min，达到卫生标准、外观清洁的要求。</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本工序将有</w:t>
      </w:r>
      <w:r>
        <w:rPr>
          <w:rFonts w:hint="eastAsia" w:ascii="Times New Roman" w:hAnsi="Times New Roman" w:eastAsia="宋体" w:cs="Times New Roman"/>
          <w:color w:val="auto"/>
          <w:sz w:val="24"/>
          <w:szCs w:val="24"/>
          <w:highlight w:val="none"/>
          <w:lang w:val="en-US" w:eastAsia="zh-CN"/>
        </w:rPr>
        <w:t>屠宰加工车间</w:t>
      </w:r>
      <w:r>
        <w:rPr>
          <w:rFonts w:hint="default" w:ascii="Times New Roman" w:hAnsi="Times New Roman" w:eastAsia="宋体" w:cs="Times New Roman"/>
          <w:color w:val="auto"/>
          <w:sz w:val="24"/>
          <w:szCs w:val="24"/>
          <w:highlight w:val="none"/>
        </w:rPr>
        <w:t>恶臭气体G1-2产生；</w:t>
      </w:r>
      <w:r>
        <w:rPr>
          <w:rFonts w:hint="default" w:ascii="Times New Roman" w:hAnsi="Times New Roman" w:eastAsia="宋体" w:cs="Times New Roman"/>
          <w:color w:val="auto"/>
          <w:sz w:val="24"/>
          <w:szCs w:val="24"/>
          <w:highlight w:val="none"/>
          <w:u w:val="none"/>
          <w:lang w:eastAsia="zh-CN"/>
        </w:rPr>
        <w:t>产生废水为</w:t>
      </w:r>
      <w:r>
        <w:rPr>
          <w:rFonts w:hint="default" w:ascii="Times New Roman" w:hAnsi="Times New Roman" w:eastAsia="宋体" w:cs="Times New Roman"/>
          <w:color w:val="auto"/>
          <w:sz w:val="24"/>
          <w:szCs w:val="24"/>
          <w:highlight w:val="none"/>
          <w:lang w:val="en-US" w:eastAsia="zh-CN"/>
        </w:rPr>
        <w:t>淋浴</w:t>
      </w:r>
      <w:r>
        <w:rPr>
          <w:rFonts w:hint="default" w:ascii="Times New Roman" w:hAnsi="Times New Roman" w:eastAsia="宋体" w:cs="Times New Roman"/>
          <w:color w:val="auto"/>
          <w:sz w:val="24"/>
          <w:szCs w:val="24"/>
          <w:highlight w:val="none"/>
        </w:rPr>
        <w:t>水W1-2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u w:val="none"/>
          <w:lang w:val="en-US" w:eastAsia="zh-CN"/>
        </w:rPr>
        <w:t>打毛冲洗</w:t>
      </w:r>
      <w:r>
        <w:rPr>
          <w:rFonts w:hint="default" w:ascii="Times New Roman" w:hAnsi="Times New Roman" w:eastAsia="宋体" w:cs="Times New Roman"/>
          <w:color w:val="auto"/>
          <w:sz w:val="24"/>
          <w:szCs w:val="24"/>
          <w:highlight w:val="none"/>
          <w:u w:val="none"/>
          <w:lang w:eastAsia="zh-CN"/>
        </w:rPr>
        <w:t>废水W1-3、</w:t>
      </w:r>
      <w:r>
        <w:rPr>
          <w:rFonts w:hint="default" w:ascii="Times New Roman" w:hAnsi="Times New Roman" w:eastAsia="宋体" w:cs="Times New Roman"/>
          <w:color w:val="auto"/>
          <w:sz w:val="24"/>
          <w:szCs w:val="24"/>
          <w:highlight w:val="none"/>
          <w:u w:val="none"/>
          <w:lang w:val="en-US" w:eastAsia="zh-CN"/>
        </w:rPr>
        <w:t>抛光冲洗</w:t>
      </w:r>
      <w:r>
        <w:rPr>
          <w:rFonts w:hint="default" w:ascii="Times New Roman" w:hAnsi="Times New Roman" w:eastAsia="宋体" w:cs="Times New Roman"/>
          <w:color w:val="auto"/>
          <w:sz w:val="24"/>
          <w:szCs w:val="24"/>
          <w:highlight w:val="none"/>
          <w:u w:val="none"/>
          <w:lang w:eastAsia="zh-CN"/>
        </w:rPr>
        <w:t>废水W1-4、</w:t>
      </w:r>
      <w:r>
        <w:rPr>
          <w:rFonts w:hint="default" w:ascii="Times New Roman" w:hAnsi="Times New Roman" w:eastAsia="宋体" w:cs="Times New Roman"/>
          <w:color w:val="auto"/>
          <w:sz w:val="24"/>
          <w:szCs w:val="24"/>
          <w:highlight w:val="none"/>
          <w:u w:val="none"/>
          <w:lang w:val="en-US" w:eastAsia="zh-CN"/>
        </w:rPr>
        <w:t>蒸烫冷凝</w:t>
      </w:r>
      <w:r>
        <w:rPr>
          <w:rFonts w:hint="default" w:ascii="Times New Roman" w:hAnsi="Times New Roman" w:eastAsia="宋体" w:cs="Times New Roman"/>
          <w:color w:val="auto"/>
          <w:sz w:val="24"/>
          <w:szCs w:val="24"/>
          <w:highlight w:val="none"/>
          <w:u w:val="none"/>
          <w:lang w:eastAsia="zh-CN"/>
        </w:rPr>
        <w:t>废水W1-</w:t>
      </w:r>
      <w:r>
        <w:rPr>
          <w:rFonts w:hint="default" w:ascii="Times New Roman" w:hAnsi="Times New Roman" w:eastAsia="宋体" w:cs="Times New Roman"/>
          <w:color w:val="auto"/>
          <w:sz w:val="24"/>
          <w:szCs w:val="24"/>
          <w:highlight w:val="none"/>
          <w:u w:val="none"/>
          <w:lang w:val="en-US" w:eastAsia="zh-CN"/>
        </w:rPr>
        <w:t>5</w:t>
      </w:r>
      <w:r>
        <w:rPr>
          <w:rFonts w:hint="default"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lang w:val="en-US" w:eastAsia="zh-CN"/>
        </w:rPr>
        <w:t>固体废物</w:t>
      </w:r>
      <w:r>
        <w:rPr>
          <w:rFonts w:hint="default" w:ascii="Times New Roman" w:hAnsi="Times New Roman" w:eastAsia="宋体" w:cs="Times New Roman"/>
          <w:color w:val="auto"/>
          <w:sz w:val="24"/>
          <w:szCs w:val="24"/>
          <w:highlight w:val="none"/>
        </w:rPr>
        <w:t>有猪毛S1-</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产生。</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outlineLvl w:val="1"/>
        <w:rPr>
          <w:rFonts w:hint="default" w:ascii="Times New Roman" w:hAnsi="Times New Roman" w:eastAsia="宋体" w:cs="Times New Roman"/>
          <w:color w:val="auto"/>
          <w:sz w:val="24"/>
          <w:szCs w:val="24"/>
          <w:highlight w:val="none"/>
        </w:rPr>
      </w:pPr>
      <w:bookmarkStart w:id="156" w:name="_Toc29529"/>
      <w:bookmarkStart w:id="157" w:name="_Toc31363"/>
      <w:bookmarkStart w:id="158" w:name="_Toc3945"/>
      <w:bookmarkStart w:id="159" w:name="_Toc32568"/>
      <w:bookmarkStart w:id="160" w:name="_Toc22309"/>
      <w:r>
        <w:rPr>
          <w:rFonts w:hint="eastAsia" w:ascii="Times New Roman" w:hAnsi="Times New Roman" w:eastAsia="宋体" w:cs="Times New Roman"/>
          <w:color w:val="auto"/>
          <w:sz w:val="24"/>
          <w:szCs w:val="24"/>
          <w:highlight w:val="none"/>
          <w:lang w:val="en-US" w:eastAsia="zh-CN"/>
        </w:rPr>
        <w:t>④</w:t>
      </w:r>
      <w:r>
        <w:rPr>
          <w:rFonts w:hint="default" w:ascii="Times New Roman" w:hAnsi="Times New Roman" w:eastAsia="宋体" w:cs="Times New Roman"/>
          <w:color w:val="auto"/>
          <w:sz w:val="24"/>
          <w:szCs w:val="24"/>
          <w:highlight w:val="none"/>
        </w:rPr>
        <w:t>酮体加工</w:t>
      </w:r>
      <w:bookmarkEnd w:id="156"/>
      <w:bookmarkEnd w:id="157"/>
      <w:bookmarkEnd w:id="158"/>
      <w:bookmarkEnd w:id="159"/>
      <w:bookmarkEnd w:id="160"/>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酮体提升机提升到酮体自动输送线的轨道上，酮体加工工位：酮体修割、封直肠、去生殖器、剖腹折胸骨、去白内脏、旋毛虫检验、预摘红内脏、去红内脏、劈半、检验、去板油等，都是在酮体加工输送线上完成的，酮体线的轨道设计距车间地坪的高度不低于2400mm。</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打开猪的胸腔后，从猪的胸膛内取下白内脏，即肠、肚。把取出的白内脏放入白内脏检疫输送机的托盘内待检验。</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取出红内脏，即心、肝、肺。把取出的红内脏挂在红内脏同步检疫输送机的挂钩上待检验。</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用带式劈半锯沿猪的脊椎把猪平均分成两半，桥式劈半锯的正上方应安装立式加快机。</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摘猪腰子和去板油，取下的腰子和板油用小车运输到加工间内处理。</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把猪的白条进行修整，修整后进入轨道电子称进行白条称重。根据称重的结果进行分级盖章。</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u w:val="none"/>
          <w:lang w:eastAsia="zh-CN"/>
        </w:rPr>
      </w:pPr>
      <w:r>
        <w:rPr>
          <w:rFonts w:hint="default" w:ascii="Times New Roman" w:hAnsi="Times New Roman" w:eastAsia="宋体" w:cs="Times New Roman"/>
          <w:color w:val="auto"/>
          <w:sz w:val="24"/>
          <w:szCs w:val="24"/>
          <w:highlight w:val="none"/>
          <w:u w:val="none"/>
          <w:lang w:eastAsia="zh-CN"/>
        </w:rPr>
        <w:t>本工序将产生取内脏废气G1-3，废水有</w:t>
      </w:r>
      <w:r>
        <w:rPr>
          <w:rFonts w:hint="default" w:ascii="Times New Roman" w:hAnsi="Times New Roman" w:eastAsia="宋体" w:cs="Times New Roman"/>
          <w:color w:val="auto"/>
          <w:spacing w:val="0"/>
          <w:sz w:val="24"/>
          <w:szCs w:val="24"/>
          <w:highlight w:val="none"/>
        </w:rPr>
        <w:t>雕肛冲洗</w:t>
      </w:r>
      <w:r>
        <w:rPr>
          <w:rFonts w:hint="default" w:ascii="Times New Roman" w:hAnsi="Times New Roman" w:eastAsia="宋体" w:cs="Times New Roman"/>
          <w:color w:val="auto"/>
          <w:sz w:val="24"/>
          <w:szCs w:val="24"/>
          <w:highlight w:val="none"/>
          <w:u w:val="none"/>
          <w:lang w:eastAsia="zh-CN"/>
        </w:rPr>
        <w:t>废水W1-6、挑胸冲洗废水W1-7、开膛冲洗废水W1-8、胸膛冲洗废水W1-9、内脏冲洗废水W1-10、副体冲洗废水W1-1</w:t>
      </w:r>
      <w:r>
        <w:rPr>
          <w:rFonts w:hint="default" w:ascii="Times New Roman" w:hAnsi="Times New Roman" w:eastAsia="宋体" w:cs="Times New Roman"/>
          <w:color w:val="auto"/>
          <w:sz w:val="24"/>
          <w:szCs w:val="24"/>
          <w:highlight w:val="none"/>
          <w:u w:val="none"/>
          <w:lang w:val="en-US" w:eastAsia="zh-CN"/>
        </w:rPr>
        <w:t>1</w:t>
      </w:r>
      <w:r>
        <w:rPr>
          <w:rFonts w:hint="default" w:ascii="Times New Roman" w:hAnsi="Times New Roman" w:eastAsia="宋体" w:cs="Times New Roman"/>
          <w:color w:val="auto"/>
          <w:sz w:val="24"/>
          <w:szCs w:val="24"/>
          <w:highlight w:val="none"/>
          <w:u w:val="none"/>
          <w:lang w:eastAsia="zh-CN"/>
        </w:rPr>
        <w:t>；固体废物主要为病变内脏、腺体S1-</w:t>
      </w:r>
      <w:r>
        <w:rPr>
          <w:rFonts w:hint="eastAsia" w:ascii="Times New Roman" w:hAnsi="Times New Roman" w:eastAsia="宋体" w:cs="Times New Roman"/>
          <w:color w:val="auto"/>
          <w:sz w:val="24"/>
          <w:szCs w:val="24"/>
          <w:highlight w:val="none"/>
          <w:u w:val="none"/>
          <w:lang w:val="en-US" w:eastAsia="zh-CN"/>
        </w:rPr>
        <w:t>5</w:t>
      </w:r>
      <w:r>
        <w:rPr>
          <w:rFonts w:hint="default" w:ascii="Times New Roman" w:hAnsi="Times New Roman" w:eastAsia="宋体" w:cs="Times New Roman"/>
          <w:color w:val="auto"/>
          <w:sz w:val="24"/>
          <w:szCs w:val="24"/>
          <w:highlight w:val="none"/>
          <w:lang w:val="en-US" w:eastAsia="zh-CN"/>
        </w:rPr>
        <w:t>、修整脂肪</w:t>
      </w:r>
      <w:r>
        <w:rPr>
          <w:rFonts w:hint="default" w:ascii="Times New Roman" w:hAnsi="Times New Roman" w:eastAsia="宋体" w:cs="Times New Roman"/>
          <w:color w:val="auto"/>
          <w:sz w:val="24"/>
          <w:szCs w:val="24"/>
          <w:highlight w:val="none"/>
        </w:rPr>
        <w:t>S1-</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u w:val="none"/>
          <w:lang w:eastAsia="zh-CN"/>
        </w:rPr>
        <w:t>检验废物S1-</w:t>
      </w:r>
      <w:r>
        <w:rPr>
          <w:rFonts w:hint="eastAsia" w:ascii="Times New Roman" w:hAnsi="Times New Roman" w:eastAsia="宋体" w:cs="Times New Roman"/>
          <w:color w:val="auto"/>
          <w:sz w:val="24"/>
          <w:szCs w:val="24"/>
          <w:highlight w:val="none"/>
          <w:u w:val="none"/>
          <w:lang w:val="en-US" w:eastAsia="zh-CN"/>
        </w:rPr>
        <w:t>7</w:t>
      </w:r>
      <w:r>
        <w:rPr>
          <w:rFonts w:hint="default" w:ascii="Times New Roman" w:hAnsi="Times New Roman" w:eastAsia="宋体" w:cs="Times New Roman"/>
          <w:color w:val="auto"/>
          <w:sz w:val="24"/>
          <w:szCs w:val="24"/>
          <w:highlight w:val="none"/>
          <w:u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outlineLvl w:val="0"/>
        <w:rPr>
          <w:rFonts w:hint="default" w:ascii="Times New Roman" w:hAnsi="Times New Roman" w:eastAsia="宋体" w:cs="Times New Roman"/>
          <w:color w:val="auto"/>
          <w:sz w:val="24"/>
          <w:szCs w:val="24"/>
          <w:highlight w:val="none"/>
        </w:rPr>
      </w:pPr>
      <w:bookmarkStart w:id="161" w:name="_Toc5969"/>
      <w:bookmarkStart w:id="162" w:name="_Toc17091"/>
      <w:bookmarkStart w:id="163" w:name="_Toc16592"/>
      <w:bookmarkStart w:id="164" w:name="_Toc31201"/>
      <w:bookmarkStart w:id="165" w:name="_Toc25746"/>
      <w:r>
        <w:rPr>
          <w:rFonts w:hint="default" w:ascii="Times New Roman" w:hAnsi="Times New Roman" w:eastAsia="宋体" w:cs="Times New Roman"/>
          <w:color w:val="auto"/>
          <w:sz w:val="24"/>
          <w:szCs w:val="24"/>
          <w:highlight w:val="none"/>
        </w:rPr>
        <w:t>3、副产品加工</w:t>
      </w:r>
      <w:bookmarkEnd w:id="161"/>
      <w:bookmarkEnd w:id="162"/>
      <w:bookmarkEnd w:id="163"/>
      <w:bookmarkEnd w:id="164"/>
      <w:bookmarkEnd w:id="165"/>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outlineLvl w:val="1"/>
        <w:rPr>
          <w:rFonts w:hint="default" w:ascii="Times New Roman" w:hAnsi="Times New Roman" w:eastAsia="宋体" w:cs="Times New Roman"/>
          <w:b w:val="0"/>
          <w:bCs w:val="0"/>
          <w:color w:val="auto"/>
          <w:sz w:val="24"/>
          <w:szCs w:val="24"/>
          <w:highlight w:val="none"/>
          <w:lang w:eastAsia="zh-CN"/>
        </w:rPr>
      </w:pPr>
      <w:bookmarkStart w:id="166" w:name="_Toc20912"/>
      <w:bookmarkStart w:id="167" w:name="_Toc11134"/>
      <w:bookmarkStart w:id="168" w:name="_Toc27808"/>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猪头、蹄、尾加工</w:t>
      </w:r>
      <w:bookmarkEnd w:id="166"/>
      <w:bookmarkEnd w:id="167"/>
      <w:bookmarkEnd w:id="168"/>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rPr>
        <w:t>屠宰车间所产生的头、蹄、尾去头蹄处理间处理，头、蹄、尾分别经头烫池和蹄尾烫池进行烫毛，然后分别经由猪头脱毛机和蹄尾脱毛机进行脱毛，之后对脱毛之后的头、蹄、尾进行清洗，进一步洗去表面的灰尘、残留猪毛等，洁净的头、蹄、尾分类收集后入库待售。</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outlineLvl w:val="1"/>
        <w:rPr>
          <w:rFonts w:hint="default" w:ascii="Times New Roman" w:hAnsi="Times New Roman" w:eastAsia="宋体" w:cs="Times New Roman"/>
          <w:b w:val="0"/>
          <w:bCs w:val="0"/>
          <w:color w:val="auto"/>
          <w:sz w:val="24"/>
          <w:szCs w:val="24"/>
          <w:highlight w:val="none"/>
          <w:lang w:eastAsia="zh-CN"/>
        </w:rPr>
      </w:pPr>
      <w:bookmarkStart w:id="169" w:name="_Toc16581"/>
      <w:bookmarkStart w:id="170" w:name="_Toc26762"/>
      <w:bookmarkStart w:id="171" w:name="_Toc23006"/>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eastAsia="zh-CN"/>
        </w:rPr>
        <w:t>）白内脏加工</w:t>
      </w:r>
      <w:bookmarkEnd w:id="169"/>
      <w:bookmarkEnd w:id="170"/>
      <w:bookmarkEnd w:id="171"/>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val="0"/>
          <w:bCs w:val="0"/>
          <w:color w:val="auto"/>
          <w:sz w:val="24"/>
          <w:szCs w:val="24"/>
          <w:highlight w:val="none"/>
        </w:rPr>
        <w:t>猪的白内脏主要包括大肠、小肠、猪肚等白色内脏，该部分内脏主要属于猪的消化系统，其中大量未消化物包裹其中。屠宰车间取出的内脏经检疫合格后送至白内脏处理间，对其进行人工分拣，将大肠、小肠、猪肚等分离归类，归类后用清洗机对胃肠容物进行清洗，洗净的白内脏分类入库待售。肠内容物由压缩空气通过风送管道输送</w:t>
      </w:r>
      <w:r>
        <w:rPr>
          <w:rFonts w:hint="default" w:ascii="Times New Roman" w:hAnsi="Times New Roman" w:eastAsia="宋体" w:cs="Times New Roman"/>
          <w:b w:val="0"/>
          <w:bCs w:val="0"/>
          <w:color w:val="auto"/>
          <w:sz w:val="24"/>
          <w:szCs w:val="24"/>
          <w:highlight w:val="none"/>
          <w:lang w:eastAsia="zh-CN"/>
        </w:rPr>
        <w:t>至肠内容物收集池内</w:t>
      </w:r>
      <w:r>
        <w:rPr>
          <w:rFonts w:hint="default" w:ascii="Times New Roman" w:hAnsi="Times New Roman" w:eastAsia="宋体" w:cs="Times New Roman"/>
          <w:b w:val="0"/>
          <w:bCs w:val="0"/>
          <w:color w:val="auto"/>
          <w:sz w:val="24"/>
          <w:szCs w:val="24"/>
          <w:highlight w:val="none"/>
        </w:rPr>
        <w:t>，避免与外环境接触，其收集率可达95%，能够达到《肉类加工工业水污染物排放标准》（GB13457-92）中肠内容物回收率大于60%的工艺指标。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outlineLvl w:val="1"/>
        <w:rPr>
          <w:rFonts w:hint="default" w:ascii="Times New Roman" w:hAnsi="Times New Roman" w:eastAsia="宋体" w:cs="Times New Roman"/>
          <w:b w:val="0"/>
          <w:bCs w:val="0"/>
          <w:color w:val="auto"/>
          <w:sz w:val="24"/>
          <w:szCs w:val="24"/>
          <w:highlight w:val="none"/>
        </w:rPr>
      </w:pPr>
      <w:bookmarkStart w:id="172" w:name="_Toc22682"/>
      <w:bookmarkStart w:id="173" w:name="_Toc26216"/>
      <w:bookmarkStart w:id="174" w:name="_Toc28125"/>
      <w:r>
        <w:rPr>
          <w:rFonts w:hint="default" w:ascii="Times New Roman" w:hAnsi="Times New Roman" w:eastAsia="宋体"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rPr>
        <w:t>红内脏加工</w:t>
      </w:r>
      <w:bookmarkEnd w:id="172"/>
      <w:bookmarkEnd w:id="173"/>
      <w:bookmarkEnd w:id="174"/>
      <w:r>
        <w:rPr>
          <w:rFonts w:hint="default" w:ascii="Times New Roman" w:hAnsi="Times New Roman" w:eastAsia="宋体" w:cs="Times New Roman"/>
          <w:b w:val="0"/>
          <w:bCs w:val="0"/>
          <w:color w:val="auto"/>
          <w:sz w:val="24"/>
          <w:szCs w:val="24"/>
          <w:highlight w:val="none"/>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val="0"/>
          <w:bCs w:val="0"/>
          <w:color w:val="auto"/>
          <w:sz w:val="24"/>
          <w:szCs w:val="24"/>
          <w:highlight w:val="none"/>
        </w:rPr>
        <w:t>猪的红内脏主要包括心、肝、肺等红色内脏，屠宰车间取出的内脏经检疫合格后送至红内脏处理间，对红内脏进行人工分拣，分拣同时对内脏所带肉屑进行剔除，分拣完成后，对上述内脏进行清洗，完成后分类入库待售。</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本工序将有固体废物</w:t>
      </w:r>
      <w:r>
        <w:rPr>
          <w:rFonts w:hint="default" w:ascii="Times New Roman" w:hAnsi="Times New Roman" w:eastAsia="宋体" w:cs="Times New Roman"/>
          <w:color w:val="auto"/>
          <w:sz w:val="24"/>
          <w:szCs w:val="24"/>
          <w:highlight w:val="none"/>
          <w:lang w:eastAsia="zh-CN"/>
        </w:rPr>
        <w:t>猪毛</w:t>
      </w:r>
      <w:r>
        <w:rPr>
          <w:rFonts w:hint="default" w:ascii="Times New Roman" w:hAnsi="Times New Roman" w:eastAsia="宋体" w:cs="Times New Roman"/>
          <w:color w:val="auto"/>
          <w:sz w:val="24"/>
          <w:szCs w:val="24"/>
          <w:highlight w:val="none"/>
          <w:lang w:val="en-US" w:eastAsia="zh-CN"/>
        </w:rPr>
        <w:t>S1-2、</w:t>
      </w:r>
      <w:r>
        <w:rPr>
          <w:rFonts w:hint="default" w:ascii="Times New Roman" w:hAnsi="Times New Roman" w:eastAsia="宋体" w:cs="Times New Roman"/>
          <w:color w:val="auto"/>
          <w:sz w:val="24"/>
          <w:szCs w:val="24"/>
          <w:highlight w:val="none"/>
          <w:u w:val="none"/>
          <w:lang w:val="en-US" w:eastAsia="zh-CN"/>
        </w:rPr>
        <w:t>废弃内脏、腺体S1-3、</w:t>
      </w:r>
      <w:r>
        <w:rPr>
          <w:rFonts w:hint="default" w:ascii="Times New Roman" w:hAnsi="Times New Roman" w:eastAsia="宋体" w:cs="Times New Roman"/>
          <w:color w:val="auto"/>
          <w:sz w:val="24"/>
          <w:szCs w:val="24"/>
          <w:highlight w:val="none"/>
          <w:u w:val="none"/>
          <w:lang w:eastAsia="zh-CN"/>
        </w:rPr>
        <w:t>废弃肠胃内容物S1-</w:t>
      </w:r>
      <w:r>
        <w:rPr>
          <w:rFonts w:hint="default" w:ascii="Times New Roman" w:hAnsi="Times New Roman" w:eastAsia="宋体" w:cs="Times New Roman"/>
          <w:color w:val="auto"/>
          <w:sz w:val="24"/>
          <w:szCs w:val="24"/>
          <w:highlight w:val="none"/>
          <w:u w:val="none"/>
          <w:lang w:val="en-US" w:eastAsia="zh-CN"/>
        </w:rPr>
        <w:t>4</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u w:val="none"/>
          <w:lang w:eastAsia="zh-CN"/>
        </w:rPr>
        <w:t>本工序将产生废水为</w:t>
      </w:r>
      <w:r>
        <w:rPr>
          <w:rFonts w:hint="default" w:ascii="Times New Roman" w:hAnsi="Times New Roman" w:eastAsia="宋体" w:cs="Times New Roman"/>
          <w:color w:val="auto"/>
          <w:spacing w:val="0"/>
          <w:sz w:val="24"/>
          <w:szCs w:val="24"/>
          <w:highlight w:val="none"/>
        </w:rPr>
        <w:t>头、尾、蹄加工冲洗</w:t>
      </w:r>
      <w:r>
        <w:rPr>
          <w:rFonts w:hint="default" w:ascii="Times New Roman" w:hAnsi="Times New Roman" w:eastAsia="宋体" w:cs="Times New Roman"/>
          <w:color w:val="auto"/>
          <w:spacing w:val="0"/>
          <w:sz w:val="24"/>
          <w:szCs w:val="24"/>
          <w:highlight w:val="none"/>
          <w:lang w:val="en-US" w:eastAsia="zh-CN"/>
        </w:rPr>
        <w:t>废水</w:t>
      </w:r>
      <w:r>
        <w:rPr>
          <w:rFonts w:hint="default" w:ascii="Times New Roman" w:hAnsi="Times New Roman" w:eastAsia="宋体" w:cs="Times New Roman"/>
          <w:color w:val="auto"/>
          <w:sz w:val="24"/>
          <w:szCs w:val="24"/>
          <w:highlight w:val="none"/>
          <w:u w:val="none"/>
          <w:lang w:eastAsia="zh-CN"/>
        </w:rPr>
        <w:t>W1-1</w:t>
      </w:r>
      <w:r>
        <w:rPr>
          <w:rFonts w:hint="default" w:ascii="Times New Roman" w:hAnsi="Times New Roman" w:eastAsia="宋体" w:cs="Times New Roman"/>
          <w:color w:val="auto"/>
          <w:sz w:val="24"/>
          <w:szCs w:val="24"/>
          <w:highlight w:val="none"/>
          <w:u w:val="none"/>
          <w:lang w:val="en-US" w:eastAsia="zh-CN"/>
        </w:rPr>
        <w:t>2</w:t>
      </w:r>
      <w:r>
        <w:rPr>
          <w:rFonts w:hint="default" w:ascii="Times New Roman" w:hAnsi="Times New Roman" w:eastAsia="宋体" w:cs="Times New Roman"/>
          <w:color w:val="auto"/>
          <w:sz w:val="24"/>
          <w:szCs w:val="24"/>
          <w:highlight w:val="none"/>
          <w:u w:val="none"/>
          <w:lang w:eastAsia="zh-CN"/>
        </w:rPr>
        <w:t>；劈半噪声N1-</w:t>
      </w:r>
      <w:r>
        <w:rPr>
          <w:rFonts w:hint="default" w:ascii="Times New Roman" w:hAnsi="Times New Roman" w:eastAsia="宋体" w:cs="Times New Roman"/>
          <w:color w:val="auto"/>
          <w:sz w:val="24"/>
          <w:szCs w:val="24"/>
          <w:highlight w:val="none"/>
          <w:u w:val="none"/>
          <w:lang w:val="en-US" w:eastAsia="zh-CN"/>
        </w:rPr>
        <w:t>2</w:t>
      </w:r>
      <w:r>
        <w:rPr>
          <w:rFonts w:hint="default" w:ascii="Times New Roman" w:hAnsi="Times New Roman" w:eastAsia="宋体" w:cs="Times New Roman"/>
          <w:color w:val="auto"/>
          <w:sz w:val="24"/>
          <w:szCs w:val="24"/>
          <w:highlight w:val="none"/>
          <w:u w:val="none"/>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outlineLvl w:val="0"/>
        <w:rPr>
          <w:rFonts w:hint="default" w:ascii="Times New Roman" w:hAnsi="Times New Roman" w:eastAsia="宋体" w:cs="Times New Roman"/>
          <w:b w:val="0"/>
          <w:bCs w:val="0"/>
          <w:color w:val="auto"/>
          <w:sz w:val="24"/>
          <w:szCs w:val="24"/>
          <w:highlight w:val="none"/>
        </w:rPr>
      </w:pPr>
      <w:bookmarkStart w:id="175" w:name="_Toc12477"/>
      <w:bookmarkStart w:id="176" w:name="_Toc11261"/>
      <w:bookmarkStart w:id="177" w:name="_Toc6734"/>
      <w:bookmarkStart w:id="178" w:name="_Toc23082"/>
      <w:bookmarkStart w:id="179" w:name="_Toc2422"/>
      <w:r>
        <w:rPr>
          <w:rFonts w:hint="default" w:ascii="Times New Roman" w:hAnsi="Times New Roman" w:eastAsia="宋体" w:cs="Times New Roman"/>
          <w:b w:val="0"/>
          <w:bCs w:val="0"/>
          <w:color w:val="auto"/>
          <w:sz w:val="24"/>
          <w:szCs w:val="24"/>
          <w:highlight w:val="none"/>
        </w:rPr>
        <w:t>4、白条排酸</w:t>
      </w:r>
      <w:bookmarkEnd w:id="175"/>
      <w:bookmarkEnd w:id="176"/>
      <w:bookmarkEnd w:id="177"/>
      <w:bookmarkEnd w:id="178"/>
      <w:bookmarkEnd w:id="179"/>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将修割、冲洗后的白条进排酸间进行排酸，这是猪肉冷分割工艺的一个重要环节。为了缩短白条肉排酸时间，白条在进排酸间之前设计白条的快冷工艺，快冷间的温度设计为-20摄氏度，快冷时间设计为90分钟。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color w:val="auto"/>
          <w:sz w:val="24"/>
          <w:szCs w:val="24"/>
          <w:highlight w:val="none"/>
        </w:rPr>
        <w:t>使用空调将排酸间的控制温度为0～4摄氏度，排酸时间不超过16小时。排酸轨道设计距排酸间地坪高度不低于2400mm，轨道间距为800mm，排酸间每米轨道可挂3头猪的白条。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outlineLvl w:val="0"/>
        <w:rPr>
          <w:rFonts w:hint="eastAsia" w:ascii="Times New Roman" w:hAnsi="Times New Roman" w:eastAsia="宋体" w:cs="Times New Roman"/>
          <w:b w:val="0"/>
          <w:bCs w:val="0"/>
          <w:color w:val="auto"/>
          <w:sz w:val="24"/>
          <w:szCs w:val="24"/>
          <w:highlight w:val="none"/>
          <w:lang w:eastAsia="zh-CN"/>
        </w:rPr>
      </w:pPr>
      <w:bookmarkStart w:id="180" w:name="_Toc22497"/>
      <w:bookmarkStart w:id="181" w:name="_Toc2623"/>
      <w:bookmarkStart w:id="182" w:name="_Toc10780"/>
      <w:bookmarkStart w:id="183" w:name="_Toc4010"/>
      <w:bookmarkStart w:id="184" w:name="_Toc15244"/>
      <w:r>
        <w:rPr>
          <w:rFonts w:hint="default" w:ascii="Times New Roman" w:hAnsi="Times New Roman" w:eastAsia="宋体" w:cs="Times New Roman"/>
          <w:b w:val="0"/>
          <w:bCs w:val="0"/>
          <w:color w:val="auto"/>
          <w:sz w:val="24"/>
          <w:szCs w:val="24"/>
          <w:highlight w:val="none"/>
        </w:rPr>
        <w:t>5、分割包装</w:t>
      </w:r>
      <w:bookmarkEnd w:id="180"/>
      <w:bookmarkEnd w:id="181"/>
      <w:bookmarkEnd w:id="182"/>
      <w:bookmarkEnd w:id="183"/>
      <w:bookmarkEnd w:id="184"/>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将排酸后的白条通过卸肉机从轨道上卸下来，</w:t>
      </w:r>
      <w:r>
        <w:rPr>
          <w:rFonts w:hint="eastAsia" w:ascii="Times New Roman" w:hAnsi="Times New Roman" w:eastAsia="宋体" w:cs="Times New Roman"/>
          <w:color w:val="auto"/>
          <w:sz w:val="24"/>
          <w:szCs w:val="24"/>
          <w:highlight w:val="none"/>
          <w:lang w:val="en-US" w:eastAsia="zh-CN"/>
        </w:rPr>
        <w:t>分为两部分，一部分直接外售，另一部分</w:t>
      </w:r>
      <w:r>
        <w:rPr>
          <w:rFonts w:hint="default" w:ascii="Times New Roman" w:hAnsi="Times New Roman" w:eastAsia="宋体" w:cs="Times New Roman"/>
          <w:color w:val="auto"/>
          <w:sz w:val="24"/>
          <w:szCs w:val="24"/>
          <w:highlight w:val="none"/>
        </w:rPr>
        <w:t>用分段锯把每片猪肉分成3-4段，用输送机自动传送到人员的工位，再由分割人员分割成各个部位肉。</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分割好的肉真空包装后，放入冷冻盘内用凉肉架车推到冷冻库。</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outlineLvl w:val="0"/>
        <w:rPr>
          <w:rFonts w:hint="default" w:ascii="Times New Roman" w:hAnsi="Times New Roman" w:eastAsia="宋体" w:cs="Times New Roman"/>
          <w:color w:val="auto"/>
          <w:sz w:val="24"/>
          <w:szCs w:val="24"/>
          <w:highlight w:val="none"/>
        </w:rPr>
      </w:pPr>
      <w:bookmarkStart w:id="185" w:name="_Toc29862"/>
      <w:bookmarkStart w:id="186" w:name="_Toc31816"/>
      <w:bookmarkStart w:id="187" w:name="_Toc4779"/>
      <w:bookmarkStart w:id="188" w:name="_Toc32705"/>
      <w:bookmarkStart w:id="189" w:name="_Toc21093"/>
      <w:r>
        <w:rPr>
          <w:rFonts w:hint="default" w:ascii="Times New Roman" w:hAnsi="Times New Roman" w:eastAsia="宋体" w:cs="Times New Roman"/>
          <w:color w:val="auto"/>
          <w:sz w:val="24"/>
          <w:szCs w:val="24"/>
          <w:highlight w:val="none"/>
        </w:rPr>
        <w:t>6、包装储藏</w:t>
      </w:r>
      <w:bookmarkEnd w:id="185"/>
      <w:bookmarkEnd w:id="186"/>
      <w:bookmarkEnd w:id="187"/>
      <w:bookmarkEnd w:id="188"/>
      <w:bookmarkEnd w:id="189"/>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副产品及经冷却排酸后的肉在包装区内包装，分检包装区内温度控制在0℃～4℃之间。鲜销品纸箱包装后存储于鲜销品冷藏区，使鲜销品肉中心温度控制于-10～-15℃。</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冻销品纸箱包装后送冻结区，在冻结区内预冷肉在10h内速冻，使冻销品肉中心温度达到-18～-15℃。然后将冻品送至低温冷藏区，冷藏区温度≤-18℃，使冻销品肉中心温度≤-15℃。</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val="en-US"/>
        </w:rPr>
      </w:pPr>
      <w:r>
        <w:rPr>
          <w:rFonts w:hint="default" w:ascii="Times New Roman" w:hAnsi="Times New Roman" w:eastAsia="宋体" w:cs="Times New Roman"/>
          <w:color w:val="auto"/>
          <w:sz w:val="24"/>
          <w:szCs w:val="24"/>
        </w:rPr>
        <w:t>屠宰加工生产工艺流程及排污节点见图3</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w:t>
      </w:r>
    </w:p>
    <w:p>
      <w:pPr>
        <w:spacing w:line="480" w:lineRule="exact"/>
        <w:ind w:firstLine="400" w:firstLineChars="200"/>
        <w:rPr>
          <w:rFonts w:hint="default" w:ascii="Times New Roman" w:hAnsi="Times New Roman" w:cs="Times New Roman"/>
          <w:color w:val="auto"/>
        </w:rPr>
      </w:pPr>
      <w:r>
        <w:rPr>
          <w:rFonts w:hint="default" w:ascii="Times New Roman" w:hAnsi="Times New Roman" w:cs="Times New Roman"/>
          <w:color w:val="auto"/>
          <w:sz w:val="20"/>
        </w:rPr>
        <mc:AlternateContent>
          <mc:Choice Requires="wps">
            <w:drawing>
              <wp:anchor distT="0" distB="0" distL="114300" distR="114300" simplePos="0" relativeHeight="251688960" behindDoc="0" locked="0" layoutInCell="1" allowOverlap="1">
                <wp:simplePos x="0" y="0"/>
                <wp:positionH relativeFrom="column">
                  <wp:posOffset>2162175</wp:posOffset>
                </wp:positionH>
                <wp:positionV relativeFrom="paragraph">
                  <wp:posOffset>171450</wp:posOffset>
                </wp:positionV>
                <wp:extent cx="789940" cy="256540"/>
                <wp:effectExtent l="4445" t="4445" r="5715" b="5715"/>
                <wp:wrapNone/>
                <wp:docPr id="87" name="文本框 87"/>
                <wp:cNvGraphicFramePr/>
                <a:graphic xmlns:a="http://schemas.openxmlformats.org/drawingml/2006/main">
                  <a:graphicData uri="http://schemas.microsoft.com/office/word/2010/wordprocessingShape">
                    <wps:wsp>
                      <wps:cNvSpPr txBox="1"/>
                      <wps:spPr>
                        <a:xfrm>
                          <a:off x="0" y="0"/>
                          <a:ext cx="78994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eastAsia="黑体"/>
                                <w:sz w:val="21"/>
                                <w:szCs w:val="21"/>
                                <w:lang w:eastAsia="zh-CN"/>
                              </w:rPr>
                            </w:pPr>
                            <w:r>
                              <w:rPr>
                                <w:rFonts w:hint="eastAsia"/>
                                <w:sz w:val="21"/>
                                <w:szCs w:val="21"/>
                              </w:rPr>
                              <w:t>称重</w:t>
                            </w:r>
                            <w:r>
                              <w:rPr>
                                <w:rFonts w:hint="eastAsia"/>
                                <w:sz w:val="21"/>
                                <w:szCs w:val="21"/>
                                <w:lang w:eastAsia="zh-CN"/>
                              </w:rPr>
                              <w:t>、淋浴</w:t>
                            </w:r>
                          </w:p>
                        </w:txbxContent>
                      </wps:txbx>
                      <wps:bodyPr lIns="0" tIns="0" rIns="0" bIns="0" upright="1"/>
                    </wps:wsp>
                  </a:graphicData>
                </a:graphic>
              </wp:anchor>
            </w:drawing>
          </mc:Choice>
          <mc:Fallback>
            <w:pict>
              <v:shape id="_x0000_s1026" o:spid="_x0000_s1026" o:spt="202" type="#_x0000_t202" style="position:absolute;left:0pt;margin-left:170.25pt;margin-top:13.5pt;height:20.2pt;width:62.2pt;z-index:251688960;mso-width-relative:page;mso-height-relative:page;" fillcolor="#FFFFFF" filled="t" stroked="t" coordsize="21600,21600" o:gfxdata="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eJHEO2QAAAAkB&#10;AAAPAAAAAAAAAAEAIAAAACIAAABkcnMvZG93bnJldi54bWxQSwECFAAUAAAACACHTuJAwBcwMhoC&#10;AABbBAAADgAAAAAAAAABACAAAAAoAQAAZHJzL2Uyb0RvYy54bWxQSwUGAAAAAAYABgBZAQAAtAUA&#10;AAAA&#10;">
                <v:fill on="t" focussize="0,0"/>
                <v:stroke color="#000000" joinstyle="miter"/>
                <v:imagedata o:title=""/>
                <o:lock v:ext="edit" aspectratio="f"/>
                <v:textbox inset="0mm,0mm,0mm,0mm">
                  <w:txbxContent>
                    <w:p>
                      <w:pPr>
                        <w:pStyle w:val="15"/>
                        <w:snapToGrid w:val="0"/>
                        <w:spacing w:line="340" w:lineRule="exact"/>
                        <w:jc w:val="center"/>
                        <w:rPr>
                          <w:rFonts w:hint="eastAsia" w:eastAsia="黑体"/>
                          <w:sz w:val="21"/>
                          <w:szCs w:val="21"/>
                          <w:lang w:eastAsia="zh-CN"/>
                        </w:rPr>
                      </w:pPr>
                      <w:r>
                        <w:rPr>
                          <w:rFonts w:hint="eastAsia"/>
                          <w:sz w:val="21"/>
                          <w:szCs w:val="21"/>
                        </w:rPr>
                        <w:t>称重</w:t>
                      </w:r>
                      <w:r>
                        <w:rPr>
                          <w:rFonts w:hint="eastAsia"/>
                          <w:sz w:val="21"/>
                          <w:szCs w:val="21"/>
                          <w:lang w:eastAsia="zh-CN"/>
                        </w:rPr>
                        <w:t>、淋浴</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89984" behindDoc="0" locked="0" layoutInCell="1" allowOverlap="1">
                <wp:simplePos x="0" y="0"/>
                <wp:positionH relativeFrom="column">
                  <wp:posOffset>3277235</wp:posOffset>
                </wp:positionH>
                <wp:positionV relativeFrom="paragraph">
                  <wp:posOffset>179070</wp:posOffset>
                </wp:positionV>
                <wp:extent cx="789940" cy="256540"/>
                <wp:effectExtent l="4445" t="4445" r="5715" b="5715"/>
                <wp:wrapNone/>
                <wp:docPr id="83" name="文本框 83"/>
                <wp:cNvGraphicFramePr/>
                <a:graphic xmlns:a="http://schemas.openxmlformats.org/drawingml/2006/main">
                  <a:graphicData uri="http://schemas.microsoft.com/office/word/2010/wordprocessingShape">
                    <wps:wsp>
                      <wps:cNvSpPr txBox="1"/>
                      <wps:spPr>
                        <a:xfrm>
                          <a:off x="0" y="0"/>
                          <a:ext cx="78994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击晕</w:t>
                            </w:r>
                          </w:p>
                        </w:txbxContent>
                      </wps:txbx>
                      <wps:bodyPr lIns="0" tIns="0" rIns="0" bIns="0" upright="1"/>
                    </wps:wsp>
                  </a:graphicData>
                </a:graphic>
              </wp:anchor>
            </w:drawing>
          </mc:Choice>
          <mc:Fallback>
            <w:pict>
              <v:shape id="_x0000_s1026" o:spid="_x0000_s1026" o:spt="202" type="#_x0000_t202" style="position:absolute;left:0pt;margin-left:258.05pt;margin-top:14.1pt;height:20.2pt;width:62.2pt;z-index:251689984;mso-width-relative:page;mso-height-relative:page;" fillcolor="#FFFFFF" filled="t" stroked="t" coordsize="21600,21600" o:gfxdata="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xNZLJNgAAAAJAQAA&#10;DwAAAAAAAAABACAAAAAiAAAAZHJzL2Rvd25yZXYueG1sUEsBAhQAFAAAAAgAh07iQDiWbW0ZAgAA&#10;WwQAAA4AAAAAAAAAAQAgAAAAJwEAAGRycy9lMm9Eb2MueG1sUEsFBgAAAAAGAAYAWQEAALIFAAAA&#10;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击晕</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71552" behindDoc="0" locked="0" layoutInCell="1" allowOverlap="1">
                <wp:simplePos x="0" y="0"/>
                <wp:positionH relativeFrom="column">
                  <wp:posOffset>2958465</wp:posOffset>
                </wp:positionH>
                <wp:positionV relativeFrom="paragraph">
                  <wp:posOffset>300355</wp:posOffset>
                </wp:positionV>
                <wp:extent cx="323850" cy="0"/>
                <wp:effectExtent l="0" t="25400" r="0" b="31750"/>
                <wp:wrapNone/>
                <wp:docPr id="88" name="直接连接符 88"/>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32.95pt;margin-top:23.65pt;height:0pt;width:25.5pt;z-index:251671552;mso-width-relative:page;mso-height-relative:page;" filled="f" stroked="t" coordsize="21600,21600" o:gfxdata="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EVdJnVAAAACQEAAA8AAAAAAAAAAQAgAAAAIgAAAGRycy9kb3ducmV2&#10;LnhtbFBLAQIUABQAAAAIAIdO4kAAwbi1/wEAAOYDAAAOAAAAAAAAAAEAIAAAACQBAABkcnMvZTJv&#10;RG9jLnhtbFBLBQYAAAAABgAGAFkBAACV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95104" behindDoc="0" locked="0" layoutInCell="1" allowOverlap="1">
                <wp:simplePos x="0" y="0"/>
                <wp:positionH relativeFrom="column">
                  <wp:posOffset>-114300</wp:posOffset>
                </wp:positionH>
                <wp:positionV relativeFrom="paragraph">
                  <wp:posOffset>2575560</wp:posOffset>
                </wp:positionV>
                <wp:extent cx="266700" cy="1581150"/>
                <wp:effectExtent l="4445" t="4445" r="14605" b="14605"/>
                <wp:wrapNone/>
                <wp:docPr id="84" name="文本框 84"/>
                <wp:cNvGraphicFramePr/>
                <a:graphic xmlns:a="http://schemas.openxmlformats.org/drawingml/2006/main">
                  <a:graphicData uri="http://schemas.microsoft.com/office/word/2010/wordprocessingShape">
                    <wps:wsp>
                      <wps:cNvSpPr txBox="1"/>
                      <wps:spPr>
                        <a:xfrm>
                          <a:off x="0" y="0"/>
                          <a:ext cx="266700" cy="15811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default" w:eastAsia="黑体"/>
                                <w:sz w:val="21"/>
                                <w:szCs w:val="21"/>
                                <w:lang w:val="en-US" w:eastAsia="zh-CN"/>
                              </w:rPr>
                            </w:pPr>
                            <w:r>
                              <w:rPr>
                                <w:rFonts w:hint="eastAsia"/>
                                <w:sz w:val="21"/>
                                <w:szCs w:val="21"/>
                                <w:lang w:val="en-US" w:eastAsia="zh-CN"/>
                              </w:rPr>
                              <w:t>巴彦县燊缘无害化处理有限公司</w:t>
                            </w:r>
                          </w:p>
                        </w:txbxContent>
                      </wps:txbx>
                      <wps:bodyPr lIns="0" tIns="0" rIns="0" bIns="0" upright="1"/>
                    </wps:wsp>
                  </a:graphicData>
                </a:graphic>
              </wp:anchor>
            </w:drawing>
          </mc:Choice>
          <mc:Fallback>
            <w:pict>
              <v:shape id="_x0000_s1026" o:spid="_x0000_s1026" o:spt="202" type="#_x0000_t202" style="position:absolute;left:0pt;margin-left:-9pt;margin-top:202.8pt;height:124.5pt;width:21pt;z-index:251695104;mso-width-relative:page;mso-height-relative:page;" fillcolor="#FFFFFF" filled="t" stroked="t" coordsize="21600,21600" o:gfxdata="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LYe7P/ZAAAA&#10;CgEAAA8AAAAAAAAAAQAgAAAAIgAAAGRycy9kb3ducmV2LnhtbFBLAQIUABQAAAAIAIdO4kDb7+xU&#10;HAIAAFwEAAAOAAAAAAAAAAEAIAAAACg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default" w:eastAsia="黑体"/>
                          <w:sz w:val="21"/>
                          <w:szCs w:val="21"/>
                          <w:lang w:val="en-US" w:eastAsia="zh-CN"/>
                        </w:rPr>
                      </w:pPr>
                      <w:r>
                        <w:rPr>
                          <w:rFonts w:hint="eastAsia"/>
                          <w:sz w:val="21"/>
                          <w:szCs w:val="21"/>
                          <w:lang w:val="en-US" w:eastAsia="zh-CN"/>
                        </w:rPr>
                        <w:t>巴彦县燊缘无害化处理有限公司</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91008" behindDoc="0" locked="0" layoutInCell="1" allowOverlap="1">
                <wp:simplePos x="0" y="0"/>
                <wp:positionH relativeFrom="column">
                  <wp:posOffset>4381500</wp:posOffset>
                </wp:positionH>
                <wp:positionV relativeFrom="paragraph">
                  <wp:posOffset>169545</wp:posOffset>
                </wp:positionV>
                <wp:extent cx="571500" cy="256540"/>
                <wp:effectExtent l="4445" t="4445" r="14605" b="5715"/>
                <wp:wrapNone/>
                <wp:docPr id="86" name="文本框 86"/>
                <wp:cNvGraphicFramePr/>
                <a:graphic xmlns:a="http://schemas.openxmlformats.org/drawingml/2006/main">
                  <a:graphicData uri="http://schemas.microsoft.com/office/word/2010/wordprocessingShape">
                    <wps:wsp>
                      <wps:cNvSpPr txBox="1"/>
                      <wps:spPr>
                        <a:xfrm>
                          <a:off x="0" y="0"/>
                          <a:ext cx="5715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吊挂</w:t>
                            </w:r>
                          </w:p>
                        </w:txbxContent>
                      </wps:txbx>
                      <wps:bodyPr lIns="0" tIns="0" rIns="0" bIns="0" upright="1"/>
                    </wps:wsp>
                  </a:graphicData>
                </a:graphic>
              </wp:anchor>
            </w:drawing>
          </mc:Choice>
          <mc:Fallback>
            <w:pict>
              <v:shape id="_x0000_s1026" o:spid="_x0000_s1026" o:spt="202" type="#_x0000_t202" style="position:absolute;left:0pt;margin-left:345pt;margin-top:13.35pt;height:20.2pt;width:45pt;z-index:251691008;mso-width-relative:page;mso-height-relative:page;" fillcolor="#FFFFFF" filled="t" stroked="t" coordsize="21600,21600" o:gfxdata="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QTiq71wAAAAkB&#10;AAAPAAAAAAAAAAEAIAAAACIAAABkcnMvZG93bnJldi54bWxQSwECFAAUAAAACACHTuJAYJjkihwC&#10;AABbBAAADgAAAAAAAAABACAAAAAmAQAAZHJzL2Uyb0RvYy54bWxQSwUGAAAAAAYABgBZAQAAtAUA&#10;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吊挂</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87936" behindDoc="0" locked="0" layoutInCell="1" allowOverlap="1">
                <wp:simplePos x="0" y="0"/>
                <wp:positionH relativeFrom="column">
                  <wp:posOffset>847725</wp:posOffset>
                </wp:positionH>
                <wp:positionV relativeFrom="paragraph">
                  <wp:posOffset>156210</wp:posOffset>
                </wp:positionV>
                <wp:extent cx="1000125" cy="256540"/>
                <wp:effectExtent l="4445" t="5080" r="5080" b="5080"/>
                <wp:wrapNone/>
                <wp:docPr id="85" name="文本框 85"/>
                <wp:cNvGraphicFramePr/>
                <a:graphic xmlns:a="http://schemas.openxmlformats.org/drawingml/2006/main">
                  <a:graphicData uri="http://schemas.microsoft.com/office/word/2010/wordprocessingShape">
                    <wps:wsp>
                      <wps:cNvSpPr txBox="1"/>
                      <wps:spPr>
                        <a:xfrm>
                          <a:off x="0" y="0"/>
                          <a:ext cx="100012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侯宰休息、检查</w:t>
                            </w:r>
                          </w:p>
                        </w:txbxContent>
                      </wps:txbx>
                      <wps:bodyPr lIns="0" tIns="0" rIns="0" bIns="0" upright="1"/>
                    </wps:wsp>
                  </a:graphicData>
                </a:graphic>
              </wp:anchor>
            </w:drawing>
          </mc:Choice>
          <mc:Fallback>
            <w:pict>
              <v:shape id="_x0000_s1026" o:spid="_x0000_s1026" o:spt="202" type="#_x0000_t202" style="position:absolute;left:0pt;margin-left:66.75pt;margin-top:12.3pt;height:20.2pt;width:78.75pt;z-index:251687936;mso-width-relative:page;mso-height-relative:page;" fillcolor="#FFFFFF" filled="t" stroked="t" coordsize="21600,21600" o:gfxdata="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GedaJ2AAAAAkB&#10;AAAPAAAAAAAAAAEAIAAAACIAAABkcnMvZG93bnJldi54bWxQSwECFAAUAAAACACHTuJAVhkpKhsC&#10;AABcBAAADgAAAAAAAAABACAAAAAnAQAAZHJzL2Uyb0RvYy54bWxQSwUGAAAAAAYABgBZAQAAtAUA&#10;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侯宰休息、检查</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60288" behindDoc="0" locked="0" layoutInCell="1" allowOverlap="1">
                <wp:simplePos x="0" y="0"/>
                <wp:positionH relativeFrom="column">
                  <wp:posOffset>-201930</wp:posOffset>
                </wp:positionH>
                <wp:positionV relativeFrom="paragraph">
                  <wp:posOffset>139700</wp:posOffset>
                </wp:positionV>
                <wp:extent cx="754380" cy="256540"/>
                <wp:effectExtent l="4445" t="4445" r="22225" b="5715"/>
                <wp:wrapNone/>
                <wp:docPr id="89" name="文本框 89"/>
                <wp:cNvGraphicFramePr/>
                <a:graphic xmlns:a="http://schemas.openxmlformats.org/drawingml/2006/main">
                  <a:graphicData uri="http://schemas.microsoft.com/office/word/2010/wordprocessingShape">
                    <wps:wsp>
                      <wps:cNvSpPr txBox="1"/>
                      <wps:spPr>
                        <a:xfrm>
                          <a:off x="0" y="0"/>
                          <a:ext cx="75438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进厂检疫</w:t>
                            </w:r>
                          </w:p>
                        </w:txbxContent>
                      </wps:txbx>
                      <wps:bodyPr lIns="0" tIns="0" rIns="0" bIns="0" upright="1"/>
                    </wps:wsp>
                  </a:graphicData>
                </a:graphic>
              </wp:anchor>
            </w:drawing>
          </mc:Choice>
          <mc:Fallback>
            <w:pict>
              <v:shape id="_x0000_s1026" o:spid="_x0000_s1026" o:spt="202" type="#_x0000_t202" style="position:absolute;left:0pt;margin-left:-15.9pt;margin-top:11pt;height:20.2pt;width:59.4pt;z-index:251660288;mso-width-relative:page;mso-height-relative:page;" fillcolor="#FFFFFF" filled="t" stroked="t" coordsize="21600,21600" o:gfxdata="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DUBN43YAAAA&#10;CAEAAA8AAAAAAAAAAQAgAAAAIgAAAGRycy9kb3ducmV2LnhtbFBLAQIUABQAAAAIAIdO4kBep8fb&#10;HQIAAFsEAAAOAAAAAAAAAAEAIAAAACc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进厂检疫</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83840" behindDoc="0" locked="0" layoutInCell="1" allowOverlap="1">
                <wp:simplePos x="0" y="0"/>
                <wp:positionH relativeFrom="column">
                  <wp:posOffset>4067175</wp:posOffset>
                </wp:positionH>
                <wp:positionV relativeFrom="paragraph">
                  <wp:posOffset>306705</wp:posOffset>
                </wp:positionV>
                <wp:extent cx="323850" cy="0"/>
                <wp:effectExtent l="0" t="25400" r="0" b="31750"/>
                <wp:wrapNone/>
                <wp:docPr id="91" name="直接连接符 91"/>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20.25pt;margin-top:24.15pt;height:0pt;width:25.5pt;z-index:251683840;mso-width-relative:page;mso-height-relative:page;" filled="f" stroked="t" coordsize="21600,21600" o:gfxdata="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P2JZA/VAAAACQEAAA8AAAAAAAAAAQAgAAAAIgAAAGRycy9kb3ducmV2&#10;LnhtbFBLAQIUABQAAAAIAIdO4kCpERRP/wEAAOYDAAAOAAAAAAAAAAEAIAAAACQBAABkcnMvZTJv&#10;RG9jLnhtbFBLBQYAAAAABgAGAFkBAACV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61312" behindDoc="0" locked="0" layoutInCell="1" allowOverlap="1">
                <wp:simplePos x="0" y="0"/>
                <wp:positionH relativeFrom="column">
                  <wp:posOffset>550545</wp:posOffset>
                </wp:positionH>
                <wp:positionV relativeFrom="paragraph">
                  <wp:posOffset>291465</wp:posOffset>
                </wp:positionV>
                <wp:extent cx="288290" cy="0"/>
                <wp:effectExtent l="0" t="25400" r="16510" b="31750"/>
                <wp:wrapNone/>
                <wp:docPr id="92" name="直接连接符 92"/>
                <wp:cNvGraphicFramePr/>
                <a:graphic xmlns:a="http://schemas.openxmlformats.org/drawingml/2006/main">
                  <a:graphicData uri="http://schemas.microsoft.com/office/word/2010/wordprocessingShape">
                    <wps:wsp>
                      <wps:cNvCnPr/>
                      <wps:spPr>
                        <a:xfrm>
                          <a:off x="0" y="0"/>
                          <a:ext cx="28829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43.35pt;margin-top:22.95pt;height:0pt;width:22.7pt;z-index:251661312;mso-width-relative:page;mso-height-relative:page;" filled="f" stroked="t" coordsize="21600,21600" o:gfxdata="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WEE8TVAAAACAEAAA8AAAAAAAAAAQAgAAAAIgAAAGRycy9kb3ducmV2&#10;LnhtbFBLAQIUABQAAAAIAIdO4kAluxVT/wEAAOYDAAAOAAAAAAAAAAEAIAAAACQBAABkcnMvZTJv&#10;RG9jLnhtbFBLBQYAAAAABgAGAFkBAACV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67456" behindDoc="0" locked="0" layoutInCell="1" allowOverlap="1">
                <wp:simplePos x="0" y="0"/>
                <wp:positionH relativeFrom="column">
                  <wp:posOffset>1851660</wp:posOffset>
                </wp:positionH>
                <wp:positionV relativeFrom="paragraph">
                  <wp:posOffset>295910</wp:posOffset>
                </wp:positionV>
                <wp:extent cx="321310" cy="635"/>
                <wp:effectExtent l="0" t="24765" r="2540" b="31750"/>
                <wp:wrapNone/>
                <wp:docPr id="93" name="直接连接符 93"/>
                <wp:cNvGraphicFramePr/>
                <a:graphic xmlns:a="http://schemas.openxmlformats.org/drawingml/2006/main">
                  <a:graphicData uri="http://schemas.microsoft.com/office/word/2010/wordprocessingShape">
                    <wps:wsp>
                      <wps:cNvCnPr/>
                      <wps:spPr>
                        <a:xfrm>
                          <a:off x="0" y="0"/>
                          <a:ext cx="321310" cy="635"/>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45.8pt;margin-top:23.3pt;height:0.05pt;width:25.3pt;z-index:251667456;mso-width-relative:page;mso-height-relative:page;" filled="f" stroked="t" coordsize="21600,21600" o:gfxdata="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hqKYN1gAAAAkBAAAPAAAAAAAAAAEAIAAAACIAAABkcnMvZG93bnJl&#10;di54bWxQSwECFAAUAAAACACHTuJA5Ksbrv8BAADoAwAADgAAAAAAAAABACAAAAAl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79744" behindDoc="0" locked="0" layoutInCell="1" allowOverlap="1">
                <wp:simplePos x="0" y="0"/>
                <wp:positionH relativeFrom="column">
                  <wp:posOffset>4695825</wp:posOffset>
                </wp:positionH>
                <wp:positionV relativeFrom="paragraph">
                  <wp:posOffset>405765</wp:posOffset>
                </wp:positionV>
                <wp:extent cx="7620" cy="488950"/>
                <wp:effectExtent l="23495" t="0" r="26035" b="6350"/>
                <wp:wrapNone/>
                <wp:docPr id="94" name="直接连接符 94"/>
                <wp:cNvGraphicFramePr/>
                <a:graphic xmlns:a="http://schemas.openxmlformats.org/drawingml/2006/main">
                  <a:graphicData uri="http://schemas.microsoft.com/office/word/2010/wordprocessingShape">
                    <wps:wsp>
                      <wps:cNvCnPr/>
                      <wps:spPr>
                        <a:xfrm flipH="1">
                          <a:off x="0" y="0"/>
                          <a:ext cx="7620" cy="48895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flip:x;margin-left:369.75pt;margin-top:31.95pt;height:38.5pt;width:0.6pt;z-index:251679744;mso-width-relative:page;mso-height-relative:page;" filled="f" stroked="t" coordsize="21600,21600" o:gfxdata="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IFEag2gAAAAoBAAAPAAAAAAAAAAEA&#10;IAAAACIAAABkcnMvZG93bnJldi54bWxQSwECFAAUAAAACACHTuJAp27F1Q0CAADzAwAADgAAAAAA&#10;AAABACAAAAApAQAAZHJzL2Uyb0RvYy54bWxQSwUGAAAAAAYABgBZAQAAqAUAAAAA&#10;">
                <v:fill on="f" focussize="0,0"/>
                <v:stroke color="#000000" joinstyle="round" endarrow="classic" endarrowwidth="narrow" endarrowlength="long"/>
                <v:imagedata o:title=""/>
                <o:lock v:ext="edit" aspectratio="f"/>
              </v:line>
            </w:pict>
          </mc:Fallback>
        </mc:AlternateContent>
      </w:r>
    </w:p>
    <w:p>
      <w:pPr>
        <w:ind w:firstLine="400" w:firstLineChars="200"/>
        <w:rPr>
          <w:rFonts w:hint="default" w:ascii="Times New Roman" w:hAnsi="Times New Roman" w:cs="Times New Roman"/>
          <w:color w:val="auto"/>
        </w:rPr>
      </w:pPr>
      <w:r>
        <w:rPr>
          <w:rFonts w:hint="default" w:ascii="Times New Roman" w:hAnsi="Times New Roman" w:cs="Times New Roman"/>
          <w:color w:val="auto"/>
          <w:sz w:val="20"/>
        </w:rPr>
        <mc:AlternateContent>
          <mc:Choice Requires="wps">
            <w:drawing>
              <wp:anchor distT="0" distB="0" distL="114300" distR="114300" simplePos="0" relativeHeight="251784192" behindDoc="0" locked="0" layoutInCell="1" allowOverlap="1">
                <wp:simplePos x="0" y="0"/>
                <wp:positionH relativeFrom="column">
                  <wp:posOffset>3705860</wp:posOffset>
                </wp:positionH>
                <wp:positionV relativeFrom="paragraph">
                  <wp:posOffset>127000</wp:posOffset>
                </wp:positionV>
                <wp:extent cx="635" cy="274320"/>
                <wp:effectExtent l="24765" t="0" r="31750" b="11430"/>
                <wp:wrapNone/>
                <wp:docPr id="127" name="直接连接符 127"/>
                <wp:cNvGraphicFramePr/>
                <a:graphic xmlns:a="http://schemas.openxmlformats.org/drawingml/2006/main">
                  <a:graphicData uri="http://schemas.microsoft.com/office/word/2010/wordprocessingShape">
                    <wps:wsp>
                      <wps:cNvCnPr/>
                      <wps:spPr>
                        <a:xfrm>
                          <a:off x="0" y="0"/>
                          <a:ext cx="635" cy="27432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91.8pt;margin-top:10pt;height:21.6pt;width:0.05pt;z-index:251784192;mso-width-relative:page;mso-height-relative:page;" filled="f" stroked="t" coordsize="21600,21600" o:gfxdata="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4eayQtUAAAAJAQAADwAAAAAAAAABACAAAAAiAAAAZHJzL2Rv&#10;d25yZXYueG1sUEsBAhQAFAAAAAgAh07iQERTc1wEAgAA6gMAAA4AAAAAAAAAAQAgAAAAJAEAAGRy&#10;cy9lMm9Eb2MueG1sUEsFBgAAAAAGAAYAWQEAAJo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62336" behindDoc="0" locked="0" layoutInCell="1" allowOverlap="1">
                <wp:simplePos x="0" y="0"/>
                <wp:positionH relativeFrom="column">
                  <wp:posOffset>2562860</wp:posOffset>
                </wp:positionH>
                <wp:positionV relativeFrom="paragraph">
                  <wp:posOffset>127000</wp:posOffset>
                </wp:positionV>
                <wp:extent cx="635" cy="274320"/>
                <wp:effectExtent l="24765" t="0" r="31750" b="11430"/>
                <wp:wrapNone/>
                <wp:docPr id="161" name="直接连接符 161"/>
                <wp:cNvGraphicFramePr/>
                <a:graphic xmlns:a="http://schemas.openxmlformats.org/drawingml/2006/main">
                  <a:graphicData uri="http://schemas.microsoft.com/office/word/2010/wordprocessingShape">
                    <wps:wsp>
                      <wps:cNvCnPr/>
                      <wps:spPr>
                        <a:xfrm>
                          <a:off x="0" y="0"/>
                          <a:ext cx="635" cy="27432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01.8pt;margin-top:10pt;height:21.6pt;width:0.05pt;z-index:251662336;mso-width-relative:page;mso-height-relative:page;" filled="f" stroked="t" coordsize="21600,21600" o:gfxdata="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0G9nx1QAAAAkBAAAPAAAAAAAAAAEAIAAAACIAAABkcnMvZG93&#10;bnJldi54bWxQSwECFAAUAAAACACHTuJA4Z5qewMCAADqAwAADgAAAAAAAAABACAAAAAkAQAAZHJz&#10;L2Uyb0RvYy54bWxQSwUGAAAAAAYABgBZAQAAmQ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74624" behindDoc="0" locked="0" layoutInCell="1" allowOverlap="1">
                <wp:simplePos x="0" y="0"/>
                <wp:positionH relativeFrom="column">
                  <wp:posOffset>85725</wp:posOffset>
                </wp:positionH>
                <wp:positionV relativeFrom="paragraph">
                  <wp:posOffset>91440</wp:posOffset>
                </wp:positionV>
                <wp:extent cx="0" cy="2179320"/>
                <wp:effectExtent l="25400" t="0" r="31750" b="11430"/>
                <wp:wrapNone/>
                <wp:docPr id="129" name="直接连接符 129"/>
                <wp:cNvGraphicFramePr/>
                <a:graphic xmlns:a="http://schemas.openxmlformats.org/drawingml/2006/main">
                  <a:graphicData uri="http://schemas.microsoft.com/office/word/2010/wordprocessingShape">
                    <wps:wsp>
                      <wps:cNvCnPr/>
                      <wps:spPr>
                        <a:xfrm>
                          <a:off x="0" y="0"/>
                          <a:ext cx="0" cy="217932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6.75pt;margin-top:7.2pt;height:171.6pt;width:0pt;z-index:251674624;mso-width-relative:page;mso-height-relative:page;" filled="f" stroked="t" coordsize="21600,21600" o:gfxdata="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7C13e1AAAAAgBAAAPAAAAAAAAAAEAIAAAACIAAABkcnMvZG93bnJl&#10;di54bWxQSwECFAAUAAAACACHTuJAqQrBHwECAADpAwAADgAAAAAAAAABACAAAAAj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59616" behindDoc="0" locked="0" layoutInCell="1" allowOverlap="1">
                <wp:simplePos x="0" y="0"/>
                <wp:positionH relativeFrom="column">
                  <wp:posOffset>1295400</wp:posOffset>
                </wp:positionH>
                <wp:positionV relativeFrom="paragraph">
                  <wp:posOffset>130810</wp:posOffset>
                </wp:positionV>
                <wp:extent cx="0" cy="297180"/>
                <wp:effectExtent l="25400" t="0" r="31750" b="7620"/>
                <wp:wrapNone/>
                <wp:docPr id="121" name="直接连接符 121"/>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02pt;margin-top:10.3pt;height:23.4pt;width:0pt;z-index:251759616;mso-width-relative:page;mso-height-relative:page;" filled="f" stroked="t" coordsize="21600,21600" o:gfxdata="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SiiE41QAAAAkBAAAPAAAAAAAAAAEAIAAAACIAAABkcnMvZG93bnJl&#10;di54bWxQSwECFAAUAAAACACHTuJAO9GanwACAADoAwAADgAAAAAAAAABACAAAAAkAQAAZHJzL2Uy&#10;b0RvYy54bWxQSwUGAAAAAAYABgBZAQAAlgUAAAAA&#10;">
                <v:fill on="f" focussize="0,0"/>
                <v:stroke color="#000000" joinstyle="round" endarrow="classic" endarrowwidth="narrow" endarrowlength="long"/>
                <v:imagedata o:title=""/>
                <o:lock v:ext="edit" aspectratio="f"/>
              </v:line>
            </w:pict>
          </mc:Fallback>
        </mc:AlternateContent>
      </w:r>
    </w:p>
    <w:p>
      <w:pPr>
        <w:ind w:firstLine="400" w:firstLineChars="200"/>
        <w:rPr>
          <w:rFonts w:hint="default" w:ascii="Times New Roman" w:hAnsi="Times New Roman" w:cs="Times New Roman"/>
          <w:color w:val="auto"/>
        </w:rPr>
      </w:pPr>
      <w:r>
        <w:rPr>
          <w:rFonts w:hint="default" w:ascii="Times New Roman" w:hAnsi="Times New Roman" w:cs="Times New Roman"/>
          <w:color w:val="auto"/>
          <w:sz w:val="20"/>
        </w:rPr>
        <mc:AlternateContent>
          <mc:Choice Requires="wps">
            <w:drawing>
              <wp:anchor distT="0" distB="0" distL="114300" distR="114300" simplePos="0" relativeHeight="251785216" behindDoc="0" locked="0" layoutInCell="1" allowOverlap="1">
                <wp:simplePos x="0" y="0"/>
                <wp:positionH relativeFrom="column">
                  <wp:posOffset>3305175</wp:posOffset>
                </wp:positionH>
                <wp:positionV relativeFrom="paragraph">
                  <wp:posOffset>184785</wp:posOffset>
                </wp:positionV>
                <wp:extent cx="800100" cy="26035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800100" cy="260350"/>
                        </a:xfrm>
                        <a:prstGeom prst="rect">
                          <a:avLst/>
                        </a:prstGeom>
                        <a:noFill/>
                        <a:ln>
                          <a:noFill/>
                        </a:ln>
                      </wps:spPr>
                      <wps:txbx>
                        <w:txbxContent>
                          <w:p>
                            <w:pPr>
                              <w:pStyle w:val="15"/>
                              <w:snapToGrid w:val="0"/>
                              <w:jc w:val="center"/>
                              <w:rPr>
                                <w:rFonts w:hint="eastAsia"/>
                              </w:rPr>
                            </w:pPr>
                            <w:r>
                              <w:rPr>
                                <w:rFonts w:hint="eastAsia" w:hAnsi="宋体" w:cs="Arial"/>
                              </w:rPr>
                              <w:t>N</w:t>
                            </w:r>
                            <w:r>
                              <w:rPr>
                                <w:rFonts w:hint="eastAsia"/>
                                <w:b/>
                                <w:i/>
                                <w:vertAlign w:val="subscript"/>
                              </w:rPr>
                              <w:t>1-1</w:t>
                            </w:r>
                          </w:p>
                        </w:txbxContent>
                      </wps:txbx>
                      <wps:bodyPr lIns="0" tIns="0" rIns="0" bIns="0" upright="1"/>
                    </wps:wsp>
                  </a:graphicData>
                </a:graphic>
              </wp:anchor>
            </w:drawing>
          </mc:Choice>
          <mc:Fallback>
            <w:pict>
              <v:shape id="_x0000_s1026" o:spid="_x0000_s1026" o:spt="202" type="#_x0000_t202" style="position:absolute;left:0pt;margin-left:260.25pt;margin-top:14.55pt;height:20.5pt;width:63pt;z-index:251785216;mso-width-relative:page;mso-height-relative:page;" filled="f" stroked="f" coordsize="21600,21600" o:gfxdata="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FO7nlnYAAAACQEAAA8AAAAAAAAAAQAgAAAAIgAAAGRycy9kb3ducmV2LnhtbFBLAQIU&#10;ABQAAAAIAIdO4kDq5F9RugEAAHUDAAAOAAAAAAAAAAEAIAAAACcBAABkcnMvZTJvRG9jLnhtbFBL&#10;BQYAAAAABgAGAFkBAABTBQAAAAA=&#10;">
                <v:fill on="f" focussize="0,0"/>
                <v:stroke on="f"/>
                <v:imagedata o:title=""/>
                <o:lock v:ext="edit" aspectratio="f"/>
                <v:textbox inset="0mm,0mm,0mm,0mm">
                  <w:txbxContent>
                    <w:p>
                      <w:pPr>
                        <w:pStyle w:val="15"/>
                        <w:snapToGrid w:val="0"/>
                        <w:jc w:val="center"/>
                        <w:rPr>
                          <w:rFonts w:hint="eastAsia"/>
                        </w:rPr>
                      </w:pPr>
                      <w:r>
                        <w:rPr>
                          <w:rFonts w:hint="eastAsia" w:hAnsi="宋体" w:cs="Arial"/>
                        </w:rPr>
                        <w:t>N</w:t>
                      </w:r>
                      <w:r>
                        <w:rPr>
                          <w:rFonts w:hint="eastAsia"/>
                          <w:b/>
                          <w:i/>
                          <w:vertAlign w:val="subscript"/>
                        </w:rPr>
                        <w:t>1-1</w:t>
                      </w:r>
                    </w:p>
                  </w:txbxContent>
                </v:textbox>
              </v:shape>
            </w:pict>
          </mc:Fallback>
        </mc:AlternateContent>
      </w:r>
      <w:r>
        <w:rPr>
          <w:rFonts w:hint="default" w:ascii="Times New Roman" w:hAnsi="Times New Roman" w:cs="Times New Roman"/>
          <w:color w:val="auto"/>
          <w:sz w:val="20"/>
          <w:highlight w:val="magenta"/>
        </w:rPr>
        <mc:AlternateContent>
          <mc:Choice Requires="wps">
            <w:drawing>
              <wp:anchor distT="0" distB="0" distL="114300" distR="114300" simplePos="0" relativeHeight="251666432" behindDoc="0" locked="0" layoutInCell="1" allowOverlap="1">
                <wp:simplePos x="0" y="0"/>
                <wp:positionH relativeFrom="column">
                  <wp:posOffset>2352675</wp:posOffset>
                </wp:positionH>
                <wp:positionV relativeFrom="paragraph">
                  <wp:posOffset>156210</wp:posOffset>
                </wp:positionV>
                <wp:extent cx="466725" cy="327660"/>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466725" cy="327660"/>
                        </a:xfrm>
                        <a:prstGeom prst="rect">
                          <a:avLst/>
                        </a:prstGeom>
                        <a:noFill/>
                        <a:ln>
                          <a:noFill/>
                        </a:ln>
                      </wps:spPr>
                      <wps:txbx>
                        <w:txbxContent>
                          <w:p>
                            <w:pPr>
                              <w:pStyle w:val="15"/>
                              <w:snapToGrid w:val="0"/>
                              <w:jc w:val="center"/>
                              <w:rPr>
                                <w:rFonts w:hint="eastAsia"/>
                              </w:rPr>
                            </w:pPr>
                            <w:r>
                              <w:rPr>
                                <w:rFonts w:hint="eastAsia"/>
                              </w:rPr>
                              <w:t>W</w:t>
                            </w:r>
                            <w:r>
                              <w:rPr>
                                <w:rFonts w:hint="eastAsia"/>
                                <w:b/>
                                <w:i/>
                                <w:vertAlign w:val="subscript"/>
                              </w:rPr>
                              <w:t>1-2</w:t>
                            </w:r>
                          </w:p>
                        </w:txbxContent>
                      </wps:txbx>
                      <wps:bodyPr lIns="0" tIns="0" rIns="0" bIns="0" upright="1"/>
                    </wps:wsp>
                  </a:graphicData>
                </a:graphic>
              </wp:anchor>
            </w:drawing>
          </mc:Choice>
          <mc:Fallback>
            <w:pict>
              <v:shape id="_x0000_s1026" o:spid="_x0000_s1026" o:spt="202" type="#_x0000_t202" style="position:absolute;left:0pt;margin-left:185.25pt;margin-top:12.3pt;height:25.8pt;width:36.75pt;z-index:251666432;mso-width-relative:page;mso-height-relative:page;" filled="f" stroked="f" coordsize="21600,21600" o:gfxdata="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37cCT2QAAAAkBAAAPAAAAAAAAAAEAIAAAACIAAABkcnMvZG93bnJldi54bWxQ&#10;SwECFAAUAAAACACHTuJAD3huC70BAAB1AwAADgAAAAAAAAABACAAAAAoAQAAZHJzL2Uyb0RvYy54&#10;bWxQSwUGAAAAAAYABgBZAQAAVwUAAAAA&#10;">
                <v:fill on="f" focussize="0,0"/>
                <v:stroke on="f"/>
                <v:imagedata o:title=""/>
                <o:lock v:ext="edit" aspectratio="f"/>
                <v:textbox inset="0mm,0mm,0mm,0mm">
                  <w:txbxContent>
                    <w:p>
                      <w:pPr>
                        <w:pStyle w:val="15"/>
                        <w:snapToGrid w:val="0"/>
                        <w:jc w:val="center"/>
                        <w:rPr>
                          <w:rFonts w:hint="eastAsia"/>
                        </w:rPr>
                      </w:pPr>
                      <w:r>
                        <w:rPr>
                          <w:rFonts w:hint="eastAsia"/>
                        </w:rPr>
                        <w:t>W</w:t>
                      </w:r>
                      <w:r>
                        <w:rPr>
                          <w:rFonts w:hint="eastAsia"/>
                          <w:b/>
                          <w:i/>
                          <w:vertAlign w:val="subscript"/>
                        </w:rPr>
                        <w:t>1-2</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69504" behindDoc="0" locked="0" layoutInCell="1" allowOverlap="1">
                <wp:simplePos x="0" y="0"/>
                <wp:positionH relativeFrom="column">
                  <wp:posOffset>816610</wp:posOffset>
                </wp:positionH>
                <wp:positionV relativeFrom="paragraph">
                  <wp:posOffset>160020</wp:posOffset>
                </wp:positionV>
                <wp:extent cx="993140" cy="329565"/>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993140" cy="329565"/>
                        </a:xfrm>
                        <a:prstGeom prst="rect">
                          <a:avLst/>
                        </a:prstGeom>
                        <a:noFill/>
                        <a:ln>
                          <a:noFill/>
                        </a:ln>
                      </wps:spPr>
                      <wps:txbx>
                        <w:txbxContent>
                          <w:p>
                            <w:pPr>
                              <w:pStyle w:val="15"/>
                              <w:snapToGrid w:val="0"/>
                              <w:jc w:val="center"/>
                              <w:rPr>
                                <w:rFonts w:hint="eastAsia"/>
                              </w:rPr>
                            </w:pPr>
                            <w:r>
                              <w:rPr>
                                <w:rFonts w:hint="eastAsia"/>
                              </w:rPr>
                              <w:t>G</w:t>
                            </w:r>
                            <w:r>
                              <w:rPr>
                                <w:rFonts w:hint="eastAsia"/>
                                <w:b/>
                                <w:i/>
                                <w:vertAlign w:val="subscript"/>
                              </w:rPr>
                              <w:t>1-1</w:t>
                            </w:r>
                            <w:r>
                              <w:rPr>
                                <w:rFonts w:hint="eastAsia"/>
                              </w:rPr>
                              <w:t>S</w:t>
                            </w:r>
                            <w:r>
                              <w:rPr>
                                <w:rFonts w:hint="eastAsia"/>
                                <w:b/>
                                <w:i/>
                                <w:vertAlign w:val="subscript"/>
                              </w:rPr>
                              <w:t>1-1</w:t>
                            </w:r>
                            <w:r>
                              <w:rPr>
                                <w:rFonts w:hint="eastAsia"/>
                              </w:rPr>
                              <w:t>W</w:t>
                            </w:r>
                            <w:r>
                              <w:rPr>
                                <w:rFonts w:hint="eastAsia"/>
                                <w:b/>
                                <w:i/>
                                <w:vertAlign w:val="subscript"/>
                              </w:rPr>
                              <w:t>1-1</w:t>
                            </w:r>
                          </w:p>
                        </w:txbxContent>
                      </wps:txbx>
                      <wps:bodyPr lIns="0" tIns="0" rIns="0" bIns="0" upright="1"/>
                    </wps:wsp>
                  </a:graphicData>
                </a:graphic>
              </wp:anchor>
            </w:drawing>
          </mc:Choice>
          <mc:Fallback>
            <w:pict>
              <v:shape id="_x0000_s1026" o:spid="_x0000_s1026" o:spt="202" type="#_x0000_t202" style="position:absolute;left:0pt;margin-left:64.3pt;margin-top:12.6pt;height:25.95pt;width:78.2pt;z-index:251669504;mso-width-relative:page;mso-height-relative:page;" filled="f" stroked="f" coordsize="21600,21600" o:gfxdata="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Fvz5nfXAAAACQEAAA8AAAAAAAAAAQAgAAAAIgAAAGRycy9kb3ducmV2LnhtbFBLAQIU&#10;ABQAAAAIAIdO4kCgjDyyuwEAAHUDAAAOAAAAAAAAAAEAIAAAACYBAABkcnMvZTJvRG9jLnhtbFBL&#10;BQYAAAAABgAGAFkBAABTBQAAAAA=&#10;">
                <v:fill on="f" focussize="0,0"/>
                <v:stroke on="f"/>
                <v:imagedata o:title=""/>
                <o:lock v:ext="edit" aspectratio="f"/>
                <v:textbox inset="0mm,0mm,0mm,0mm">
                  <w:txbxContent>
                    <w:p>
                      <w:pPr>
                        <w:pStyle w:val="15"/>
                        <w:snapToGrid w:val="0"/>
                        <w:jc w:val="center"/>
                        <w:rPr>
                          <w:rFonts w:hint="eastAsia"/>
                        </w:rPr>
                      </w:pPr>
                      <w:r>
                        <w:rPr>
                          <w:rFonts w:hint="eastAsia"/>
                        </w:rPr>
                        <w:t>G</w:t>
                      </w:r>
                      <w:r>
                        <w:rPr>
                          <w:rFonts w:hint="eastAsia"/>
                          <w:b/>
                          <w:i/>
                          <w:vertAlign w:val="subscript"/>
                        </w:rPr>
                        <w:t>1-1</w:t>
                      </w:r>
                      <w:r>
                        <w:rPr>
                          <w:rFonts w:hint="eastAsia"/>
                        </w:rPr>
                        <w:t>S</w:t>
                      </w:r>
                      <w:r>
                        <w:rPr>
                          <w:rFonts w:hint="eastAsia"/>
                          <w:b/>
                          <w:i/>
                          <w:vertAlign w:val="subscript"/>
                        </w:rPr>
                        <w:t>1-1</w:t>
                      </w:r>
                      <w:r>
                        <w:rPr>
                          <w:rFonts w:hint="eastAsia"/>
                        </w:rPr>
                        <w:t>W</w:t>
                      </w:r>
                      <w:r>
                        <w:rPr>
                          <w:rFonts w:hint="eastAsia"/>
                          <w:b/>
                          <w:i/>
                          <w:vertAlign w:val="subscript"/>
                        </w:rPr>
                        <w:t>1-1</w:t>
                      </w:r>
                    </w:p>
                  </w:txbxContent>
                </v:textbox>
              </v:shape>
            </w:pict>
          </mc:Fallback>
        </mc:AlternateContent>
      </w:r>
    </w:p>
    <w:p>
      <w:pPr>
        <w:ind w:firstLine="400" w:firstLineChars="200"/>
        <w:rPr>
          <w:rFonts w:hint="default" w:ascii="Times New Roman" w:hAnsi="Times New Roman" w:cs="Times New Roman"/>
          <w:color w:val="auto"/>
        </w:rPr>
      </w:pPr>
      <w:r>
        <w:rPr>
          <w:rFonts w:hint="default" w:ascii="Times New Roman" w:hAnsi="Times New Roman" w:cs="Times New Roman"/>
          <w:color w:val="auto"/>
          <w:sz w:val="20"/>
        </w:rPr>
        <mc:AlternateContent>
          <mc:Choice Requires="wps">
            <w:drawing>
              <wp:anchor distT="0" distB="0" distL="114300" distR="114300" simplePos="0" relativeHeight="251780096" behindDoc="0" locked="0" layoutInCell="1" allowOverlap="1">
                <wp:simplePos x="0" y="0"/>
                <wp:positionH relativeFrom="column">
                  <wp:posOffset>-697865</wp:posOffset>
                </wp:positionH>
                <wp:positionV relativeFrom="paragraph">
                  <wp:posOffset>35560</wp:posOffset>
                </wp:positionV>
                <wp:extent cx="993140" cy="329565"/>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993140" cy="329565"/>
                        </a:xfrm>
                        <a:prstGeom prst="rect">
                          <a:avLst/>
                        </a:prstGeom>
                        <a:noFill/>
                        <a:ln>
                          <a:noFill/>
                        </a:ln>
                      </wps:spPr>
                      <wps:txbx>
                        <w:txbxContent>
                          <w:p>
                            <w:pPr>
                              <w:pStyle w:val="15"/>
                              <w:snapToGrid w:val="0"/>
                              <w:jc w:val="center"/>
                              <w:rPr>
                                <w:rFonts w:hint="default"/>
                                <w:lang w:val="en-US"/>
                              </w:rPr>
                            </w:pPr>
                            <w:r>
                              <w:rPr>
                                <w:rFonts w:hint="eastAsia"/>
                              </w:rPr>
                              <w:t>S</w:t>
                            </w:r>
                            <w:r>
                              <w:rPr>
                                <w:rFonts w:hint="eastAsia"/>
                                <w:b/>
                                <w:i/>
                                <w:vertAlign w:val="subscript"/>
                              </w:rPr>
                              <w:t>1-</w:t>
                            </w:r>
                            <w:r>
                              <w:rPr>
                                <w:rFonts w:hint="eastAsia"/>
                                <w:b/>
                                <w:i/>
                                <w:vertAlign w:val="subscript"/>
                                <w:lang w:val="en-US" w:eastAsia="zh-CN"/>
                              </w:rPr>
                              <w:t>8</w:t>
                            </w:r>
                          </w:p>
                        </w:txbxContent>
                      </wps:txbx>
                      <wps:bodyPr lIns="0" tIns="0" rIns="0" bIns="0" upright="1"/>
                    </wps:wsp>
                  </a:graphicData>
                </a:graphic>
              </wp:anchor>
            </w:drawing>
          </mc:Choice>
          <mc:Fallback>
            <w:pict>
              <v:shape id="_x0000_s1026" o:spid="_x0000_s1026" o:spt="202" type="#_x0000_t202" style="position:absolute;left:0pt;margin-left:-54.95pt;margin-top:2.8pt;height:25.95pt;width:78.2pt;z-index:251780096;mso-width-relative:page;mso-height-relative:page;" filled="f" stroked="f" coordsize="21600,21600" o:gfxdata="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UTYHi1wAAAAgBAAAPAAAAAAAAAAEAIAAAACIAAABkcnMvZG93bnJldi54bWxQSwEC&#10;FAAUAAAACACHTuJAO17m2LwBAAB1AwAADgAAAAAAAAABACAAAAAmAQAAZHJzL2Uyb0RvYy54bWxQ&#10;SwUGAAAAAAYABgBZAQAAVAUAAAAA&#10;">
                <v:fill on="f" focussize="0,0"/>
                <v:stroke on="f"/>
                <v:imagedata o:title=""/>
                <o:lock v:ext="edit" aspectratio="f"/>
                <v:textbox inset="0mm,0mm,0mm,0mm">
                  <w:txbxContent>
                    <w:p>
                      <w:pPr>
                        <w:pStyle w:val="15"/>
                        <w:snapToGrid w:val="0"/>
                        <w:jc w:val="center"/>
                        <w:rPr>
                          <w:rFonts w:hint="default"/>
                          <w:lang w:val="en-US"/>
                        </w:rPr>
                      </w:pPr>
                      <w:r>
                        <w:rPr>
                          <w:rFonts w:hint="eastAsia"/>
                        </w:rPr>
                        <w:t>S</w:t>
                      </w:r>
                      <w:r>
                        <w:rPr>
                          <w:rFonts w:hint="eastAsia"/>
                          <w:b/>
                          <w:i/>
                          <w:vertAlign w:val="subscript"/>
                        </w:rPr>
                        <w:t>1-</w:t>
                      </w:r>
                      <w:r>
                        <w:rPr>
                          <w:rFonts w:hint="eastAsia"/>
                          <w:b/>
                          <w:i/>
                          <w:vertAlign w:val="subscript"/>
                          <w:lang w:val="en-US" w:eastAsia="zh-CN"/>
                        </w:rPr>
                        <w:t>8</w:t>
                      </w:r>
                    </w:p>
                  </w:txbxContent>
                </v:textbox>
              </v:shape>
            </w:pict>
          </mc:Fallback>
        </mc:AlternateContent>
      </w:r>
    </w:p>
    <w:p>
      <w:pPr>
        <w:ind w:firstLine="420" w:firstLineChars="200"/>
        <w:rPr>
          <w:rFonts w:hint="default" w:ascii="Times New Roman" w:hAnsi="Times New Roman" w:cs="Times New Roman"/>
          <w:color w:val="auto"/>
        </w:rPr>
      </w:pPr>
    </w:p>
    <w:p>
      <w:pPr>
        <w:ind w:firstLine="400" w:firstLineChars="200"/>
        <w:rPr>
          <w:rFonts w:hint="default" w:ascii="Times New Roman" w:hAnsi="Times New Roman" w:cs="Times New Roman"/>
          <w:color w:val="auto"/>
        </w:rPr>
      </w:pPr>
      <w:r>
        <w:rPr>
          <w:rFonts w:hint="default" w:ascii="Times New Roman" w:hAnsi="Times New Roman" w:cs="Times New Roman"/>
          <w:color w:val="auto"/>
          <w:sz w:val="20"/>
        </w:rPr>
        <mc:AlternateContent>
          <mc:Choice Requires="wps">
            <w:drawing>
              <wp:anchor distT="0" distB="0" distL="114300" distR="114300" simplePos="0" relativeHeight="251684864" behindDoc="0" locked="0" layoutInCell="1" allowOverlap="1">
                <wp:simplePos x="0" y="0"/>
                <wp:positionH relativeFrom="column">
                  <wp:posOffset>326390</wp:posOffset>
                </wp:positionH>
                <wp:positionV relativeFrom="paragraph">
                  <wp:posOffset>147320</wp:posOffset>
                </wp:positionV>
                <wp:extent cx="607695" cy="8890"/>
                <wp:effectExtent l="0" t="18415" r="1905" b="29845"/>
                <wp:wrapNone/>
                <wp:docPr id="133" name="直接连接符 133"/>
                <wp:cNvGraphicFramePr/>
                <a:graphic xmlns:a="http://schemas.openxmlformats.org/drawingml/2006/main">
                  <a:graphicData uri="http://schemas.microsoft.com/office/word/2010/wordprocessingShape">
                    <wps:wsp>
                      <wps:cNvCnPr>
                        <a:stCxn id="131" idx="1"/>
                      </wps:cNvCnPr>
                      <wps:spPr>
                        <a:xfrm flipH="1">
                          <a:off x="0" y="0"/>
                          <a:ext cx="607695" cy="889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flip:x;margin-left:25.7pt;margin-top:11.6pt;height:0.7pt;width:47.85pt;z-index:251684864;mso-width-relative:page;mso-height-relative:page;" filled="f" stroked="t" coordsize="21600,21600" o:gfxdata="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bnY6M1wAAAAgBAAAP&#10;AAAAAAAAAAEAIAAAACIAAABkcnMvZG93bnJldi54bWxQSwECFAAUAAAACACHTuJAKzWldBkCAAAd&#10;BAAADgAAAAAAAAABACAAAAAmAQAAZHJzL2Uyb0RvYy54bWxQSwUGAAAAAAYABgBZAQAAsQ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08416" behindDoc="0" locked="0" layoutInCell="1" allowOverlap="1">
                <wp:simplePos x="0" y="0"/>
                <wp:positionH relativeFrom="column">
                  <wp:posOffset>4471670</wp:posOffset>
                </wp:positionH>
                <wp:positionV relativeFrom="paragraph">
                  <wp:posOffset>20955</wp:posOffset>
                </wp:positionV>
                <wp:extent cx="495300" cy="256540"/>
                <wp:effectExtent l="4445" t="4445" r="14605" b="5715"/>
                <wp:wrapNone/>
                <wp:docPr id="159" name="文本框 159"/>
                <wp:cNvGraphicFramePr/>
                <a:graphic xmlns:a="http://schemas.openxmlformats.org/drawingml/2006/main">
                  <a:graphicData uri="http://schemas.microsoft.com/office/word/2010/wordprocessingShape">
                    <wps:wsp>
                      <wps:cNvSpPr txBox="1"/>
                      <wps:spPr>
                        <a:xfrm>
                          <a:off x="0" y="0"/>
                          <a:ext cx="4953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放血</w:t>
                            </w:r>
                          </w:p>
                        </w:txbxContent>
                      </wps:txbx>
                      <wps:bodyPr lIns="0" tIns="0" rIns="0" bIns="0" upright="1"/>
                    </wps:wsp>
                  </a:graphicData>
                </a:graphic>
              </wp:anchor>
            </w:drawing>
          </mc:Choice>
          <mc:Fallback>
            <w:pict>
              <v:shape id="_x0000_s1026" o:spid="_x0000_s1026" o:spt="202" type="#_x0000_t202" style="position:absolute;left:0pt;margin-left:352.1pt;margin-top:1.65pt;height:20.2pt;width:39pt;z-index:251708416;mso-width-relative:page;mso-height-relative:page;" fillcolor="#FFFFFF" filled="t" stroked="t" coordsize="21600,21600" o:gfxdata="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UgX4l1wAAAAgB&#10;AAAPAAAAAAAAAAEAIAAAACIAAABkcnMvZG93bnJldi54bWxQSwECFAAUAAAACACHTuJAyt8QUBwC&#10;AABdBAAADgAAAAAAAAABACAAAAAmAQAAZHJzL2Uyb0RvYy54bWxQSwUGAAAAAAYABgBZAQAAtAUA&#10;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放血</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05344" behindDoc="0" locked="0" layoutInCell="1" allowOverlap="1">
                <wp:simplePos x="0" y="0"/>
                <wp:positionH relativeFrom="column">
                  <wp:posOffset>3609975</wp:posOffset>
                </wp:positionH>
                <wp:positionV relativeFrom="paragraph">
                  <wp:posOffset>17145</wp:posOffset>
                </wp:positionV>
                <wp:extent cx="533400" cy="256540"/>
                <wp:effectExtent l="4445" t="4445" r="14605" b="5715"/>
                <wp:wrapNone/>
                <wp:docPr id="145" name="文本框 145"/>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浸烫</w:t>
                            </w:r>
                          </w:p>
                        </w:txbxContent>
                      </wps:txbx>
                      <wps:bodyPr lIns="0" tIns="0" rIns="0" bIns="0" upright="1"/>
                    </wps:wsp>
                  </a:graphicData>
                </a:graphic>
              </wp:anchor>
            </w:drawing>
          </mc:Choice>
          <mc:Fallback>
            <w:pict>
              <v:shape id="_x0000_s1026" o:spid="_x0000_s1026" o:spt="202" type="#_x0000_t202" style="position:absolute;left:0pt;margin-left:284.25pt;margin-top:1.35pt;height:20.2pt;width:42pt;z-index:251705344;mso-width-relative:page;mso-height-relative:page;" fillcolor="#FFFFFF" filled="t" stroked="t" coordsize="21600,21600" o:gfxdata="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jNp3Y1wAAAAgB&#10;AAAPAAAAAAAAAAEAIAAAACIAAABkcnMvZG93bnJldi54bWxQSwECFAAUAAAACACHTuJAObrFphwC&#10;AABdBAAADgAAAAAAAAABACAAAAAmAQAAZHJzL2Uyb0RvYy54bWxQSwUGAAAAAAYABgBZAQAAtAUA&#10;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浸烫</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04320" behindDoc="0" locked="0" layoutInCell="1" allowOverlap="1">
                <wp:simplePos x="0" y="0"/>
                <wp:positionH relativeFrom="column">
                  <wp:posOffset>2797810</wp:posOffset>
                </wp:positionH>
                <wp:positionV relativeFrom="paragraph">
                  <wp:posOffset>20955</wp:posOffset>
                </wp:positionV>
                <wp:extent cx="495300" cy="256540"/>
                <wp:effectExtent l="4445" t="4445" r="14605" b="5715"/>
                <wp:wrapNone/>
                <wp:docPr id="95" name="文本框 95"/>
                <wp:cNvGraphicFramePr/>
                <a:graphic xmlns:a="http://schemas.openxmlformats.org/drawingml/2006/main">
                  <a:graphicData uri="http://schemas.microsoft.com/office/word/2010/wordprocessingShape">
                    <wps:wsp>
                      <wps:cNvSpPr txBox="1"/>
                      <wps:spPr>
                        <a:xfrm>
                          <a:off x="0" y="0"/>
                          <a:ext cx="4953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烫毛</w:t>
                            </w:r>
                          </w:p>
                        </w:txbxContent>
                      </wps:txbx>
                      <wps:bodyPr lIns="0" tIns="0" rIns="0" bIns="0" upright="1"/>
                    </wps:wsp>
                  </a:graphicData>
                </a:graphic>
              </wp:anchor>
            </w:drawing>
          </mc:Choice>
          <mc:Fallback>
            <w:pict>
              <v:shape id="_x0000_s1026" o:spid="_x0000_s1026" o:spt="202" type="#_x0000_t202" style="position:absolute;left:0pt;margin-left:220.3pt;margin-top:1.65pt;height:20.2pt;width:39pt;z-index:251704320;mso-width-relative:page;mso-height-relative:page;" fillcolor="#FFFFFF" filled="t" stroked="t" coordsize="21600,21600" o:gfxdata="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Nhnu89cAAAAIAQAA&#10;DwAAAAAAAAABACAAAAAiAAAAZHJzL2Rvd25yZXYueG1sUEsBAhQAFAAAAAgAh07iQPdmmEIaAgAA&#10;WwQAAA4AAAAAAAAAAQAgAAAAJgEAAGRycy9lMm9Eb2MueG1sUEsFBgAAAAAGAAYAWQEAALIFAAAA&#10;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烫毛</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06368" behindDoc="0" locked="0" layoutInCell="1" allowOverlap="1">
                <wp:simplePos x="0" y="0"/>
                <wp:positionH relativeFrom="column">
                  <wp:posOffset>1771650</wp:posOffset>
                </wp:positionH>
                <wp:positionV relativeFrom="paragraph">
                  <wp:posOffset>26670</wp:posOffset>
                </wp:positionV>
                <wp:extent cx="676275" cy="256540"/>
                <wp:effectExtent l="4445" t="4445" r="5080" b="5715"/>
                <wp:wrapNone/>
                <wp:docPr id="163" name="文本框 163"/>
                <wp:cNvGraphicFramePr/>
                <a:graphic xmlns:a="http://schemas.openxmlformats.org/drawingml/2006/main">
                  <a:graphicData uri="http://schemas.microsoft.com/office/word/2010/wordprocessingShape">
                    <wps:wsp>
                      <wps:cNvSpPr txBox="1"/>
                      <wps:spPr>
                        <a:xfrm>
                          <a:off x="0" y="0"/>
                          <a:ext cx="67627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刨毛</w:t>
                            </w:r>
                          </w:p>
                        </w:txbxContent>
                      </wps:txbx>
                      <wps:bodyPr lIns="0" tIns="0" rIns="0" bIns="0" upright="1"/>
                    </wps:wsp>
                  </a:graphicData>
                </a:graphic>
              </wp:anchor>
            </w:drawing>
          </mc:Choice>
          <mc:Fallback>
            <w:pict>
              <v:shape id="_x0000_s1026" o:spid="_x0000_s1026" o:spt="202" type="#_x0000_t202" style="position:absolute;left:0pt;margin-left:139.5pt;margin-top:2.1pt;height:20.2pt;width:53.25pt;z-index:251706368;mso-width-relative:page;mso-height-relative:page;" fillcolor="#FFFFFF" filled="t" stroked="t" coordsize="21600,21600" o:gfxdata="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lfTElNgAAAAI&#10;AQAADwAAAAAAAAABACAAAAAiAAAAZHJzL2Rvd25yZXYueG1sUEsBAhQAFAAAAAgAh07iQPgFY9Qc&#10;AgAAXQQAAA4AAAAAAAAAAQAgAAAAJw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刨毛</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81792" behindDoc="0" locked="0" layoutInCell="1" allowOverlap="1">
                <wp:simplePos x="0" y="0"/>
                <wp:positionH relativeFrom="column">
                  <wp:posOffset>1432560</wp:posOffset>
                </wp:positionH>
                <wp:positionV relativeFrom="paragraph">
                  <wp:posOffset>147955</wp:posOffset>
                </wp:positionV>
                <wp:extent cx="312420" cy="0"/>
                <wp:effectExtent l="0" t="25400" r="11430" b="31750"/>
                <wp:wrapNone/>
                <wp:docPr id="97" name="直接连接符 97"/>
                <wp:cNvGraphicFramePr/>
                <a:graphic xmlns:a="http://schemas.openxmlformats.org/drawingml/2006/main">
                  <a:graphicData uri="http://schemas.microsoft.com/office/word/2010/wordprocessingShape">
                    <wps:wsp>
                      <wps:cNvCnPr/>
                      <wps:spPr>
                        <a:xfrm rot="10800000">
                          <a:off x="0" y="0"/>
                          <a:ext cx="31242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12.8pt;margin-top:11.65pt;height:0pt;width:24.6pt;rotation:11796480f;z-index:251681792;mso-width-relative:page;mso-height-relative:page;" filled="f" stroked="t" coordsize="21600,21600" o:gfxdata="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MFy5h2AAAAAkBAAAPAAAAAAAAAAEAIAAAACIA&#10;AABkcnMvZG93bnJldi54bWxQSwECFAAUAAAACACHTuJAv7VkPQkCAAD1AwAADgAAAAAAAAABACAA&#10;AAAnAQAAZHJzL2Uyb0RvYy54bWxQSwUGAAAAAAYABgBZAQAAo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07392" behindDoc="0" locked="0" layoutInCell="1" allowOverlap="1">
                <wp:simplePos x="0" y="0"/>
                <wp:positionH relativeFrom="column">
                  <wp:posOffset>934085</wp:posOffset>
                </wp:positionH>
                <wp:positionV relativeFrom="paragraph">
                  <wp:posOffset>19050</wp:posOffset>
                </wp:positionV>
                <wp:extent cx="513715" cy="256540"/>
                <wp:effectExtent l="4445" t="4445" r="15240" b="5715"/>
                <wp:wrapNone/>
                <wp:docPr id="131" name="文本框 131"/>
                <wp:cNvGraphicFramePr/>
                <a:graphic xmlns:a="http://schemas.openxmlformats.org/drawingml/2006/main">
                  <a:graphicData uri="http://schemas.microsoft.com/office/word/2010/wordprocessingShape">
                    <wps:wsp>
                      <wps:cNvSpPr txBox="1"/>
                      <wps:spPr>
                        <a:xfrm>
                          <a:off x="0" y="0"/>
                          <a:ext cx="51371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eastAsia="黑体"/>
                                <w:sz w:val="21"/>
                                <w:szCs w:val="21"/>
                                <w:lang w:eastAsia="zh-CN"/>
                              </w:rPr>
                            </w:pPr>
                            <w:r>
                              <w:rPr>
                                <w:rFonts w:hint="eastAsia"/>
                                <w:sz w:val="21"/>
                                <w:szCs w:val="21"/>
                              </w:rPr>
                              <w:t>修刮</w:t>
                            </w:r>
                          </w:p>
                        </w:txbxContent>
                      </wps:txbx>
                      <wps:bodyPr lIns="0" tIns="0" rIns="0" bIns="0" upright="1"/>
                    </wps:wsp>
                  </a:graphicData>
                </a:graphic>
              </wp:anchor>
            </w:drawing>
          </mc:Choice>
          <mc:Fallback>
            <w:pict>
              <v:shape id="_x0000_s1026" o:spid="_x0000_s1026" o:spt="202" type="#_x0000_t202" style="position:absolute;left:0pt;margin-left:73.55pt;margin-top:1.5pt;height:20.2pt;width:40.45pt;z-index:251707392;mso-width-relative:page;mso-height-relative:page;" fillcolor="#FFFFFF" filled="t" stroked="t" coordsize="21600,21600" o:gfxdata="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i52cb1wAAAAgB&#10;AAAPAAAAAAAAAAEAIAAAACIAAABkcnMvZG93bnJldi54bWxQSwECFAAUAAAACACHTuJA5ZhuEhwC&#10;AABdBAAADgAAAAAAAAABACAAAAAmAQAAZHJzL2Uyb0RvYy54bWxQSwUGAAAAAAYABgBZAQAAtAUA&#10;AAAA&#10;">
                <v:fill on="t" focussize="0,0"/>
                <v:stroke color="#000000" joinstyle="miter"/>
                <v:imagedata o:title=""/>
                <o:lock v:ext="edit" aspectratio="f"/>
                <v:textbox inset="0mm,0mm,0mm,0mm">
                  <w:txbxContent>
                    <w:p>
                      <w:pPr>
                        <w:pStyle w:val="15"/>
                        <w:snapToGrid w:val="0"/>
                        <w:spacing w:line="340" w:lineRule="exact"/>
                        <w:jc w:val="center"/>
                        <w:rPr>
                          <w:rFonts w:hint="eastAsia" w:eastAsia="黑体"/>
                          <w:sz w:val="21"/>
                          <w:szCs w:val="21"/>
                          <w:lang w:eastAsia="zh-CN"/>
                        </w:rPr>
                      </w:pPr>
                      <w:r>
                        <w:rPr>
                          <w:rFonts w:hint="eastAsia"/>
                          <w:sz w:val="21"/>
                          <w:szCs w:val="21"/>
                        </w:rPr>
                        <w:t>修刮</w:t>
                      </w:r>
                    </w:p>
                  </w:txbxContent>
                </v:textbox>
              </v:shape>
            </w:pict>
          </mc:Fallback>
        </mc:AlternateContent>
      </w:r>
    </w:p>
    <w:p>
      <w:pPr>
        <w:ind w:firstLine="400" w:firstLineChars="200"/>
        <w:rPr>
          <w:rFonts w:hint="default" w:ascii="Times New Roman" w:hAnsi="Times New Roman" w:cs="Times New Roman"/>
          <w:color w:val="auto"/>
        </w:rPr>
      </w:pPr>
      <w:r>
        <w:rPr>
          <w:rFonts w:hint="default" w:ascii="Times New Roman" w:hAnsi="Times New Roman" w:cs="Times New Roman"/>
          <w:color w:val="auto"/>
          <w:sz w:val="20"/>
        </w:rPr>
        <mc:AlternateContent>
          <mc:Choice Requires="wps">
            <w:drawing>
              <wp:anchor distT="0" distB="0" distL="114300" distR="114300" simplePos="0" relativeHeight="251751424" behindDoc="0" locked="0" layoutInCell="1" allowOverlap="1">
                <wp:simplePos x="0" y="0"/>
                <wp:positionH relativeFrom="column">
                  <wp:posOffset>2981325</wp:posOffset>
                </wp:positionH>
                <wp:positionV relativeFrom="paragraph">
                  <wp:posOffset>145415</wp:posOffset>
                </wp:positionV>
                <wp:extent cx="1270" cy="236855"/>
                <wp:effectExtent l="24765" t="0" r="31115" b="10795"/>
                <wp:wrapNone/>
                <wp:docPr id="115" name="直接连接符 115"/>
                <wp:cNvGraphicFramePr/>
                <a:graphic xmlns:a="http://schemas.openxmlformats.org/drawingml/2006/main">
                  <a:graphicData uri="http://schemas.microsoft.com/office/word/2010/wordprocessingShape">
                    <wps:wsp>
                      <wps:cNvCnPr/>
                      <wps:spPr>
                        <a:xfrm>
                          <a:off x="0" y="0"/>
                          <a:ext cx="1270" cy="236855"/>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34.75pt;margin-top:11.45pt;height:18.65pt;width:0.1pt;z-index:251751424;mso-width-relative:page;mso-height-relative:page;" filled="f" stroked="t" coordsize="21600,21600" o:gfxdata="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LJk9vWAAAACQEAAA8AAAAAAAAAAQAgAAAAIgAAAGRycy9k&#10;b3ducmV2LnhtbFBLAQIUABQAAAAIAIdO4kD514PnBAIAAOsDAAAOAAAAAAAAAAEAIAAAACUBAABk&#10;cnMvZTJvRG9jLnhtbFBLBQYAAAAABgAGAFkBAACb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49376" behindDoc="0" locked="0" layoutInCell="1" allowOverlap="1">
                <wp:simplePos x="0" y="0"/>
                <wp:positionH relativeFrom="column">
                  <wp:posOffset>2162175</wp:posOffset>
                </wp:positionH>
                <wp:positionV relativeFrom="paragraph">
                  <wp:posOffset>151130</wp:posOffset>
                </wp:positionV>
                <wp:extent cx="635" cy="238760"/>
                <wp:effectExtent l="25400" t="0" r="31115" b="8890"/>
                <wp:wrapNone/>
                <wp:docPr id="99" name="直接连接符 99"/>
                <wp:cNvGraphicFramePr/>
                <a:graphic xmlns:a="http://schemas.openxmlformats.org/drawingml/2006/main">
                  <a:graphicData uri="http://schemas.microsoft.com/office/word/2010/wordprocessingShape">
                    <wps:wsp>
                      <wps:cNvCnPr/>
                      <wps:spPr>
                        <a:xfrm>
                          <a:off x="0" y="0"/>
                          <a:ext cx="635" cy="23876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70.25pt;margin-top:11.9pt;height:18.8pt;width:0.05pt;z-index:251749376;mso-width-relative:page;mso-height-relative:page;" filled="f" stroked="t" coordsize="21600,21600" o:gfxdata="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C5X7qLVAAAACQEAAA8AAAAAAAAAAQAgAAAAIgAAAGRycy9kb3du&#10;cmV2LnhtbFBLAQIUABQAAAAIAIdO4kB7dQquAgIAAOgDAAAOAAAAAAAAAAEAIAAAACQBAABkcnMv&#10;ZTJvRG9jLnhtbFBLBQYAAAAABgAGAFkBAACY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50400" behindDoc="0" locked="0" layoutInCell="1" allowOverlap="1">
                <wp:simplePos x="0" y="0"/>
                <wp:positionH relativeFrom="column">
                  <wp:posOffset>1266825</wp:posOffset>
                </wp:positionH>
                <wp:positionV relativeFrom="paragraph">
                  <wp:posOffset>146050</wp:posOffset>
                </wp:positionV>
                <wp:extent cx="635" cy="224790"/>
                <wp:effectExtent l="25400" t="0" r="31115" b="3810"/>
                <wp:wrapNone/>
                <wp:docPr id="119" name="直接连接符 119"/>
                <wp:cNvGraphicFramePr/>
                <a:graphic xmlns:a="http://schemas.openxmlformats.org/drawingml/2006/main">
                  <a:graphicData uri="http://schemas.microsoft.com/office/word/2010/wordprocessingShape">
                    <wps:wsp>
                      <wps:cNvCnPr/>
                      <wps:spPr>
                        <a:xfrm>
                          <a:off x="0" y="0"/>
                          <a:ext cx="635" cy="22479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99.75pt;margin-top:11.5pt;height:17.7pt;width:0.05pt;z-index:251750400;mso-width-relative:page;mso-height-relative:page;" filled="f" stroked="t" coordsize="21600,21600" o:gfxdata="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AGgwwdYAAAAJAQAADwAAAAAAAAABACAAAAAiAAAAZHJzL2Rv&#10;d25yZXYueG1sUEsBAhQAFAAAAAgAh07iQCT3FC8DAgAA6gMAAA4AAAAAAAAAAQAgAAAAJQEAAGRy&#10;cy9lMm9Eb2MueG1sUEsFBgAAAAAGAAYAWQEAAJo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14560" behindDoc="0" locked="0" layoutInCell="1" allowOverlap="1">
                <wp:simplePos x="0" y="0"/>
                <wp:positionH relativeFrom="column">
                  <wp:posOffset>364490</wp:posOffset>
                </wp:positionH>
                <wp:positionV relativeFrom="paragraph">
                  <wp:posOffset>-6985</wp:posOffset>
                </wp:positionV>
                <wp:extent cx="2540" cy="733425"/>
                <wp:effectExtent l="23495" t="0" r="31115" b="9525"/>
                <wp:wrapNone/>
                <wp:docPr id="107" name="直接连接符 107"/>
                <wp:cNvGraphicFramePr/>
                <a:graphic xmlns:a="http://schemas.openxmlformats.org/drawingml/2006/main">
                  <a:graphicData uri="http://schemas.microsoft.com/office/word/2010/wordprocessingShape">
                    <wps:wsp>
                      <wps:cNvCnPr/>
                      <wps:spPr>
                        <a:xfrm>
                          <a:off x="0" y="0"/>
                          <a:ext cx="2540" cy="733425"/>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8.7pt;margin-top:-0.55pt;height:57.75pt;width:0.2pt;z-index:251714560;mso-width-relative:page;mso-height-relative:page;" filled="f" stroked="t" coordsize="21600,21600" o:gfxdata="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RUCdYtUAAAAIAQAADwAAAAAAAAABACAAAAAiAAAAZHJzL2Rvd25y&#10;ZXYueG1sUEsBAhQAFAAAAAgAh07iQOMkwBkBAgAA6w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80768" behindDoc="0" locked="0" layoutInCell="1" allowOverlap="1">
                <wp:simplePos x="0" y="0"/>
                <wp:positionH relativeFrom="column">
                  <wp:posOffset>2442210</wp:posOffset>
                </wp:positionH>
                <wp:positionV relativeFrom="paragraph">
                  <wp:posOffset>1905</wp:posOffset>
                </wp:positionV>
                <wp:extent cx="313055" cy="0"/>
                <wp:effectExtent l="0" t="25400" r="10795" b="31750"/>
                <wp:wrapNone/>
                <wp:docPr id="147" name="直接连接符 147"/>
                <wp:cNvGraphicFramePr/>
                <a:graphic xmlns:a="http://schemas.openxmlformats.org/drawingml/2006/main">
                  <a:graphicData uri="http://schemas.microsoft.com/office/word/2010/wordprocessingShape">
                    <wps:wsp>
                      <wps:cNvCnPr/>
                      <wps:spPr>
                        <a:xfrm rot="10800000">
                          <a:off x="0" y="0"/>
                          <a:ext cx="313055"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92.3pt;margin-top:0.15pt;height:0pt;width:24.65pt;rotation:11796480f;z-index:251680768;mso-width-relative:page;mso-height-relative:page;" filled="f" stroked="t" coordsize="21600,21600" o:gfxdata="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kV9PM1AAAAAUBAAAPAAAAAAAAAAEAIAAAACIAAABk&#10;cnMvZG93bnJldi54bWxQSwECFAAUAAAACACHTuJAqy3coQoCAAD3AwAADgAAAAAAAAABACAAAAAj&#10;AQAAZHJzL2Uyb0RvYy54bWxQSwUGAAAAAAYABgBZAQAAnw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73600" behindDoc="0" locked="0" layoutInCell="1" allowOverlap="1">
                <wp:simplePos x="0" y="0"/>
                <wp:positionH relativeFrom="column">
                  <wp:posOffset>3305175</wp:posOffset>
                </wp:positionH>
                <wp:positionV relativeFrom="paragraph">
                  <wp:posOffset>6985</wp:posOffset>
                </wp:positionV>
                <wp:extent cx="288290" cy="0"/>
                <wp:effectExtent l="0" t="25400" r="16510" b="31750"/>
                <wp:wrapNone/>
                <wp:docPr id="123" name="直接连接符 123"/>
                <wp:cNvGraphicFramePr/>
                <a:graphic xmlns:a="http://schemas.openxmlformats.org/drawingml/2006/main">
                  <a:graphicData uri="http://schemas.microsoft.com/office/word/2010/wordprocessingShape">
                    <wps:wsp>
                      <wps:cNvCnPr/>
                      <wps:spPr>
                        <a:xfrm rot="10800000">
                          <a:off x="0" y="0"/>
                          <a:ext cx="28829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60.25pt;margin-top:0.55pt;height:0pt;width:22.7pt;rotation:11796480f;z-index:251673600;mso-width-relative:page;mso-height-relative:page;" filled="f" stroked="t" coordsize="21600,21600" o:gfxdata="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xhgcI1QAAAAcBAAAPAAAAAAAAAAEAIAAAACIAAABk&#10;cnMvZG93bnJldi54bWxQSwECFAAUAAAACACHTuJAQp5F9wkCAAD3AwAADgAAAAAAAAABACAAAAAk&#10;AQAAZHJzL2Uyb0RvYy54bWxQSwUGAAAAAAYABgBZAQAAnw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82816" behindDoc="0" locked="0" layoutInCell="1" allowOverlap="1">
                <wp:simplePos x="0" y="0"/>
                <wp:positionH relativeFrom="column">
                  <wp:posOffset>4138930</wp:posOffset>
                </wp:positionH>
                <wp:positionV relativeFrom="paragraph">
                  <wp:posOffset>25400</wp:posOffset>
                </wp:positionV>
                <wp:extent cx="312420" cy="0"/>
                <wp:effectExtent l="0" t="25400" r="11430" b="31750"/>
                <wp:wrapNone/>
                <wp:docPr id="90" name="直接连接符 90"/>
                <wp:cNvGraphicFramePr/>
                <a:graphic xmlns:a="http://schemas.openxmlformats.org/drawingml/2006/main">
                  <a:graphicData uri="http://schemas.microsoft.com/office/word/2010/wordprocessingShape">
                    <wps:wsp>
                      <wps:cNvCnPr/>
                      <wps:spPr>
                        <a:xfrm rot="10800000">
                          <a:off x="0" y="0"/>
                          <a:ext cx="31242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25.9pt;margin-top:2pt;height:0pt;width:24.6pt;rotation:11796480f;z-index:251682816;mso-width-relative:page;mso-height-relative:page;" filled="f" stroked="t" coordsize="21600,21600" o:gfxdata="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&#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aZwGnWAAAABwEAAA8AAAAAAAAAAQAgAAAAIgAAAGRy&#10;cy9kb3ducmV2LnhtbFBLAQIUABQAAAAIAIdO4kAKpmRABwIAAPUDAAAOAAAAAAAAAAEAIAAAACUB&#10;AABkcnMvZTJvRG9jLnhtbFBLBQYAAAAABgAGAFkBAACeBQAAAAA=&#10;">
                <v:fill on="f" focussize="0,0"/>
                <v:stroke color="#000000" joinstyle="round" endarrow="classic" endarrowwidth="narrow" endarrowlength="long"/>
                <v:imagedata o:title=""/>
                <o:lock v:ext="edit" aspectratio="f"/>
              </v:line>
            </w:pict>
          </mc:Fallback>
        </mc:AlternateContent>
      </w:r>
    </w:p>
    <w:p>
      <w:pPr>
        <w:ind w:firstLine="400" w:firstLineChars="200"/>
        <w:rPr>
          <w:rFonts w:hint="default" w:ascii="Times New Roman" w:hAnsi="Times New Roman" w:cs="Times New Roman"/>
          <w:color w:val="auto"/>
        </w:rPr>
      </w:pPr>
      <w:r>
        <w:rPr>
          <w:rFonts w:hint="default" w:ascii="Times New Roman" w:hAnsi="Times New Roman" w:cs="Times New Roman"/>
          <w:color w:val="auto"/>
          <w:sz w:val="20"/>
        </w:rPr>
        <mc:AlternateContent>
          <mc:Choice Requires="wps">
            <w:drawing>
              <wp:anchor distT="0" distB="0" distL="114300" distR="114300" simplePos="0" relativeHeight="251752448" behindDoc="0" locked="0" layoutInCell="1" allowOverlap="1">
                <wp:simplePos x="0" y="0"/>
                <wp:positionH relativeFrom="column">
                  <wp:posOffset>3914775</wp:posOffset>
                </wp:positionH>
                <wp:positionV relativeFrom="paragraph">
                  <wp:posOffset>17145</wp:posOffset>
                </wp:positionV>
                <wp:extent cx="635" cy="200660"/>
                <wp:effectExtent l="25400" t="0" r="31115" b="8890"/>
                <wp:wrapNone/>
                <wp:docPr id="109" name="直接连接符 109"/>
                <wp:cNvGraphicFramePr/>
                <a:graphic xmlns:a="http://schemas.openxmlformats.org/drawingml/2006/main">
                  <a:graphicData uri="http://schemas.microsoft.com/office/word/2010/wordprocessingShape">
                    <wps:wsp>
                      <wps:cNvCnPr/>
                      <wps:spPr>
                        <a:xfrm>
                          <a:off x="0" y="0"/>
                          <a:ext cx="635" cy="20066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08.25pt;margin-top:1.35pt;height:15.8pt;width:0.05pt;z-index:251752448;mso-width-relative:page;mso-height-relative:page;" filled="f" stroked="t" coordsize="21600,21600" o:gfxdata="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A8rYvdQAAAAIAQAADwAAAAAAAAABACAAAAAiAAAAZHJzL2Rvd25y&#10;ZXYueG1sUEsBAhQAFAAAAAgAh07iQJN6Yo8CAgAA6gMAAA4AAAAAAAAAAQAgAAAAIw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78720" behindDoc="0" locked="0" layoutInCell="1" allowOverlap="1">
                <wp:simplePos x="0" y="0"/>
                <wp:positionH relativeFrom="column">
                  <wp:posOffset>876935</wp:posOffset>
                </wp:positionH>
                <wp:positionV relativeFrom="paragraph">
                  <wp:posOffset>99060</wp:posOffset>
                </wp:positionV>
                <wp:extent cx="799465" cy="231775"/>
                <wp:effectExtent l="0" t="0" r="0" b="0"/>
                <wp:wrapNone/>
                <wp:docPr id="151" name="文本框 151"/>
                <wp:cNvGraphicFramePr/>
                <a:graphic xmlns:a="http://schemas.openxmlformats.org/drawingml/2006/main">
                  <a:graphicData uri="http://schemas.microsoft.com/office/word/2010/wordprocessingShape">
                    <wps:wsp>
                      <wps:cNvSpPr txBox="1"/>
                      <wps:spPr>
                        <a:xfrm>
                          <a:off x="0" y="0"/>
                          <a:ext cx="799465" cy="231775"/>
                        </a:xfrm>
                        <a:prstGeom prst="rect">
                          <a:avLst/>
                        </a:prstGeom>
                        <a:noFill/>
                        <a:ln>
                          <a:noFill/>
                        </a:ln>
                      </wps:spPr>
                      <wps:txbx>
                        <w:txbxContent>
                          <w:p>
                            <w:pPr>
                              <w:pStyle w:val="15"/>
                              <w:snapToGrid w:val="0"/>
                              <w:jc w:val="center"/>
                              <w:rPr>
                                <w:rFonts w:hint="default" w:eastAsia="黑体"/>
                                <w:lang w:val="en-US" w:eastAsia="zh-CN"/>
                              </w:rPr>
                            </w:pPr>
                            <w:r>
                              <w:rPr>
                                <w:rFonts w:hint="eastAsia" w:hAnsi="宋体" w:cs="Arial"/>
                              </w:rPr>
                              <w:t>W</w:t>
                            </w:r>
                            <w:r>
                              <w:rPr>
                                <w:rFonts w:hint="eastAsia"/>
                                <w:b/>
                                <w:i/>
                                <w:vertAlign w:val="subscript"/>
                              </w:rPr>
                              <w:t>1-4</w:t>
                            </w:r>
                            <w:r>
                              <w:rPr>
                                <w:rFonts w:hint="eastAsia"/>
                                <w:b w:val="0"/>
                                <w:bCs/>
                                <w:i w:val="0"/>
                                <w:iCs/>
                                <w:vertAlign w:val="baseline"/>
                                <w:lang w:val="en-US" w:eastAsia="zh-CN"/>
                              </w:rPr>
                              <w:t>S</w:t>
                            </w:r>
                            <w:r>
                              <w:rPr>
                                <w:rFonts w:hint="eastAsia"/>
                                <w:b w:val="0"/>
                                <w:bCs/>
                                <w:i/>
                                <w:vertAlign w:val="subscript"/>
                                <w:lang w:val="en-US" w:eastAsia="zh-CN"/>
                              </w:rPr>
                              <w:t>1</w:t>
                            </w:r>
                            <w:r>
                              <w:rPr>
                                <w:rFonts w:hint="eastAsia"/>
                                <w:b/>
                                <w:i/>
                                <w:vertAlign w:val="subscript"/>
                                <w:lang w:val="en-US" w:eastAsia="zh-CN"/>
                              </w:rPr>
                              <w:t>-2</w:t>
                            </w:r>
                          </w:p>
                        </w:txbxContent>
                      </wps:txbx>
                      <wps:bodyPr lIns="0" tIns="0" rIns="0" bIns="0" upright="1"/>
                    </wps:wsp>
                  </a:graphicData>
                </a:graphic>
              </wp:anchor>
            </w:drawing>
          </mc:Choice>
          <mc:Fallback>
            <w:pict>
              <v:shape id="_x0000_s1026" o:spid="_x0000_s1026" o:spt="202" type="#_x0000_t202" style="position:absolute;left:0pt;margin-left:69.05pt;margin-top:7.8pt;height:18.25pt;width:62.95pt;z-index:251678720;mso-width-relative:page;mso-height-relative:page;" filled="f" stroked="f" coordsize="21600,21600" o:gfxdata="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SoAla1wAAAAkBAAAPAAAAAAAAAAEAIAAAACIAAABkcnMvZG93bnJldi54bWxQSwEC&#10;FAAUAAAACACHTuJAIIvs7LwBAAB1AwAADgAAAAAAAAABACAAAAAmAQAAZHJzL2Uyb0RvYy54bWxQ&#10;SwUGAAAAAAYABgBZAQAAVAUAAAAA&#10;">
                <v:fill on="f" focussize="0,0"/>
                <v:stroke on="f"/>
                <v:imagedata o:title=""/>
                <o:lock v:ext="edit" aspectratio="f"/>
                <v:textbox inset="0mm,0mm,0mm,0mm">
                  <w:txbxContent>
                    <w:p>
                      <w:pPr>
                        <w:pStyle w:val="15"/>
                        <w:snapToGrid w:val="0"/>
                        <w:jc w:val="center"/>
                        <w:rPr>
                          <w:rFonts w:hint="default" w:eastAsia="黑体"/>
                          <w:lang w:val="en-US" w:eastAsia="zh-CN"/>
                        </w:rPr>
                      </w:pPr>
                      <w:r>
                        <w:rPr>
                          <w:rFonts w:hint="eastAsia" w:hAnsi="宋体" w:cs="Arial"/>
                        </w:rPr>
                        <w:t>W</w:t>
                      </w:r>
                      <w:r>
                        <w:rPr>
                          <w:rFonts w:hint="eastAsia"/>
                          <w:b/>
                          <w:i/>
                          <w:vertAlign w:val="subscript"/>
                        </w:rPr>
                        <w:t>1-4</w:t>
                      </w:r>
                      <w:r>
                        <w:rPr>
                          <w:rFonts w:hint="eastAsia"/>
                          <w:b w:val="0"/>
                          <w:bCs/>
                          <w:i w:val="0"/>
                          <w:iCs/>
                          <w:vertAlign w:val="baseline"/>
                          <w:lang w:val="en-US" w:eastAsia="zh-CN"/>
                        </w:rPr>
                        <w:t>S</w:t>
                      </w:r>
                      <w:r>
                        <w:rPr>
                          <w:rFonts w:hint="eastAsia"/>
                          <w:b w:val="0"/>
                          <w:bCs/>
                          <w:i/>
                          <w:vertAlign w:val="subscript"/>
                          <w:lang w:val="en-US" w:eastAsia="zh-CN"/>
                        </w:rPr>
                        <w:t>1</w:t>
                      </w:r>
                      <w:r>
                        <w:rPr>
                          <w:rFonts w:hint="eastAsia"/>
                          <w:b/>
                          <w:i/>
                          <w:vertAlign w:val="subscript"/>
                          <w:lang w:val="en-US" w:eastAsia="zh-CN"/>
                        </w:rPr>
                        <w:t>-2</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76672" behindDoc="0" locked="0" layoutInCell="1" allowOverlap="1">
                <wp:simplePos x="0" y="0"/>
                <wp:positionH relativeFrom="column">
                  <wp:posOffset>1971675</wp:posOffset>
                </wp:positionH>
                <wp:positionV relativeFrom="paragraph">
                  <wp:posOffset>108585</wp:posOffset>
                </wp:positionV>
                <wp:extent cx="371475" cy="288925"/>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371475" cy="288925"/>
                        </a:xfrm>
                        <a:prstGeom prst="rect">
                          <a:avLst/>
                        </a:prstGeom>
                        <a:noFill/>
                        <a:ln>
                          <a:noFill/>
                        </a:ln>
                      </wps:spPr>
                      <wps:txbx>
                        <w:txbxContent>
                          <w:p>
                            <w:pPr>
                              <w:pStyle w:val="15"/>
                              <w:snapToGrid w:val="0"/>
                              <w:jc w:val="center"/>
                              <w:rPr>
                                <w:rFonts w:hint="eastAsia"/>
                              </w:rPr>
                            </w:pPr>
                            <w:r>
                              <w:rPr>
                                <w:rFonts w:hint="eastAsia" w:hAnsi="宋体" w:cs="Arial"/>
                              </w:rPr>
                              <w:t>G</w:t>
                            </w:r>
                            <w:r>
                              <w:rPr>
                                <w:rFonts w:hint="eastAsia"/>
                                <w:b/>
                                <w:i/>
                                <w:vertAlign w:val="subscript"/>
                              </w:rPr>
                              <w:t>1-2</w:t>
                            </w:r>
                          </w:p>
                        </w:txbxContent>
                      </wps:txbx>
                      <wps:bodyPr lIns="0" tIns="0" rIns="0" bIns="0" upright="1"/>
                    </wps:wsp>
                  </a:graphicData>
                </a:graphic>
              </wp:anchor>
            </w:drawing>
          </mc:Choice>
          <mc:Fallback>
            <w:pict>
              <v:shape id="_x0000_s1026" o:spid="_x0000_s1026" o:spt="202" type="#_x0000_t202" style="position:absolute;left:0pt;margin-left:155.25pt;margin-top:8.55pt;height:22.75pt;width:29.25pt;z-index:251676672;mso-width-relative:page;mso-height-relative:page;" filled="f" stroked="f" coordsize="21600,21600" o:gfxdata="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mMYJC1wAAAAkBAAAPAAAAAAAAAAEAIAAAACIAAABkcnMvZG93bnJldi54bWxQSwEC&#10;FAAUAAAACACHTuJA8eYnz7wBAAB1AwAADgAAAAAAAAABACAAAAAmAQAAZHJzL2Uyb0RvYy54bWxQ&#10;SwUGAAAAAAYABgBZAQAAVAUAAAAA&#10;">
                <v:fill on="f" focussize="0,0"/>
                <v:stroke on="f"/>
                <v:imagedata o:title=""/>
                <o:lock v:ext="edit" aspectratio="f"/>
                <v:textbox inset="0mm,0mm,0mm,0mm">
                  <w:txbxContent>
                    <w:p>
                      <w:pPr>
                        <w:pStyle w:val="15"/>
                        <w:snapToGrid w:val="0"/>
                        <w:jc w:val="center"/>
                        <w:rPr>
                          <w:rFonts w:hint="eastAsia"/>
                        </w:rPr>
                      </w:pPr>
                      <w:r>
                        <w:rPr>
                          <w:rFonts w:hint="eastAsia" w:hAnsi="宋体" w:cs="Arial"/>
                        </w:rPr>
                        <w:t>G</w:t>
                      </w:r>
                      <w:r>
                        <w:rPr>
                          <w:rFonts w:hint="eastAsia"/>
                          <w:b/>
                          <w:i/>
                          <w:vertAlign w:val="subscript"/>
                        </w:rPr>
                        <w:t>1-2</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72576" behindDoc="0" locked="0" layoutInCell="1" allowOverlap="1">
                <wp:simplePos x="0" y="0"/>
                <wp:positionH relativeFrom="column">
                  <wp:posOffset>3676650</wp:posOffset>
                </wp:positionH>
                <wp:positionV relativeFrom="paragraph">
                  <wp:posOffset>98425</wp:posOffset>
                </wp:positionV>
                <wp:extent cx="466725" cy="260985"/>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466725" cy="260985"/>
                        </a:xfrm>
                        <a:prstGeom prst="rect">
                          <a:avLst/>
                        </a:prstGeom>
                        <a:noFill/>
                        <a:ln>
                          <a:noFill/>
                        </a:ln>
                      </wps:spPr>
                      <wps:txbx>
                        <w:txbxContent>
                          <w:p>
                            <w:pPr>
                              <w:pStyle w:val="15"/>
                              <w:snapToGrid w:val="0"/>
                              <w:jc w:val="center"/>
                              <w:rPr>
                                <w:rFonts w:hint="eastAsia"/>
                              </w:rPr>
                            </w:pPr>
                            <w:r>
                              <w:rPr>
                                <w:rFonts w:hint="eastAsia"/>
                              </w:rPr>
                              <w:t>W</w:t>
                            </w:r>
                            <w:r>
                              <w:rPr>
                                <w:rFonts w:hint="eastAsia"/>
                                <w:b/>
                                <w:i/>
                                <w:vertAlign w:val="subscript"/>
                              </w:rPr>
                              <w:t>1-5</w:t>
                            </w:r>
                          </w:p>
                        </w:txbxContent>
                      </wps:txbx>
                      <wps:bodyPr lIns="0" tIns="0" rIns="0" bIns="0" upright="1"/>
                    </wps:wsp>
                  </a:graphicData>
                </a:graphic>
              </wp:anchor>
            </w:drawing>
          </mc:Choice>
          <mc:Fallback>
            <w:pict>
              <v:shape id="_x0000_s1026" o:spid="_x0000_s1026" o:spt="202" type="#_x0000_t202" style="position:absolute;left:0pt;margin-left:289.5pt;margin-top:7.75pt;height:20.55pt;width:36.75pt;z-index:251672576;mso-width-relative:page;mso-height-relative:page;" filled="f" stroked="f" coordsize="21600,21600" o:gfxdata="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Ocby31wAAAAkBAAAPAAAAAAAAAAEAIAAAACIAAABkcnMvZG93bnJldi54bWxQSwEC&#10;FAAUAAAACACHTuJAtenOvrwBAAB1AwAADgAAAAAAAAABACAAAAAmAQAAZHJzL2Uyb0RvYy54bWxQ&#10;SwUGAAAAAAYABgBZAQAAVAUAAAAA&#10;">
                <v:fill on="f" focussize="0,0"/>
                <v:stroke on="f"/>
                <v:imagedata o:title=""/>
                <o:lock v:ext="edit" aspectratio="f"/>
                <v:textbox inset="0mm,0mm,0mm,0mm">
                  <w:txbxContent>
                    <w:p>
                      <w:pPr>
                        <w:pStyle w:val="15"/>
                        <w:snapToGrid w:val="0"/>
                        <w:jc w:val="center"/>
                        <w:rPr>
                          <w:rFonts w:hint="eastAsia"/>
                        </w:rPr>
                      </w:pPr>
                      <w:r>
                        <w:rPr>
                          <w:rFonts w:hint="eastAsia"/>
                        </w:rPr>
                        <w:t>W</w:t>
                      </w:r>
                      <w:r>
                        <w:rPr>
                          <w:rFonts w:hint="eastAsia"/>
                          <w:b/>
                          <w:i/>
                          <w:vertAlign w:val="subscript"/>
                        </w:rPr>
                        <w:t>1-5</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86912" behindDoc="0" locked="0" layoutInCell="1" allowOverlap="1">
                <wp:simplePos x="0" y="0"/>
                <wp:positionH relativeFrom="column">
                  <wp:posOffset>2657475</wp:posOffset>
                </wp:positionH>
                <wp:positionV relativeFrom="paragraph">
                  <wp:posOffset>99060</wp:posOffset>
                </wp:positionV>
                <wp:extent cx="800100" cy="260350"/>
                <wp:effectExtent l="0" t="0" r="0" b="0"/>
                <wp:wrapNone/>
                <wp:docPr id="143" name="文本框 143"/>
                <wp:cNvGraphicFramePr/>
                <a:graphic xmlns:a="http://schemas.openxmlformats.org/drawingml/2006/main">
                  <a:graphicData uri="http://schemas.microsoft.com/office/word/2010/wordprocessingShape">
                    <wps:wsp>
                      <wps:cNvSpPr txBox="1"/>
                      <wps:spPr>
                        <a:xfrm>
                          <a:off x="0" y="0"/>
                          <a:ext cx="800100" cy="260350"/>
                        </a:xfrm>
                        <a:prstGeom prst="rect">
                          <a:avLst/>
                        </a:prstGeom>
                        <a:noFill/>
                        <a:ln>
                          <a:noFill/>
                        </a:ln>
                      </wps:spPr>
                      <wps:txbx>
                        <w:txbxContent>
                          <w:p>
                            <w:pPr>
                              <w:pStyle w:val="15"/>
                              <w:snapToGrid w:val="0"/>
                              <w:jc w:val="center"/>
                              <w:rPr>
                                <w:rFonts w:hint="eastAsia"/>
                              </w:rPr>
                            </w:pPr>
                            <w:r>
                              <w:rPr>
                                <w:rFonts w:hint="eastAsia" w:hAnsi="宋体" w:cs="Arial"/>
                              </w:rPr>
                              <w:t>S</w:t>
                            </w:r>
                            <w:r>
                              <w:rPr>
                                <w:rFonts w:hint="eastAsia"/>
                                <w:b/>
                                <w:i/>
                                <w:vertAlign w:val="subscript"/>
                              </w:rPr>
                              <w:t>1-</w:t>
                            </w:r>
                            <w:r>
                              <w:rPr>
                                <w:rFonts w:hint="eastAsia"/>
                                <w:b/>
                                <w:i/>
                                <w:vertAlign w:val="subscript"/>
                                <w:lang w:val="en-US" w:eastAsia="zh-CN"/>
                              </w:rPr>
                              <w:t>2</w:t>
                            </w:r>
                            <w:r>
                              <w:rPr>
                                <w:rFonts w:hint="eastAsia" w:hAnsi="宋体" w:cs="Arial"/>
                              </w:rPr>
                              <w:t>W</w:t>
                            </w:r>
                            <w:r>
                              <w:rPr>
                                <w:rFonts w:hint="eastAsia"/>
                                <w:b/>
                                <w:i/>
                                <w:vertAlign w:val="subscript"/>
                              </w:rPr>
                              <w:t>1-3</w:t>
                            </w:r>
                          </w:p>
                        </w:txbxContent>
                      </wps:txbx>
                      <wps:bodyPr lIns="0" tIns="0" rIns="0" bIns="0" upright="1"/>
                    </wps:wsp>
                  </a:graphicData>
                </a:graphic>
              </wp:anchor>
            </w:drawing>
          </mc:Choice>
          <mc:Fallback>
            <w:pict>
              <v:shape id="_x0000_s1026" o:spid="_x0000_s1026" o:spt="202" type="#_x0000_t202" style="position:absolute;left:0pt;margin-left:209.25pt;margin-top:7.8pt;height:20.5pt;width:63pt;z-index:251686912;mso-width-relative:page;mso-height-relative:page;" filled="f" stroked="f" coordsize="21600,21600" o:gfxdata="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Cpd5WLXAAAACQEAAA8AAAAAAAAAAQAgAAAAIgAAAGRycy9kb3ducmV2LnhtbFBLAQIU&#10;ABQAAAAIAIdO4kBIt+OEuwEAAHUDAAAOAAAAAAAAAAEAIAAAACYBAABkcnMvZTJvRG9jLnhtbFBL&#10;BQYAAAAABgAGAFkBAABTBQAAAAA=&#10;">
                <v:fill on="f" focussize="0,0"/>
                <v:stroke on="f"/>
                <v:imagedata o:title=""/>
                <o:lock v:ext="edit" aspectratio="f"/>
                <v:textbox inset="0mm,0mm,0mm,0mm">
                  <w:txbxContent>
                    <w:p>
                      <w:pPr>
                        <w:pStyle w:val="15"/>
                        <w:snapToGrid w:val="0"/>
                        <w:jc w:val="center"/>
                        <w:rPr>
                          <w:rFonts w:hint="eastAsia"/>
                        </w:rPr>
                      </w:pPr>
                      <w:r>
                        <w:rPr>
                          <w:rFonts w:hint="eastAsia" w:hAnsi="宋体" w:cs="Arial"/>
                        </w:rPr>
                        <w:t>S</w:t>
                      </w:r>
                      <w:r>
                        <w:rPr>
                          <w:rFonts w:hint="eastAsia"/>
                          <w:b/>
                          <w:i/>
                          <w:vertAlign w:val="subscript"/>
                        </w:rPr>
                        <w:t>1-</w:t>
                      </w:r>
                      <w:r>
                        <w:rPr>
                          <w:rFonts w:hint="eastAsia"/>
                          <w:b/>
                          <w:i/>
                          <w:vertAlign w:val="subscript"/>
                          <w:lang w:val="en-US" w:eastAsia="zh-CN"/>
                        </w:rPr>
                        <w:t>2</w:t>
                      </w:r>
                      <w:r>
                        <w:rPr>
                          <w:rFonts w:hint="eastAsia" w:hAnsi="宋体" w:cs="Arial"/>
                        </w:rPr>
                        <w:t>W</w:t>
                      </w:r>
                      <w:r>
                        <w:rPr>
                          <w:rFonts w:hint="eastAsia"/>
                          <w:b/>
                          <w:i/>
                          <w:vertAlign w:val="subscript"/>
                        </w:rPr>
                        <w:t>1-3</w:t>
                      </w:r>
                    </w:p>
                  </w:txbxContent>
                </v:textbox>
              </v:shape>
            </w:pict>
          </mc:Fallback>
        </mc:AlternateContent>
      </w:r>
    </w:p>
    <w:p>
      <w:pPr>
        <w:ind w:firstLine="420" w:firstLineChars="200"/>
        <w:rPr>
          <w:rFonts w:hint="default" w:ascii="Times New Roman" w:hAnsi="Times New Roman" w:cs="Times New Roman"/>
          <w:color w:val="auto"/>
        </w:rPr>
      </w:pPr>
    </w:p>
    <w:p>
      <w:pPr>
        <w:jc w:val="center"/>
        <w:rPr>
          <w:rFonts w:hint="default" w:ascii="Times New Roman" w:hAnsi="Times New Roman" w:cs="Times New Roman"/>
          <w:color w:val="auto"/>
        </w:rPr>
      </w:pPr>
      <w:r>
        <w:rPr>
          <w:rFonts w:hint="default" w:ascii="Times New Roman" w:hAnsi="Times New Roman" w:cs="Times New Roman"/>
          <w:color w:val="auto"/>
          <w:sz w:val="20"/>
        </w:rPr>
        <mc:AlternateContent>
          <mc:Choice Requires="wps">
            <w:drawing>
              <wp:anchor distT="0" distB="0" distL="114300" distR="114300" simplePos="0" relativeHeight="251713536" behindDoc="0" locked="0" layoutInCell="1" allowOverlap="1">
                <wp:simplePos x="0" y="0"/>
                <wp:positionH relativeFrom="column">
                  <wp:posOffset>5460365</wp:posOffset>
                </wp:positionH>
                <wp:positionV relativeFrom="paragraph">
                  <wp:posOffset>1257300</wp:posOffset>
                </wp:positionV>
                <wp:extent cx="6985" cy="311785"/>
                <wp:effectExtent l="20955" t="0" r="29210" b="12065"/>
                <wp:wrapNone/>
                <wp:docPr id="153" name="直接连接符 153"/>
                <wp:cNvGraphicFramePr/>
                <a:graphic xmlns:a="http://schemas.openxmlformats.org/drawingml/2006/main">
                  <a:graphicData uri="http://schemas.microsoft.com/office/word/2010/wordprocessingShape">
                    <wps:wsp>
                      <wps:cNvCnPr/>
                      <wps:spPr>
                        <a:xfrm>
                          <a:off x="0" y="0"/>
                          <a:ext cx="6985" cy="311785"/>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429.95pt;margin-top:99pt;height:24.55pt;width:0.55pt;z-index:251713536;mso-width-relative:page;mso-height-relative:page;" filled="f" stroked="t" coordsize="21600,21600" o:gfxdata="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7poPNgAAAALAQAADwAAAAAAAAABACAAAAAiAAAAZHJzL2Rv&#10;d25yZXYueG1sUEsBAhQAFAAAAAgAh07iQBhPk40BAgAA6wMAAA4AAAAAAAAAAQAgAAAAJwEAAGRy&#10;cy9lMm9Eb2MueG1sUEsFBgAAAAAGAAYAWQEAAJoFAAAAAA==&#10;">
                <v:fill on="f" focussize="0,0"/>
                <v:stroke color="#000000" joinstyle="round" endarrow="classic" endarrowwidth="narrow" endarrowlength="long"/>
                <v:imagedata o:title=""/>
                <o:lock v:ext="edit" aspectratio="f"/>
              </v:line>
            </w:pict>
          </mc:Fallback>
        </mc:AlternateContent>
      </w:r>
    </w:p>
    <w:p>
      <w:pPr>
        <w:ind w:firstLine="400" w:firstLineChars="200"/>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719680" behindDoc="0" locked="0" layoutInCell="1" allowOverlap="1">
                <wp:simplePos x="0" y="0"/>
                <wp:positionH relativeFrom="column">
                  <wp:posOffset>1506855</wp:posOffset>
                </wp:positionH>
                <wp:positionV relativeFrom="paragraph">
                  <wp:posOffset>231775</wp:posOffset>
                </wp:positionV>
                <wp:extent cx="323850" cy="0"/>
                <wp:effectExtent l="0" t="25400" r="0" b="31750"/>
                <wp:wrapNone/>
                <wp:docPr id="155" name="直接连接符 155"/>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18.65pt;margin-top:18.25pt;height:0pt;width:25.5pt;z-index:251719680;mso-width-relative:page;mso-height-relative:page;" filled="f" stroked="t" coordsize="21600,21600" o:gfxdata="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OIPSN1QAAAAkBAAAPAAAAAAAAAAEAIAAAACIAAABkcnMvZG93bnJl&#10;di54bWxQSwECFAAUAAAACACHTuJAoO+XygACAADoAwAADgAAAAAAAAABACAAAAAk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53472" behindDoc="0" locked="0" layoutInCell="1" allowOverlap="1">
                <wp:simplePos x="0" y="0"/>
                <wp:positionH relativeFrom="column">
                  <wp:posOffset>447675</wp:posOffset>
                </wp:positionH>
                <wp:positionV relativeFrom="paragraph">
                  <wp:posOffset>344805</wp:posOffset>
                </wp:positionV>
                <wp:extent cx="0" cy="297180"/>
                <wp:effectExtent l="25400" t="0" r="31750" b="7620"/>
                <wp:wrapNone/>
                <wp:docPr id="157" name="直接连接符 157"/>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5.25pt;margin-top:27.15pt;height:23.4pt;width:0pt;z-index:251753472;mso-width-relative:page;mso-height-relative:page;" filled="f" stroked="t" coordsize="21600,21600" o:gfxdata="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CNdnzTAAAACAEAAA8AAAAAAAAAAQAgAAAAIgAAAGRycy9kb3ducmV2&#10;LnhtbFBLAQIUABQAAAAIAIdO4kC1xe9aAQIAAOgDAAAOAAAAAAAAAAEAIAAAACIBAABkcnMvZTJv&#10;RG9jLnhtbFBLBQYAAAAABgAGAFkBAACV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60640" behindDoc="0" locked="0" layoutInCell="1" allowOverlap="1">
                <wp:simplePos x="0" y="0"/>
                <wp:positionH relativeFrom="column">
                  <wp:posOffset>1019175</wp:posOffset>
                </wp:positionH>
                <wp:positionV relativeFrom="paragraph">
                  <wp:posOffset>561975</wp:posOffset>
                </wp:positionV>
                <wp:extent cx="466725" cy="251460"/>
                <wp:effectExtent l="0" t="0" r="0" b="0"/>
                <wp:wrapNone/>
                <wp:docPr id="173" name="文本框 173"/>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rPr>
                            </w:pPr>
                            <w:r>
                              <w:rPr>
                                <w:rFonts w:hint="eastAsia"/>
                              </w:rPr>
                              <w:t>W</w:t>
                            </w:r>
                            <w:r>
                              <w:rPr>
                                <w:rFonts w:hint="eastAsia"/>
                                <w:b/>
                                <w:i/>
                                <w:vertAlign w:val="subscript"/>
                              </w:rPr>
                              <w:t>1-7</w:t>
                            </w:r>
                          </w:p>
                        </w:txbxContent>
                      </wps:txbx>
                      <wps:bodyPr lIns="0" tIns="0" rIns="0" bIns="0" upright="1"/>
                    </wps:wsp>
                  </a:graphicData>
                </a:graphic>
              </wp:anchor>
            </w:drawing>
          </mc:Choice>
          <mc:Fallback>
            <w:pict>
              <v:shape id="_x0000_s1026" o:spid="_x0000_s1026" o:spt="202" type="#_x0000_t202" style="position:absolute;left:0pt;margin-left:80.25pt;margin-top:44.25pt;height:19.8pt;width:36.75pt;z-index:251760640;mso-width-relative:page;mso-height-relative:page;" filled="f" stroked="f" coordsize="21600,21600" o:gfxdata="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Wpif89cAAAAKAQAADwAAAAAAAAABACAAAAAiAAAAZHJzL2Rvd25yZXYueG1sUEsB&#10;AhQAFAAAAAgAh07iQAAM4im9AQAAdQMAAA4AAAAAAAAAAQAgAAAAJgEAAGRycy9lMm9Eb2MueG1s&#10;UEsFBgAAAAAGAAYAWQEAAFUFAAAAAA==&#10;">
                <v:fill on="f" focussize="0,0"/>
                <v:stroke on="f"/>
                <v:imagedata o:title=""/>
                <o:lock v:ext="edit" aspectratio="f"/>
                <v:textbox inset="0mm,0mm,0mm,0mm">
                  <w:txbxContent>
                    <w:p>
                      <w:pPr>
                        <w:pStyle w:val="15"/>
                        <w:snapToGrid w:val="0"/>
                        <w:jc w:val="center"/>
                        <w:rPr>
                          <w:rFonts w:hint="eastAsia"/>
                        </w:rPr>
                      </w:pPr>
                      <w:r>
                        <w:rPr>
                          <w:rFonts w:hint="eastAsia"/>
                        </w:rPr>
                        <w:t>W</w:t>
                      </w:r>
                      <w:r>
                        <w:rPr>
                          <w:rFonts w:hint="eastAsia"/>
                          <w:b/>
                          <w:i/>
                          <w:vertAlign w:val="subscript"/>
                        </w:rPr>
                        <w:t>1-7</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61664" behindDoc="0" locked="0" layoutInCell="1" allowOverlap="1">
                <wp:simplePos x="0" y="0"/>
                <wp:positionH relativeFrom="column">
                  <wp:posOffset>180975</wp:posOffset>
                </wp:positionH>
                <wp:positionV relativeFrom="paragraph">
                  <wp:posOffset>548640</wp:posOffset>
                </wp:positionV>
                <wp:extent cx="466725" cy="251460"/>
                <wp:effectExtent l="0" t="0" r="0" b="0"/>
                <wp:wrapNone/>
                <wp:docPr id="175" name="文本框 175"/>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rPr>
                            </w:pPr>
                            <w:r>
                              <w:rPr>
                                <w:rFonts w:hint="eastAsia"/>
                              </w:rPr>
                              <w:t>W</w:t>
                            </w:r>
                            <w:r>
                              <w:rPr>
                                <w:rFonts w:hint="eastAsia"/>
                                <w:b/>
                                <w:i/>
                                <w:vertAlign w:val="subscript"/>
                              </w:rPr>
                              <w:t>1-6</w:t>
                            </w:r>
                          </w:p>
                        </w:txbxContent>
                      </wps:txbx>
                      <wps:bodyPr lIns="0" tIns="0" rIns="0" bIns="0" upright="1"/>
                    </wps:wsp>
                  </a:graphicData>
                </a:graphic>
              </wp:anchor>
            </w:drawing>
          </mc:Choice>
          <mc:Fallback>
            <w:pict>
              <v:shape id="_x0000_s1026" o:spid="_x0000_s1026" o:spt="202" type="#_x0000_t202" style="position:absolute;left:0pt;margin-left:14.25pt;margin-top:43.2pt;height:19.8pt;width:36.75pt;z-index:251761664;mso-width-relative:page;mso-height-relative:page;" filled="f" stroked="f" coordsize="21600,21600" o:gfxdata="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e0FAE1wAAAAkBAAAPAAAAAAAAAAEAIAAAACIAAABkcnMvZG93bnJldi54bWxQSwEC&#10;FAAUAAAACACHTuJAm944Q7wBAAB1AwAADgAAAAAAAAABACAAAAAmAQAAZHJzL2Uyb0RvYy54bWxQ&#10;SwUGAAAAAAYABgBZAQAAVAUAAAAA&#10;">
                <v:fill on="f" focussize="0,0"/>
                <v:stroke on="f"/>
                <v:imagedata o:title=""/>
                <o:lock v:ext="edit" aspectratio="f"/>
                <v:textbox inset="0mm,0mm,0mm,0mm">
                  <w:txbxContent>
                    <w:p>
                      <w:pPr>
                        <w:pStyle w:val="15"/>
                        <w:snapToGrid w:val="0"/>
                        <w:jc w:val="center"/>
                        <w:rPr>
                          <w:rFonts w:hint="eastAsia"/>
                        </w:rPr>
                      </w:pPr>
                      <w:r>
                        <w:rPr>
                          <w:rFonts w:hint="eastAsia"/>
                        </w:rPr>
                        <w:t>W</w:t>
                      </w:r>
                      <w:r>
                        <w:rPr>
                          <w:rFonts w:hint="eastAsia"/>
                          <w:b/>
                          <w:i/>
                          <w:vertAlign w:val="subscript"/>
                        </w:rPr>
                        <w:t>1-6</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58592" behindDoc="0" locked="0" layoutInCell="1" allowOverlap="1">
                <wp:simplePos x="0" y="0"/>
                <wp:positionH relativeFrom="column">
                  <wp:posOffset>2733675</wp:posOffset>
                </wp:positionH>
                <wp:positionV relativeFrom="paragraph">
                  <wp:posOffset>363855</wp:posOffset>
                </wp:positionV>
                <wp:extent cx="0" cy="297180"/>
                <wp:effectExtent l="25400" t="0" r="31750" b="7620"/>
                <wp:wrapNone/>
                <wp:docPr id="165" name="直接连接符 165"/>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15.25pt;margin-top:28.65pt;height:23.4pt;width:0pt;z-index:251758592;mso-width-relative:page;mso-height-relative:page;" filled="f" stroked="t" coordsize="21600,21600" o:gfxdata="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HzM+zVAAAACgEAAA8AAAAAAAAAAQAgAAAAIgAAAGRycy9kb3ducmV2&#10;LnhtbFBLAQIUABQAAAAIAIdO4kBUxP9b/wEAAOgDAAAOAAAAAAAAAAEAIAAAACQBAABkcnMvZTJv&#10;RG9jLnhtbFBLBQYAAAAABgAGAFkBAACV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54496" behindDoc="0" locked="0" layoutInCell="1" allowOverlap="1">
                <wp:simplePos x="0" y="0"/>
                <wp:positionH relativeFrom="column">
                  <wp:posOffset>1266825</wp:posOffset>
                </wp:positionH>
                <wp:positionV relativeFrom="paragraph">
                  <wp:posOffset>354330</wp:posOffset>
                </wp:positionV>
                <wp:extent cx="0" cy="297180"/>
                <wp:effectExtent l="25400" t="0" r="31750" b="7620"/>
                <wp:wrapNone/>
                <wp:docPr id="177" name="直接连接符 177"/>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99.75pt;margin-top:27.9pt;height:23.4pt;width:0pt;z-index:251754496;mso-width-relative:page;mso-height-relative:page;" filled="f" stroked="t" coordsize="21600,21600" o:gfxdata="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01BUD9UAAAAKAQAADwAAAAAAAAABACAAAAAiAAAAZHJzL2Rvd25y&#10;ZXYueG1sUEsBAhQAFAAAAAgAh07iQBjTqpw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57568" behindDoc="0" locked="0" layoutInCell="1" allowOverlap="1">
                <wp:simplePos x="0" y="0"/>
                <wp:positionH relativeFrom="column">
                  <wp:posOffset>3867150</wp:posOffset>
                </wp:positionH>
                <wp:positionV relativeFrom="paragraph">
                  <wp:posOffset>344805</wp:posOffset>
                </wp:positionV>
                <wp:extent cx="0" cy="297180"/>
                <wp:effectExtent l="25400" t="0" r="31750" b="7620"/>
                <wp:wrapNone/>
                <wp:docPr id="179" name="直接连接符 179"/>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04.5pt;margin-top:27.15pt;height:23.4pt;width:0pt;z-index:251757568;mso-width-relative:page;mso-height-relative:page;" filled="f" stroked="t" coordsize="21600,21600" o:gfxdata="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nc5UrtUAAAAKAQAADwAAAAAAAAABACAAAAAiAAAAZHJzL2Rvd25y&#10;ZXYueG1sUEsBAhQAFAAAAAgAh07iQP+Itro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rPr>
        <mc:AlternateContent>
          <mc:Choice Requires="wps">
            <w:drawing>
              <wp:anchor distT="0" distB="0" distL="114300" distR="114300" simplePos="0" relativeHeight="251764736" behindDoc="0" locked="0" layoutInCell="1" allowOverlap="1">
                <wp:simplePos x="0" y="0"/>
                <wp:positionH relativeFrom="column">
                  <wp:posOffset>3619500</wp:posOffset>
                </wp:positionH>
                <wp:positionV relativeFrom="paragraph">
                  <wp:posOffset>539115</wp:posOffset>
                </wp:positionV>
                <wp:extent cx="466725" cy="251460"/>
                <wp:effectExtent l="0" t="0" r="0" b="0"/>
                <wp:wrapNone/>
                <wp:docPr id="181" name="文本框 181"/>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rPr>
                            </w:pPr>
                            <w:r>
                              <w:rPr>
                                <w:rFonts w:hint="eastAsia"/>
                              </w:rPr>
                              <w:t>W</w:t>
                            </w:r>
                            <w:r>
                              <w:rPr>
                                <w:rFonts w:hint="eastAsia"/>
                                <w:b/>
                                <w:i/>
                                <w:vertAlign w:val="subscript"/>
                              </w:rPr>
                              <w:t>1-9</w:t>
                            </w:r>
                          </w:p>
                        </w:txbxContent>
                      </wps:txbx>
                      <wps:bodyPr lIns="0" tIns="0" rIns="0" bIns="0" upright="1"/>
                    </wps:wsp>
                  </a:graphicData>
                </a:graphic>
              </wp:anchor>
            </w:drawing>
          </mc:Choice>
          <mc:Fallback>
            <w:pict>
              <v:shape id="_x0000_s1026" o:spid="_x0000_s1026" o:spt="202" type="#_x0000_t202" style="position:absolute;left:0pt;margin-left:285pt;margin-top:42.45pt;height:19.8pt;width:36.75pt;z-index:251764736;mso-width-relative:page;mso-height-relative:page;" filled="f" stroked="f" coordsize="21600,21600" o:gfxdata="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WW/M9oAAAAKAQAADwAAAAAAAAABACAAAAAiAAAAZHJzL2Rvd25yZXYueG1s&#10;UEsBAhQAFAAAAAgAh07iQLpVH/O9AQAAdQMAAA4AAAAAAAAAAQAgAAAAKQEAAGRycy9lMm9Eb2Mu&#10;eG1sUEsFBgAAAAAGAAYAWQEAAFgFAAAAAA==&#10;">
                <v:fill on="f" focussize="0,0"/>
                <v:stroke on="f"/>
                <v:imagedata o:title=""/>
                <o:lock v:ext="edit" aspectratio="f"/>
                <v:textbox inset="0mm,0mm,0mm,0mm">
                  <w:txbxContent>
                    <w:p>
                      <w:pPr>
                        <w:pStyle w:val="15"/>
                        <w:snapToGrid w:val="0"/>
                        <w:jc w:val="center"/>
                        <w:rPr>
                          <w:rFonts w:hint="eastAsia"/>
                        </w:rPr>
                      </w:pPr>
                      <w:r>
                        <w:rPr>
                          <w:rFonts w:hint="eastAsia"/>
                        </w:rPr>
                        <w:t>W</w:t>
                      </w:r>
                      <w:r>
                        <w:rPr>
                          <w:rFonts w:hint="eastAsia"/>
                          <w:b/>
                          <w:i/>
                          <w:vertAlign w:val="subscript"/>
                        </w:rPr>
                        <w:t>1-9</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94080" behindDoc="0" locked="0" layoutInCell="1" allowOverlap="1">
                <wp:simplePos x="0" y="0"/>
                <wp:positionH relativeFrom="column">
                  <wp:posOffset>2647950</wp:posOffset>
                </wp:positionH>
                <wp:positionV relativeFrom="paragraph">
                  <wp:posOffset>97155</wp:posOffset>
                </wp:positionV>
                <wp:extent cx="533400" cy="256540"/>
                <wp:effectExtent l="4445" t="4445" r="14605" b="5715"/>
                <wp:wrapNone/>
                <wp:docPr id="183" name="文本框 183"/>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取内脏</w:t>
                            </w:r>
                          </w:p>
                        </w:txbxContent>
                      </wps:txbx>
                      <wps:bodyPr lIns="0" tIns="0" rIns="0" bIns="0" upright="1"/>
                    </wps:wsp>
                  </a:graphicData>
                </a:graphic>
              </wp:anchor>
            </w:drawing>
          </mc:Choice>
          <mc:Fallback>
            <w:pict>
              <v:shape id="_x0000_s1026" o:spid="_x0000_s1026" o:spt="202" type="#_x0000_t202" style="position:absolute;left:0pt;margin-left:208.5pt;margin-top:7.65pt;height:20.2pt;width:42pt;z-index:251694080;mso-width-relative:page;mso-height-relative:page;" fillcolor="#FFFFFF" filled="t" stroked="t" coordsize="21600,21600" o:gfxdata="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U7CynYAAAA&#10;CQEAAA8AAAAAAAAAAQAgAAAAIgAAAGRycy9kb3ducmV2LnhtbFBLAQIUABQAAAAIAIdO4kCb0FuW&#10;HQIAAF0EAAAOAAAAAAAAAAEAIAAAACc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取内脏</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11488" behindDoc="0" locked="0" layoutInCell="1" allowOverlap="1">
                <wp:simplePos x="0" y="0"/>
                <wp:positionH relativeFrom="column">
                  <wp:posOffset>171450</wp:posOffset>
                </wp:positionH>
                <wp:positionV relativeFrom="paragraph">
                  <wp:posOffset>78105</wp:posOffset>
                </wp:positionV>
                <wp:extent cx="533400" cy="256540"/>
                <wp:effectExtent l="4445" t="4445" r="14605" b="5715"/>
                <wp:wrapNone/>
                <wp:docPr id="185" name="文本框 185"/>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吊挂</w:t>
                            </w:r>
                          </w:p>
                        </w:txbxContent>
                      </wps:txbx>
                      <wps:bodyPr lIns="0" tIns="0" rIns="0" bIns="0" upright="1"/>
                    </wps:wsp>
                  </a:graphicData>
                </a:graphic>
              </wp:anchor>
            </w:drawing>
          </mc:Choice>
          <mc:Fallback>
            <w:pict>
              <v:shape id="_x0000_s1026" o:spid="_x0000_s1026" o:spt="202" type="#_x0000_t202" style="position:absolute;left:0pt;margin-left:13.5pt;margin-top:6.15pt;height:20.2pt;width:42pt;z-index:251711488;mso-width-relative:page;mso-height-relative:page;" fillcolor="#FFFFFF" filled="t" stroked="t" coordsize="21600,21600" o:gfxdata="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vRAF01gAAAAgB&#10;AAAPAAAAAAAAAAEAIAAAACIAAABkcnMvZG93bnJldi54bWxQSwECFAAUAAAACACHTuJAnIHQQB0C&#10;AABdBAAADgAAAAAAAAABACAAAAAlAQAAZHJzL2Uyb0RvYy54bWxQSwUGAAAAAAYABgBZAQAAtAUA&#10;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吊挂</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17632" behindDoc="0" locked="0" layoutInCell="1" allowOverlap="1">
                <wp:simplePos x="0" y="0"/>
                <wp:positionH relativeFrom="column">
                  <wp:posOffset>3171825</wp:posOffset>
                </wp:positionH>
                <wp:positionV relativeFrom="paragraph">
                  <wp:posOffset>215265</wp:posOffset>
                </wp:positionV>
                <wp:extent cx="323850" cy="0"/>
                <wp:effectExtent l="0" t="25400" r="0" b="31750"/>
                <wp:wrapNone/>
                <wp:docPr id="187" name="直接连接符 187"/>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49.75pt;margin-top:16.95pt;height:0pt;width:25.5pt;z-index:251717632;mso-width-relative:page;mso-height-relative:page;" filled="f" stroked="t" coordsize="21600,21600" o:gfxdata="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Dc1f+tUAAAAJAQAADwAAAAAAAAABACAAAAAiAAAAZHJzL2Rvd25y&#10;ZXYueG1sUEsBAhQAFAAAAAgAh07iQMGFz/U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18656" behindDoc="0" locked="0" layoutInCell="1" allowOverlap="1">
                <wp:simplePos x="0" y="0"/>
                <wp:positionH relativeFrom="column">
                  <wp:posOffset>2333625</wp:posOffset>
                </wp:positionH>
                <wp:positionV relativeFrom="paragraph">
                  <wp:posOffset>215265</wp:posOffset>
                </wp:positionV>
                <wp:extent cx="323850" cy="0"/>
                <wp:effectExtent l="0" t="25400" r="0" b="31750"/>
                <wp:wrapNone/>
                <wp:docPr id="189" name="直接连接符 189"/>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83.75pt;margin-top:16.95pt;height:0pt;width:25.5pt;z-index:251718656;mso-width-relative:page;mso-height-relative:page;" filled="f" stroked="t" coordsize="21600,21600" o:gfxdata="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aSoz1tUAAAAJAQAADwAAAAAAAAABACAAAAAiAAAAZHJzL2Rvd25y&#10;ZXYueG1sUEsBAhQAFAAAAAgAh07iQCbe09M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20704" behindDoc="0" locked="0" layoutInCell="1" allowOverlap="1">
                <wp:simplePos x="0" y="0"/>
                <wp:positionH relativeFrom="column">
                  <wp:posOffset>695325</wp:posOffset>
                </wp:positionH>
                <wp:positionV relativeFrom="paragraph">
                  <wp:posOffset>215265</wp:posOffset>
                </wp:positionV>
                <wp:extent cx="323850" cy="0"/>
                <wp:effectExtent l="0" t="25400" r="0" b="31750"/>
                <wp:wrapNone/>
                <wp:docPr id="169" name="直接连接符 169"/>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54.75pt;margin-top:16.95pt;height:0pt;width:25.5pt;z-index:251720704;mso-width-relative:page;mso-height-relative:page;" filled="f" stroked="t" coordsize="21600,21600" o:gfxdata="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4QV+O1AAAAAkBAAAPAAAAAAAAAAEAIAAAACIAAABkcnMvZG93bnJl&#10;di54bWxQSwECFAAUAAAACACHTuJAprWb7QECAADoAwAADgAAAAAAAAABACAAAAAj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02272" behindDoc="0" locked="0" layoutInCell="1" allowOverlap="1">
                <wp:simplePos x="0" y="0"/>
                <wp:positionH relativeFrom="column">
                  <wp:posOffset>3457575</wp:posOffset>
                </wp:positionH>
                <wp:positionV relativeFrom="paragraph">
                  <wp:posOffset>87630</wp:posOffset>
                </wp:positionV>
                <wp:extent cx="754380" cy="256540"/>
                <wp:effectExtent l="4445" t="4445" r="22225" b="5715"/>
                <wp:wrapNone/>
                <wp:docPr id="191" name="文本框 191"/>
                <wp:cNvGraphicFramePr/>
                <a:graphic xmlns:a="http://schemas.openxmlformats.org/drawingml/2006/main">
                  <a:graphicData uri="http://schemas.microsoft.com/office/word/2010/wordprocessingShape">
                    <wps:wsp>
                      <wps:cNvSpPr txBox="1"/>
                      <wps:spPr>
                        <a:xfrm>
                          <a:off x="0" y="0"/>
                          <a:ext cx="75438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冲洗胸腹腔</w:t>
                            </w:r>
                          </w:p>
                        </w:txbxContent>
                      </wps:txbx>
                      <wps:bodyPr lIns="0" tIns="0" rIns="0" bIns="0" upright="1"/>
                    </wps:wsp>
                  </a:graphicData>
                </a:graphic>
              </wp:anchor>
            </w:drawing>
          </mc:Choice>
          <mc:Fallback>
            <w:pict>
              <v:shape id="_x0000_s1026" o:spid="_x0000_s1026" o:spt="202" type="#_x0000_t202" style="position:absolute;left:0pt;margin-left:272.25pt;margin-top:6.9pt;height:20.2pt;width:59.4pt;z-index:251702272;mso-width-relative:page;mso-height-relative:page;" fillcolor="#FFFFFF" filled="t" stroked="t" coordsize="21600,21600" o:gfxdata="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dUT/ONcAAAAJ&#10;AQAADwAAAAAAAAABACAAAAAiAAAAZHJzL2Rvd25yZXYueG1sUEsBAhQAFAAAAAgAh07iQB/rrCId&#10;AgAAXQQAAA4AAAAAAAAAAQAgAAAAJg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冲洗胸腹腔</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703296" behindDoc="0" locked="0" layoutInCell="1" allowOverlap="1">
                <wp:simplePos x="0" y="0"/>
                <wp:positionH relativeFrom="column">
                  <wp:posOffset>1019175</wp:posOffset>
                </wp:positionH>
                <wp:positionV relativeFrom="paragraph">
                  <wp:posOffset>87630</wp:posOffset>
                </wp:positionV>
                <wp:extent cx="497205" cy="256540"/>
                <wp:effectExtent l="5080" t="4445" r="12065" b="5715"/>
                <wp:wrapNone/>
                <wp:docPr id="171" name="文本框 171"/>
                <wp:cNvGraphicFramePr/>
                <a:graphic xmlns:a="http://schemas.openxmlformats.org/drawingml/2006/main">
                  <a:graphicData uri="http://schemas.microsoft.com/office/word/2010/wordprocessingShape">
                    <wps:wsp>
                      <wps:cNvSpPr txBox="1"/>
                      <wps:spPr>
                        <a:xfrm>
                          <a:off x="0" y="0"/>
                          <a:ext cx="49720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挑胸</w:t>
                            </w:r>
                          </w:p>
                        </w:txbxContent>
                      </wps:txbx>
                      <wps:bodyPr lIns="0" tIns="0" rIns="0" bIns="0" upright="1"/>
                    </wps:wsp>
                  </a:graphicData>
                </a:graphic>
              </wp:anchor>
            </w:drawing>
          </mc:Choice>
          <mc:Fallback>
            <w:pict>
              <v:shape id="_x0000_s1026" o:spid="_x0000_s1026" o:spt="202" type="#_x0000_t202" style="position:absolute;left:0pt;margin-left:80.25pt;margin-top:6.9pt;height:20.2pt;width:39.15pt;z-index:251703296;mso-width-relative:page;mso-height-relative:page;" fillcolor="#FFFFFF" filled="t" stroked="t" coordsize="21600,21600" o:gfxdata="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JtC/4dcAAAAJ&#10;AQAADwAAAAAAAAABACAAAAAiAAAAZHJzL2Rvd25yZXYueG1sUEsBAhQAFAAAAAgAh07iQNHQhc8d&#10;AgAAXQQAAA4AAAAAAAAAAQAgAAAAJg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挑胸</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97152" behindDoc="0" locked="0" layoutInCell="1" allowOverlap="1">
                <wp:simplePos x="0" y="0"/>
                <wp:positionH relativeFrom="column">
                  <wp:posOffset>1800225</wp:posOffset>
                </wp:positionH>
                <wp:positionV relativeFrom="paragraph">
                  <wp:posOffset>87630</wp:posOffset>
                </wp:positionV>
                <wp:extent cx="533400" cy="256540"/>
                <wp:effectExtent l="4445" t="4445" r="14605" b="5715"/>
                <wp:wrapNone/>
                <wp:docPr id="195" name="文本框 195"/>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开膛</w:t>
                            </w:r>
                          </w:p>
                        </w:txbxContent>
                      </wps:txbx>
                      <wps:bodyPr lIns="0" tIns="0" rIns="0" bIns="0" upright="1"/>
                    </wps:wsp>
                  </a:graphicData>
                </a:graphic>
              </wp:anchor>
            </w:drawing>
          </mc:Choice>
          <mc:Fallback>
            <w:pict>
              <v:shape id="_x0000_s1026" o:spid="_x0000_s1026" o:spt="202" type="#_x0000_t202" style="position:absolute;left:0pt;margin-left:141.75pt;margin-top:6.9pt;height:20.2pt;width:42pt;z-index:251697152;mso-width-relative:page;mso-height-relative:page;" fillcolor="#FFFFFF" filled="t" stroked="t" coordsize="21600,21600" o:gfxdata="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OXZdTrYAAAA&#10;CQEAAA8AAAAAAAAAAQAgAAAAIgAAAGRycy9kb3ducmV2LnhtbFBLAQIUABQAAAAIAIdO4kBLexh6&#10;HQIAAF0EAAAOAAAAAAAAAAEAIAAAACc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开膛</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98176" behindDoc="0" locked="0" layoutInCell="1" allowOverlap="1">
                <wp:simplePos x="0" y="0"/>
                <wp:positionH relativeFrom="column">
                  <wp:posOffset>4562475</wp:posOffset>
                </wp:positionH>
                <wp:positionV relativeFrom="paragraph">
                  <wp:posOffset>108585</wp:posOffset>
                </wp:positionV>
                <wp:extent cx="754380" cy="256540"/>
                <wp:effectExtent l="4445" t="4445" r="22225" b="5715"/>
                <wp:wrapNone/>
                <wp:docPr id="237" name="文本框 237"/>
                <wp:cNvGraphicFramePr/>
                <a:graphic xmlns:a="http://schemas.openxmlformats.org/drawingml/2006/main">
                  <a:graphicData uri="http://schemas.microsoft.com/office/word/2010/wordprocessingShape">
                    <wps:wsp>
                      <wps:cNvSpPr txBox="1"/>
                      <wps:spPr>
                        <a:xfrm>
                          <a:off x="0" y="0"/>
                          <a:ext cx="75438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寄生虫检验</w:t>
                            </w:r>
                          </w:p>
                        </w:txbxContent>
                      </wps:txbx>
                      <wps:bodyPr lIns="0" tIns="0" rIns="0" bIns="0" upright="1"/>
                    </wps:wsp>
                  </a:graphicData>
                </a:graphic>
              </wp:anchor>
            </w:drawing>
          </mc:Choice>
          <mc:Fallback>
            <w:pict>
              <v:shape id="_x0000_s1026" o:spid="_x0000_s1026" o:spt="202" type="#_x0000_t202" style="position:absolute;left:0pt;margin-left:359.25pt;margin-top:8.55pt;height:20.2pt;width:59.4pt;z-index:251698176;mso-width-relative:page;mso-height-relative:page;" fillcolor="#FFFFFF" filled="t" stroked="t" coordsize="21600,21600" o:gfxdata="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EC1IKPZ&#10;AAAACQEAAA8AAAAAAAAAAQAgAAAAIgAAAGRycy9kb3ducmV2LnhtbFBLAQIUABQAAAAIAIdO4kDY&#10;DxalHwIAAF0EAAAOAAAAAAAAAAEAIAAAACgBAABkcnMvZTJvRG9jLnhtbFBLBQYAAAAABgAGAFkB&#10;AAC5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寄生虫检验</w:t>
                      </w:r>
                    </w:p>
                  </w:txbxContent>
                </v:textbox>
              </v:shape>
            </w:pict>
          </mc:Fallback>
        </mc:AlternateContent>
      </w:r>
    </w:p>
    <w:p>
      <w:pPr>
        <w:ind w:firstLine="400" w:firstLineChars="200"/>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712512" behindDoc="0" locked="0" layoutInCell="1" allowOverlap="1">
                <wp:simplePos x="0" y="0"/>
                <wp:positionH relativeFrom="column">
                  <wp:posOffset>5019675</wp:posOffset>
                </wp:positionH>
                <wp:positionV relativeFrom="paragraph">
                  <wp:posOffset>165735</wp:posOffset>
                </wp:positionV>
                <wp:extent cx="7620" cy="1533525"/>
                <wp:effectExtent l="24765" t="0" r="24765" b="9525"/>
                <wp:wrapNone/>
                <wp:docPr id="213" name="直接连接符 213"/>
                <wp:cNvGraphicFramePr/>
                <a:graphic xmlns:a="http://schemas.openxmlformats.org/drawingml/2006/main">
                  <a:graphicData uri="http://schemas.microsoft.com/office/word/2010/wordprocessingShape">
                    <wps:wsp>
                      <wps:cNvCnPr/>
                      <wps:spPr>
                        <a:xfrm flipH="1">
                          <a:off x="0" y="0"/>
                          <a:ext cx="7620" cy="1533525"/>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flip:x;margin-left:395.25pt;margin-top:13.05pt;height:120.75pt;width:0.6pt;z-index:251712512;mso-width-relative:page;mso-height-relative:page;" filled="f" stroked="t" coordsize="21600,21600" o:gfxdata="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6vx7rZAAAACgEAAA8AAAAAAAAAAQAgAAAA&#10;IgAAAGRycy9kb3ducmV2LnhtbFBLAQIUABQAAAAIAIdO4kBVF6WCCgIAAPYDAAAOAAAAAAAAAAEA&#10;IAAAACgBAABkcnMvZTJvRG9jLnhtbFBLBQYAAAAABgAGAFkBAACk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63360" behindDoc="0" locked="0" layoutInCell="1" allowOverlap="1">
                <wp:simplePos x="0" y="0"/>
                <wp:positionH relativeFrom="column">
                  <wp:posOffset>2905125</wp:posOffset>
                </wp:positionH>
                <wp:positionV relativeFrom="paragraph">
                  <wp:posOffset>151765</wp:posOffset>
                </wp:positionV>
                <wp:extent cx="635" cy="680085"/>
                <wp:effectExtent l="24765" t="0" r="31750" b="5715"/>
                <wp:wrapNone/>
                <wp:docPr id="247" name="直接连接符 247"/>
                <wp:cNvGraphicFramePr/>
                <a:graphic xmlns:a="http://schemas.openxmlformats.org/drawingml/2006/main">
                  <a:graphicData uri="http://schemas.microsoft.com/office/word/2010/wordprocessingShape">
                    <wps:wsp>
                      <wps:cNvCnPr/>
                      <wps:spPr>
                        <a:xfrm>
                          <a:off x="0" y="0"/>
                          <a:ext cx="635" cy="680085"/>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28.75pt;margin-top:11.95pt;height:53.55pt;width:0.05pt;z-index:251663360;mso-width-relative:page;mso-height-relative:page;" filled="f" stroked="t" coordsize="21600,21600" o:gfxdata="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GzQnHXWAAAACgEAAA8AAAAAAAAAAQAgAAAAIgAAAGRycy9kb3du&#10;cmV2LnhtbFBLAQIUABQAAAAIAIdO4kBdkAzHAQIAAOoDAAAOAAAAAAAAAAEAIAAAACUBAABkcnMv&#10;ZTJvRG9jLnhtbFBLBQYAAAAABgAGAFkBAACY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55520" behindDoc="0" locked="0" layoutInCell="1" allowOverlap="1">
                <wp:simplePos x="0" y="0"/>
                <wp:positionH relativeFrom="column">
                  <wp:posOffset>2085975</wp:posOffset>
                </wp:positionH>
                <wp:positionV relativeFrom="paragraph">
                  <wp:posOffset>161925</wp:posOffset>
                </wp:positionV>
                <wp:extent cx="0" cy="297180"/>
                <wp:effectExtent l="25400" t="0" r="31750" b="7620"/>
                <wp:wrapNone/>
                <wp:docPr id="255" name="直接连接符 255"/>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64.25pt;margin-top:12.75pt;height:23.4pt;width:0pt;z-index:251755520;mso-width-relative:page;mso-height-relative:page;" filled="f" stroked="t" coordsize="21600,21600" o:gfxdata="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40qZWdUAAAAJAQAADwAAAAAAAAABACAAAAAiAAAAZHJzL2Rvd25y&#10;ZXYueG1sUEsBAhQAFAAAAAgAh07iQM0OaQI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16608" behindDoc="0" locked="0" layoutInCell="1" allowOverlap="1">
                <wp:simplePos x="0" y="0"/>
                <wp:positionH relativeFrom="column">
                  <wp:posOffset>4248150</wp:posOffset>
                </wp:positionH>
                <wp:positionV relativeFrom="paragraph">
                  <wp:posOffset>28575</wp:posOffset>
                </wp:positionV>
                <wp:extent cx="323850" cy="0"/>
                <wp:effectExtent l="0" t="25400" r="0" b="31750"/>
                <wp:wrapNone/>
                <wp:docPr id="231" name="直接连接符 231"/>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34.5pt;margin-top:2.25pt;height:0pt;width:25.5pt;z-index:251716608;mso-width-relative:page;mso-height-relative:page;" filled="f" stroked="t" coordsize="21600,21600" o:gfxdata="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W3uz70wAAAAcBAAAPAAAAAAAAAAEAIAAAACIAAABkcnMvZG93bnJldi54&#10;bWxQSwECFAAUAAAACACHTuJAIDj+2f8BAADoAwAADgAAAAAAAAABACAAAAAiAQAAZHJzL2Uyb0Rv&#10;Yy54bWxQSwUGAAAAAAYABgBZAQAAkwUAAAAA&#10;">
                <v:fill on="f" focussize="0,0"/>
                <v:stroke color="#000000" joinstyle="round" endarrow="classic" endarrowwidth="narrow" endarrowlength="long"/>
                <v:imagedata o:title=""/>
                <o:lock v:ext="edit" aspectratio="f"/>
              </v:line>
            </w:pict>
          </mc:Fallback>
        </mc:AlternateContent>
      </w:r>
    </w:p>
    <w:p>
      <w:pPr>
        <w:ind w:firstLine="480" w:firstLineChars="200"/>
        <w:rPr>
          <w:rFonts w:hint="default" w:ascii="Times New Roman" w:hAnsi="Times New Roman" w:cs="Times New Roman"/>
          <w:color w:val="auto"/>
          <w:sz w:val="24"/>
        </w:rPr>
      </w:pP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807744" behindDoc="0" locked="0" layoutInCell="1" allowOverlap="1">
                <wp:simplePos x="0" y="0"/>
                <wp:positionH relativeFrom="column">
                  <wp:posOffset>1819275</wp:posOffset>
                </wp:positionH>
                <wp:positionV relativeFrom="paragraph">
                  <wp:posOffset>83820</wp:posOffset>
                </wp:positionV>
                <wp:extent cx="466725" cy="25146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eastAsia="黑体"/>
                                <w:lang w:val="en-US" w:eastAsia="zh-CN"/>
                              </w:rPr>
                            </w:pPr>
                            <w:r>
                              <w:rPr>
                                <w:rFonts w:hint="eastAsia"/>
                              </w:rPr>
                              <w:t>W</w:t>
                            </w:r>
                            <w:r>
                              <w:rPr>
                                <w:rFonts w:hint="eastAsia"/>
                                <w:b/>
                                <w:i/>
                                <w:vertAlign w:val="subscript"/>
                              </w:rPr>
                              <w:t>1-</w:t>
                            </w:r>
                            <w:r>
                              <w:rPr>
                                <w:rFonts w:hint="eastAsia"/>
                                <w:b/>
                                <w:i/>
                                <w:vertAlign w:val="subscript"/>
                                <w:lang w:val="en-US" w:eastAsia="zh-CN"/>
                              </w:rPr>
                              <w:t>8</w:t>
                            </w:r>
                          </w:p>
                        </w:txbxContent>
                      </wps:txbx>
                      <wps:bodyPr lIns="0" tIns="0" rIns="0" bIns="0" upright="1"/>
                    </wps:wsp>
                  </a:graphicData>
                </a:graphic>
              </wp:anchor>
            </w:drawing>
          </mc:Choice>
          <mc:Fallback>
            <w:pict>
              <v:shape id="_x0000_s1026" o:spid="_x0000_s1026" o:spt="202" type="#_x0000_t202" style="position:absolute;left:0pt;margin-left:143.25pt;margin-top:6.6pt;height:19.8pt;width:36.75pt;z-index:251807744;mso-width-relative:page;mso-height-relative:page;" filled="f" stroked="f" coordsize="21600,21600" o:gfxdata="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KEgwIrYAAAACQEAAA8AAAAAAAAAAQAgAAAAIgAAAGRycy9kb3ducmV2LnhtbFBL&#10;AQIUABQAAAAIAIdO4kB1TOx8vQEAAHMDAAAOAAAAAAAAAAEAIAAAACcBAABkcnMvZTJvRG9jLnht&#10;bFBLBQYAAAAABgAGAFkBAABWBQAAAAA=&#10;">
                <v:fill on="f" focussize="0,0"/>
                <v:stroke on="f"/>
                <v:imagedata o:title=""/>
                <o:lock v:ext="edit" aspectratio="f"/>
                <v:textbox inset="0mm,0mm,0mm,0mm">
                  <w:txbxContent>
                    <w:p>
                      <w:pPr>
                        <w:pStyle w:val="15"/>
                        <w:snapToGrid w:val="0"/>
                        <w:jc w:val="center"/>
                        <w:rPr>
                          <w:rFonts w:hint="eastAsia" w:eastAsia="黑体"/>
                          <w:lang w:val="en-US" w:eastAsia="zh-CN"/>
                        </w:rPr>
                      </w:pPr>
                      <w:r>
                        <w:rPr>
                          <w:rFonts w:hint="eastAsia"/>
                        </w:rPr>
                        <w:t>W</w:t>
                      </w:r>
                      <w:r>
                        <w:rPr>
                          <w:rFonts w:hint="eastAsia"/>
                          <w:b/>
                          <w:i/>
                          <w:vertAlign w:val="subscript"/>
                        </w:rPr>
                        <w:t>1-</w:t>
                      </w:r>
                      <w:r>
                        <w:rPr>
                          <w:rFonts w:hint="eastAsia"/>
                          <w:b/>
                          <w:i/>
                          <w:vertAlign w:val="subscript"/>
                          <w:lang w:val="en-US" w:eastAsia="zh-CN"/>
                        </w:rPr>
                        <w:t>8</w:t>
                      </w:r>
                    </w:p>
                  </w:txbxContent>
                </v:textbox>
              </v:shape>
            </w:pict>
          </mc:Fallback>
        </mc:AlternateContent>
      </w:r>
      <w:r>
        <w:rPr>
          <w:rFonts w:hint="default" w:ascii="Times New Roman" w:hAnsi="Times New Roman" w:cs="Times New Roman"/>
          <w:color w:val="auto"/>
          <w:sz w:val="20"/>
          <w:highlight w:val="magenta"/>
        </w:rPr>
        <mc:AlternateContent>
          <mc:Choice Requires="wps">
            <w:drawing>
              <wp:anchor distT="0" distB="0" distL="114300" distR="114300" simplePos="0" relativeHeight="251665408" behindDoc="0" locked="0" layoutInCell="1" allowOverlap="1">
                <wp:simplePos x="0" y="0"/>
                <wp:positionH relativeFrom="column">
                  <wp:posOffset>2433955</wp:posOffset>
                </wp:positionH>
                <wp:positionV relativeFrom="paragraph">
                  <wp:posOffset>71755</wp:posOffset>
                </wp:positionV>
                <wp:extent cx="485140" cy="251460"/>
                <wp:effectExtent l="0" t="0" r="0" b="0"/>
                <wp:wrapNone/>
                <wp:docPr id="211" name="文本框 211"/>
                <wp:cNvGraphicFramePr/>
                <a:graphic xmlns:a="http://schemas.openxmlformats.org/drawingml/2006/main">
                  <a:graphicData uri="http://schemas.microsoft.com/office/word/2010/wordprocessingShape">
                    <wps:wsp>
                      <wps:cNvSpPr txBox="1"/>
                      <wps:spPr>
                        <a:xfrm>
                          <a:off x="0" y="0"/>
                          <a:ext cx="485140" cy="251460"/>
                        </a:xfrm>
                        <a:prstGeom prst="rect">
                          <a:avLst/>
                        </a:prstGeom>
                        <a:noFill/>
                        <a:ln>
                          <a:noFill/>
                        </a:ln>
                      </wps:spPr>
                      <wps:txbx>
                        <w:txbxContent>
                          <w:p>
                            <w:pPr>
                              <w:pStyle w:val="15"/>
                              <w:snapToGrid w:val="0"/>
                              <w:jc w:val="center"/>
                              <w:rPr>
                                <w:rFonts w:hint="eastAsia" w:eastAsia="黑体"/>
                                <w:lang w:val="en-US" w:eastAsia="zh-CN"/>
                              </w:rPr>
                            </w:pPr>
                            <w:r>
                              <w:rPr>
                                <w:rFonts w:hint="eastAsia"/>
                              </w:rPr>
                              <w:t>G</w:t>
                            </w:r>
                            <w:r>
                              <w:rPr>
                                <w:rFonts w:hint="eastAsia"/>
                                <w:b/>
                                <w:i/>
                                <w:vertAlign w:val="subscript"/>
                              </w:rPr>
                              <w:t>1-</w:t>
                            </w:r>
                            <w:r>
                              <w:rPr>
                                <w:rFonts w:hint="eastAsia"/>
                                <w:b/>
                                <w:i/>
                                <w:vertAlign w:val="subscript"/>
                                <w:lang w:val="en-US" w:eastAsia="zh-CN"/>
                              </w:rPr>
                              <w:t>2</w:t>
                            </w:r>
                          </w:p>
                          <w:p>
                            <w:pPr>
                              <w:pStyle w:val="15"/>
                              <w:snapToGrid w:val="0"/>
                              <w:jc w:val="center"/>
                              <w:rPr>
                                <w:rFonts w:hint="eastAsia" w:eastAsia="黑体"/>
                                <w:lang w:eastAsia="zh-CN"/>
                              </w:rPr>
                            </w:pPr>
                          </w:p>
                        </w:txbxContent>
                      </wps:txbx>
                      <wps:bodyPr lIns="0" tIns="0" rIns="0" bIns="0" upright="1"/>
                    </wps:wsp>
                  </a:graphicData>
                </a:graphic>
              </wp:anchor>
            </w:drawing>
          </mc:Choice>
          <mc:Fallback>
            <w:pict>
              <v:shape id="_x0000_s1026" o:spid="_x0000_s1026" o:spt="202" type="#_x0000_t202" style="position:absolute;left:0pt;margin-left:191.65pt;margin-top:5.65pt;height:19.8pt;width:38.2pt;z-index:251665408;mso-width-relative:page;mso-height-relative:page;" filled="f" stroked="f" coordsize="21600,21600" o:gfxdata="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uojzD2AAAAAkBAAAPAAAAAAAAAAEAIAAAACIAAABkcnMvZG93bnJldi54bWxQSwEC&#10;FAAUAAAACACHTuJAdIiMRrsBAAB1AwAADgAAAAAAAAABACAAAAAnAQAAZHJzL2Uyb0RvYy54bWxQ&#10;SwUGAAAAAAYABgBZAQAAVAUAAAAA&#10;">
                <v:fill on="f" focussize="0,0"/>
                <v:stroke on="f"/>
                <v:imagedata o:title=""/>
                <o:lock v:ext="edit" aspectratio="f"/>
                <v:textbox inset="0mm,0mm,0mm,0mm">
                  <w:txbxContent>
                    <w:p>
                      <w:pPr>
                        <w:pStyle w:val="15"/>
                        <w:snapToGrid w:val="0"/>
                        <w:jc w:val="center"/>
                        <w:rPr>
                          <w:rFonts w:hint="eastAsia" w:eastAsia="黑体"/>
                          <w:lang w:val="en-US" w:eastAsia="zh-CN"/>
                        </w:rPr>
                      </w:pPr>
                      <w:r>
                        <w:rPr>
                          <w:rFonts w:hint="eastAsia"/>
                        </w:rPr>
                        <w:t>G</w:t>
                      </w:r>
                      <w:r>
                        <w:rPr>
                          <w:rFonts w:hint="eastAsia"/>
                          <w:b/>
                          <w:i/>
                          <w:vertAlign w:val="subscript"/>
                        </w:rPr>
                        <w:t>1-</w:t>
                      </w:r>
                      <w:r>
                        <w:rPr>
                          <w:rFonts w:hint="eastAsia"/>
                          <w:b/>
                          <w:i/>
                          <w:vertAlign w:val="subscript"/>
                          <w:lang w:val="en-US" w:eastAsia="zh-CN"/>
                        </w:rPr>
                        <w:t>2</w:t>
                      </w:r>
                    </w:p>
                    <w:p>
                      <w:pPr>
                        <w:pStyle w:val="15"/>
                        <w:snapToGrid w:val="0"/>
                        <w:jc w:val="center"/>
                        <w:rPr>
                          <w:rFonts w:hint="eastAsia" w:eastAsia="黑体"/>
                          <w:lang w:eastAsia="zh-CN"/>
                        </w:rPr>
                      </w:pPr>
                    </w:p>
                  </w:txbxContent>
                </v:textbox>
              </v:shap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685888" behindDoc="0" locked="0" layoutInCell="1" allowOverlap="1">
                <wp:simplePos x="0" y="0"/>
                <wp:positionH relativeFrom="column">
                  <wp:posOffset>4724400</wp:posOffset>
                </wp:positionH>
                <wp:positionV relativeFrom="paragraph">
                  <wp:posOffset>282575</wp:posOffset>
                </wp:positionV>
                <wp:extent cx="771525" cy="104775"/>
                <wp:effectExtent l="0" t="24765" r="9525" b="22860"/>
                <wp:wrapNone/>
                <wp:docPr id="223" name="任意多边形 223"/>
                <wp:cNvGraphicFramePr/>
                <a:graphic xmlns:a="http://schemas.openxmlformats.org/drawingml/2006/main">
                  <a:graphicData uri="http://schemas.microsoft.com/office/word/2010/wordprocessingShape">
                    <wps:wsp>
                      <wps:cNvSpPr/>
                      <wps:spPr>
                        <a:xfrm>
                          <a:off x="0" y="0"/>
                          <a:ext cx="771525" cy="104775"/>
                        </a:xfrm>
                        <a:custGeom>
                          <a:avLst/>
                          <a:gdLst/>
                          <a:ahLst/>
                          <a:cxnLst/>
                          <a:pathLst>
                            <a:path w="1155" h="90">
                              <a:moveTo>
                                <a:pt x="0" y="0"/>
                              </a:moveTo>
                              <a:lnTo>
                                <a:pt x="318" y="0"/>
                              </a:lnTo>
                              <a:lnTo>
                                <a:pt x="453" y="90"/>
                              </a:lnTo>
                              <a:lnTo>
                                <a:pt x="618" y="0"/>
                              </a:lnTo>
                              <a:lnTo>
                                <a:pt x="1155" y="1"/>
                              </a:lnTo>
                            </a:path>
                          </a:pathLst>
                        </a:custGeom>
                        <a:noFill/>
                        <a:ln w="9525" cap="flat" cmpd="sng">
                          <a:solidFill>
                            <a:srgbClr val="000000"/>
                          </a:solidFill>
                          <a:prstDash val="solid"/>
                          <a:headEnd type="none" w="med" len="med"/>
                          <a:tailEnd type="stealth" w="sm" len="lg"/>
                        </a:ln>
                      </wps:spPr>
                      <wps:bodyPr upright="1"/>
                    </wps:wsp>
                  </a:graphicData>
                </a:graphic>
              </wp:anchor>
            </w:drawing>
          </mc:Choice>
          <mc:Fallback>
            <w:pict>
              <v:shape id="_x0000_s1026" o:spid="_x0000_s1026" o:spt="100" style="position:absolute;left:0pt;margin-left:372pt;margin-top:22.25pt;height:8.25pt;width:60.75pt;z-index:251685888;mso-width-relative:page;mso-height-relative:page;" filled="f" stroked="t" coordsize="1155,90" o:gfxdata="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Kb&#10;xvzYAAAACQEAAA8AAAAAAAAAAQAgAAAAIgAAAGRycy9kb3ducmV2LnhtbFBLAQIUABQAAAAIAIdO&#10;4kCg/SKdXAIAAAUFAAAOAAAAAAAAAAEAIAAAACcBAABkcnMvZTJvRG9jLnhtbFBLBQYAAAAABgAG&#10;AFkBAAD1BQAAAAA=&#10;" path="m0,0l318,0,453,90,618,0,1155,1e">
                <v:fill on="f" focussize="0,0"/>
                <v:stroke color="#000000" joinstyle="round" endarrow="classic" endarrowwidth="narrow" endarrowlength="long"/>
                <v:imagedata o:title=""/>
                <o:lock v:ext="edit" aspectratio="f"/>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701248" behindDoc="0" locked="0" layoutInCell="1" allowOverlap="1">
                <wp:simplePos x="0" y="0"/>
                <wp:positionH relativeFrom="column">
                  <wp:posOffset>2654935</wp:posOffset>
                </wp:positionH>
                <wp:positionV relativeFrom="paragraph">
                  <wp:posOffset>178435</wp:posOffset>
                </wp:positionV>
                <wp:extent cx="535305" cy="256540"/>
                <wp:effectExtent l="4445" t="5080" r="12700" b="5080"/>
                <wp:wrapNone/>
                <wp:docPr id="219" name="文本框 219"/>
                <wp:cNvGraphicFramePr/>
                <a:graphic xmlns:a="http://schemas.openxmlformats.org/drawingml/2006/main">
                  <a:graphicData uri="http://schemas.microsoft.com/office/word/2010/wordprocessingShape">
                    <wps:wsp>
                      <wps:cNvSpPr txBox="1"/>
                      <wps:spPr>
                        <a:xfrm>
                          <a:off x="0" y="0"/>
                          <a:ext cx="53530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检验</w:t>
                            </w:r>
                          </w:p>
                        </w:txbxContent>
                      </wps:txbx>
                      <wps:bodyPr lIns="0" tIns="0" rIns="0" bIns="0" upright="1"/>
                    </wps:wsp>
                  </a:graphicData>
                </a:graphic>
              </wp:anchor>
            </w:drawing>
          </mc:Choice>
          <mc:Fallback>
            <w:pict>
              <v:shape id="_x0000_s1026" o:spid="_x0000_s1026" o:spt="202" type="#_x0000_t202" style="position:absolute;left:0pt;margin-left:209.05pt;margin-top:14.05pt;height:20.2pt;width:42.15pt;z-index:251701248;mso-width-relative:page;mso-height-relative:page;" fillcolor="#FFFFFF" filled="t" stroked="t" coordsize="21600,21600" o:gfxdata="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Mkq3JfYAAAA&#10;CQEAAA8AAAAAAAAAAQAgAAAAIgAAAGRycy9kb3ducmV2LnhtbFBLAQIUABQAAAAIAIdO4kAUNVR/&#10;HQIAAF0EAAAOAAAAAAAAAAEAIAAAACc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检验</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46304" behindDoc="0" locked="0" layoutInCell="1" allowOverlap="1">
                <wp:simplePos x="0" y="0"/>
                <wp:positionH relativeFrom="column">
                  <wp:posOffset>142240</wp:posOffset>
                </wp:positionH>
                <wp:positionV relativeFrom="paragraph">
                  <wp:posOffset>285750</wp:posOffset>
                </wp:positionV>
                <wp:extent cx="2515235" cy="635"/>
                <wp:effectExtent l="0" t="25400" r="18415" b="31115"/>
                <wp:wrapNone/>
                <wp:docPr id="197" name="直接连接符 197"/>
                <wp:cNvGraphicFramePr/>
                <a:graphic xmlns:a="http://schemas.openxmlformats.org/drawingml/2006/main">
                  <a:graphicData uri="http://schemas.microsoft.com/office/word/2010/wordprocessingShape">
                    <wps:wsp>
                      <wps:cNvCnPr/>
                      <wps:spPr>
                        <a:xfrm rot="10800000">
                          <a:off x="0" y="0"/>
                          <a:ext cx="2515235" cy="635"/>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1.2pt;margin-top:22.5pt;height:0.05pt;width:198.05pt;rotation:11796480f;z-index:251746304;mso-width-relative:page;mso-height-relative:page;" filled="f" stroked="t" coordsize="21600,21600" o:gfxdata="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3GJhHYAAAACAEAAA8AAAAAAAAAAQAgAAAA&#10;IgAAAGRycy9kb3ducmV2LnhtbFBLAQIUABQAAAAIAIdO4kCnQQqKCwIAAPoDAAAOAAAAAAAAAAEA&#10;IAAAACcBAABkcnMvZTJvRG9jLnhtbFBLBQYAAAAABgAGAFkBAACk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70528" behindDoc="0" locked="0" layoutInCell="1" allowOverlap="1">
                <wp:simplePos x="0" y="0"/>
                <wp:positionH relativeFrom="column">
                  <wp:posOffset>1219200</wp:posOffset>
                </wp:positionH>
                <wp:positionV relativeFrom="paragraph">
                  <wp:posOffset>33020</wp:posOffset>
                </wp:positionV>
                <wp:extent cx="866775" cy="291465"/>
                <wp:effectExtent l="0" t="0" r="0" b="0"/>
                <wp:wrapNone/>
                <wp:docPr id="249" name="文本框 249"/>
                <wp:cNvGraphicFramePr/>
                <a:graphic xmlns:a="http://schemas.openxmlformats.org/drawingml/2006/main">
                  <a:graphicData uri="http://schemas.microsoft.com/office/word/2010/wordprocessingShape">
                    <wps:wsp>
                      <wps:cNvSpPr txBox="1"/>
                      <wps:spPr>
                        <a:xfrm>
                          <a:off x="0" y="0"/>
                          <a:ext cx="866775" cy="291465"/>
                        </a:xfrm>
                        <a:prstGeom prst="rect">
                          <a:avLst/>
                        </a:prstGeom>
                        <a:noFill/>
                        <a:ln>
                          <a:noFill/>
                        </a:ln>
                      </wps:spPr>
                      <wps:txbx>
                        <w:txbxContent>
                          <w:p>
                            <w:pPr>
                              <w:pStyle w:val="15"/>
                              <w:snapToGrid w:val="0"/>
                              <w:jc w:val="center"/>
                              <w:rPr>
                                <w:rFonts w:hint="eastAsia" w:eastAsia="黑体"/>
                                <w:sz w:val="21"/>
                                <w:szCs w:val="21"/>
                                <w:lang w:val="en-US" w:eastAsia="zh-CN"/>
                              </w:rPr>
                            </w:pPr>
                            <w:r>
                              <w:rPr>
                                <w:rFonts w:hint="eastAsia"/>
                                <w:sz w:val="21"/>
                                <w:szCs w:val="21"/>
                              </w:rPr>
                              <w:t>不合格S</w:t>
                            </w:r>
                            <w:r>
                              <w:rPr>
                                <w:rFonts w:hint="eastAsia"/>
                                <w:b/>
                                <w:i/>
                                <w:vertAlign w:val="subscript"/>
                              </w:rPr>
                              <w:t>1-</w:t>
                            </w:r>
                            <w:r>
                              <w:rPr>
                                <w:rFonts w:hint="eastAsia"/>
                                <w:b/>
                                <w:i/>
                                <w:vertAlign w:val="subscript"/>
                                <w:lang w:val="en-US" w:eastAsia="zh-CN"/>
                              </w:rPr>
                              <w:t>7</w:t>
                            </w:r>
                          </w:p>
                        </w:txbxContent>
                      </wps:txbx>
                      <wps:bodyPr lIns="0" tIns="0" rIns="0" bIns="0" upright="1"/>
                    </wps:wsp>
                  </a:graphicData>
                </a:graphic>
              </wp:anchor>
            </w:drawing>
          </mc:Choice>
          <mc:Fallback>
            <w:pict>
              <v:shape id="_x0000_s1026" o:spid="_x0000_s1026" o:spt="202" type="#_x0000_t202" style="position:absolute;left:0pt;margin-left:96pt;margin-top:2.6pt;height:22.95pt;width:68.25pt;z-index:251670528;mso-width-relative:page;mso-height-relative:page;" filled="f" stroked="f" coordsize="21600,21600" o:gfxdata="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86/CZtYAAAAIAQAADwAAAAAAAAABACAAAAAiAAAAZHJzL2Rvd25yZXYueG1sUEsB&#10;AhQAFAAAAAgAh07iQMiPJJe+AQAAdQMAAA4AAAAAAAAAAQAgAAAAJQEAAGRycy9lMm9Eb2MueG1s&#10;UEsFBgAAAAAGAAYAWQEAAFUFAAAAAA==&#10;">
                <v:fill on="f" focussize="0,0"/>
                <v:stroke on="f"/>
                <v:imagedata o:title=""/>
                <o:lock v:ext="edit" aspectratio="f"/>
                <v:textbox inset="0mm,0mm,0mm,0mm">
                  <w:txbxContent>
                    <w:p>
                      <w:pPr>
                        <w:pStyle w:val="15"/>
                        <w:snapToGrid w:val="0"/>
                        <w:jc w:val="center"/>
                        <w:rPr>
                          <w:rFonts w:hint="eastAsia" w:eastAsia="黑体"/>
                          <w:sz w:val="21"/>
                          <w:szCs w:val="21"/>
                          <w:lang w:val="en-US" w:eastAsia="zh-CN"/>
                        </w:rPr>
                      </w:pPr>
                      <w:r>
                        <w:rPr>
                          <w:rFonts w:hint="eastAsia"/>
                          <w:sz w:val="21"/>
                          <w:szCs w:val="21"/>
                        </w:rPr>
                        <w:t>不合格S</w:t>
                      </w:r>
                      <w:r>
                        <w:rPr>
                          <w:rFonts w:hint="eastAsia"/>
                          <w:b/>
                          <w:i/>
                          <w:vertAlign w:val="subscript"/>
                        </w:rPr>
                        <w:t>1-</w:t>
                      </w:r>
                      <w:r>
                        <w:rPr>
                          <w:rFonts w:hint="eastAsia"/>
                          <w:b/>
                          <w:i/>
                          <w:vertAlign w:val="subscript"/>
                          <w:lang w:val="en-US" w:eastAsia="zh-CN"/>
                        </w:rPr>
                        <w:t>7</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56544" behindDoc="0" locked="0" layoutInCell="1" allowOverlap="1">
                <wp:simplePos x="0" y="0"/>
                <wp:positionH relativeFrom="column">
                  <wp:posOffset>4133850</wp:posOffset>
                </wp:positionH>
                <wp:positionV relativeFrom="paragraph">
                  <wp:posOffset>417830</wp:posOffset>
                </wp:positionV>
                <wp:extent cx="0" cy="297180"/>
                <wp:effectExtent l="25400" t="0" r="31750" b="7620"/>
                <wp:wrapNone/>
                <wp:docPr id="215" name="直接连接符 215"/>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25.5pt;margin-top:32.9pt;height:23.4pt;width:0pt;z-index:251756544;mso-width-relative:page;mso-height-relative:page;" filled="f" stroked="t" coordsize="21600,21600" o:gfxdata="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lorAw1QAAAAoBAAAPAAAAAAAAAAEAIAAAACIAAABkcnMvZG93bnJl&#10;di54bWxQSwECFAAUAAAACACHTuJA1iWSVQACAADoAwAADgAAAAAAAAABACAAAAAk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45280" behindDoc="0" locked="0" layoutInCell="1" allowOverlap="1">
                <wp:simplePos x="0" y="0"/>
                <wp:positionH relativeFrom="column">
                  <wp:posOffset>3228975</wp:posOffset>
                </wp:positionH>
                <wp:positionV relativeFrom="paragraph">
                  <wp:posOffset>295910</wp:posOffset>
                </wp:positionV>
                <wp:extent cx="323850" cy="0"/>
                <wp:effectExtent l="0" t="25400" r="0" b="31750"/>
                <wp:wrapNone/>
                <wp:docPr id="209" name="直接连接符 209"/>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54.25pt;margin-top:23.3pt;height:0pt;width:25.5pt;z-index:251745280;mso-width-relative:page;mso-height-relative:page;" filled="f" stroked="t" coordsize="21600,21600" o:gfxdata="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aXtTe1AAAAAkBAAAPAAAAAAAAAAEAIAAAACIAAABkcnMvZG93bnJl&#10;di54bWxQSwECFAAUAAAACACHTuJAUlxsbQECAADoAwAADgAAAAAAAAABACAAAAAj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00224" behindDoc="0" locked="0" layoutInCell="1" allowOverlap="1">
                <wp:simplePos x="0" y="0"/>
                <wp:positionH relativeFrom="column">
                  <wp:posOffset>3581400</wp:posOffset>
                </wp:positionH>
                <wp:positionV relativeFrom="paragraph">
                  <wp:posOffset>162560</wp:posOffset>
                </wp:positionV>
                <wp:extent cx="1133475" cy="256540"/>
                <wp:effectExtent l="4445" t="4445" r="5080" b="5715"/>
                <wp:wrapNone/>
                <wp:docPr id="233" name="文本框 233"/>
                <wp:cNvGraphicFramePr/>
                <a:graphic xmlns:a="http://schemas.openxmlformats.org/drawingml/2006/main">
                  <a:graphicData uri="http://schemas.microsoft.com/office/word/2010/wordprocessingShape">
                    <wps:wsp>
                      <wps:cNvSpPr txBox="1"/>
                      <wps:spPr>
                        <a:xfrm>
                          <a:off x="0" y="0"/>
                          <a:ext cx="113347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去内容物、清洗</w:t>
                            </w:r>
                          </w:p>
                        </w:txbxContent>
                      </wps:txbx>
                      <wps:bodyPr lIns="0" tIns="0" rIns="0" bIns="0" upright="1"/>
                    </wps:wsp>
                  </a:graphicData>
                </a:graphic>
              </wp:anchor>
            </w:drawing>
          </mc:Choice>
          <mc:Fallback>
            <w:pict>
              <v:shape id="_x0000_s1026" o:spid="_x0000_s1026" o:spt="202" type="#_x0000_t202" style="position:absolute;left:0pt;margin-left:282pt;margin-top:12.8pt;height:20.2pt;width:89.25pt;z-index:251700224;mso-width-relative:page;mso-height-relative:page;" fillcolor="#FFFFFF" filled="t" stroked="t" coordsize="21600,21600" o:gfxdata="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yJFJh9kA&#10;AAAJAQAADwAAAAAAAAABACAAAAAiAAAAZHJzL2Rvd25yZXYueG1sUEsBAhQAFAAAAAgAh07iQKNY&#10;rvoeAgAAXgQAAA4AAAAAAAAAAQAgAAAAKAEAAGRycy9lMm9Eb2MueG1sUEsFBgAAAAAGAAYAWQEA&#10;ALgF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去内容物、清洗</w:t>
                      </w:r>
                    </w:p>
                  </w:txbxContent>
                </v:textbox>
              </v:shape>
            </w:pict>
          </mc:Fallback>
        </mc:AlternateContent>
      </w:r>
    </w:p>
    <w:p>
      <w:pPr>
        <w:spacing w:line="500" w:lineRule="exact"/>
        <w:jc w:val="center"/>
        <w:rPr>
          <w:rFonts w:hint="default" w:ascii="Times New Roman" w:hAnsi="Times New Roman" w:cs="Times New Roman"/>
          <w:color w:val="auto"/>
          <w:sz w:val="24"/>
        </w:rPr>
      </w:pP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808768" behindDoc="0" locked="0" layoutInCell="1" allowOverlap="1">
                <wp:simplePos x="0" y="0"/>
                <wp:positionH relativeFrom="column">
                  <wp:posOffset>3733800</wp:posOffset>
                </wp:positionH>
                <wp:positionV relativeFrom="paragraph">
                  <wp:posOffset>65405</wp:posOffset>
                </wp:positionV>
                <wp:extent cx="790575" cy="288925"/>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790575" cy="288925"/>
                        </a:xfrm>
                        <a:prstGeom prst="rect">
                          <a:avLst/>
                        </a:prstGeom>
                        <a:noFill/>
                        <a:ln>
                          <a:noFill/>
                        </a:ln>
                      </wps:spPr>
                      <wps:txbx>
                        <w:txbxContent>
                          <w:p>
                            <w:pPr>
                              <w:pStyle w:val="15"/>
                              <w:snapToGrid w:val="0"/>
                              <w:jc w:val="center"/>
                              <w:rPr>
                                <w:rFonts w:hint="default" w:eastAsia="黑体"/>
                                <w:highlight w:val="none"/>
                                <w:lang w:val="en-US" w:eastAsia="zh-CN"/>
                              </w:rPr>
                            </w:pPr>
                            <w:r>
                              <w:rPr>
                                <w:rFonts w:hint="eastAsia" w:hAnsi="宋体" w:cs="Arial"/>
                                <w:highlight w:val="none"/>
                                <w:lang w:val="en-US" w:eastAsia="zh-CN"/>
                              </w:rPr>
                              <w:t>S</w:t>
                            </w:r>
                            <w:r>
                              <w:rPr>
                                <w:rFonts w:hint="eastAsia"/>
                                <w:b/>
                                <w:i/>
                                <w:highlight w:val="none"/>
                                <w:vertAlign w:val="subscript"/>
                              </w:rPr>
                              <w:t>1-</w:t>
                            </w:r>
                            <w:r>
                              <w:rPr>
                                <w:rFonts w:hint="eastAsia"/>
                                <w:b/>
                                <w:i/>
                                <w:highlight w:val="none"/>
                                <w:vertAlign w:val="subscript"/>
                                <w:lang w:val="en-US" w:eastAsia="zh-CN"/>
                              </w:rPr>
                              <w:t>3</w:t>
                            </w:r>
                            <w:r>
                              <w:rPr>
                                <w:rFonts w:hint="eastAsia"/>
                                <w:b/>
                                <w:i/>
                                <w:highlight w:val="none"/>
                                <w:vertAlign w:val="baseline"/>
                                <w:lang w:val="en-US" w:eastAsia="zh-CN"/>
                              </w:rPr>
                              <w:t>W</w:t>
                            </w:r>
                            <w:r>
                              <w:rPr>
                                <w:rFonts w:hint="eastAsia"/>
                                <w:b/>
                                <w:i/>
                                <w:highlight w:val="none"/>
                                <w:vertAlign w:val="subscript"/>
                                <w:lang w:val="en-US" w:eastAsia="zh-CN"/>
                              </w:rPr>
                              <w:t>1-10</w:t>
                            </w:r>
                          </w:p>
                        </w:txbxContent>
                      </wps:txbx>
                      <wps:bodyPr lIns="0" tIns="0" rIns="0" bIns="0" upright="1"/>
                    </wps:wsp>
                  </a:graphicData>
                </a:graphic>
              </wp:anchor>
            </w:drawing>
          </mc:Choice>
          <mc:Fallback>
            <w:pict>
              <v:shape id="_x0000_s1026" o:spid="_x0000_s1026" o:spt="202" type="#_x0000_t202" style="position:absolute;left:0pt;margin-left:294pt;margin-top:5.15pt;height:22.75pt;width:62.25pt;z-index:251808768;mso-width-relative:page;mso-height-relative:page;" filled="f" stroked="f" coordsize="21600,21600" o:gfxdata="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eSEwj9gAAAAJAQAADwAAAAAAAAABACAAAAAiAAAAZHJzL2Rvd25yZXYueG1sUEsB&#10;AhQAFAAAAAgAh07iQGmLwg+8AQAAdQMAAA4AAAAAAAAAAQAgAAAAJwEAAGRycy9lMm9Eb2MueG1s&#10;UEsFBgAAAAAGAAYAWQEAAFUFAAAAAA==&#10;">
                <v:fill on="f" focussize="0,0"/>
                <v:stroke on="f"/>
                <v:imagedata o:title=""/>
                <o:lock v:ext="edit" aspectratio="f"/>
                <v:textbox inset="0mm,0mm,0mm,0mm">
                  <w:txbxContent>
                    <w:p>
                      <w:pPr>
                        <w:pStyle w:val="15"/>
                        <w:snapToGrid w:val="0"/>
                        <w:jc w:val="center"/>
                        <w:rPr>
                          <w:rFonts w:hint="default" w:eastAsia="黑体"/>
                          <w:highlight w:val="none"/>
                          <w:lang w:val="en-US" w:eastAsia="zh-CN"/>
                        </w:rPr>
                      </w:pPr>
                      <w:r>
                        <w:rPr>
                          <w:rFonts w:hint="eastAsia" w:hAnsi="宋体" w:cs="Arial"/>
                          <w:highlight w:val="none"/>
                          <w:lang w:val="en-US" w:eastAsia="zh-CN"/>
                        </w:rPr>
                        <w:t>S</w:t>
                      </w:r>
                      <w:r>
                        <w:rPr>
                          <w:rFonts w:hint="eastAsia"/>
                          <w:b/>
                          <w:i/>
                          <w:highlight w:val="none"/>
                          <w:vertAlign w:val="subscript"/>
                        </w:rPr>
                        <w:t>1-</w:t>
                      </w:r>
                      <w:r>
                        <w:rPr>
                          <w:rFonts w:hint="eastAsia"/>
                          <w:b/>
                          <w:i/>
                          <w:highlight w:val="none"/>
                          <w:vertAlign w:val="subscript"/>
                          <w:lang w:val="en-US" w:eastAsia="zh-CN"/>
                        </w:rPr>
                        <w:t>3</w:t>
                      </w:r>
                      <w:r>
                        <w:rPr>
                          <w:rFonts w:hint="eastAsia"/>
                          <w:b/>
                          <w:i/>
                          <w:highlight w:val="none"/>
                          <w:vertAlign w:val="baseline"/>
                          <w:lang w:val="en-US" w:eastAsia="zh-CN"/>
                        </w:rPr>
                        <w:t>W</w:t>
                      </w:r>
                      <w:r>
                        <w:rPr>
                          <w:rFonts w:hint="eastAsia"/>
                          <w:b/>
                          <w:i/>
                          <w:highlight w:val="none"/>
                          <w:vertAlign w:val="subscript"/>
                          <w:lang w:val="en-US" w:eastAsia="zh-CN"/>
                        </w:rPr>
                        <w:t>1-10</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09440" behindDoc="0" locked="0" layoutInCell="1" allowOverlap="1">
                <wp:simplePos x="0" y="0"/>
                <wp:positionH relativeFrom="column">
                  <wp:posOffset>5334000</wp:posOffset>
                </wp:positionH>
                <wp:positionV relativeFrom="paragraph">
                  <wp:posOffset>1905</wp:posOffset>
                </wp:positionV>
                <wp:extent cx="247650" cy="693420"/>
                <wp:effectExtent l="4445" t="4445" r="14605" b="6985"/>
                <wp:wrapNone/>
                <wp:docPr id="251" name="文本框 251"/>
                <wp:cNvGraphicFramePr/>
                <a:graphic xmlns:a="http://schemas.openxmlformats.org/drawingml/2006/main">
                  <a:graphicData uri="http://schemas.microsoft.com/office/word/2010/wordprocessingShape">
                    <wps:wsp>
                      <wps:cNvSpPr txBox="1"/>
                      <wps:spPr>
                        <a:xfrm>
                          <a:off x="0" y="0"/>
                          <a:ext cx="247650" cy="6934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副</w:t>
                            </w:r>
                            <w:r>
                              <w:rPr>
                                <w:rFonts w:hint="eastAsia"/>
                                <w:sz w:val="21"/>
                                <w:szCs w:val="21"/>
                                <w:lang w:val="en-US" w:eastAsia="zh-CN"/>
                              </w:rPr>
                              <w:t>产</w:t>
                            </w:r>
                            <w:r>
                              <w:rPr>
                                <w:rFonts w:hint="eastAsia"/>
                                <w:sz w:val="21"/>
                                <w:szCs w:val="21"/>
                              </w:rPr>
                              <w:t>品</w:t>
                            </w:r>
                          </w:p>
                        </w:txbxContent>
                      </wps:txbx>
                      <wps:bodyPr lIns="0" tIns="0" rIns="0" bIns="0" upright="1"/>
                    </wps:wsp>
                  </a:graphicData>
                </a:graphic>
              </wp:anchor>
            </w:drawing>
          </mc:Choice>
          <mc:Fallback>
            <w:pict>
              <v:shape id="_x0000_s1026" o:spid="_x0000_s1026" o:spt="202" type="#_x0000_t202" style="position:absolute;left:0pt;margin-left:420pt;margin-top:0.15pt;height:54.6pt;width:19.5pt;z-index:251709440;mso-width-relative:page;mso-height-relative:page;" fillcolor="#FFFFFF" filled="t" stroked="t" coordsize="21600,21600" o:gfxdata="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Ai7OVXXAAAA&#10;CAEAAA8AAAAAAAAAAQAgAAAAIgAAAGRycy9kb3ducmV2LnhtbFBLAQIUABQAAAAIAIdO4kA+2/r9&#10;HgIAAF0EAAAOAAAAAAAAAAEAIAAAACY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副</w:t>
                      </w:r>
                      <w:r>
                        <w:rPr>
                          <w:rFonts w:hint="eastAsia"/>
                          <w:sz w:val="21"/>
                          <w:szCs w:val="21"/>
                          <w:lang w:val="en-US" w:eastAsia="zh-CN"/>
                        </w:rPr>
                        <w:t>产</w:t>
                      </w:r>
                      <w:r>
                        <w:rPr>
                          <w:rFonts w:hint="eastAsia"/>
                          <w:sz w:val="21"/>
                          <w:szCs w:val="21"/>
                        </w:rPr>
                        <w:t>品</w:t>
                      </w:r>
                    </w:p>
                  </w:txbxContent>
                </v:textbox>
              </v:shap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729920" behindDoc="0" locked="0" layoutInCell="1" allowOverlap="1">
                <wp:simplePos x="0" y="0"/>
                <wp:positionH relativeFrom="column">
                  <wp:posOffset>1038225</wp:posOffset>
                </wp:positionH>
                <wp:positionV relativeFrom="paragraph">
                  <wp:posOffset>153035</wp:posOffset>
                </wp:positionV>
                <wp:extent cx="533400" cy="256540"/>
                <wp:effectExtent l="4445" t="4445" r="14605" b="5715"/>
                <wp:wrapNone/>
                <wp:docPr id="221" name="文本框 221"/>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检验</w:t>
                            </w:r>
                          </w:p>
                        </w:txbxContent>
                      </wps:txbx>
                      <wps:bodyPr lIns="0" tIns="0" rIns="0" bIns="0" upright="1"/>
                    </wps:wsp>
                  </a:graphicData>
                </a:graphic>
              </wp:anchor>
            </w:drawing>
          </mc:Choice>
          <mc:Fallback>
            <w:pict>
              <v:shape id="_x0000_s1026" o:spid="_x0000_s1026" o:spt="202" type="#_x0000_t202" style="position:absolute;left:0pt;margin-left:81.75pt;margin-top:12.05pt;height:20.2pt;width:42pt;z-index:251729920;mso-width-relative:page;mso-height-relative:page;" fillcolor="#FFFFFF" filled="t" stroked="t" coordsize="21600,21600" o:gfxdata="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Af0UXYAAAA&#10;CQEAAA8AAAAAAAAAAQAgAAAAIgAAAGRycy9kb3ducmV2LnhtbFBLAQIUABQAAAAIAIdO4kCZVzw8&#10;HQIAAF0EAAAOAAAAAAAAAAEAIAAAACc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检验</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25824" behindDoc="0" locked="0" layoutInCell="1" allowOverlap="1">
                <wp:simplePos x="0" y="0"/>
                <wp:positionH relativeFrom="column">
                  <wp:posOffset>683260</wp:posOffset>
                </wp:positionH>
                <wp:positionV relativeFrom="paragraph">
                  <wp:posOffset>290830</wp:posOffset>
                </wp:positionV>
                <wp:extent cx="323850" cy="0"/>
                <wp:effectExtent l="0" t="25400" r="0" b="31750"/>
                <wp:wrapNone/>
                <wp:docPr id="225" name="直接连接符 225"/>
                <wp:cNvGraphicFramePr/>
                <a:graphic xmlns:a="http://schemas.openxmlformats.org/drawingml/2006/main">
                  <a:graphicData uri="http://schemas.microsoft.com/office/word/2010/wordprocessingShape">
                    <wps:wsp>
                      <wps:cNvCnPr/>
                      <wps:spPr>
                        <a:xfrm rot="10800000">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53.8pt;margin-top:22.9pt;height:0pt;width:25.5pt;rotation:11796480f;z-index:251725824;mso-width-relative:page;mso-height-relative:page;" filled="f" stroked="t" coordsize="21600,21600" o:gfxdata="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vNzdrdYAAAAJAQAADwAAAAAAAAABACAAAAAiAAAA&#10;ZHJzL2Rvd25yZXYueG1sUEsBAhQAFAAAAAgAh07iQK8BgRcJAgAA9wMAAA4AAAAAAAAAAQAgAAAA&#10;JQEAAGRycy9lMm9Eb2MueG1sUEsFBgAAAAAGAAYAWQEAAKA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30944" behindDoc="0" locked="0" layoutInCell="1" allowOverlap="1">
                <wp:simplePos x="0" y="0"/>
                <wp:positionH relativeFrom="column">
                  <wp:posOffset>180975</wp:posOffset>
                </wp:positionH>
                <wp:positionV relativeFrom="paragraph">
                  <wp:posOffset>153035</wp:posOffset>
                </wp:positionV>
                <wp:extent cx="533400" cy="256540"/>
                <wp:effectExtent l="4445" t="4445" r="14605" b="5715"/>
                <wp:wrapNone/>
                <wp:docPr id="235" name="文本框 235"/>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分级</w:t>
                            </w:r>
                          </w:p>
                        </w:txbxContent>
                      </wps:txbx>
                      <wps:bodyPr lIns="0" tIns="0" rIns="0" bIns="0" upright="1"/>
                    </wps:wsp>
                  </a:graphicData>
                </a:graphic>
              </wp:anchor>
            </w:drawing>
          </mc:Choice>
          <mc:Fallback>
            <w:pict>
              <v:shape id="_x0000_s1026" o:spid="_x0000_s1026" o:spt="202" type="#_x0000_t202" style="position:absolute;left:0pt;margin-left:14.25pt;margin-top:12.05pt;height:20.2pt;width:42pt;z-index:251730944;mso-width-relative:page;mso-height-relative:page;" fillcolor="#FFFFFF" filled="t" stroked="t" coordsize="21600,21600" o:gfxdata="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LKZPuNcAAAAI&#10;AQAADwAAAAAAAAABACAAAAAiAAAAZHJzL2Rvd25yZXYueG1sUEsBAhQAFAAAAAgAh07iQIvOKSsd&#10;AgAAXQQAAA4AAAAAAAAAAQAgAAAAJg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分级</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28896" behindDoc="0" locked="0" layoutInCell="1" allowOverlap="1">
                <wp:simplePos x="0" y="0"/>
                <wp:positionH relativeFrom="column">
                  <wp:posOffset>1885950</wp:posOffset>
                </wp:positionH>
                <wp:positionV relativeFrom="paragraph">
                  <wp:posOffset>160655</wp:posOffset>
                </wp:positionV>
                <wp:extent cx="504825" cy="256540"/>
                <wp:effectExtent l="5080" t="4445" r="4445" b="5715"/>
                <wp:wrapNone/>
                <wp:docPr id="241" name="文本框 241"/>
                <wp:cNvGraphicFramePr/>
                <a:graphic xmlns:a="http://schemas.openxmlformats.org/drawingml/2006/main">
                  <a:graphicData uri="http://schemas.microsoft.com/office/word/2010/wordprocessingShape">
                    <wps:wsp>
                      <wps:cNvSpPr txBox="1"/>
                      <wps:spPr>
                        <a:xfrm>
                          <a:off x="0" y="0"/>
                          <a:ext cx="50482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清洗</w:t>
                            </w:r>
                          </w:p>
                        </w:txbxContent>
                      </wps:txbx>
                      <wps:bodyPr lIns="0" tIns="0" rIns="0" bIns="0" upright="1"/>
                    </wps:wsp>
                  </a:graphicData>
                </a:graphic>
              </wp:anchor>
            </w:drawing>
          </mc:Choice>
          <mc:Fallback>
            <w:pict>
              <v:shape id="_x0000_s1026" o:spid="_x0000_s1026" o:spt="202" type="#_x0000_t202" style="position:absolute;left:0pt;margin-left:148.5pt;margin-top:12.65pt;height:20.2pt;width:39.75pt;z-index:251728896;mso-width-relative:page;mso-height-relative:page;" fillcolor="#FFFFFF" filled="t" stroked="t" coordsize="21600,21600" o:gfxdata="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PpTUi9oA&#10;AAAJAQAADwAAAAAAAAABACAAAAAiAAAAZHJzL2Rvd25yZXYueG1sUEsBAhQAFAAAAAgAh07iQPfa&#10;/y8dAgAAXQQAAA4AAAAAAAAAAQAgAAAAKQEAAGRycy9lMm9Eb2MueG1sUEsFBgAAAAAGAAYAWQEA&#10;ALgF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清洗</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27872" behindDoc="0" locked="0" layoutInCell="1" allowOverlap="1">
                <wp:simplePos x="0" y="0"/>
                <wp:positionH relativeFrom="column">
                  <wp:posOffset>3552825</wp:posOffset>
                </wp:positionH>
                <wp:positionV relativeFrom="paragraph">
                  <wp:posOffset>153035</wp:posOffset>
                </wp:positionV>
                <wp:extent cx="533400" cy="256540"/>
                <wp:effectExtent l="4445" t="4445" r="14605" b="5715"/>
                <wp:wrapNone/>
                <wp:docPr id="245" name="文本框 245"/>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劈半</w:t>
                            </w:r>
                          </w:p>
                        </w:txbxContent>
                      </wps:txbx>
                      <wps:bodyPr lIns="0" tIns="0" rIns="0" bIns="0" upright="1"/>
                    </wps:wsp>
                  </a:graphicData>
                </a:graphic>
              </wp:anchor>
            </w:drawing>
          </mc:Choice>
          <mc:Fallback>
            <w:pict>
              <v:shape id="_x0000_s1026" o:spid="_x0000_s1026" o:spt="202" type="#_x0000_t202" style="position:absolute;left:0pt;margin-left:279.75pt;margin-top:12.05pt;height:20.2pt;width:42pt;z-index:251727872;mso-width-relative:page;mso-height-relative:page;" fillcolor="#FFFFFF" filled="t" stroked="t" coordsize="21600,21600" o:gfxdata="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2ufxzNcAAAAJ&#10;AQAADwAAAAAAAAABACAAAAAiAAAAZHJzL2Rvd25yZXYueG1sUEsBAhQAFAAAAAgAh07iQK4qU48d&#10;AgAAXQQAAA4AAAAAAAAAAQAgAAAAJg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劈半</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26848" behindDoc="0" locked="0" layoutInCell="1" allowOverlap="1">
                <wp:simplePos x="0" y="0"/>
                <wp:positionH relativeFrom="column">
                  <wp:posOffset>2752725</wp:posOffset>
                </wp:positionH>
                <wp:positionV relativeFrom="paragraph">
                  <wp:posOffset>156845</wp:posOffset>
                </wp:positionV>
                <wp:extent cx="495300" cy="256540"/>
                <wp:effectExtent l="4445" t="4445" r="14605" b="5715"/>
                <wp:wrapNone/>
                <wp:docPr id="203" name="文本框 203"/>
                <wp:cNvGraphicFramePr/>
                <a:graphic xmlns:a="http://schemas.openxmlformats.org/drawingml/2006/main">
                  <a:graphicData uri="http://schemas.microsoft.com/office/word/2010/wordprocessingShape">
                    <wps:wsp>
                      <wps:cNvSpPr txBox="1"/>
                      <wps:spPr>
                        <a:xfrm>
                          <a:off x="0" y="0"/>
                          <a:ext cx="4953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eastAsia="黑体"/>
                                <w:sz w:val="21"/>
                                <w:szCs w:val="21"/>
                                <w:lang w:val="en-US" w:eastAsia="zh-CN"/>
                              </w:rPr>
                            </w:pPr>
                            <w:r>
                              <w:rPr>
                                <w:rFonts w:hint="eastAsia"/>
                                <w:sz w:val="21"/>
                                <w:szCs w:val="21"/>
                              </w:rPr>
                              <w:t>修</w:t>
                            </w:r>
                            <w:r>
                              <w:rPr>
                                <w:rFonts w:hint="eastAsia"/>
                                <w:sz w:val="21"/>
                                <w:szCs w:val="21"/>
                                <w:lang w:val="en-US" w:eastAsia="zh-CN"/>
                              </w:rPr>
                              <w:t>整</w:t>
                            </w:r>
                          </w:p>
                        </w:txbxContent>
                      </wps:txbx>
                      <wps:bodyPr lIns="0" tIns="0" rIns="0" bIns="0" upright="1"/>
                    </wps:wsp>
                  </a:graphicData>
                </a:graphic>
              </wp:anchor>
            </w:drawing>
          </mc:Choice>
          <mc:Fallback>
            <w:pict>
              <v:shape id="_x0000_s1026" o:spid="_x0000_s1026" o:spt="202" type="#_x0000_t202" style="position:absolute;left:0pt;margin-left:216.75pt;margin-top:12.35pt;height:20.2pt;width:39pt;z-index:251726848;mso-width-relative:page;mso-height-relative:page;" fillcolor="#FFFFFF" filled="t" stroked="t" coordsize="21600,21600" o:gfxdata="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ZRGbyNkA&#10;AAAJAQAADwAAAAAAAAABACAAAAAiAAAAZHJzL2Rvd25yZXYueG1sUEsBAhQAFAAAAAgAh07iQJ6r&#10;gQgeAgAAXQQAAA4AAAAAAAAAAQAgAAAAKAEAAGRycy9lMm9Eb2MueG1sUEsFBgAAAAAGAAYAWQEA&#10;ALgFAAAAAA==&#10;">
                <v:fill on="t" focussize="0,0"/>
                <v:stroke color="#000000" joinstyle="miter"/>
                <v:imagedata o:title=""/>
                <o:lock v:ext="edit" aspectratio="f"/>
                <v:textbox inset="0mm,0mm,0mm,0mm">
                  <w:txbxContent>
                    <w:p>
                      <w:pPr>
                        <w:pStyle w:val="15"/>
                        <w:snapToGrid w:val="0"/>
                        <w:spacing w:line="340" w:lineRule="exact"/>
                        <w:jc w:val="center"/>
                        <w:rPr>
                          <w:rFonts w:hint="eastAsia" w:eastAsia="黑体"/>
                          <w:sz w:val="21"/>
                          <w:szCs w:val="21"/>
                          <w:lang w:val="en-US" w:eastAsia="zh-CN"/>
                        </w:rPr>
                      </w:pPr>
                      <w:r>
                        <w:rPr>
                          <w:rFonts w:hint="eastAsia"/>
                          <w:sz w:val="21"/>
                          <w:szCs w:val="21"/>
                        </w:rPr>
                        <w:t>修</w:t>
                      </w:r>
                      <w:r>
                        <w:rPr>
                          <w:rFonts w:hint="eastAsia"/>
                          <w:sz w:val="21"/>
                          <w:szCs w:val="21"/>
                          <w:lang w:val="en-US" w:eastAsia="zh-CN"/>
                        </w:rPr>
                        <w:t>整</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24800" behindDoc="0" locked="0" layoutInCell="1" allowOverlap="1">
                <wp:simplePos x="0" y="0"/>
                <wp:positionH relativeFrom="column">
                  <wp:posOffset>4057650</wp:posOffset>
                </wp:positionH>
                <wp:positionV relativeFrom="paragraph">
                  <wp:posOffset>278765</wp:posOffset>
                </wp:positionV>
                <wp:extent cx="312420" cy="0"/>
                <wp:effectExtent l="0" t="25400" r="11430" b="31750"/>
                <wp:wrapNone/>
                <wp:docPr id="227" name="直接连接符 227"/>
                <wp:cNvGraphicFramePr/>
                <a:graphic xmlns:a="http://schemas.openxmlformats.org/drawingml/2006/main">
                  <a:graphicData uri="http://schemas.microsoft.com/office/word/2010/wordprocessingShape">
                    <wps:wsp>
                      <wps:cNvCnPr/>
                      <wps:spPr>
                        <a:xfrm rot="10800000">
                          <a:off x="0" y="0"/>
                          <a:ext cx="31242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19.5pt;margin-top:21.95pt;height:0pt;width:24.6pt;rotation:11796480f;z-index:251724800;mso-width-relative:page;mso-height-relative:page;" filled="f" stroked="t" coordsize="21600,21600" o:gfxdata="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BwvEvZAAAACQEAAA8AAAAAAAAAAQAgAAAA&#10;IgAAAGRycy9kb3ducmV2LnhtbFBLAQIUABQAAAAIAIdO4kCLSW7+CgIAAPcDAAAOAAAAAAAAAAEA&#10;IAAAACgBAABkcnMvZTJvRG9jLnhtbFBLBQYAAAAABgAGAFkBAACk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23776" behindDoc="0" locked="0" layoutInCell="1" allowOverlap="1">
                <wp:simplePos x="0" y="0"/>
                <wp:positionH relativeFrom="column">
                  <wp:posOffset>1556385</wp:posOffset>
                </wp:positionH>
                <wp:positionV relativeFrom="paragraph">
                  <wp:posOffset>291465</wp:posOffset>
                </wp:positionV>
                <wp:extent cx="312420" cy="0"/>
                <wp:effectExtent l="0" t="25400" r="11430" b="31750"/>
                <wp:wrapNone/>
                <wp:docPr id="199" name="直接连接符 199"/>
                <wp:cNvGraphicFramePr/>
                <a:graphic xmlns:a="http://schemas.openxmlformats.org/drawingml/2006/main">
                  <a:graphicData uri="http://schemas.microsoft.com/office/word/2010/wordprocessingShape">
                    <wps:wsp>
                      <wps:cNvCnPr/>
                      <wps:spPr>
                        <a:xfrm rot="10800000">
                          <a:off x="0" y="0"/>
                          <a:ext cx="31242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22.55pt;margin-top:22.95pt;height:0pt;width:24.6pt;rotation:11796480f;z-index:251723776;mso-width-relative:page;mso-height-relative:page;" filled="f" stroked="t" coordsize="21600,21600" o:gfxdata="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fssIPZAAAACQEAAA8AAAAAAAAAAQAgAAAA&#10;IgAAAGRycy9kb3ducmV2LnhtbFBLAQIUABQAAAAIAIdO4kAxvOkgCgIAAPcDAAAOAAAAAAAAAAEA&#10;IAAAACgBAABkcnMvZTJvRG9jLnhtbFBLBQYAAAAABgAGAFkBAACk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22752" behindDoc="0" locked="0" layoutInCell="1" allowOverlap="1">
                <wp:simplePos x="0" y="0"/>
                <wp:positionH relativeFrom="column">
                  <wp:posOffset>2421255</wp:posOffset>
                </wp:positionH>
                <wp:positionV relativeFrom="paragraph">
                  <wp:posOffset>291465</wp:posOffset>
                </wp:positionV>
                <wp:extent cx="313055" cy="0"/>
                <wp:effectExtent l="0" t="25400" r="10795" b="31750"/>
                <wp:wrapNone/>
                <wp:docPr id="207" name="直接连接符 207"/>
                <wp:cNvGraphicFramePr/>
                <a:graphic xmlns:a="http://schemas.openxmlformats.org/drawingml/2006/main">
                  <a:graphicData uri="http://schemas.microsoft.com/office/word/2010/wordprocessingShape">
                    <wps:wsp>
                      <wps:cNvCnPr/>
                      <wps:spPr>
                        <a:xfrm rot="10800000">
                          <a:off x="0" y="0"/>
                          <a:ext cx="313055"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90.65pt;margin-top:22.95pt;height:0pt;width:24.65pt;rotation:11796480f;z-index:251722752;mso-width-relative:page;mso-height-relative:page;" filled="f" stroked="t" coordsize="21600,21600" o:gfxdata="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g9INnZAAAACQEAAA8AAAAAAAAAAQAgAAAA&#10;IgAAAGRycy9kb3ducmV2LnhtbFBLAQIUABQAAAAIAIdO4kDEWa5+CgIAAPcDAAAOAAAAAAAAAAEA&#10;IAAAACgBAABkcnMvZTJvRG9jLnhtbFBLBQYAAAAABgAGAFkBAACk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21728" behindDoc="0" locked="0" layoutInCell="1" allowOverlap="1">
                <wp:simplePos x="0" y="0"/>
                <wp:positionH relativeFrom="column">
                  <wp:posOffset>3248025</wp:posOffset>
                </wp:positionH>
                <wp:positionV relativeFrom="paragraph">
                  <wp:posOffset>284480</wp:posOffset>
                </wp:positionV>
                <wp:extent cx="288290" cy="0"/>
                <wp:effectExtent l="0" t="25400" r="16510" b="31750"/>
                <wp:wrapNone/>
                <wp:docPr id="253" name="直接连接符 253"/>
                <wp:cNvGraphicFramePr/>
                <a:graphic xmlns:a="http://schemas.openxmlformats.org/drawingml/2006/main">
                  <a:graphicData uri="http://schemas.microsoft.com/office/word/2010/wordprocessingShape">
                    <wps:wsp>
                      <wps:cNvCnPr/>
                      <wps:spPr>
                        <a:xfrm rot="10800000">
                          <a:off x="0" y="0"/>
                          <a:ext cx="28829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55.75pt;margin-top:22.4pt;height:0pt;width:22.7pt;rotation:11796480f;z-index:251721728;mso-width-relative:page;mso-height-relative:page;" filled="f" stroked="t" coordsize="21600,21600" o:gfxdata="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pQ8/odgAAAAJAQAADwAAAAAAAAABACAAAAAi&#10;AAAAZHJzL2Rvd25yZXYueG1sUEsBAhQAFAAAAAgAh07iQOs3CyMKAgAA9wMAAA4AAAAAAAAAAQAg&#10;AAAAJwEAAGRycy9lMm9Eb2MueG1sUEsFBgAAAAAGAAYAWQEAAKM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93056" behindDoc="0" locked="0" layoutInCell="1" allowOverlap="1">
                <wp:simplePos x="0" y="0"/>
                <wp:positionH relativeFrom="column">
                  <wp:posOffset>4391025</wp:posOffset>
                </wp:positionH>
                <wp:positionV relativeFrom="paragraph">
                  <wp:posOffset>164465</wp:posOffset>
                </wp:positionV>
                <wp:extent cx="809625" cy="256540"/>
                <wp:effectExtent l="4445" t="4445" r="5080" b="5715"/>
                <wp:wrapNone/>
                <wp:docPr id="229" name="文本框 229"/>
                <wp:cNvGraphicFramePr/>
                <a:graphic xmlns:a="http://schemas.openxmlformats.org/drawingml/2006/main">
                  <a:graphicData uri="http://schemas.microsoft.com/office/word/2010/wordprocessingShape">
                    <wps:wsp>
                      <wps:cNvSpPr txBox="1"/>
                      <wps:spPr>
                        <a:xfrm>
                          <a:off x="0" y="0"/>
                          <a:ext cx="80962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去头、尾、蹄</w:t>
                            </w:r>
                          </w:p>
                        </w:txbxContent>
                      </wps:txbx>
                      <wps:bodyPr lIns="0" tIns="0" rIns="0" bIns="0" upright="1"/>
                    </wps:wsp>
                  </a:graphicData>
                </a:graphic>
              </wp:anchor>
            </w:drawing>
          </mc:Choice>
          <mc:Fallback>
            <w:pict>
              <v:shape id="_x0000_s1026" o:spid="_x0000_s1026" o:spt="202" type="#_x0000_t202" style="position:absolute;left:0pt;margin-left:345.75pt;margin-top:12.95pt;height:20.2pt;width:63.75pt;z-index:251693056;mso-width-relative:page;mso-height-relative:page;" fillcolor="#FFFFFF" filled="t" stroked="t" coordsize="21600,21600" o:gfxdata="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HlFcyTYAAAA&#10;CQEAAA8AAAAAAAAAAQAgAAAAIgAAAGRycy9kb3ducmV2LnhtbFBLAQIUABQAAAAIAIdO4kBsjOi7&#10;HQIAAF0EAAAOAAAAAAAAAAEAIAAAACc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去头、尾、蹄</w:t>
                      </w:r>
                    </w:p>
                  </w:txbxContent>
                </v:textbox>
              </v:shap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731968" behindDoc="0" locked="0" layoutInCell="1" allowOverlap="1">
                <wp:simplePos x="0" y="0"/>
                <wp:positionH relativeFrom="column">
                  <wp:posOffset>333375</wp:posOffset>
                </wp:positionH>
                <wp:positionV relativeFrom="paragraph">
                  <wp:posOffset>96520</wp:posOffset>
                </wp:positionV>
                <wp:extent cx="7620" cy="1160145"/>
                <wp:effectExtent l="24765" t="0" r="24765" b="1905"/>
                <wp:wrapNone/>
                <wp:docPr id="201" name="直接连接符 201"/>
                <wp:cNvGraphicFramePr/>
                <a:graphic xmlns:a="http://schemas.openxmlformats.org/drawingml/2006/main">
                  <a:graphicData uri="http://schemas.microsoft.com/office/word/2010/wordprocessingShape">
                    <wps:wsp>
                      <wps:cNvCnPr/>
                      <wps:spPr>
                        <a:xfrm flipH="1">
                          <a:off x="0" y="0"/>
                          <a:ext cx="7620" cy="1160145"/>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flip:x;margin-left:26.25pt;margin-top:7.6pt;height:91.35pt;width:0.6pt;z-index:251731968;mso-width-relative:page;mso-height-relative:page;" filled="f" stroked="t" coordsize="21600,21600" o:gfxdata="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eNMZf1wAAAAgBAAAPAAAAAAAAAAEAIAAAACIA&#10;AABkcnMvZG93bnJldi54bWxQSwECFAAUAAAACACHTuJA7pGGDAoCAAD2AwAADgAAAAAAAAABACAA&#10;AAAmAQAAZHJzL2Uyb0RvYy54bWxQSwUGAAAAAAYABgBZAQAAo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62688" behindDoc="0" locked="0" layoutInCell="1" allowOverlap="1">
                <wp:simplePos x="0" y="0"/>
                <wp:positionH relativeFrom="column">
                  <wp:posOffset>3562350</wp:posOffset>
                </wp:positionH>
                <wp:positionV relativeFrom="paragraph">
                  <wp:posOffset>285115</wp:posOffset>
                </wp:positionV>
                <wp:extent cx="466725" cy="251460"/>
                <wp:effectExtent l="0" t="0" r="0" b="0"/>
                <wp:wrapNone/>
                <wp:docPr id="239" name="文本框 239"/>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rPr>
                            </w:pPr>
                            <w:r>
                              <w:rPr>
                                <w:rFonts w:hint="eastAsia"/>
                              </w:rPr>
                              <w:t>N</w:t>
                            </w:r>
                            <w:r>
                              <w:rPr>
                                <w:rFonts w:hint="eastAsia"/>
                                <w:b/>
                                <w:i/>
                                <w:vertAlign w:val="subscript"/>
                              </w:rPr>
                              <w:t>1-2</w:t>
                            </w:r>
                          </w:p>
                        </w:txbxContent>
                      </wps:txbx>
                      <wps:bodyPr lIns="0" tIns="0" rIns="0" bIns="0" upright="1"/>
                    </wps:wsp>
                  </a:graphicData>
                </a:graphic>
              </wp:anchor>
            </w:drawing>
          </mc:Choice>
          <mc:Fallback>
            <w:pict>
              <v:shape id="_x0000_s1026" o:spid="_x0000_s1026" o:spt="202" type="#_x0000_t202" style="position:absolute;left:0pt;margin-left:280.5pt;margin-top:22.45pt;height:19.8pt;width:36.75pt;z-index:251762688;mso-width-relative:page;mso-height-relative:page;" filled="f" stroked="f" coordsize="21600,21600" o:gfxdata="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1OU/n9kAAAAJAQAADwAAAAAAAAABACAAAAAiAAAAZHJzL2Rvd25yZXYueG1s&#10;UEsBAhQAFAAAAAgAh07iQN9f9PW+AQAAdQMAAA4AAAAAAAAAAQAgAAAAKAEAAGRycy9lMm9Eb2Mu&#10;eG1sUEsFBgAAAAAGAAYAWQEAAFgFAAAAAA==&#10;">
                <v:fill on="f" focussize="0,0"/>
                <v:stroke on="f"/>
                <v:imagedata o:title=""/>
                <o:lock v:ext="edit" aspectratio="f"/>
                <v:textbox inset="0mm,0mm,0mm,0mm">
                  <w:txbxContent>
                    <w:p>
                      <w:pPr>
                        <w:pStyle w:val="15"/>
                        <w:snapToGrid w:val="0"/>
                        <w:jc w:val="center"/>
                        <w:rPr>
                          <w:rFonts w:hint="eastAsia"/>
                        </w:rPr>
                      </w:pPr>
                      <w:r>
                        <w:rPr>
                          <w:rFonts w:hint="eastAsia"/>
                        </w:rPr>
                        <w:t>N</w:t>
                      </w:r>
                      <w:r>
                        <w:rPr>
                          <w:rFonts w:hint="eastAsia"/>
                          <w:b/>
                          <w:i/>
                          <w:vertAlign w:val="subscript"/>
                        </w:rPr>
                        <w:t>1-2</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63712" behindDoc="0" locked="0" layoutInCell="1" allowOverlap="1">
                <wp:simplePos x="0" y="0"/>
                <wp:positionH relativeFrom="column">
                  <wp:posOffset>2752725</wp:posOffset>
                </wp:positionH>
                <wp:positionV relativeFrom="paragraph">
                  <wp:posOffset>285115</wp:posOffset>
                </wp:positionV>
                <wp:extent cx="466725" cy="251460"/>
                <wp:effectExtent l="0" t="0" r="0" b="0"/>
                <wp:wrapNone/>
                <wp:docPr id="205" name="文本框 205"/>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eastAsia="黑体"/>
                                <w:lang w:val="en-US" w:eastAsia="zh-CN"/>
                              </w:rPr>
                            </w:pPr>
                            <w:r>
                              <w:rPr>
                                <w:rFonts w:hint="eastAsia"/>
                              </w:rPr>
                              <w:t>S</w:t>
                            </w:r>
                            <w:r>
                              <w:rPr>
                                <w:rFonts w:hint="eastAsia"/>
                                <w:b/>
                                <w:i/>
                                <w:vertAlign w:val="subscript"/>
                              </w:rPr>
                              <w:t>1-</w:t>
                            </w:r>
                            <w:r>
                              <w:rPr>
                                <w:rFonts w:hint="eastAsia"/>
                                <w:b/>
                                <w:i/>
                                <w:vertAlign w:val="subscript"/>
                                <w:lang w:val="en-US" w:eastAsia="zh-CN"/>
                              </w:rPr>
                              <w:t>4</w:t>
                            </w:r>
                          </w:p>
                        </w:txbxContent>
                      </wps:txbx>
                      <wps:bodyPr lIns="0" tIns="0" rIns="0" bIns="0" upright="1"/>
                    </wps:wsp>
                  </a:graphicData>
                </a:graphic>
              </wp:anchor>
            </w:drawing>
          </mc:Choice>
          <mc:Fallback>
            <w:pict>
              <v:shape id="_x0000_s1026" o:spid="_x0000_s1026" o:spt="202" type="#_x0000_t202" style="position:absolute;left:0pt;margin-left:216.75pt;margin-top:22.45pt;height:19.8pt;width:36.75pt;z-index:251763712;mso-width-relative:page;mso-height-relative:page;" filled="f" stroked="f" coordsize="21600,21600" o:gfxdata="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Lq7df2QAAAAkBAAAPAAAAAAAAAAEAIAAAACIAAABkcnMvZG93bnJldi54bWxQ&#10;SwECFAAUAAAACACHTuJA5jKaE70BAAB1AwAADgAAAAAAAAABACAAAAAoAQAAZHJzL2Uyb0RvYy54&#10;bWxQSwUGAAAAAAYABgBZAQAAVwUAAAAA&#10;">
                <v:fill on="f" focussize="0,0"/>
                <v:stroke on="f"/>
                <v:imagedata o:title=""/>
                <o:lock v:ext="edit" aspectratio="f"/>
                <v:textbox inset="0mm,0mm,0mm,0mm">
                  <w:txbxContent>
                    <w:p>
                      <w:pPr>
                        <w:pStyle w:val="15"/>
                        <w:snapToGrid w:val="0"/>
                        <w:jc w:val="center"/>
                        <w:rPr>
                          <w:rFonts w:hint="eastAsia" w:eastAsia="黑体"/>
                          <w:lang w:val="en-US" w:eastAsia="zh-CN"/>
                        </w:rPr>
                      </w:pPr>
                      <w:r>
                        <w:rPr>
                          <w:rFonts w:hint="eastAsia"/>
                        </w:rPr>
                        <w:t>S</w:t>
                      </w:r>
                      <w:r>
                        <w:rPr>
                          <w:rFonts w:hint="eastAsia"/>
                          <w:b/>
                          <w:i/>
                          <w:vertAlign w:val="subscript"/>
                        </w:rPr>
                        <w:t>1-</w:t>
                      </w:r>
                      <w:r>
                        <w:rPr>
                          <w:rFonts w:hint="eastAsia"/>
                          <w:b/>
                          <w:i/>
                          <w:vertAlign w:val="subscript"/>
                          <w:lang w:val="en-US" w:eastAsia="zh-CN"/>
                        </w:rPr>
                        <w:t>4</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77696" behindDoc="0" locked="0" layoutInCell="1" allowOverlap="1">
                <wp:simplePos x="0" y="0"/>
                <wp:positionH relativeFrom="column">
                  <wp:posOffset>1933575</wp:posOffset>
                </wp:positionH>
                <wp:positionV relativeFrom="paragraph">
                  <wp:posOffset>294640</wp:posOffset>
                </wp:positionV>
                <wp:extent cx="371475" cy="288925"/>
                <wp:effectExtent l="0" t="0" r="0" b="0"/>
                <wp:wrapNone/>
                <wp:docPr id="243" name="文本框 243"/>
                <wp:cNvGraphicFramePr/>
                <a:graphic xmlns:a="http://schemas.openxmlformats.org/drawingml/2006/main">
                  <a:graphicData uri="http://schemas.microsoft.com/office/word/2010/wordprocessingShape">
                    <wps:wsp>
                      <wps:cNvSpPr txBox="1"/>
                      <wps:spPr>
                        <a:xfrm>
                          <a:off x="0" y="0"/>
                          <a:ext cx="371475" cy="288925"/>
                        </a:xfrm>
                        <a:prstGeom prst="rect">
                          <a:avLst/>
                        </a:prstGeom>
                        <a:noFill/>
                        <a:ln>
                          <a:noFill/>
                        </a:ln>
                      </wps:spPr>
                      <wps:txbx>
                        <w:txbxContent>
                          <w:p>
                            <w:pPr>
                              <w:pStyle w:val="15"/>
                              <w:snapToGrid w:val="0"/>
                              <w:jc w:val="center"/>
                              <w:rPr>
                                <w:rFonts w:hint="eastAsia"/>
                              </w:rPr>
                            </w:pPr>
                            <w:r>
                              <w:rPr>
                                <w:rFonts w:hint="eastAsia" w:hAnsi="宋体" w:cs="Arial"/>
                              </w:rPr>
                              <w:t>W</w:t>
                            </w:r>
                            <w:r>
                              <w:rPr>
                                <w:rFonts w:hint="eastAsia"/>
                                <w:b/>
                                <w:i/>
                                <w:vertAlign w:val="subscript"/>
                              </w:rPr>
                              <w:t>1-11</w:t>
                            </w:r>
                          </w:p>
                        </w:txbxContent>
                      </wps:txbx>
                      <wps:bodyPr lIns="0" tIns="0" rIns="0" bIns="0" upright="1"/>
                    </wps:wsp>
                  </a:graphicData>
                </a:graphic>
              </wp:anchor>
            </w:drawing>
          </mc:Choice>
          <mc:Fallback>
            <w:pict>
              <v:shape id="_x0000_s1026" o:spid="_x0000_s1026" o:spt="202" type="#_x0000_t202" style="position:absolute;left:0pt;margin-left:152.25pt;margin-top:23.2pt;height:22.75pt;width:29.25pt;z-index:251677696;mso-width-relative:page;mso-height-relative:page;" filled="f" stroked="f" coordsize="21600,21600" o:gfxdata="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K3I+L2AAAAAkBAAAPAAAAAAAAAAEAIAAAACIAAABkcnMvZG93bnJldi54bWxQ&#10;SwECFAAUAAAACACHTuJALWLGUr4BAAB1AwAADgAAAAAAAAABACAAAAAnAQAAZHJzL2Uyb0RvYy54&#10;bWxQSwUGAAAAAAYABgBZAQAAVwUAAAAA&#10;">
                <v:fill on="f" focussize="0,0"/>
                <v:stroke on="f"/>
                <v:imagedata o:title=""/>
                <o:lock v:ext="edit" aspectratio="f"/>
                <v:textbox inset="0mm,0mm,0mm,0mm">
                  <w:txbxContent>
                    <w:p>
                      <w:pPr>
                        <w:pStyle w:val="15"/>
                        <w:snapToGrid w:val="0"/>
                        <w:jc w:val="center"/>
                        <w:rPr>
                          <w:rFonts w:hint="eastAsia"/>
                        </w:rPr>
                      </w:pPr>
                      <w:r>
                        <w:rPr>
                          <w:rFonts w:hint="eastAsia" w:hAnsi="宋体" w:cs="Arial"/>
                        </w:rPr>
                        <w:t>W</w:t>
                      </w:r>
                      <w:r>
                        <w:rPr>
                          <w:rFonts w:hint="eastAsia"/>
                          <w:b/>
                          <w:i/>
                          <w:vertAlign w:val="subscript"/>
                        </w:rPr>
                        <w:t>1-11</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47328" behindDoc="0" locked="0" layoutInCell="1" allowOverlap="1">
                <wp:simplePos x="0" y="0"/>
                <wp:positionH relativeFrom="column">
                  <wp:posOffset>2133600</wp:posOffset>
                </wp:positionH>
                <wp:positionV relativeFrom="paragraph">
                  <wp:posOffset>96520</wp:posOffset>
                </wp:positionV>
                <wp:extent cx="0" cy="297180"/>
                <wp:effectExtent l="25400" t="0" r="31750" b="7620"/>
                <wp:wrapNone/>
                <wp:docPr id="261" name="直接连接符 261"/>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68pt;margin-top:7.6pt;height:23.4pt;width:0pt;z-index:251747328;mso-width-relative:page;mso-height-relative:page;" filled="f" stroked="t" coordsize="21600,21600" o:gfxdata="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jNpY7UAAAACQEAAA8AAAAAAAAAAQAgAAAAIgAAAGRycy9kb3ducmV2&#10;LnhtbFBLAQIUABQAAAAIAIdO4kBiLijZAAIAAOgDAAAOAAAAAAAAAAEAIAAAACMBAABkcnMvZTJv&#10;RG9jLnhtbFBLBQYAAAAABgAGAFkBAACV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48352" behindDoc="0" locked="0" layoutInCell="1" allowOverlap="1">
                <wp:simplePos x="0" y="0"/>
                <wp:positionH relativeFrom="column">
                  <wp:posOffset>3000375</wp:posOffset>
                </wp:positionH>
                <wp:positionV relativeFrom="paragraph">
                  <wp:posOffset>96520</wp:posOffset>
                </wp:positionV>
                <wp:extent cx="0" cy="297180"/>
                <wp:effectExtent l="25400" t="0" r="31750" b="7620"/>
                <wp:wrapNone/>
                <wp:docPr id="273" name="直接连接符 273"/>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36.25pt;margin-top:7.6pt;height:23.4pt;width:0pt;z-index:251748352;mso-width-relative:page;mso-height-relative:page;" filled="f" stroked="t" coordsize="21600,21600" o:gfxdata="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X6755dQAAAAJAQAADwAAAAAAAAABACAAAAAiAAAAZHJzL2Rvd25y&#10;ZXYueG1sUEsBAhQAFAAAAAgAh07iQC45fR4CAgAA6AMAAA4AAAAAAAAAAQAgAAAAIw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75648" behindDoc="0" locked="0" layoutInCell="1" allowOverlap="1">
                <wp:simplePos x="0" y="0"/>
                <wp:positionH relativeFrom="column">
                  <wp:posOffset>3800475</wp:posOffset>
                </wp:positionH>
                <wp:positionV relativeFrom="paragraph">
                  <wp:posOffset>96520</wp:posOffset>
                </wp:positionV>
                <wp:extent cx="635" cy="276860"/>
                <wp:effectExtent l="24765" t="0" r="31750" b="8890"/>
                <wp:wrapNone/>
                <wp:docPr id="269" name="直接连接符 269"/>
                <wp:cNvGraphicFramePr/>
                <a:graphic xmlns:a="http://schemas.openxmlformats.org/drawingml/2006/main">
                  <a:graphicData uri="http://schemas.microsoft.com/office/word/2010/wordprocessingShape">
                    <wps:wsp>
                      <wps:cNvCnPr/>
                      <wps:spPr>
                        <a:xfrm>
                          <a:off x="0" y="0"/>
                          <a:ext cx="635" cy="27686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99.25pt;margin-top:7.6pt;height:21.8pt;width:0.05pt;z-index:251675648;mso-width-relative:page;mso-height-relative:page;" filled="f" stroked="t" coordsize="21600,21600" o:gfxdata="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D9t2BNUAAAAJAQAADwAAAAAAAAABACAAAAAiAAAAZHJzL2Rv&#10;d25yZXYueG1sUEsBAhQAFAAAAAgAh07iQK2o6MkEAgAA6gMAAA4AAAAAAAAAAQAgAAAAJAEAAGRy&#10;cy9lMm9Eb2MueG1sUEsFBgAAAAAGAAYAWQEAAJo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68480" behindDoc="0" locked="0" layoutInCell="1" allowOverlap="1">
                <wp:simplePos x="0" y="0"/>
                <wp:positionH relativeFrom="column">
                  <wp:posOffset>5467350</wp:posOffset>
                </wp:positionH>
                <wp:positionV relativeFrom="paragraph">
                  <wp:posOffset>96520</wp:posOffset>
                </wp:positionV>
                <wp:extent cx="0" cy="396240"/>
                <wp:effectExtent l="38100" t="0" r="38100" b="3810"/>
                <wp:wrapNone/>
                <wp:docPr id="309" name="直接连接符 309"/>
                <wp:cNvGraphicFramePr/>
                <a:graphic xmlns:a="http://schemas.openxmlformats.org/drawingml/2006/main">
                  <a:graphicData uri="http://schemas.microsoft.com/office/word/2010/wordprocessingShape">
                    <wps:wsp>
                      <wps:cNvCnPr/>
                      <wps:spPr>
                        <a:xfrm flipH="1">
                          <a:off x="0" y="0"/>
                          <a:ext cx="0" cy="396240"/>
                        </a:xfrm>
                        <a:prstGeom prst="line">
                          <a:avLst/>
                        </a:prstGeom>
                        <a:ln w="9525" cap="flat" cmpd="sng">
                          <a:solidFill>
                            <a:srgbClr val="000000"/>
                          </a:solidFill>
                          <a:prstDash val="solid"/>
                          <a:headEnd type="stealth" w="med" len="med"/>
                          <a:tailEnd type="none" w="sm" len="lg"/>
                        </a:ln>
                      </wps:spPr>
                      <wps:bodyPr upright="1"/>
                    </wps:wsp>
                  </a:graphicData>
                </a:graphic>
              </wp:anchor>
            </w:drawing>
          </mc:Choice>
          <mc:Fallback>
            <w:pict>
              <v:line id="_x0000_s1026" o:spid="_x0000_s1026" o:spt="20" style="position:absolute;left:0pt;flip:x;margin-left:430.5pt;margin-top:7.6pt;height:31.2pt;width:0pt;z-index:251668480;mso-width-relative:page;mso-height-relative:page;" filled="f" stroked="t" coordsize="21600,21600" o:gfxdata="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DqufTWAAAACQEAAA8AAAAAAAAAAQAgAAAAIgAA&#10;AGRycy9kb3ducmV2LnhtbFBLAQIUABQAAAAIAIdO4kBbnyJ2CgIAAPIDAAAOAAAAAAAAAAEAIAAA&#10;ACUBAABkcnMvZTJvRG9jLnhtbFBLBQYAAAAABgAGAFkBAAChBQAAAAA=&#10;">
                <v:fill on="f" focussize="0,0"/>
                <v:stroke color="#000000" joinstyle="round" start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64384" behindDoc="0" locked="0" layoutInCell="1" allowOverlap="1">
                <wp:simplePos x="0" y="0"/>
                <wp:positionH relativeFrom="column">
                  <wp:posOffset>4600575</wp:posOffset>
                </wp:positionH>
                <wp:positionV relativeFrom="paragraph">
                  <wp:posOffset>96520</wp:posOffset>
                </wp:positionV>
                <wp:extent cx="635" cy="373380"/>
                <wp:effectExtent l="24765" t="0" r="31750" b="7620"/>
                <wp:wrapNone/>
                <wp:docPr id="257" name="直接连接符 257"/>
                <wp:cNvGraphicFramePr/>
                <a:graphic xmlns:a="http://schemas.openxmlformats.org/drawingml/2006/main">
                  <a:graphicData uri="http://schemas.microsoft.com/office/word/2010/wordprocessingShape">
                    <wps:wsp>
                      <wps:cNvCnPr/>
                      <wps:spPr>
                        <a:xfrm>
                          <a:off x="0" y="0"/>
                          <a:ext cx="635" cy="37338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62.25pt;margin-top:7.6pt;height:29.4pt;width:0.05pt;z-index:251664384;mso-width-relative:page;mso-height-relative:page;" filled="f" stroked="t" coordsize="21600,21600" o:gfxdata="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bx5jp9UAAAAJAQAADwAAAAAAAAABACAAAAAiAAAAZHJzL2Rv&#10;d25yZXYueG1sUEsBAhQAFAAAAAgAh07iQDc18fMEAgAA6gMAAA4AAAAAAAAAAQAgAAAAJAEAAGRy&#10;cy9lMm9Eb2MueG1sUEsFBgAAAAAGAAYAWQEAAJoFAAAAAA==&#10;">
                <v:fill on="f" focussize="0,0"/>
                <v:stroke color="#000000" joinstyle="round" endarrow="classic" endarrowwidth="narrow" endarrowlength="long"/>
                <v:imagedata o:title=""/>
                <o:lock v:ext="edit" aspectratio="f"/>
              </v:lin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rPr>
        <mc:AlternateContent>
          <mc:Choice Requires="wps">
            <w:drawing>
              <wp:anchor distT="0" distB="0" distL="114300" distR="114300" simplePos="0" relativeHeight="251692032" behindDoc="0" locked="0" layoutInCell="1" allowOverlap="1">
                <wp:simplePos x="0" y="0"/>
                <wp:positionH relativeFrom="column">
                  <wp:posOffset>4362450</wp:posOffset>
                </wp:positionH>
                <wp:positionV relativeFrom="paragraph">
                  <wp:posOffset>123825</wp:posOffset>
                </wp:positionV>
                <wp:extent cx="466725" cy="256540"/>
                <wp:effectExtent l="4445" t="4445" r="5080" b="5715"/>
                <wp:wrapNone/>
                <wp:docPr id="267" name="文本框 267"/>
                <wp:cNvGraphicFramePr/>
                <a:graphic xmlns:a="http://schemas.openxmlformats.org/drawingml/2006/main">
                  <a:graphicData uri="http://schemas.microsoft.com/office/word/2010/wordprocessingShape">
                    <wps:wsp>
                      <wps:cNvSpPr txBox="1"/>
                      <wps:spPr>
                        <a:xfrm>
                          <a:off x="0" y="0"/>
                          <a:ext cx="46672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去毛</w:t>
                            </w:r>
                          </w:p>
                        </w:txbxContent>
                      </wps:txbx>
                      <wps:bodyPr lIns="0" tIns="0" rIns="0" bIns="0" upright="1"/>
                    </wps:wsp>
                  </a:graphicData>
                </a:graphic>
              </wp:anchor>
            </w:drawing>
          </mc:Choice>
          <mc:Fallback>
            <w:pict>
              <v:shape id="_x0000_s1026" o:spid="_x0000_s1026" o:spt="202" type="#_x0000_t202" style="position:absolute;left:0pt;margin-left:343.5pt;margin-top:9.75pt;height:20.2pt;width:36.75pt;z-index:251692032;mso-width-relative:page;mso-height-relative:page;" fillcolor="#FFFFFF" filled="t" stroked="t" coordsize="21600,21600" o:gfxdata="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22jgX2QAA&#10;AAkBAAAPAAAAAAAAAAEAIAAAACIAAABkcnMvZG93bnJldi54bWxQSwECFAAUAAAACACHTuJAjq4h&#10;kB0CAABdBAAADgAAAAAAAAABACAAAAAoAQAAZHJzL2Uyb0RvYy54bWxQSwUGAAAAAAYABgBZAQAA&#10;twU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去毛</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10464" behindDoc="0" locked="0" layoutInCell="1" allowOverlap="1">
                <wp:simplePos x="0" y="0"/>
                <wp:positionH relativeFrom="column">
                  <wp:posOffset>5133975</wp:posOffset>
                </wp:positionH>
                <wp:positionV relativeFrom="paragraph">
                  <wp:posOffset>123825</wp:posOffset>
                </wp:positionV>
                <wp:extent cx="495300" cy="256540"/>
                <wp:effectExtent l="4445" t="4445" r="14605" b="5715"/>
                <wp:wrapNone/>
                <wp:docPr id="263" name="文本框 263"/>
                <wp:cNvGraphicFramePr/>
                <a:graphic xmlns:a="http://schemas.openxmlformats.org/drawingml/2006/main">
                  <a:graphicData uri="http://schemas.microsoft.com/office/word/2010/wordprocessingShape">
                    <wps:wsp>
                      <wps:cNvSpPr txBox="1"/>
                      <wps:spPr>
                        <a:xfrm>
                          <a:off x="0" y="0"/>
                          <a:ext cx="4953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清洗</w:t>
                            </w:r>
                          </w:p>
                        </w:txbxContent>
                      </wps:txbx>
                      <wps:bodyPr lIns="0" tIns="0" rIns="0" bIns="0" upright="1"/>
                    </wps:wsp>
                  </a:graphicData>
                </a:graphic>
              </wp:anchor>
            </w:drawing>
          </mc:Choice>
          <mc:Fallback>
            <w:pict>
              <v:shape id="_x0000_s1026" o:spid="_x0000_s1026" o:spt="202" type="#_x0000_t202" style="position:absolute;left:0pt;margin-left:404.25pt;margin-top:9.75pt;height:20.2pt;width:39pt;z-index:251710464;mso-width-relative:page;mso-height-relative:page;" fillcolor="#FFFFFF" filled="t" stroked="t" coordsize="21600,21600" o:gfxdata="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D6R4PvXAAAA&#10;CQEAAA8AAAAAAAAAAQAgAAAAIgAAAGRycy9kb3ducmV2LnhtbFBLAQIUABQAAAAIAIdO4kBstTOW&#10;HgIAAF0EAAAOAAAAAAAAAAEAIAAAACY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清洗</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15584" behindDoc="0" locked="0" layoutInCell="1" allowOverlap="1">
                <wp:simplePos x="0" y="0"/>
                <wp:positionH relativeFrom="column">
                  <wp:posOffset>4819650</wp:posOffset>
                </wp:positionH>
                <wp:positionV relativeFrom="paragraph">
                  <wp:posOffset>255270</wp:posOffset>
                </wp:positionV>
                <wp:extent cx="323850" cy="0"/>
                <wp:effectExtent l="0" t="25400" r="0" b="31750"/>
                <wp:wrapNone/>
                <wp:docPr id="275" name="直接连接符 275"/>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79.5pt;margin-top:20.1pt;height:0pt;width:25.5pt;z-index:251715584;mso-width-relative:page;mso-height-relative:page;" filled="f" stroked="t" coordsize="21600,21600" o:gfxdata="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gYpTNtUAAAAJAQAADwAAAAAAAAABACAAAAAiAAAAZHJzL2Rvd25y&#10;ZXYueG1sUEsBAhQAFAAAAAgAh07iQE8tmx0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778048" behindDoc="0" locked="0" layoutInCell="1" allowOverlap="1">
                <wp:simplePos x="0" y="0"/>
                <wp:positionH relativeFrom="column">
                  <wp:posOffset>1743075</wp:posOffset>
                </wp:positionH>
                <wp:positionV relativeFrom="paragraph">
                  <wp:posOffset>88265</wp:posOffset>
                </wp:positionV>
                <wp:extent cx="466725" cy="251460"/>
                <wp:effectExtent l="0" t="0" r="0" b="0"/>
                <wp:wrapNone/>
                <wp:docPr id="265" name="文本框 265"/>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eastAsia="黑体"/>
                                <w:lang w:val="en-US" w:eastAsia="zh-CN"/>
                              </w:rPr>
                            </w:pPr>
                            <w:r>
                              <w:rPr>
                                <w:rFonts w:hint="eastAsia"/>
                              </w:rPr>
                              <w:t>S</w:t>
                            </w:r>
                            <w:r>
                              <w:rPr>
                                <w:rFonts w:hint="eastAsia"/>
                                <w:b/>
                                <w:i/>
                                <w:vertAlign w:val="subscript"/>
                              </w:rPr>
                              <w:t>1-</w:t>
                            </w:r>
                            <w:r>
                              <w:rPr>
                                <w:rFonts w:hint="eastAsia"/>
                                <w:b/>
                                <w:i/>
                                <w:vertAlign w:val="subscript"/>
                                <w:lang w:val="en-US" w:eastAsia="zh-CN"/>
                              </w:rPr>
                              <w:t>5</w:t>
                            </w:r>
                          </w:p>
                        </w:txbxContent>
                      </wps:txbx>
                      <wps:bodyPr lIns="0" tIns="0" rIns="0" bIns="0" upright="1"/>
                    </wps:wsp>
                  </a:graphicData>
                </a:graphic>
              </wp:anchor>
            </w:drawing>
          </mc:Choice>
          <mc:Fallback>
            <w:pict>
              <v:shape id="_x0000_s1026" o:spid="_x0000_s1026" o:spt="202" type="#_x0000_t202" style="position:absolute;left:0pt;margin-left:137.25pt;margin-top:6.95pt;height:19.8pt;width:36.75pt;z-index:251778048;mso-width-relative:page;mso-height-relative:page;" filled="f" stroked="f" coordsize="21600,21600" o:gfxdata="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TWZJ32QAAAAkBAAAPAAAAAAAAAAEAIAAAACIAAABkcnMvZG93bnJldi54bWxQ&#10;SwECFAAUAAAACACHTuJA+KItdL0BAAB1AwAADgAAAAAAAAABACAAAAAoAQAAZHJzL2Uyb0RvYy54&#10;bWxQSwUGAAAAAAYABgBZAQAAVwUAAAAA&#10;">
                <v:fill on="f" focussize="0,0"/>
                <v:stroke on="f"/>
                <v:imagedata o:title=""/>
                <o:lock v:ext="edit" aspectratio="f"/>
                <v:textbox inset="0mm,0mm,0mm,0mm">
                  <w:txbxContent>
                    <w:p>
                      <w:pPr>
                        <w:pStyle w:val="15"/>
                        <w:snapToGrid w:val="0"/>
                        <w:jc w:val="center"/>
                        <w:rPr>
                          <w:rFonts w:hint="eastAsia" w:eastAsia="黑体"/>
                          <w:lang w:val="en-US" w:eastAsia="zh-CN"/>
                        </w:rPr>
                      </w:pPr>
                      <w:r>
                        <w:rPr>
                          <w:rFonts w:hint="eastAsia"/>
                        </w:rPr>
                        <w:t>S</w:t>
                      </w:r>
                      <w:r>
                        <w:rPr>
                          <w:rFonts w:hint="eastAsia"/>
                          <w:b/>
                          <w:i/>
                          <w:vertAlign w:val="subscript"/>
                        </w:rPr>
                        <w:t>1-</w:t>
                      </w:r>
                      <w:r>
                        <w:rPr>
                          <w:rFonts w:hint="eastAsia"/>
                          <w:b/>
                          <w:i/>
                          <w:vertAlign w:val="subscript"/>
                          <w:lang w:val="en-US" w:eastAsia="zh-CN"/>
                        </w:rPr>
                        <w:t>5</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67808" behindDoc="0" locked="0" layoutInCell="1" allowOverlap="1">
                <wp:simplePos x="0" y="0"/>
                <wp:positionH relativeFrom="column">
                  <wp:posOffset>4371975</wp:posOffset>
                </wp:positionH>
                <wp:positionV relativeFrom="paragraph">
                  <wp:posOffset>212090</wp:posOffset>
                </wp:positionV>
                <wp:extent cx="466725" cy="251460"/>
                <wp:effectExtent l="0" t="0" r="0" b="0"/>
                <wp:wrapNone/>
                <wp:docPr id="271" name="文本框 271"/>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eastAsia="黑体"/>
                                <w:lang w:val="en-US" w:eastAsia="zh-CN"/>
                              </w:rPr>
                            </w:pPr>
                            <w:r>
                              <w:rPr>
                                <w:rFonts w:hint="eastAsia"/>
                              </w:rPr>
                              <w:t>S</w:t>
                            </w:r>
                            <w:r>
                              <w:rPr>
                                <w:rFonts w:hint="eastAsia"/>
                                <w:b/>
                                <w:i/>
                                <w:vertAlign w:val="subscript"/>
                              </w:rPr>
                              <w:t>1-</w:t>
                            </w:r>
                            <w:r>
                              <w:rPr>
                                <w:rFonts w:hint="eastAsia"/>
                                <w:b/>
                                <w:i/>
                                <w:vertAlign w:val="subscript"/>
                                <w:lang w:val="en-US" w:eastAsia="zh-CN"/>
                              </w:rPr>
                              <w:t>2</w:t>
                            </w:r>
                          </w:p>
                        </w:txbxContent>
                      </wps:txbx>
                      <wps:bodyPr lIns="0" tIns="0" rIns="0" bIns="0" upright="1"/>
                    </wps:wsp>
                  </a:graphicData>
                </a:graphic>
              </wp:anchor>
            </w:drawing>
          </mc:Choice>
          <mc:Fallback>
            <w:pict>
              <v:shape id="_x0000_s1026" o:spid="_x0000_s1026" o:spt="202" type="#_x0000_t202" style="position:absolute;left:0pt;margin-left:344.25pt;margin-top:16.7pt;height:19.8pt;width:36.75pt;z-index:251767808;mso-width-relative:page;mso-height-relative:page;" filled="f" stroked="f" coordsize="21600,21600" o:gfxdata="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k/G/k2AAAAAkBAAAPAAAAAAAAAAEAIAAAACIAAABkcnMvZG93bnJldi54bWxQ&#10;SwECFAAUAAAACACHTuJA0Hsnn74BAAB1AwAADgAAAAAAAAABACAAAAAnAQAAZHJzL2Uyb0RvYy54&#10;bWxQSwUGAAAAAAYABgBZAQAAVwUAAAAA&#10;">
                <v:fill on="f" focussize="0,0"/>
                <v:stroke on="f"/>
                <v:imagedata o:title=""/>
                <o:lock v:ext="edit" aspectratio="f"/>
                <v:textbox inset="0mm,0mm,0mm,0mm">
                  <w:txbxContent>
                    <w:p>
                      <w:pPr>
                        <w:pStyle w:val="15"/>
                        <w:snapToGrid w:val="0"/>
                        <w:jc w:val="center"/>
                        <w:rPr>
                          <w:rFonts w:hint="eastAsia" w:eastAsia="黑体"/>
                          <w:lang w:val="en-US" w:eastAsia="zh-CN"/>
                        </w:rPr>
                      </w:pPr>
                      <w:r>
                        <w:rPr>
                          <w:rFonts w:hint="eastAsia"/>
                        </w:rPr>
                        <w:t>S</w:t>
                      </w:r>
                      <w:r>
                        <w:rPr>
                          <w:rFonts w:hint="eastAsia"/>
                          <w:b/>
                          <w:i/>
                          <w:vertAlign w:val="subscript"/>
                        </w:rPr>
                        <w:t>1-</w:t>
                      </w:r>
                      <w:r>
                        <w:rPr>
                          <w:rFonts w:hint="eastAsia"/>
                          <w:b/>
                          <w:i/>
                          <w:vertAlign w:val="subscript"/>
                          <w:lang w:val="en-US" w:eastAsia="zh-CN"/>
                        </w:rPr>
                        <w:t>2</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68832" behindDoc="0" locked="0" layoutInCell="1" allowOverlap="1">
                <wp:simplePos x="0" y="0"/>
                <wp:positionH relativeFrom="column">
                  <wp:posOffset>5114925</wp:posOffset>
                </wp:positionH>
                <wp:positionV relativeFrom="paragraph">
                  <wp:posOffset>225425</wp:posOffset>
                </wp:positionV>
                <wp:extent cx="466725" cy="251460"/>
                <wp:effectExtent l="0" t="0" r="0" b="0"/>
                <wp:wrapNone/>
                <wp:docPr id="300" name="文本框 300"/>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rPr>
                            </w:pPr>
                            <w:r>
                              <w:rPr>
                                <w:rFonts w:hint="eastAsia"/>
                              </w:rPr>
                              <w:t>W</w:t>
                            </w:r>
                            <w:r>
                              <w:rPr>
                                <w:rFonts w:hint="eastAsia"/>
                                <w:b/>
                                <w:i/>
                                <w:vertAlign w:val="subscript"/>
                              </w:rPr>
                              <w:t>1-12</w:t>
                            </w:r>
                          </w:p>
                        </w:txbxContent>
                      </wps:txbx>
                      <wps:bodyPr lIns="0" tIns="0" rIns="0" bIns="0" upright="1"/>
                    </wps:wsp>
                  </a:graphicData>
                </a:graphic>
              </wp:anchor>
            </w:drawing>
          </mc:Choice>
          <mc:Fallback>
            <w:pict>
              <v:shape id="_x0000_s1026" o:spid="_x0000_s1026" o:spt="202" type="#_x0000_t202" style="position:absolute;left:0pt;margin-left:402.75pt;margin-top:17.75pt;height:19.8pt;width:36.75pt;z-index:251768832;mso-width-relative:page;mso-height-relative:page;" filled="f" stroked="f" coordsize="21600,21600" o:gfxdata="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miZjLYAAAACQEAAA8AAAAAAAAAAQAgAAAAIgAAAGRycy9kb3ducmV2LnhtbFBL&#10;AQIUABQAAAAIAIdO4kAYSj5nvQEAAHUDAAAOAAAAAAAAAAEAIAAAACcBAABkcnMvZTJvRG9jLnht&#10;bFBLBQYAAAAABgAGAFkBAABWBQAAAAA=&#10;">
                <v:fill on="f" focussize="0,0"/>
                <v:stroke on="f"/>
                <v:imagedata o:title=""/>
                <o:lock v:ext="edit" aspectratio="f"/>
                <v:textbox inset="0mm,0mm,0mm,0mm">
                  <w:txbxContent>
                    <w:p>
                      <w:pPr>
                        <w:pStyle w:val="15"/>
                        <w:snapToGrid w:val="0"/>
                        <w:jc w:val="center"/>
                        <w:rPr>
                          <w:rFonts w:hint="eastAsia"/>
                        </w:rPr>
                      </w:pPr>
                      <w:r>
                        <w:rPr>
                          <w:rFonts w:hint="eastAsia"/>
                        </w:rPr>
                        <w:t>W</w:t>
                      </w:r>
                      <w:r>
                        <w:rPr>
                          <w:rFonts w:hint="eastAsia"/>
                          <w:b/>
                          <w:i/>
                          <w:vertAlign w:val="subscript"/>
                        </w:rPr>
                        <w:t>1-12</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65760" behindDoc="0" locked="0" layoutInCell="1" allowOverlap="1">
                <wp:simplePos x="0" y="0"/>
                <wp:positionH relativeFrom="column">
                  <wp:posOffset>5372100</wp:posOffset>
                </wp:positionH>
                <wp:positionV relativeFrom="paragraph">
                  <wp:posOffset>65405</wp:posOffset>
                </wp:positionV>
                <wp:extent cx="635" cy="276860"/>
                <wp:effectExtent l="24765" t="0" r="31750" b="8890"/>
                <wp:wrapNone/>
                <wp:docPr id="277" name="直接连接符 277"/>
                <wp:cNvGraphicFramePr/>
                <a:graphic xmlns:a="http://schemas.openxmlformats.org/drawingml/2006/main">
                  <a:graphicData uri="http://schemas.microsoft.com/office/word/2010/wordprocessingShape">
                    <wps:wsp>
                      <wps:cNvCnPr/>
                      <wps:spPr>
                        <a:xfrm>
                          <a:off x="0" y="0"/>
                          <a:ext cx="635" cy="27686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423pt;margin-top:5.15pt;height:21.8pt;width:0.05pt;z-index:251765760;mso-width-relative:page;mso-height-relative:page;" filled="f" stroked="t" coordsize="21600,21600" o:gfxdata="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3b3TfWAAAACQEAAA8AAAAAAAAAAQAgAAAAIgAAAGRycy9k&#10;b3ducmV2LnhtbFBLAQIUABQAAAAIAIdO4kA+u9BTBAIAAOoDAAAOAAAAAAAAAAEAIAAAACUBAABk&#10;cnMvZTJvRG9jLnhtbFBLBQYAAAAABgAGAFkBAACb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66784" behindDoc="0" locked="0" layoutInCell="1" allowOverlap="1">
                <wp:simplePos x="0" y="0"/>
                <wp:positionH relativeFrom="column">
                  <wp:posOffset>4600575</wp:posOffset>
                </wp:positionH>
                <wp:positionV relativeFrom="paragraph">
                  <wp:posOffset>55880</wp:posOffset>
                </wp:positionV>
                <wp:extent cx="635" cy="276860"/>
                <wp:effectExtent l="24765" t="0" r="31750" b="8890"/>
                <wp:wrapNone/>
                <wp:docPr id="279" name="直接连接符 279"/>
                <wp:cNvGraphicFramePr/>
                <a:graphic xmlns:a="http://schemas.openxmlformats.org/drawingml/2006/main">
                  <a:graphicData uri="http://schemas.microsoft.com/office/word/2010/wordprocessingShape">
                    <wps:wsp>
                      <wps:cNvCnPr/>
                      <wps:spPr>
                        <a:xfrm>
                          <a:off x="0" y="0"/>
                          <a:ext cx="635" cy="27686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62.25pt;margin-top:4.4pt;height:21.8pt;width:0.05pt;z-index:251766784;mso-width-relative:page;mso-height-relative:page;" filled="f" stroked="t" coordsize="21600,21600" o:gfxdata="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BKY4h1AAAAAgBAAAPAAAAAAAAAAEAIAAAACIAAABkcnMvZG93&#10;bnJldi54bWxQSwECFAAUAAAACACHTuJAdXBWvgQCAADqAwAADgAAAAAAAAABACAAAAAjAQAAZHJz&#10;L2Uyb0RvYy54bWxQSwUGAAAAAAYABgBZAQAAmQUAAAAA&#10;">
                <v:fill on="f" focussize="0,0"/>
                <v:stroke color="#000000" joinstyle="round" endarrow="classic" endarrowwidth="narrow" endarrowlength="long"/>
                <v:imagedata o:title=""/>
                <o:lock v:ext="edit" aspectratio="f"/>
              </v:lin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779072" behindDoc="0" locked="0" layoutInCell="1" allowOverlap="1">
                <wp:simplePos x="0" y="0"/>
                <wp:positionH relativeFrom="column">
                  <wp:posOffset>1990725</wp:posOffset>
                </wp:positionH>
                <wp:positionV relativeFrom="paragraph">
                  <wp:posOffset>31750</wp:posOffset>
                </wp:positionV>
                <wp:extent cx="0" cy="297180"/>
                <wp:effectExtent l="38100" t="0" r="38100" b="7620"/>
                <wp:wrapNone/>
                <wp:docPr id="302" name="直接连接符 302"/>
                <wp:cNvGraphicFramePr/>
                <a:graphic xmlns:a="http://schemas.openxmlformats.org/drawingml/2006/main">
                  <a:graphicData uri="http://schemas.microsoft.com/office/word/2010/wordprocessingShape">
                    <wps:wsp>
                      <wps:cNvCnPr/>
                      <wps:spPr>
                        <a:xfrm flipH="1">
                          <a:off x="0" y="0"/>
                          <a:ext cx="0" cy="297180"/>
                        </a:xfrm>
                        <a:prstGeom prst="line">
                          <a:avLst/>
                        </a:prstGeom>
                        <a:ln w="9525" cap="flat" cmpd="sng">
                          <a:solidFill>
                            <a:srgbClr val="000000"/>
                          </a:solidFill>
                          <a:prstDash val="solid"/>
                          <a:headEnd type="stealth" w="med" len="med"/>
                          <a:tailEnd type="none" w="sm" len="lg"/>
                        </a:ln>
                      </wps:spPr>
                      <wps:bodyPr upright="1"/>
                    </wps:wsp>
                  </a:graphicData>
                </a:graphic>
              </wp:anchor>
            </w:drawing>
          </mc:Choice>
          <mc:Fallback>
            <w:pict>
              <v:line id="_x0000_s1026" o:spid="_x0000_s1026" o:spt="20" style="position:absolute;left:0pt;flip:x;margin-left:156.75pt;margin-top:2.5pt;height:23.4pt;width:0pt;z-index:251779072;mso-width-relative:page;mso-height-relative:page;" filled="f" stroked="t" coordsize="21600,21600" o:gfxdata="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&#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bwueh1AAAAAgBAAAPAAAAAAAAAAEAIAAAACIAAABk&#10;cnMvZG93bnJldi54bWxQSwECFAAUAAAACACHTuJA2UphdwoCAADyAwAADgAAAAAAAAABACAAAAAj&#10;AQAAZHJzL2Uyb0RvYy54bWxQSwUGAAAAAAYABgBZAQAAnwUAAAAA&#10;">
                <v:fill on="f" focussize="0,0"/>
                <v:stroke color="#000000" joinstyle="round" start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41184" behindDoc="0" locked="0" layoutInCell="1" allowOverlap="1">
                <wp:simplePos x="0" y="0"/>
                <wp:positionH relativeFrom="column">
                  <wp:posOffset>2228850</wp:posOffset>
                </wp:positionH>
                <wp:positionV relativeFrom="paragraph">
                  <wp:posOffset>441325</wp:posOffset>
                </wp:positionV>
                <wp:extent cx="323850" cy="0"/>
                <wp:effectExtent l="0" t="25400" r="0" b="31750"/>
                <wp:wrapNone/>
                <wp:docPr id="306" name="直接连接符 306"/>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75.5pt;margin-top:34.75pt;height:0pt;width:25.5pt;z-index:251741184;mso-width-relative:page;mso-height-relative:page;" filled="f" stroked="t" coordsize="21600,21600" o:gfxdata="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g0J5a9UAAAAJAQAADwAAAAAAAAABACAAAAAiAAAAZHJzL2Rvd25y&#10;ZXYueG1sUEsBAhQAFAAAAAgAh07iQCnGf9Y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40160" behindDoc="0" locked="0" layoutInCell="1" allowOverlap="1">
                <wp:simplePos x="0" y="0"/>
                <wp:positionH relativeFrom="column">
                  <wp:posOffset>3067050</wp:posOffset>
                </wp:positionH>
                <wp:positionV relativeFrom="paragraph">
                  <wp:posOffset>441325</wp:posOffset>
                </wp:positionV>
                <wp:extent cx="323850" cy="0"/>
                <wp:effectExtent l="0" t="25400" r="0" b="31750"/>
                <wp:wrapNone/>
                <wp:docPr id="281" name="直接连接符 281"/>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41.5pt;margin-top:34.75pt;height:0pt;width:25.5pt;z-index:251740160;mso-width-relative:page;mso-height-relative:page;" filled="f" stroked="t" coordsize="21600,21600" o:gfxdata="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jofevdYAAAAJAQAADwAAAAAAAAABACAAAAAiAAAAZHJzL2Rvd25y&#10;ZXYueG1sUEsBAhQAFAAAAAgAh07iQM1w1z4AAgAA6AMAAA4AAAAAAAAAAQAgAAAAJQ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38112" behindDoc="0" locked="0" layoutInCell="1" allowOverlap="1">
                <wp:simplePos x="0" y="0"/>
                <wp:positionH relativeFrom="column">
                  <wp:posOffset>66675</wp:posOffset>
                </wp:positionH>
                <wp:positionV relativeFrom="paragraph">
                  <wp:posOffset>304165</wp:posOffset>
                </wp:positionV>
                <wp:extent cx="533400" cy="256540"/>
                <wp:effectExtent l="4445" t="4445" r="14605" b="5715"/>
                <wp:wrapNone/>
                <wp:docPr id="297" name="文本框 297"/>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称重</w:t>
                            </w:r>
                          </w:p>
                        </w:txbxContent>
                      </wps:txbx>
                      <wps:bodyPr lIns="0" tIns="0" rIns="0" bIns="0" upright="1"/>
                    </wps:wsp>
                  </a:graphicData>
                </a:graphic>
              </wp:anchor>
            </w:drawing>
          </mc:Choice>
          <mc:Fallback>
            <w:pict>
              <v:shape id="_x0000_s1026" o:spid="_x0000_s1026" o:spt="202" type="#_x0000_t202" style="position:absolute;left:0pt;margin-left:5.25pt;margin-top:23.95pt;height:20.2pt;width:42pt;z-index:251738112;mso-width-relative:page;mso-height-relative:page;" fillcolor="#FFFFFF" filled="t" stroked="t" coordsize="21600,21600" o:gfxdata="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y3mrp1QAAAAcB&#10;AAAPAAAAAAAAAAEAIAAAACIAAABkcnMvZG93bnJldi54bWxQSwECFAAUAAAACACHTuJAHtnYqB4C&#10;AABdBAAADgAAAAAAAAABACAAAAAkAQAAZHJzL2Uyb0RvYy54bWxQSwUGAAAAAAYABgBZAQAAtAUA&#10;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称重</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37088" behindDoc="0" locked="0" layoutInCell="1" allowOverlap="1">
                <wp:simplePos x="0" y="0"/>
                <wp:positionH relativeFrom="column">
                  <wp:posOffset>904875</wp:posOffset>
                </wp:positionH>
                <wp:positionV relativeFrom="paragraph">
                  <wp:posOffset>323215</wp:posOffset>
                </wp:positionV>
                <wp:extent cx="497205" cy="256540"/>
                <wp:effectExtent l="5080" t="4445" r="12065" b="5715"/>
                <wp:wrapNone/>
                <wp:docPr id="259" name="文本框 259"/>
                <wp:cNvGraphicFramePr/>
                <a:graphic xmlns:a="http://schemas.openxmlformats.org/drawingml/2006/main">
                  <a:graphicData uri="http://schemas.microsoft.com/office/word/2010/wordprocessingShape">
                    <wps:wsp>
                      <wps:cNvSpPr txBox="1"/>
                      <wps:spPr>
                        <a:xfrm>
                          <a:off x="0" y="0"/>
                          <a:ext cx="49720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排酸</w:t>
                            </w:r>
                          </w:p>
                        </w:txbxContent>
                      </wps:txbx>
                      <wps:bodyPr lIns="0" tIns="0" rIns="0" bIns="0" upright="1"/>
                    </wps:wsp>
                  </a:graphicData>
                </a:graphic>
              </wp:anchor>
            </w:drawing>
          </mc:Choice>
          <mc:Fallback>
            <w:pict>
              <v:shape id="_x0000_s1026" o:spid="_x0000_s1026" o:spt="202" type="#_x0000_t202" style="position:absolute;left:0pt;margin-left:71.25pt;margin-top:25.45pt;height:20.2pt;width:39.15pt;z-index:251737088;mso-width-relative:page;mso-height-relative:page;" fillcolor="#FFFFFF" filled="t" stroked="t" coordsize="21600,21600" o:gfxdata="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Icsbs9cAAAAJ&#10;AQAADwAAAAAAAAABACAAAAAiAAAAZHJzL2Rvd25yZXYueG1sUEsBAhQAFAAAAAgAh07iQGJyOMgd&#10;AgAAXQQAAA4AAAAAAAAAAQAgAAAAJg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排酸</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34016" behindDoc="0" locked="0" layoutInCell="1" allowOverlap="1">
                <wp:simplePos x="0" y="0"/>
                <wp:positionH relativeFrom="column">
                  <wp:posOffset>1704975</wp:posOffset>
                </wp:positionH>
                <wp:positionV relativeFrom="paragraph">
                  <wp:posOffset>323215</wp:posOffset>
                </wp:positionV>
                <wp:extent cx="533400" cy="256540"/>
                <wp:effectExtent l="4445" t="4445" r="14605" b="5715"/>
                <wp:wrapNone/>
                <wp:docPr id="304" name="文本框 304"/>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分割</w:t>
                            </w:r>
                          </w:p>
                        </w:txbxContent>
                      </wps:txbx>
                      <wps:bodyPr lIns="0" tIns="0" rIns="0" bIns="0" upright="1"/>
                    </wps:wsp>
                  </a:graphicData>
                </a:graphic>
              </wp:anchor>
            </w:drawing>
          </mc:Choice>
          <mc:Fallback>
            <w:pict>
              <v:shape id="_x0000_s1026" o:spid="_x0000_s1026" o:spt="202" type="#_x0000_t202" style="position:absolute;left:0pt;margin-left:134.25pt;margin-top:25.45pt;height:20.2pt;width:42pt;z-index:251734016;mso-width-relative:page;mso-height-relative:page;" fillcolor="#FFFFFF" filled="t" stroked="t" coordsize="21600,21600" o:gfxdata="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NdQmnfYAAAA&#10;CQEAAA8AAAAAAAAAAQAgAAAAIgAAAGRycy9kb3ducmV2LnhtbFBLAQIUABQAAAAIAIdO4kAeV1YB&#10;HQIAAF0EAAAOAAAAAAAAAAEAIAAAACc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分割</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32992" behindDoc="0" locked="0" layoutInCell="1" allowOverlap="1">
                <wp:simplePos x="0" y="0"/>
                <wp:positionH relativeFrom="column">
                  <wp:posOffset>2543175</wp:posOffset>
                </wp:positionH>
                <wp:positionV relativeFrom="paragraph">
                  <wp:posOffset>323215</wp:posOffset>
                </wp:positionV>
                <wp:extent cx="533400" cy="256540"/>
                <wp:effectExtent l="4445" t="4445" r="14605" b="5715"/>
                <wp:wrapNone/>
                <wp:docPr id="283" name="文本框 283"/>
                <wp:cNvGraphicFramePr/>
                <a:graphic xmlns:a="http://schemas.openxmlformats.org/drawingml/2006/main">
                  <a:graphicData uri="http://schemas.microsoft.com/office/word/2010/wordprocessingShape">
                    <wps:wsp>
                      <wps:cNvSpPr txBox="1"/>
                      <wps:spPr>
                        <a:xfrm>
                          <a:off x="0" y="0"/>
                          <a:ext cx="5334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计量</w:t>
                            </w:r>
                          </w:p>
                        </w:txbxContent>
                      </wps:txbx>
                      <wps:bodyPr lIns="0" tIns="0" rIns="0" bIns="0" upright="1"/>
                    </wps:wsp>
                  </a:graphicData>
                </a:graphic>
              </wp:anchor>
            </w:drawing>
          </mc:Choice>
          <mc:Fallback>
            <w:pict>
              <v:shape id="_x0000_s1026" o:spid="_x0000_s1026" o:spt="202" type="#_x0000_t202" style="position:absolute;left:0pt;margin-left:200.25pt;margin-top:25.45pt;height:20.2pt;width:42pt;z-index:251732992;mso-width-relative:page;mso-height-relative:page;" fillcolor="#FFFFFF" filled="t" stroked="t" coordsize="21600,21600" o:gfxdata="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W69DbYAAAA&#10;CQEAAA8AAAAAAAAAAQAgAAAAIgAAAGRycy9kb3ducmV2LnhtbFBLAQIUABQAAAAIAIdO4kAMQM2/&#10;HQIAAF0EAAAOAAAAAAAAAAEAIAAAACc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计量</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43232" behindDoc="0" locked="0" layoutInCell="1" allowOverlap="1">
                <wp:simplePos x="0" y="0"/>
                <wp:positionH relativeFrom="column">
                  <wp:posOffset>590550</wp:posOffset>
                </wp:positionH>
                <wp:positionV relativeFrom="paragraph">
                  <wp:posOffset>441325</wp:posOffset>
                </wp:positionV>
                <wp:extent cx="323850" cy="0"/>
                <wp:effectExtent l="0" t="25400" r="0" b="31750"/>
                <wp:wrapNone/>
                <wp:docPr id="285" name="直接连接符 285"/>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46.5pt;margin-top:34.75pt;height:0pt;width:25.5pt;z-index:251743232;mso-width-relative:page;mso-height-relative:page;" filled="f" stroked="t" coordsize="21600,21600" o:gfxdata="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nqV1nUAAAACAEAAA8AAAAAAAAAAQAgAAAAIgAAAGRycy9kb3ducmV2&#10;LnhtbFBLAQIUABQAAAAIAIdO4kC5TkmtAAIAAOgDAAAOAAAAAAAAAAEAIAAAACMBAABkcnMvZTJv&#10;RG9jLnhtbFBLBQYAAAAABgAGAFkBAACV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39136" behindDoc="0" locked="0" layoutInCell="1" allowOverlap="1">
                <wp:simplePos x="0" y="0"/>
                <wp:positionH relativeFrom="column">
                  <wp:posOffset>3914775</wp:posOffset>
                </wp:positionH>
                <wp:positionV relativeFrom="paragraph">
                  <wp:posOffset>445135</wp:posOffset>
                </wp:positionV>
                <wp:extent cx="323850" cy="0"/>
                <wp:effectExtent l="0" t="25400" r="0" b="31750"/>
                <wp:wrapNone/>
                <wp:docPr id="287" name="直接连接符 287"/>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08.25pt;margin-top:35.05pt;height:0pt;width:25.5pt;z-index:251739136;mso-width-relative:page;mso-height-relative:page;" filled="f" stroked="t" coordsize="21600,21600" o:gfxdata="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KFcWA1AAAAAkBAAAPAAAAAAAAAAEAIAAAACIAAABkcnMvZG93bnJl&#10;di54bWxQSwECFAAUAAAACACHTuJAg1GG5AECAADoAwAADgAAAAAAAAABACAAAAAj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35040" behindDoc="0" locked="0" layoutInCell="1" allowOverlap="1">
                <wp:simplePos x="0" y="0"/>
                <wp:positionH relativeFrom="column">
                  <wp:posOffset>4229100</wp:posOffset>
                </wp:positionH>
                <wp:positionV relativeFrom="paragraph">
                  <wp:posOffset>327025</wp:posOffset>
                </wp:positionV>
                <wp:extent cx="754380" cy="256540"/>
                <wp:effectExtent l="4445" t="4445" r="22225" b="5715"/>
                <wp:wrapNone/>
                <wp:docPr id="289" name="文本框 289"/>
                <wp:cNvGraphicFramePr/>
                <a:graphic xmlns:a="http://schemas.openxmlformats.org/drawingml/2006/main">
                  <a:graphicData uri="http://schemas.microsoft.com/office/word/2010/wordprocessingShape">
                    <wps:wsp>
                      <wps:cNvSpPr txBox="1"/>
                      <wps:spPr>
                        <a:xfrm>
                          <a:off x="0" y="0"/>
                          <a:ext cx="75438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冷库</w:t>
                            </w:r>
                          </w:p>
                        </w:txbxContent>
                      </wps:txbx>
                      <wps:bodyPr lIns="0" tIns="0" rIns="0" bIns="0" upright="1"/>
                    </wps:wsp>
                  </a:graphicData>
                </a:graphic>
              </wp:anchor>
            </w:drawing>
          </mc:Choice>
          <mc:Fallback>
            <w:pict>
              <v:shape id="_x0000_s1026" o:spid="_x0000_s1026" o:spt="202" type="#_x0000_t202" style="position:absolute;left:0pt;margin-left:333pt;margin-top:25.75pt;height:20.2pt;width:59.4pt;z-index:251735040;mso-width-relative:page;mso-height-relative:page;" fillcolor="#FFFFFF" filled="t" stroked="t" coordsize="21600,21600" o:gfxdata="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ALEn/tkA&#10;AAAJAQAADwAAAAAAAAABACAAAAAiAAAAZHJzL2Rvd25yZXYueG1sUEsBAhQAFAAAAAgAh07iQNVG&#10;SGoeAgAAXQQAAA4AAAAAAAAAAQAgAAAAKAEAAGRycy9lMm9Eb2MueG1sUEsFBgAAAAAGAAYAWQEA&#10;ALgF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冷库</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36064" behindDoc="0" locked="0" layoutInCell="1" allowOverlap="1">
                <wp:simplePos x="0" y="0"/>
                <wp:positionH relativeFrom="column">
                  <wp:posOffset>3381375</wp:posOffset>
                </wp:positionH>
                <wp:positionV relativeFrom="paragraph">
                  <wp:posOffset>304165</wp:posOffset>
                </wp:positionV>
                <wp:extent cx="542925" cy="256540"/>
                <wp:effectExtent l="4445" t="4445" r="5080" b="5715"/>
                <wp:wrapNone/>
                <wp:docPr id="291" name="文本框 291"/>
                <wp:cNvGraphicFramePr/>
                <a:graphic xmlns:a="http://schemas.openxmlformats.org/drawingml/2006/main">
                  <a:graphicData uri="http://schemas.microsoft.com/office/word/2010/wordprocessingShape">
                    <wps:wsp>
                      <wps:cNvSpPr txBox="1"/>
                      <wps:spPr>
                        <a:xfrm>
                          <a:off x="0" y="0"/>
                          <a:ext cx="54292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包装</w:t>
                            </w:r>
                          </w:p>
                        </w:txbxContent>
                      </wps:txbx>
                      <wps:bodyPr lIns="0" tIns="0" rIns="0" bIns="0" upright="1"/>
                    </wps:wsp>
                  </a:graphicData>
                </a:graphic>
              </wp:anchor>
            </w:drawing>
          </mc:Choice>
          <mc:Fallback>
            <w:pict>
              <v:shape id="_x0000_s1026" o:spid="_x0000_s1026" o:spt="202" type="#_x0000_t202" style="position:absolute;left:0pt;margin-left:266.25pt;margin-top:23.95pt;height:20.2pt;width:42.75pt;z-index:251736064;mso-width-relative:page;mso-height-relative:page;" fillcolor="#FFFFFF" filled="t" stroked="t" coordsize="21600,21600" o:gfxdata="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1B/ks2QAA&#10;AAkBAAAPAAAAAAAAAAEAIAAAACIAAABkcnMvZG93bnJldi54bWxQSwECFAAUAAAACACHTuJAHo5r&#10;OB0CAABdBAAADgAAAAAAAAABACAAAAAoAQAAZHJzL2Uyb0RvYy54bWxQSwUGAAAAAAYABgBZAQAA&#10;twU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包装</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42208" behindDoc="0" locked="0" layoutInCell="1" allowOverlap="1">
                <wp:simplePos x="0" y="0"/>
                <wp:positionH relativeFrom="column">
                  <wp:posOffset>1390650</wp:posOffset>
                </wp:positionH>
                <wp:positionV relativeFrom="paragraph">
                  <wp:posOffset>441325</wp:posOffset>
                </wp:positionV>
                <wp:extent cx="323850" cy="0"/>
                <wp:effectExtent l="0" t="25400" r="0" b="31750"/>
                <wp:wrapNone/>
                <wp:docPr id="293" name="直接连接符 293"/>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09.5pt;margin-top:34.75pt;height:0pt;width:25.5pt;z-index:251742208;mso-width-relative:page;mso-height-relative:page;" filled="f" stroked="t" coordsize="21600,21600" o:gfxdata="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8n+QtUAAAAJAQAADwAAAAAAAAABACAAAAAiAAAAZHJzL2Rvd25y&#10;ZXYueG1sUEsBAhQAFAAAAAgAh07iQIFngvk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776000" behindDoc="0" locked="0" layoutInCell="1" allowOverlap="1">
                <wp:simplePos x="0" y="0"/>
                <wp:positionH relativeFrom="column">
                  <wp:posOffset>4591050</wp:posOffset>
                </wp:positionH>
                <wp:positionV relativeFrom="paragraph">
                  <wp:posOffset>268605</wp:posOffset>
                </wp:positionV>
                <wp:extent cx="635" cy="276860"/>
                <wp:effectExtent l="24765" t="0" r="31750" b="8890"/>
                <wp:wrapNone/>
                <wp:docPr id="295" name="直接连接符 295"/>
                <wp:cNvGraphicFramePr/>
                <a:graphic xmlns:a="http://schemas.openxmlformats.org/drawingml/2006/main">
                  <a:graphicData uri="http://schemas.microsoft.com/office/word/2010/wordprocessingShape">
                    <wps:wsp>
                      <wps:cNvCnPr/>
                      <wps:spPr>
                        <a:xfrm>
                          <a:off x="0" y="0"/>
                          <a:ext cx="635" cy="27686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361.5pt;margin-top:21.15pt;height:21.8pt;width:0.05pt;z-index:251776000;mso-width-relative:page;mso-height-relative:page;" filled="f" stroked="t" coordsize="21600,21600" o:gfxdata="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DN8r9YAAAAJAQAADwAAAAAAAAABACAAAAAiAAAAZHJzL2Rv&#10;d25yZXYueG1sUEsBAhQAFAAAAAgAh07iQK4/khoDAgAA6gMAAA4AAAAAAAAAAQAgAAAAJQEAAGRy&#10;cy9lMm9Eb2MueG1sUEsFBgAAAAAGAAYAWQEAAJoFAAAAAA==&#10;">
                <v:fill on="f" focussize="0,0"/>
                <v:stroke color="#000000" joinstyle="round" endarrow="classic" endarrowwidth="narrow" endarrowlength="long"/>
                <v:imagedata o:title=""/>
                <o:lock v:ext="edit" aspectratio="f"/>
              </v:lin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777024" behindDoc="0" locked="0" layoutInCell="1" allowOverlap="1">
                <wp:simplePos x="0" y="0"/>
                <wp:positionH relativeFrom="column">
                  <wp:posOffset>4400550</wp:posOffset>
                </wp:positionH>
                <wp:positionV relativeFrom="paragraph">
                  <wp:posOffset>212090</wp:posOffset>
                </wp:positionV>
                <wp:extent cx="466725" cy="251460"/>
                <wp:effectExtent l="0" t="0" r="0" b="0"/>
                <wp:wrapNone/>
                <wp:docPr id="299" name="文本框 299"/>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eastAsia="黑体"/>
                                <w:lang w:val="en-US" w:eastAsia="zh-CN"/>
                              </w:rPr>
                            </w:pPr>
                            <w:r>
                              <w:rPr>
                                <w:rFonts w:hint="eastAsia"/>
                                <w:lang w:val="en-US" w:eastAsia="zh-CN"/>
                              </w:rPr>
                              <w:t>N</w:t>
                            </w:r>
                            <w:r>
                              <w:rPr>
                                <w:rFonts w:hint="eastAsia"/>
                                <w:b/>
                                <w:i/>
                                <w:vertAlign w:val="subscript"/>
                              </w:rPr>
                              <w:t>1-</w:t>
                            </w:r>
                            <w:r>
                              <w:rPr>
                                <w:rFonts w:hint="eastAsia"/>
                                <w:b/>
                                <w:i/>
                                <w:vertAlign w:val="subscript"/>
                                <w:lang w:val="en-US" w:eastAsia="zh-CN"/>
                              </w:rPr>
                              <w:t>4</w:t>
                            </w:r>
                          </w:p>
                        </w:txbxContent>
                      </wps:txbx>
                      <wps:bodyPr lIns="0" tIns="0" rIns="0" bIns="0" upright="1"/>
                    </wps:wsp>
                  </a:graphicData>
                </a:graphic>
              </wp:anchor>
            </w:drawing>
          </mc:Choice>
          <mc:Fallback>
            <w:pict>
              <v:shape id="_x0000_s1026" o:spid="_x0000_s1026" o:spt="202" type="#_x0000_t202" style="position:absolute;left:0pt;margin-left:346.5pt;margin-top:16.7pt;height:19.8pt;width:36.75pt;z-index:251777024;mso-width-relative:page;mso-height-relative:page;" filled="f" stroked="f" coordsize="21600,21600" o:gfxdata="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fFRkz2AAAAAkBAAAPAAAAAAAAAAEAIAAAACIAAABkcnMvZG93bnJldi54bWxQ&#10;SwECFAAUAAAACACHTuJA/e8sXb4BAAB1AwAADgAAAAAAAAABACAAAAAnAQAAZHJzL2Uyb0RvYy54&#10;bWxQSwUGAAAAAAYABgBZAQAAVwUAAAAA&#10;">
                <v:fill on="f" focussize="0,0"/>
                <v:stroke on="f"/>
                <v:imagedata o:title=""/>
                <o:lock v:ext="edit" aspectratio="f"/>
                <v:textbox inset="0mm,0mm,0mm,0mm">
                  <w:txbxContent>
                    <w:p>
                      <w:pPr>
                        <w:pStyle w:val="15"/>
                        <w:snapToGrid w:val="0"/>
                        <w:jc w:val="center"/>
                        <w:rPr>
                          <w:rFonts w:hint="eastAsia" w:eastAsia="黑体"/>
                          <w:lang w:val="en-US" w:eastAsia="zh-CN"/>
                        </w:rPr>
                      </w:pPr>
                      <w:r>
                        <w:rPr>
                          <w:rFonts w:hint="eastAsia"/>
                          <w:lang w:val="en-US" w:eastAsia="zh-CN"/>
                        </w:rPr>
                        <w:t>N</w:t>
                      </w:r>
                      <w:r>
                        <w:rPr>
                          <w:rFonts w:hint="eastAsia"/>
                          <w:b/>
                          <w:i/>
                          <w:vertAlign w:val="subscript"/>
                        </w:rPr>
                        <w:t>1-</w:t>
                      </w:r>
                      <w:r>
                        <w:rPr>
                          <w:rFonts w:hint="eastAsia"/>
                          <w:b/>
                          <w:i/>
                          <w:vertAlign w:val="subscript"/>
                          <w:lang w:val="en-US" w:eastAsia="zh-CN"/>
                        </w:rPr>
                        <w:t>4</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70880" behindDoc="0" locked="0" layoutInCell="1" allowOverlap="1">
                <wp:simplePos x="0" y="0"/>
                <wp:positionH relativeFrom="column">
                  <wp:posOffset>1263650</wp:posOffset>
                </wp:positionH>
                <wp:positionV relativeFrom="paragraph">
                  <wp:posOffset>208280</wp:posOffset>
                </wp:positionV>
                <wp:extent cx="466725" cy="251460"/>
                <wp:effectExtent l="0" t="0" r="0" b="0"/>
                <wp:wrapNone/>
                <wp:docPr id="301" name="文本框 301"/>
                <wp:cNvGraphicFramePr/>
                <a:graphic xmlns:a="http://schemas.openxmlformats.org/drawingml/2006/main">
                  <a:graphicData uri="http://schemas.microsoft.com/office/word/2010/wordprocessingShape">
                    <wps:wsp>
                      <wps:cNvSpPr txBox="1"/>
                      <wps:spPr>
                        <a:xfrm>
                          <a:off x="0" y="0"/>
                          <a:ext cx="466725" cy="251460"/>
                        </a:xfrm>
                        <a:prstGeom prst="rect">
                          <a:avLst/>
                        </a:prstGeom>
                        <a:noFill/>
                        <a:ln>
                          <a:noFill/>
                        </a:ln>
                      </wps:spPr>
                      <wps:txbx>
                        <w:txbxContent>
                          <w:p>
                            <w:pPr>
                              <w:pStyle w:val="15"/>
                              <w:snapToGrid w:val="0"/>
                              <w:jc w:val="center"/>
                              <w:rPr>
                                <w:rFonts w:hint="eastAsia"/>
                              </w:rPr>
                            </w:pPr>
                            <w:r>
                              <w:rPr>
                                <w:rFonts w:hint="eastAsia"/>
                              </w:rPr>
                              <w:t>W</w:t>
                            </w:r>
                            <w:r>
                              <w:rPr>
                                <w:rFonts w:hint="eastAsia"/>
                                <w:b/>
                                <w:i/>
                                <w:vertAlign w:val="subscript"/>
                              </w:rPr>
                              <w:t>1-13</w:t>
                            </w:r>
                          </w:p>
                        </w:txbxContent>
                      </wps:txbx>
                      <wps:bodyPr lIns="0" tIns="0" rIns="0" bIns="0" upright="1"/>
                    </wps:wsp>
                  </a:graphicData>
                </a:graphic>
              </wp:anchor>
            </w:drawing>
          </mc:Choice>
          <mc:Fallback>
            <w:pict>
              <v:shape id="_x0000_s1026" o:spid="_x0000_s1026" o:spt="202" type="#_x0000_t202" style="position:absolute;left:0pt;margin-left:99.5pt;margin-top:16.4pt;height:19.8pt;width:36.75pt;z-index:251770880;mso-width-relative:page;mso-height-relative:page;" filled="f" stroked="f" coordsize="21600,21600" o:gfxdata="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hroCa2AAAAAkBAAAPAAAAAAAAAAEAIAAAACIAAABkcnMvZG93bnJldi54bWxQ&#10;SwECFAAUAAAACACHTuJA/BGimb4BAAB1AwAADgAAAAAAAAABACAAAAAnAQAAZHJzL2Uyb0RvYy54&#10;bWxQSwUGAAAAAAYABgBZAQAAVwUAAAAA&#10;">
                <v:fill on="f" focussize="0,0"/>
                <v:stroke on="f"/>
                <v:imagedata o:title=""/>
                <o:lock v:ext="edit" aspectratio="f"/>
                <v:textbox inset="0mm,0mm,0mm,0mm">
                  <w:txbxContent>
                    <w:p>
                      <w:pPr>
                        <w:pStyle w:val="15"/>
                        <w:snapToGrid w:val="0"/>
                        <w:jc w:val="center"/>
                        <w:rPr>
                          <w:rFonts w:hint="eastAsia"/>
                        </w:rPr>
                      </w:pPr>
                      <w:r>
                        <w:rPr>
                          <w:rFonts w:hint="eastAsia"/>
                        </w:rPr>
                        <w:t>W</w:t>
                      </w:r>
                      <w:r>
                        <w:rPr>
                          <w:rFonts w:hint="eastAsia"/>
                          <w:b/>
                          <w:i/>
                          <w:vertAlign w:val="subscript"/>
                        </w:rPr>
                        <w:t>1-13</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99200" behindDoc="0" locked="0" layoutInCell="1" allowOverlap="1">
                <wp:simplePos x="0" y="0"/>
                <wp:positionH relativeFrom="column">
                  <wp:posOffset>47625</wp:posOffset>
                </wp:positionH>
                <wp:positionV relativeFrom="paragraph">
                  <wp:posOffset>114935</wp:posOffset>
                </wp:positionV>
                <wp:extent cx="933450" cy="396240"/>
                <wp:effectExtent l="4445" t="4445" r="14605" b="18415"/>
                <wp:wrapNone/>
                <wp:docPr id="303" name="文本框 303"/>
                <wp:cNvGraphicFramePr/>
                <a:graphic xmlns:a="http://schemas.openxmlformats.org/drawingml/2006/main">
                  <a:graphicData uri="http://schemas.microsoft.com/office/word/2010/wordprocessingShape">
                    <wps:wsp>
                      <wps:cNvSpPr txBox="1"/>
                      <wps:spPr>
                        <a:xfrm>
                          <a:off x="0" y="0"/>
                          <a:ext cx="933450" cy="3962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280" w:lineRule="exact"/>
                              <w:jc w:val="center"/>
                              <w:rPr>
                                <w:rFonts w:hint="eastAsia"/>
                                <w:sz w:val="21"/>
                                <w:szCs w:val="21"/>
                              </w:rPr>
                            </w:pPr>
                            <w:r>
                              <w:rPr>
                                <w:rFonts w:hint="eastAsia"/>
                                <w:sz w:val="21"/>
                                <w:szCs w:val="21"/>
                              </w:rPr>
                              <w:t>屠宰车间地</w:t>
                            </w:r>
                          </w:p>
                          <w:p>
                            <w:pPr>
                              <w:pStyle w:val="15"/>
                              <w:snapToGrid w:val="0"/>
                              <w:spacing w:line="280" w:lineRule="exact"/>
                              <w:jc w:val="center"/>
                              <w:rPr>
                                <w:rFonts w:hint="eastAsia"/>
                                <w:sz w:val="21"/>
                                <w:szCs w:val="21"/>
                              </w:rPr>
                            </w:pPr>
                            <w:r>
                              <w:rPr>
                                <w:rFonts w:hint="eastAsia"/>
                                <w:sz w:val="21"/>
                                <w:szCs w:val="21"/>
                              </w:rPr>
                              <w:t>面、设备冲洗</w:t>
                            </w:r>
                          </w:p>
                        </w:txbxContent>
                      </wps:txbx>
                      <wps:bodyPr lIns="0" tIns="0" rIns="0" bIns="0" upright="1"/>
                    </wps:wsp>
                  </a:graphicData>
                </a:graphic>
              </wp:anchor>
            </w:drawing>
          </mc:Choice>
          <mc:Fallback>
            <w:pict>
              <v:shape id="_x0000_s1026" o:spid="_x0000_s1026" o:spt="202" type="#_x0000_t202" style="position:absolute;left:0pt;margin-left:3.75pt;margin-top:9.05pt;height:31.2pt;width:73.5pt;z-index:251699200;mso-width-relative:page;mso-height-relative:page;" fillcolor="#FFFFFF" filled="t" stroked="t" coordsize="21600,21600" o:gfxdata="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lwx6jtQAAAAHAQAA&#10;DwAAAAAAAAABACAAAAAiAAAAZHJzL2Rvd25yZXYueG1sUEsBAhQAFAAAAAgAh07iQD9M3CMdAgAA&#10;XQQAAA4AAAAAAAAAAQAgAAAAIwEAAGRycy9lMm9Eb2MueG1sUEsFBgAAAAAGAAYAWQEAALIFAAAA&#10;AA==&#10;">
                <v:fill on="t" focussize="0,0"/>
                <v:stroke color="#000000" joinstyle="miter"/>
                <v:imagedata o:title=""/>
                <o:lock v:ext="edit" aspectratio="f"/>
                <v:textbox inset="0mm,0mm,0mm,0mm">
                  <w:txbxContent>
                    <w:p>
                      <w:pPr>
                        <w:pStyle w:val="15"/>
                        <w:snapToGrid w:val="0"/>
                        <w:spacing w:line="280" w:lineRule="exact"/>
                        <w:jc w:val="center"/>
                        <w:rPr>
                          <w:rFonts w:hint="eastAsia"/>
                          <w:sz w:val="21"/>
                          <w:szCs w:val="21"/>
                        </w:rPr>
                      </w:pPr>
                      <w:r>
                        <w:rPr>
                          <w:rFonts w:hint="eastAsia"/>
                          <w:sz w:val="21"/>
                          <w:szCs w:val="21"/>
                        </w:rPr>
                        <w:t>屠宰车间地</w:t>
                      </w:r>
                    </w:p>
                    <w:p>
                      <w:pPr>
                        <w:pStyle w:val="15"/>
                        <w:snapToGrid w:val="0"/>
                        <w:spacing w:line="280" w:lineRule="exact"/>
                        <w:jc w:val="center"/>
                        <w:rPr>
                          <w:rFonts w:hint="eastAsia"/>
                          <w:sz w:val="21"/>
                          <w:szCs w:val="21"/>
                        </w:rPr>
                      </w:pPr>
                      <w:r>
                        <w:rPr>
                          <w:rFonts w:hint="eastAsia"/>
                          <w:sz w:val="21"/>
                          <w:szCs w:val="21"/>
                        </w:rPr>
                        <w:t>面、设备冲洗</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71904" behindDoc="0" locked="0" layoutInCell="1" allowOverlap="1">
                <wp:simplePos x="0" y="0"/>
                <wp:positionH relativeFrom="column">
                  <wp:posOffset>2427605</wp:posOffset>
                </wp:positionH>
                <wp:positionV relativeFrom="paragraph">
                  <wp:posOffset>86995</wp:posOffset>
                </wp:positionV>
                <wp:extent cx="1858010" cy="251460"/>
                <wp:effectExtent l="0" t="0" r="0" b="0"/>
                <wp:wrapNone/>
                <wp:docPr id="305" name="文本框 305"/>
                <wp:cNvGraphicFramePr/>
                <a:graphic xmlns:a="http://schemas.openxmlformats.org/drawingml/2006/main">
                  <a:graphicData uri="http://schemas.microsoft.com/office/word/2010/wordprocessingShape">
                    <wps:wsp>
                      <wps:cNvSpPr txBox="1"/>
                      <wps:spPr>
                        <a:xfrm>
                          <a:off x="0" y="0"/>
                          <a:ext cx="1858010" cy="251460"/>
                        </a:xfrm>
                        <a:prstGeom prst="rect">
                          <a:avLst/>
                        </a:prstGeom>
                        <a:noFill/>
                        <a:ln>
                          <a:noFill/>
                        </a:ln>
                      </wps:spPr>
                      <wps:txbx>
                        <w:txbxContent>
                          <w:p>
                            <w:pPr>
                              <w:pStyle w:val="15"/>
                              <w:snapToGrid w:val="0"/>
                              <w:jc w:val="center"/>
                              <w:rPr>
                                <w:rFonts w:hint="eastAsia"/>
                              </w:rPr>
                            </w:pPr>
                            <w:r>
                              <w:rPr>
                                <w:rFonts w:hint="eastAsia"/>
                              </w:rPr>
                              <w:t>G</w:t>
                            </w:r>
                            <w:r>
                              <w:rPr>
                                <w:rFonts w:hint="eastAsia"/>
                                <w:b/>
                                <w:i/>
                                <w:vertAlign w:val="subscript"/>
                              </w:rPr>
                              <w:t>1-</w:t>
                            </w:r>
                            <w:r>
                              <w:rPr>
                                <w:rFonts w:hint="eastAsia"/>
                                <w:b/>
                                <w:i/>
                                <w:vertAlign w:val="subscript"/>
                                <w:lang w:val="en-US" w:eastAsia="zh-CN"/>
                              </w:rPr>
                              <w:t>3</w:t>
                            </w:r>
                            <w:r>
                              <w:rPr>
                                <w:rFonts w:hint="eastAsia"/>
                                <w:b/>
                                <w:i/>
                                <w:vertAlign w:val="subscript"/>
                                <w:lang w:val="en-US"/>
                              </w:rPr>
                              <w:t>、</w:t>
                            </w:r>
                            <w:r>
                              <w:rPr>
                                <w:rFonts w:hint="eastAsia"/>
                              </w:rPr>
                              <w:t>W</w:t>
                            </w:r>
                            <w:r>
                              <w:rPr>
                                <w:rFonts w:hint="eastAsia"/>
                                <w:b/>
                                <w:i/>
                                <w:vertAlign w:val="subscript"/>
                              </w:rPr>
                              <w:t>1-1</w:t>
                            </w:r>
                            <w:r>
                              <w:rPr>
                                <w:rFonts w:hint="eastAsia"/>
                                <w:b/>
                                <w:i/>
                                <w:vertAlign w:val="subscript"/>
                                <w:lang w:val="en-US" w:eastAsia="zh-CN"/>
                              </w:rPr>
                              <w:t>4</w:t>
                            </w:r>
                            <w:r>
                              <w:rPr>
                                <w:rFonts w:hint="eastAsia"/>
                                <w:b/>
                                <w:i/>
                                <w:vertAlign w:val="subscript"/>
                                <w:lang w:val="en-US"/>
                              </w:rPr>
                              <w:t>、</w:t>
                            </w:r>
                            <w:r>
                              <w:rPr>
                                <w:rFonts w:hint="eastAsia"/>
                              </w:rPr>
                              <w:t>N</w:t>
                            </w:r>
                            <w:r>
                              <w:rPr>
                                <w:rFonts w:hint="eastAsia"/>
                                <w:b/>
                                <w:i/>
                                <w:vertAlign w:val="subscript"/>
                              </w:rPr>
                              <w:t>1-</w:t>
                            </w:r>
                            <w:r>
                              <w:rPr>
                                <w:rFonts w:hint="eastAsia"/>
                                <w:b/>
                                <w:i/>
                                <w:vertAlign w:val="subscript"/>
                                <w:lang w:val="en-US"/>
                              </w:rPr>
                              <w:t>3</w:t>
                            </w:r>
                            <w:r>
                              <w:rPr>
                                <w:rFonts w:hint="eastAsia"/>
                                <w:b/>
                                <w:i/>
                                <w:vertAlign w:val="subscript"/>
                              </w:rPr>
                              <w:t>、</w:t>
                            </w:r>
                          </w:p>
                          <w:p>
                            <w:pPr>
                              <w:pStyle w:val="15"/>
                              <w:snapToGrid w:val="0"/>
                              <w:rPr>
                                <w:rFonts w:hint="eastAsia"/>
                              </w:rPr>
                            </w:pPr>
                            <w:r>
                              <w:rPr>
                                <w:rFonts w:hint="eastAsia"/>
                              </w:rPr>
                              <w:t>N</w:t>
                            </w:r>
                            <w:r>
                              <w:rPr>
                                <w:rFonts w:hint="eastAsia"/>
                                <w:b/>
                                <w:i/>
                                <w:vertAlign w:val="subscript"/>
                              </w:rPr>
                              <w:t>1-3</w:t>
                            </w:r>
                          </w:p>
                        </w:txbxContent>
                      </wps:txbx>
                      <wps:bodyPr lIns="0" tIns="0" rIns="0" bIns="0" upright="1"/>
                    </wps:wsp>
                  </a:graphicData>
                </a:graphic>
              </wp:anchor>
            </w:drawing>
          </mc:Choice>
          <mc:Fallback>
            <w:pict>
              <v:shape id="_x0000_s1026" o:spid="_x0000_s1026" o:spt="202" type="#_x0000_t202" style="position:absolute;left:0pt;margin-left:191.15pt;margin-top:6.85pt;height:19.8pt;width:146.3pt;z-index:251771904;mso-width-relative:page;mso-height-relative:page;" filled="f" stroked="f" coordsize="21600,21600" o:gfxdata="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KCyD5rZAAAACQEAAA8AAAAAAAAAAQAgAAAAIgAAAGRycy9kb3ducmV2LnhtbFBL&#10;AQIUABQAAAAIAIdO4kCr0owHvAEAAHYDAAAOAAAAAAAAAAEAIAAAACgBAABkcnMvZTJvRG9jLnht&#10;bFBLBQYAAAAABgAGAFkBAABWBQAAAAA=&#10;">
                <v:fill on="f" focussize="0,0"/>
                <v:stroke on="f"/>
                <v:imagedata o:title=""/>
                <o:lock v:ext="edit" aspectratio="f"/>
                <v:textbox inset="0mm,0mm,0mm,0mm">
                  <w:txbxContent>
                    <w:p>
                      <w:pPr>
                        <w:pStyle w:val="15"/>
                        <w:snapToGrid w:val="0"/>
                        <w:jc w:val="center"/>
                        <w:rPr>
                          <w:rFonts w:hint="eastAsia"/>
                        </w:rPr>
                      </w:pPr>
                      <w:r>
                        <w:rPr>
                          <w:rFonts w:hint="eastAsia"/>
                        </w:rPr>
                        <w:t>G</w:t>
                      </w:r>
                      <w:r>
                        <w:rPr>
                          <w:rFonts w:hint="eastAsia"/>
                          <w:b/>
                          <w:i/>
                          <w:vertAlign w:val="subscript"/>
                        </w:rPr>
                        <w:t>1-</w:t>
                      </w:r>
                      <w:r>
                        <w:rPr>
                          <w:rFonts w:hint="eastAsia"/>
                          <w:b/>
                          <w:i/>
                          <w:vertAlign w:val="subscript"/>
                          <w:lang w:val="en-US" w:eastAsia="zh-CN"/>
                        </w:rPr>
                        <w:t>3</w:t>
                      </w:r>
                      <w:r>
                        <w:rPr>
                          <w:rFonts w:hint="eastAsia"/>
                          <w:b/>
                          <w:i/>
                          <w:vertAlign w:val="subscript"/>
                          <w:lang w:val="en-US"/>
                        </w:rPr>
                        <w:t>、</w:t>
                      </w:r>
                      <w:r>
                        <w:rPr>
                          <w:rFonts w:hint="eastAsia"/>
                        </w:rPr>
                        <w:t>W</w:t>
                      </w:r>
                      <w:r>
                        <w:rPr>
                          <w:rFonts w:hint="eastAsia"/>
                          <w:b/>
                          <w:i/>
                          <w:vertAlign w:val="subscript"/>
                        </w:rPr>
                        <w:t>1-1</w:t>
                      </w:r>
                      <w:r>
                        <w:rPr>
                          <w:rFonts w:hint="eastAsia"/>
                          <w:b/>
                          <w:i/>
                          <w:vertAlign w:val="subscript"/>
                          <w:lang w:val="en-US" w:eastAsia="zh-CN"/>
                        </w:rPr>
                        <w:t>4</w:t>
                      </w:r>
                      <w:r>
                        <w:rPr>
                          <w:rFonts w:hint="eastAsia"/>
                          <w:b/>
                          <w:i/>
                          <w:vertAlign w:val="subscript"/>
                          <w:lang w:val="en-US"/>
                        </w:rPr>
                        <w:t>、</w:t>
                      </w:r>
                      <w:r>
                        <w:rPr>
                          <w:rFonts w:hint="eastAsia"/>
                        </w:rPr>
                        <w:t>N</w:t>
                      </w:r>
                      <w:r>
                        <w:rPr>
                          <w:rFonts w:hint="eastAsia"/>
                          <w:b/>
                          <w:i/>
                          <w:vertAlign w:val="subscript"/>
                        </w:rPr>
                        <w:t>1-</w:t>
                      </w:r>
                      <w:r>
                        <w:rPr>
                          <w:rFonts w:hint="eastAsia"/>
                          <w:b/>
                          <w:i/>
                          <w:vertAlign w:val="subscript"/>
                          <w:lang w:val="en-US"/>
                        </w:rPr>
                        <w:t>3</w:t>
                      </w:r>
                      <w:r>
                        <w:rPr>
                          <w:rFonts w:hint="eastAsia"/>
                          <w:b/>
                          <w:i/>
                          <w:vertAlign w:val="subscript"/>
                        </w:rPr>
                        <w:t>、</w:t>
                      </w:r>
                    </w:p>
                    <w:p>
                      <w:pPr>
                        <w:pStyle w:val="15"/>
                        <w:snapToGrid w:val="0"/>
                        <w:rPr>
                          <w:rFonts w:hint="eastAsia"/>
                        </w:rPr>
                      </w:pPr>
                      <w:r>
                        <w:rPr>
                          <w:rFonts w:hint="eastAsia"/>
                        </w:rPr>
                        <w:t>N</w:t>
                      </w:r>
                      <w:r>
                        <w:rPr>
                          <w:rFonts w:hint="eastAsia"/>
                          <w:b/>
                          <w:i/>
                          <w:vertAlign w:val="subscript"/>
                        </w:rPr>
                        <w:t>1-3</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44256" behindDoc="0" locked="0" layoutInCell="1" allowOverlap="1">
                <wp:simplePos x="0" y="0"/>
                <wp:positionH relativeFrom="column">
                  <wp:posOffset>2492375</wp:posOffset>
                </wp:positionH>
                <wp:positionV relativeFrom="paragraph">
                  <wp:posOffset>211455</wp:posOffset>
                </wp:positionV>
                <wp:extent cx="323850" cy="0"/>
                <wp:effectExtent l="0" t="25400" r="0" b="31750"/>
                <wp:wrapNone/>
                <wp:docPr id="307" name="直接连接符 307"/>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196.25pt;margin-top:16.65pt;height:0pt;width:25.5pt;z-index:251744256;mso-width-relative:page;mso-height-relative:page;" filled="f" stroked="t" coordsize="21600,21600" o:gfxdata="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f+zwvdUAAAAJAQAADwAAAAAAAAABACAAAAAiAAAAZHJzL2Rvd25y&#10;ZXYueG1sUEsBAhQAFAAAAAgAh07iQLRJmPIBAgAA6AMAAA4AAAAAAAAAAQAgAAAAJAEAAGRycy9l&#10;Mm9Eb2MueG1sUEsFBgAAAAAGAAYAWQEAAJcFA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696128" behindDoc="0" locked="0" layoutInCell="1" allowOverlap="1">
                <wp:simplePos x="0" y="0"/>
                <wp:positionH relativeFrom="column">
                  <wp:posOffset>1809750</wp:posOffset>
                </wp:positionH>
                <wp:positionV relativeFrom="paragraph">
                  <wp:posOffset>80645</wp:posOffset>
                </wp:positionV>
                <wp:extent cx="685800" cy="256540"/>
                <wp:effectExtent l="4445" t="4445" r="14605" b="5715"/>
                <wp:wrapNone/>
                <wp:docPr id="308" name="文本框 308"/>
                <wp:cNvGraphicFramePr/>
                <a:graphic xmlns:a="http://schemas.openxmlformats.org/drawingml/2006/main">
                  <a:graphicData uri="http://schemas.microsoft.com/office/word/2010/wordprocessingShape">
                    <wps:wsp>
                      <wps:cNvSpPr txBox="1"/>
                      <wps:spPr>
                        <a:xfrm>
                          <a:off x="0" y="0"/>
                          <a:ext cx="6858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锅炉房</w:t>
                            </w:r>
                          </w:p>
                        </w:txbxContent>
                      </wps:txbx>
                      <wps:bodyPr lIns="0" tIns="0" rIns="0" bIns="0" upright="1"/>
                    </wps:wsp>
                  </a:graphicData>
                </a:graphic>
              </wp:anchor>
            </w:drawing>
          </mc:Choice>
          <mc:Fallback>
            <w:pict>
              <v:shape id="_x0000_s1026" o:spid="_x0000_s1026" o:spt="202" type="#_x0000_t202" style="position:absolute;left:0pt;margin-left:142.5pt;margin-top:6.35pt;height:20.2pt;width:54pt;z-index:251696128;mso-width-relative:page;mso-height-relative:page;" fillcolor="#FFFFFF" filled="t" stroked="t" coordsize="21600,21600" o:gfxdata="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gQOXzYAAAA&#10;CQEAAA8AAAAAAAAAAQAgAAAAIgAAAGRycy9kb3ducmV2LnhtbFBLAQIUABQAAAAIAIdO4kBDZEf4&#10;HQIAAF0EAAAOAAAAAAAAAAEAIAAAACc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锅炉房</w:t>
                      </w:r>
                    </w:p>
                  </w:txbxContent>
                </v:textbox>
              </v:shape>
            </w:pict>
          </mc:Fallback>
        </mc:AlternateContent>
      </w:r>
    </w:p>
    <w:p>
      <w:pPr>
        <w:spacing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0"/>
        </w:rPr>
        <mc:AlternateContent>
          <mc:Choice Requires="wps">
            <w:drawing>
              <wp:anchor distT="0" distB="0" distL="114300" distR="114300" simplePos="0" relativeHeight="251774976" behindDoc="0" locked="0" layoutInCell="1" allowOverlap="1">
                <wp:simplePos x="0" y="0"/>
                <wp:positionH relativeFrom="column">
                  <wp:posOffset>2906395</wp:posOffset>
                </wp:positionH>
                <wp:positionV relativeFrom="paragraph">
                  <wp:posOffset>205105</wp:posOffset>
                </wp:positionV>
                <wp:extent cx="2341245" cy="251460"/>
                <wp:effectExtent l="0" t="0" r="0" b="0"/>
                <wp:wrapNone/>
                <wp:docPr id="312" name="文本框 312"/>
                <wp:cNvGraphicFramePr/>
                <a:graphic xmlns:a="http://schemas.openxmlformats.org/drawingml/2006/main">
                  <a:graphicData uri="http://schemas.microsoft.com/office/word/2010/wordprocessingShape">
                    <wps:wsp>
                      <wps:cNvSpPr txBox="1"/>
                      <wps:spPr>
                        <a:xfrm>
                          <a:off x="0" y="0"/>
                          <a:ext cx="2341245" cy="251460"/>
                        </a:xfrm>
                        <a:prstGeom prst="rect">
                          <a:avLst/>
                        </a:prstGeom>
                        <a:noFill/>
                        <a:ln>
                          <a:noFill/>
                        </a:ln>
                      </wps:spPr>
                      <wps:txbx>
                        <w:txbxContent>
                          <w:p>
                            <w:pPr>
                              <w:pStyle w:val="15"/>
                              <w:snapToGrid w:val="0"/>
                              <w:jc w:val="center"/>
                              <w:rPr>
                                <w:rFonts w:hint="default" w:eastAsia="黑体"/>
                                <w:lang w:val="en-US" w:eastAsia="zh-CN"/>
                              </w:rPr>
                            </w:pPr>
                            <w:r>
                              <w:rPr>
                                <w:rFonts w:hint="eastAsia"/>
                                <w:lang w:val="en-US"/>
                              </w:rPr>
                              <w:t>N</w:t>
                            </w:r>
                            <w:r>
                              <w:rPr>
                                <w:rFonts w:hint="eastAsia"/>
                                <w:b/>
                                <w:bCs/>
                                <w:vertAlign w:val="subscript"/>
                                <w:lang w:val="en-US"/>
                              </w:rPr>
                              <w:t>1-5</w:t>
                            </w:r>
                            <w:r>
                              <w:rPr>
                                <w:rFonts w:hint="eastAsia"/>
                                <w:lang w:val="en-US"/>
                              </w:rPr>
                              <w:t>、N</w:t>
                            </w:r>
                            <w:r>
                              <w:rPr>
                                <w:rFonts w:hint="eastAsia"/>
                                <w:vertAlign w:val="subscript"/>
                                <w:lang w:val="en-US"/>
                              </w:rPr>
                              <w:t>1-</w:t>
                            </w:r>
                            <w:r>
                              <w:rPr>
                                <w:rFonts w:hint="eastAsia"/>
                                <w:b/>
                                <w:bCs/>
                                <w:vertAlign w:val="subscript"/>
                                <w:lang w:val="en-US" w:eastAsia="zh-CN"/>
                              </w:rPr>
                              <w:t>6</w:t>
                            </w:r>
                            <w:r>
                              <w:rPr>
                                <w:rFonts w:hint="eastAsia"/>
                                <w:lang w:val="en-US"/>
                              </w:rPr>
                              <w:t>、</w:t>
                            </w:r>
                            <w:r>
                              <w:rPr>
                                <w:rFonts w:hint="eastAsia"/>
                              </w:rPr>
                              <w:t>G</w:t>
                            </w:r>
                            <w:r>
                              <w:rPr>
                                <w:rFonts w:hint="eastAsia"/>
                                <w:b/>
                                <w:i/>
                                <w:vertAlign w:val="subscript"/>
                              </w:rPr>
                              <w:t>1-</w:t>
                            </w:r>
                            <w:r>
                              <w:rPr>
                                <w:rFonts w:hint="eastAsia"/>
                                <w:b/>
                                <w:i/>
                                <w:vertAlign w:val="subscript"/>
                                <w:lang w:val="en-US" w:eastAsia="zh-CN"/>
                              </w:rPr>
                              <w:t>4</w:t>
                            </w:r>
                            <w:r>
                              <w:rPr>
                                <w:rFonts w:hint="eastAsia"/>
                                <w:b/>
                                <w:i/>
                                <w:vertAlign w:val="baseline"/>
                                <w:lang w:val="en-US" w:eastAsia="zh-CN"/>
                              </w:rPr>
                              <w:t>、S</w:t>
                            </w:r>
                            <w:r>
                              <w:rPr>
                                <w:rFonts w:hint="eastAsia"/>
                                <w:b/>
                                <w:i/>
                                <w:vertAlign w:val="subscript"/>
                                <w:lang w:val="en-US" w:eastAsia="zh-CN"/>
                              </w:rPr>
                              <w:t>1-9</w:t>
                            </w:r>
                            <w:r>
                              <w:rPr>
                                <w:rFonts w:hint="eastAsia"/>
                                <w:b/>
                                <w:i/>
                                <w:vertAlign w:val="baseline"/>
                                <w:lang w:val="en-US" w:eastAsia="zh-CN"/>
                              </w:rPr>
                              <w:t>、S</w:t>
                            </w:r>
                            <w:r>
                              <w:rPr>
                                <w:rFonts w:hint="eastAsia"/>
                                <w:b/>
                                <w:i/>
                                <w:vertAlign w:val="subscript"/>
                                <w:lang w:val="en-US" w:eastAsia="zh-CN"/>
                              </w:rPr>
                              <w:t>1-6</w:t>
                            </w:r>
                          </w:p>
                        </w:txbxContent>
                      </wps:txbx>
                      <wps:bodyPr lIns="0" tIns="0" rIns="0" bIns="0" upright="1"/>
                    </wps:wsp>
                  </a:graphicData>
                </a:graphic>
              </wp:anchor>
            </w:drawing>
          </mc:Choice>
          <mc:Fallback>
            <w:pict>
              <v:shape id="_x0000_s1026" o:spid="_x0000_s1026" o:spt="202" type="#_x0000_t202" style="position:absolute;left:0pt;margin-left:228.85pt;margin-top:16.15pt;height:19.8pt;width:184.35pt;z-index:251774976;mso-width-relative:page;mso-height-relative:page;" filled="f" stroked="f" coordsize="21600,21600" o:gfxdata="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kah6xNkAAAAJAQAADwAAAAAAAAABACAAAAAiAAAAZHJzL2Rvd25yZXYueG1s&#10;UEsBAhQAFAAAAAgAh07iQPyol0u+AQAAdgMAAA4AAAAAAAAAAQAgAAAAKAEAAGRycy9lMm9Eb2Mu&#10;eG1sUEsFBgAAAAAGAAYAWQEAAFgFAAAAAA==&#10;">
                <v:fill on="f" focussize="0,0"/>
                <v:stroke on="f"/>
                <v:imagedata o:title=""/>
                <o:lock v:ext="edit" aspectratio="f"/>
                <v:textbox inset="0mm,0mm,0mm,0mm">
                  <w:txbxContent>
                    <w:p>
                      <w:pPr>
                        <w:pStyle w:val="15"/>
                        <w:snapToGrid w:val="0"/>
                        <w:jc w:val="center"/>
                        <w:rPr>
                          <w:rFonts w:hint="default" w:eastAsia="黑体"/>
                          <w:lang w:val="en-US" w:eastAsia="zh-CN"/>
                        </w:rPr>
                      </w:pPr>
                      <w:r>
                        <w:rPr>
                          <w:rFonts w:hint="eastAsia"/>
                          <w:lang w:val="en-US"/>
                        </w:rPr>
                        <w:t>N</w:t>
                      </w:r>
                      <w:r>
                        <w:rPr>
                          <w:rFonts w:hint="eastAsia"/>
                          <w:b/>
                          <w:bCs/>
                          <w:vertAlign w:val="subscript"/>
                          <w:lang w:val="en-US"/>
                        </w:rPr>
                        <w:t>1-5</w:t>
                      </w:r>
                      <w:r>
                        <w:rPr>
                          <w:rFonts w:hint="eastAsia"/>
                          <w:lang w:val="en-US"/>
                        </w:rPr>
                        <w:t>、N</w:t>
                      </w:r>
                      <w:r>
                        <w:rPr>
                          <w:rFonts w:hint="eastAsia"/>
                          <w:vertAlign w:val="subscript"/>
                          <w:lang w:val="en-US"/>
                        </w:rPr>
                        <w:t>1-</w:t>
                      </w:r>
                      <w:r>
                        <w:rPr>
                          <w:rFonts w:hint="eastAsia"/>
                          <w:b/>
                          <w:bCs/>
                          <w:vertAlign w:val="subscript"/>
                          <w:lang w:val="en-US" w:eastAsia="zh-CN"/>
                        </w:rPr>
                        <w:t>6</w:t>
                      </w:r>
                      <w:r>
                        <w:rPr>
                          <w:rFonts w:hint="eastAsia"/>
                          <w:lang w:val="en-US"/>
                        </w:rPr>
                        <w:t>、</w:t>
                      </w:r>
                      <w:r>
                        <w:rPr>
                          <w:rFonts w:hint="eastAsia"/>
                        </w:rPr>
                        <w:t>G</w:t>
                      </w:r>
                      <w:r>
                        <w:rPr>
                          <w:rFonts w:hint="eastAsia"/>
                          <w:b/>
                          <w:i/>
                          <w:vertAlign w:val="subscript"/>
                        </w:rPr>
                        <w:t>1-</w:t>
                      </w:r>
                      <w:r>
                        <w:rPr>
                          <w:rFonts w:hint="eastAsia"/>
                          <w:b/>
                          <w:i/>
                          <w:vertAlign w:val="subscript"/>
                          <w:lang w:val="en-US" w:eastAsia="zh-CN"/>
                        </w:rPr>
                        <w:t>4</w:t>
                      </w:r>
                      <w:r>
                        <w:rPr>
                          <w:rFonts w:hint="eastAsia"/>
                          <w:b/>
                          <w:i/>
                          <w:vertAlign w:val="baseline"/>
                          <w:lang w:val="en-US" w:eastAsia="zh-CN"/>
                        </w:rPr>
                        <w:t>、S</w:t>
                      </w:r>
                      <w:r>
                        <w:rPr>
                          <w:rFonts w:hint="eastAsia"/>
                          <w:b/>
                          <w:i/>
                          <w:vertAlign w:val="subscript"/>
                          <w:lang w:val="en-US" w:eastAsia="zh-CN"/>
                        </w:rPr>
                        <w:t>1-9</w:t>
                      </w:r>
                      <w:r>
                        <w:rPr>
                          <w:rFonts w:hint="eastAsia"/>
                          <w:b/>
                          <w:i/>
                          <w:vertAlign w:val="baseline"/>
                          <w:lang w:val="en-US" w:eastAsia="zh-CN"/>
                        </w:rPr>
                        <w:t>、S</w:t>
                      </w:r>
                      <w:r>
                        <w:rPr>
                          <w:rFonts w:hint="eastAsia"/>
                          <w:b/>
                          <w:i/>
                          <w:vertAlign w:val="subscript"/>
                          <w:lang w:val="en-US" w:eastAsia="zh-CN"/>
                        </w:rPr>
                        <w:t>1-6</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69856" behindDoc="0" locked="0" layoutInCell="1" allowOverlap="1">
                <wp:simplePos x="0" y="0"/>
                <wp:positionH relativeFrom="column">
                  <wp:posOffset>984250</wp:posOffset>
                </wp:positionH>
                <wp:positionV relativeFrom="paragraph">
                  <wp:posOffset>2540</wp:posOffset>
                </wp:positionV>
                <wp:extent cx="323850" cy="0"/>
                <wp:effectExtent l="0" t="25400" r="0" b="31750"/>
                <wp:wrapNone/>
                <wp:docPr id="313" name="直接连接符 313"/>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77.5pt;margin-top:0.2pt;height:0pt;width:25.5pt;z-index:251769856;mso-width-relative:page;mso-height-relative:page;" filled="f" stroked="t" coordsize="21600,21600" o:gfxdata="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8GmiLRAAAABQEAAA8AAAAAAAAAAQAgAAAAIgAAAGRycy9kb3ducmV2Lnht&#10;bFBLAQIUABQAAAAIAIdO4kC2f5zvAAIAAOgDAAAOAAAAAAAAAAEAIAAAACABAABkcnMvZTJvRG9j&#10;LnhtbFBLBQYAAAAABgAGAFkBAACS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73952" behindDoc="0" locked="0" layoutInCell="1" allowOverlap="1">
                <wp:simplePos x="0" y="0"/>
                <wp:positionH relativeFrom="column">
                  <wp:posOffset>2552065</wp:posOffset>
                </wp:positionH>
                <wp:positionV relativeFrom="paragraph">
                  <wp:posOffset>296545</wp:posOffset>
                </wp:positionV>
                <wp:extent cx="323850" cy="0"/>
                <wp:effectExtent l="0" t="25400" r="0" b="31750"/>
                <wp:wrapNone/>
                <wp:docPr id="311" name="直接连接符 311"/>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00.95pt;margin-top:23.35pt;height:0pt;width:25.5pt;z-index:251773952;mso-width-relative:page;mso-height-relative:page;" filled="f" stroked="t" coordsize="21600,21600" o:gfxdata="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IjtDfjVAAAACQEAAA8AAAAAAAAAAQAgAAAAIgAAAGRycy9kb3ducmV2&#10;LnhtbFBLAQIUABQAAAAIAIdO4kCMYFOm/wEAAOgDAAAOAAAAAAAAAAEAIAAAACQBAABkcnMvZTJv&#10;RG9jLnhtbFBLBQYAAAAABgAGAFkBAACV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72928" behindDoc="0" locked="0" layoutInCell="1" allowOverlap="1">
                <wp:simplePos x="0" y="0"/>
                <wp:positionH relativeFrom="column">
                  <wp:posOffset>1766570</wp:posOffset>
                </wp:positionH>
                <wp:positionV relativeFrom="paragraph">
                  <wp:posOffset>191770</wp:posOffset>
                </wp:positionV>
                <wp:extent cx="774700" cy="256540"/>
                <wp:effectExtent l="4445" t="4445" r="20955" b="5715"/>
                <wp:wrapNone/>
                <wp:docPr id="310" name="文本框 310"/>
                <wp:cNvGraphicFramePr/>
                <a:graphic xmlns:a="http://schemas.openxmlformats.org/drawingml/2006/main">
                  <a:graphicData uri="http://schemas.microsoft.com/office/word/2010/wordprocessingShape">
                    <wps:wsp>
                      <wps:cNvSpPr txBox="1"/>
                      <wps:spPr>
                        <a:xfrm>
                          <a:off x="0" y="0"/>
                          <a:ext cx="7747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eastAsia"/>
                                <w:sz w:val="21"/>
                                <w:szCs w:val="21"/>
                              </w:rPr>
                            </w:pPr>
                            <w:r>
                              <w:rPr>
                                <w:rFonts w:hint="eastAsia"/>
                                <w:sz w:val="21"/>
                                <w:szCs w:val="21"/>
                              </w:rPr>
                              <w:t>污水处理站</w:t>
                            </w:r>
                          </w:p>
                        </w:txbxContent>
                      </wps:txbx>
                      <wps:bodyPr lIns="0" tIns="0" rIns="0" bIns="0" upright="1"/>
                    </wps:wsp>
                  </a:graphicData>
                </a:graphic>
              </wp:anchor>
            </w:drawing>
          </mc:Choice>
          <mc:Fallback>
            <w:pict>
              <v:shape id="_x0000_s1026" o:spid="_x0000_s1026" o:spt="202" type="#_x0000_t202" style="position:absolute;left:0pt;margin-left:139.1pt;margin-top:15.1pt;height:20.2pt;width:61pt;z-index:251772928;mso-width-relative:page;mso-height-relative:page;" fillcolor="#FFFFFF" filled="t" stroked="t" coordsize="21600,21600" o:gfxdata="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SbzMidcAAAAJ&#10;AQAADwAAAAAAAAABACAAAAAiAAAAZHJzL2Rvd25yZXYueG1sUEsBAhQAFAAAAAgAh07iQILsRSwd&#10;AgAAXQQAAA4AAAAAAAAAAQAgAAAAJgEAAGRycy9lMm9Eb2MueG1sUEsFBgAAAAAGAAYAWQEAALUF&#10;AAAAAA==&#10;">
                <v:fill on="t" focussize="0,0"/>
                <v:stroke color="#000000" joinstyle="miter"/>
                <v:imagedata o:title=""/>
                <o:lock v:ext="edit" aspectratio="f"/>
                <v:textbox inset="0mm,0mm,0mm,0mm">
                  <w:txbxContent>
                    <w:p>
                      <w:pPr>
                        <w:pStyle w:val="15"/>
                        <w:snapToGrid w:val="0"/>
                        <w:spacing w:line="340" w:lineRule="exact"/>
                        <w:jc w:val="center"/>
                        <w:rPr>
                          <w:rFonts w:hint="eastAsia"/>
                          <w:sz w:val="21"/>
                          <w:szCs w:val="21"/>
                        </w:rPr>
                      </w:pPr>
                      <w:r>
                        <w:rPr>
                          <w:rFonts w:hint="eastAsia"/>
                          <w:sz w:val="21"/>
                          <w:szCs w:val="21"/>
                        </w:rPr>
                        <w:t>污水处理站</w:t>
                      </w:r>
                    </w:p>
                  </w:txbxContent>
                </v:textbox>
              </v:shape>
            </w:pict>
          </mc:Fallback>
        </mc:AlternateContent>
      </w:r>
    </w:p>
    <w:p>
      <w:pPr>
        <w:spacing w:line="500" w:lineRule="exact"/>
        <w:jc w:val="both"/>
        <w:rPr>
          <w:rFonts w:hint="default" w:ascii="Times New Roman" w:hAnsi="Times New Roman" w:cs="Times New Roman"/>
          <w:color w:val="auto"/>
          <w:szCs w:val="21"/>
        </w:rPr>
      </w:pPr>
      <w:r>
        <w:rPr>
          <w:rFonts w:hint="default" w:ascii="Times New Roman" w:hAnsi="Times New Roman" w:cs="Times New Roman"/>
          <w:color w:val="auto"/>
          <w:sz w:val="20"/>
        </w:rPr>
        <mc:AlternateContent>
          <mc:Choice Requires="wps">
            <w:drawing>
              <wp:anchor distT="0" distB="0" distL="114300" distR="114300" simplePos="0" relativeHeight="251788288" behindDoc="0" locked="0" layoutInCell="1" allowOverlap="1">
                <wp:simplePos x="0" y="0"/>
                <wp:positionH relativeFrom="column">
                  <wp:posOffset>2986405</wp:posOffset>
                </wp:positionH>
                <wp:positionV relativeFrom="paragraph">
                  <wp:posOffset>295275</wp:posOffset>
                </wp:positionV>
                <wp:extent cx="381000" cy="251460"/>
                <wp:effectExtent l="0" t="0" r="0" b="0"/>
                <wp:wrapNone/>
                <wp:docPr id="325" name="文本框 325"/>
                <wp:cNvGraphicFramePr/>
                <a:graphic xmlns:a="http://schemas.openxmlformats.org/drawingml/2006/main">
                  <a:graphicData uri="http://schemas.microsoft.com/office/word/2010/wordprocessingShape">
                    <wps:wsp>
                      <wps:cNvSpPr txBox="1"/>
                      <wps:spPr>
                        <a:xfrm>
                          <a:off x="0" y="0"/>
                          <a:ext cx="381000" cy="251460"/>
                        </a:xfrm>
                        <a:prstGeom prst="rect">
                          <a:avLst/>
                        </a:prstGeom>
                        <a:noFill/>
                        <a:ln>
                          <a:noFill/>
                        </a:ln>
                      </wps:spPr>
                      <wps:txbx>
                        <w:txbxContent>
                          <w:p>
                            <w:pPr>
                              <w:pStyle w:val="15"/>
                              <w:snapToGrid w:val="0"/>
                              <w:jc w:val="both"/>
                              <w:rPr>
                                <w:rFonts w:hint="eastAsia" w:eastAsia="黑体"/>
                                <w:lang w:val="en-US" w:eastAsia="zh-CN"/>
                              </w:rPr>
                            </w:pPr>
                            <w:r>
                              <w:rPr>
                                <w:rFonts w:hint="eastAsia"/>
                              </w:rPr>
                              <w:t>G</w:t>
                            </w:r>
                            <w:r>
                              <w:rPr>
                                <w:rFonts w:hint="eastAsia"/>
                                <w:b/>
                                <w:i/>
                                <w:vertAlign w:val="subscript"/>
                              </w:rPr>
                              <w:t>1-</w:t>
                            </w:r>
                            <w:r>
                              <w:rPr>
                                <w:rFonts w:hint="eastAsia"/>
                                <w:b/>
                                <w:i/>
                                <w:vertAlign w:val="subscript"/>
                                <w:lang w:val="en-US" w:eastAsia="zh-CN"/>
                              </w:rPr>
                              <w:t>5</w:t>
                            </w:r>
                          </w:p>
                        </w:txbxContent>
                      </wps:txbx>
                      <wps:bodyPr lIns="0" tIns="0" rIns="0" bIns="0" upright="1"/>
                    </wps:wsp>
                  </a:graphicData>
                </a:graphic>
              </wp:anchor>
            </w:drawing>
          </mc:Choice>
          <mc:Fallback>
            <w:pict>
              <v:shape id="_x0000_s1026" o:spid="_x0000_s1026" o:spt="202" type="#_x0000_t202" style="position:absolute;left:0pt;margin-left:235.15pt;margin-top:23.25pt;height:19.8pt;width:30pt;z-index:251788288;mso-width-relative:page;mso-height-relative:page;" filled="f" stroked="f" coordsize="21600,21600" o:gfxdata="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yyOJG9gAAAAJAQAADwAAAAAAAAABACAAAAAiAAAAZHJzL2Rvd25yZXYueG1sUEsB&#10;AhQAFAAAAAgAh07iQF7EarW8AQAAdQMAAA4AAAAAAAAAAQAgAAAAJwEAAGRycy9lMm9Eb2MueG1s&#10;UEsFBgAAAAAGAAYAWQEAAFUFAAAAAA==&#10;">
                <v:fill on="f" focussize="0,0"/>
                <v:stroke on="f"/>
                <v:imagedata o:title=""/>
                <o:lock v:ext="edit" aspectratio="f"/>
                <v:textbox inset="0mm,0mm,0mm,0mm">
                  <w:txbxContent>
                    <w:p>
                      <w:pPr>
                        <w:pStyle w:val="15"/>
                        <w:snapToGrid w:val="0"/>
                        <w:jc w:val="both"/>
                        <w:rPr>
                          <w:rFonts w:hint="eastAsia" w:eastAsia="黑体"/>
                          <w:lang w:val="en-US" w:eastAsia="zh-CN"/>
                        </w:rPr>
                      </w:pPr>
                      <w:r>
                        <w:rPr>
                          <w:rFonts w:hint="eastAsia"/>
                        </w:rPr>
                        <w:t>G</w:t>
                      </w:r>
                      <w:r>
                        <w:rPr>
                          <w:rFonts w:hint="eastAsia"/>
                          <w:b/>
                          <w:i/>
                          <w:vertAlign w:val="subscript"/>
                        </w:rPr>
                        <w:t>1-</w:t>
                      </w:r>
                      <w:r>
                        <w:rPr>
                          <w:rFonts w:hint="eastAsia"/>
                          <w:b/>
                          <w:i/>
                          <w:vertAlign w:val="subscript"/>
                          <w:lang w:val="en-US" w:eastAsia="zh-CN"/>
                        </w:rPr>
                        <w:t>5</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86240" behindDoc="0" locked="0" layoutInCell="1" allowOverlap="1">
                <wp:simplePos x="0" y="0"/>
                <wp:positionH relativeFrom="column">
                  <wp:posOffset>1775460</wp:posOffset>
                </wp:positionH>
                <wp:positionV relativeFrom="paragraph">
                  <wp:posOffset>282575</wp:posOffset>
                </wp:positionV>
                <wp:extent cx="793750" cy="256540"/>
                <wp:effectExtent l="4445" t="4445" r="20955" b="5715"/>
                <wp:wrapNone/>
                <wp:docPr id="323" name="文本框 323"/>
                <wp:cNvGraphicFramePr/>
                <a:graphic xmlns:a="http://schemas.openxmlformats.org/drawingml/2006/main">
                  <a:graphicData uri="http://schemas.microsoft.com/office/word/2010/wordprocessingShape">
                    <wps:wsp>
                      <wps:cNvSpPr txBox="1"/>
                      <wps:spPr>
                        <a:xfrm>
                          <a:off x="0" y="0"/>
                          <a:ext cx="79375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default" w:eastAsia="黑体"/>
                                <w:sz w:val="21"/>
                                <w:szCs w:val="21"/>
                                <w:lang w:val="en-US" w:eastAsia="zh-CN"/>
                              </w:rPr>
                            </w:pPr>
                            <w:r>
                              <w:rPr>
                                <w:rFonts w:hint="eastAsia"/>
                                <w:sz w:val="21"/>
                                <w:szCs w:val="21"/>
                                <w:lang w:val="en-US" w:eastAsia="zh-CN"/>
                              </w:rPr>
                              <w:t>柴油储罐</w:t>
                            </w:r>
                          </w:p>
                        </w:txbxContent>
                      </wps:txbx>
                      <wps:bodyPr lIns="0" tIns="0" rIns="0" bIns="0" upright="1"/>
                    </wps:wsp>
                  </a:graphicData>
                </a:graphic>
              </wp:anchor>
            </w:drawing>
          </mc:Choice>
          <mc:Fallback>
            <w:pict>
              <v:shape id="_x0000_s1026" o:spid="_x0000_s1026" o:spt="202" type="#_x0000_t202" style="position:absolute;left:0pt;margin-left:139.8pt;margin-top:22.25pt;height:20.2pt;width:62.5pt;z-index:251786240;mso-width-relative:page;mso-height-relative:page;" fillcolor="#FFFFFF" filled="t" stroked="t" coordsize="21600,21600" o:gfxdata="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5CwgNkA&#10;AAAJAQAADwAAAAAAAAABACAAAAAiAAAAZHJzL2Rvd25yZXYueG1sUEsBAhQAFAAAAAgAh07iQCka&#10;1QseAgAAXQQAAA4AAAAAAAAAAQAgAAAAKAEAAGRycy9lMm9Eb2MueG1sUEsFBgAAAAAGAAYAWQEA&#10;ALgFAAAAAA==&#10;">
                <v:fill on="t" focussize="0,0"/>
                <v:stroke color="#000000" joinstyle="miter"/>
                <v:imagedata o:title=""/>
                <o:lock v:ext="edit" aspectratio="f"/>
                <v:textbox inset="0mm,0mm,0mm,0mm">
                  <w:txbxContent>
                    <w:p>
                      <w:pPr>
                        <w:pStyle w:val="15"/>
                        <w:snapToGrid w:val="0"/>
                        <w:spacing w:line="340" w:lineRule="exact"/>
                        <w:jc w:val="center"/>
                        <w:rPr>
                          <w:rFonts w:hint="default" w:eastAsia="黑体"/>
                          <w:sz w:val="21"/>
                          <w:szCs w:val="21"/>
                          <w:lang w:val="en-US" w:eastAsia="zh-CN"/>
                        </w:rPr>
                      </w:pPr>
                      <w:r>
                        <w:rPr>
                          <w:rFonts w:hint="eastAsia"/>
                          <w:sz w:val="21"/>
                          <w:szCs w:val="21"/>
                          <w:lang w:val="en-US" w:eastAsia="zh-CN"/>
                        </w:rPr>
                        <w:t>柴油储罐</w:t>
                      </w:r>
                    </w:p>
                  </w:txbxContent>
                </v:textbox>
              </v:shape>
            </w:pict>
          </mc:Fallback>
        </mc:AlternateContent>
      </w:r>
    </w:p>
    <w:p>
      <w:pPr>
        <w:pStyle w:val="29"/>
        <w:rPr>
          <w:rFonts w:hint="default" w:ascii="Times New Roman" w:hAnsi="Times New Roman" w:cs="Times New Roman"/>
        </w:rPr>
      </w:pPr>
      <w:r>
        <w:rPr>
          <w:rFonts w:hint="default" w:ascii="Times New Roman" w:hAnsi="Times New Roman" w:cs="Times New Roman"/>
          <w:color w:val="auto"/>
          <w:sz w:val="20"/>
        </w:rPr>
        <mc:AlternateContent>
          <mc:Choice Requires="wps">
            <w:drawing>
              <wp:anchor distT="0" distB="0" distL="114300" distR="114300" simplePos="0" relativeHeight="251787264" behindDoc="0" locked="0" layoutInCell="1" allowOverlap="1">
                <wp:simplePos x="0" y="0"/>
                <wp:positionH relativeFrom="column">
                  <wp:posOffset>2575560</wp:posOffset>
                </wp:positionH>
                <wp:positionV relativeFrom="paragraph">
                  <wp:posOffset>102870</wp:posOffset>
                </wp:positionV>
                <wp:extent cx="323850" cy="0"/>
                <wp:effectExtent l="0" t="25400" r="0" b="31750"/>
                <wp:wrapNone/>
                <wp:docPr id="324" name="直接连接符 324"/>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02.8pt;margin-top:8.1pt;height:0pt;width:25.5pt;z-index:251787264;mso-width-relative:page;mso-height-relative:page;" filled="f" stroked="t" coordsize="21600,21600" o:gfxdata="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IyB+Z1AAAAAkBAAAPAAAAAAAAAAEAIAAAACIAAABkcnMvZG93bnJl&#10;di54bWxQSwECFAAUAAAACACHTuJAvs/1WQECAADoAwAADgAAAAAAAAABACAAAAAjAQAAZHJzL2Uy&#10;b0RvYy54bWxQSwUGAAAAAAYABgBZAQAAlgUAAAAA&#10;">
                <v:fill on="f" focussize="0,0"/>
                <v:stroke color="#000000" joinstyle="round" endarrow="classic" endarrowwidth="narrow" endarrowlength="long"/>
                <v:imagedata o:title=""/>
                <o:lock v:ext="edit" aspectratio="f"/>
              </v:line>
            </w:pict>
          </mc:Fallback>
        </mc:AlternateContent>
      </w:r>
    </w:p>
    <w:p>
      <w:pPr>
        <w:spacing w:line="500" w:lineRule="exact"/>
        <w:jc w:val="center"/>
        <w:rPr>
          <w:rFonts w:hint="default" w:ascii="Times New Roman" w:hAnsi="Times New Roman" w:cs="Times New Roman"/>
          <w:color w:val="auto"/>
          <w:szCs w:val="21"/>
        </w:rPr>
      </w:pPr>
      <w:r>
        <w:rPr>
          <w:rFonts w:hint="default" w:ascii="Times New Roman" w:hAnsi="Times New Roman" w:cs="Times New Roman"/>
          <w:color w:val="auto"/>
          <w:sz w:val="20"/>
        </w:rPr>
        <mc:AlternateContent>
          <mc:Choice Requires="wps">
            <w:drawing>
              <wp:anchor distT="0" distB="0" distL="114300" distR="114300" simplePos="0" relativeHeight="251783168" behindDoc="0" locked="0" layoutInCell="1" allowOverlap="1">
                <wp:simplePos x="0" y="0"/>
                <wp:positionH relativeFrom="column">
                  <wp:posOffset>2798445</wp:posOffset>
                </wp:positionH>
                <wp:positionV relativeFrom="paragraph">
                  <wp:posOffset>69215</wp:posOffset>
                </wp:positionV>
                <wp:extent cx="629285" cy="251460"/>
                <wp:effectExtent l="0" t="0" r="0" b="0"/>
                <wp:wrapNone/>
                <wp:docPr id="318" name="文本框 318"/>
                <wp:cNvGraphicFramePr/>
                <a:graphic xmlns:a="http://schemas.openxmlformats.org/drawingml/2006/main">
                  <a:graphicData uri="http://schemas.microsoft.com/office/word/2010/wordprocessingShape">
                    <wps:wsp>
                      <wps:cNvSpPr txBox="1"/>
                      <wps:spPr>
                        <a:xfrm>
                          <a:off x="0" y="0"/>
                          <a:ext cx="629285" cy="251460"/>
                        </a:xfrm>
                        <a:prstGeom prst="rect">
                          <a:avLst/>
                        </a:prstGeom>
                        <a:noFill/>
                        <a:ln>
                          <a:noFill/>
                        </a:ln>
                      </wps:spPr>
                      <wps:txbx>
                        <w:txbxContent>
                          <w:p>
                            <w:pPr>
                              <w:pStyle w:val="15"/>
                              <w:snapToGrid w:val="0"/>
                              <w:jc w:val="center"/>
                              <w:rPr>
                                <w:rFonts w:hint="eastAsia" w:eastAsia="黑体"/>
                                <w:lang w:val="en-US" w:eastAsia="zh-CN"/>
                              </w:rPr>
                            </w:pPr>
                            <w:r>
                              <w:rPr>
                                <w:rFonts w:hint="eastAsia"/>
                              </w:rPr>
                              <w:t>G</w:t>
                            </w:r>
                            <w:r>
                              <w:rPr>
                                <w:rFonts w:hint="eastAsia"/>
                                <w:b/>
                                <w:i/>
                                <w:vertAlign w:val="subscript"/>
                              </w:rPr>
                              <w:t>1-</w:t>
                            </w:r>
                            <w:r>
                              <w:rPr>
                                <w:rFonts w:hint="eastAsia"/>
                                <w:b/>
                                <w:i/>
                                <w:vertAlign w:val="subscript"/>
                                <w:lang w:val="en-US" w:eastAsia="zh-CN"/>
                              </w:rPr>
                              <w:t>6</w:t>
                            </w:r>
                          </w:p>
                        </w:txbxContent>
                      </wps:txbx>
                      <wps:bodyPr lIns="0" tIns="0" rIns="0" bIns="0" upright="1"/>
                    </wps:wsp>
                  </a:graphicData>
                </a:graphic>
              </wp:anchor>
            </w:drawing>
          </mc:Choice>
          <mc:Fallback>
            <w:pict>
              <v:shape id="_x0000_s1026" o:spid="_x0000_s1026" o:spt="202" type="#_x0000_t202" style="position:absolute;left:0pt;margin-left:220.35pt;margin-top:5.45pt;height:19.8pt;width:49.55pt;z-index:251783168;mso-width-relative:page;mso-height-relative:page;" filled="f" stroked="f" coordsize="21600,21600" o:gfxdata="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4J76HXAAAACQEAAA8AAAAAAAAAAQAgAAAAIgAAAGRycy9kb3ducmV2LnhtbFBL&#10;AQIUABQAAAAIAIdO4kDpa3aLvgEAAHUDAAAOAAAAAAAAAAEAIAAAACYBAABkcnMvZTJvRG9jLnht&#10;bFBLBQYAAAAABgAGAFkBAABWBQAAAAA=&#10;">
                <v:fill on="f" focussize="0,0"/>
                <v:stroke on="f"/>
                <v:imagedata o:title=""/>
                <o:lock v:ext="edit" aspectratio="f"/>
                <v:textbox inset="0mm,0mm,0mm,0mm">
                  <w:txbxContent>
                    <w:p>
                      <w:pPr>
                        <w:pStyle w:val="15"/>
                        <w:snapToGrid w:val="0"/>
                        <w:jc w:val="center"/>
                        <w:rPr>
                          <w:rFonts w:hint="eastAsia" w:eastAsia="黑体"/>
                          <w:lang w:val="en-US" w:eastAsia="zh-CN"/>
                        </w:rPr>
                      </w:pPr>
                      <w:r>
                        <w:rPr>
                          <w:rFonts w:hint="eastAsia"/>
                        </w:rPr>
                        <w:t>G</w:t>
                      </w:r>
                      <w:r>
                        <w:rPr>
                          <w:rFonts w:hint="eastAsia"/>
                          <w:b/>
                          <w:i/>
                          <w:vertAlign w:val="subscript"/>
                        </w:rPr>
                        <w:t>1-</w:t>
                      </w:r>
                      <w:r>
                        <w:rPr>
                          <w:rFonts w:hint="eastAsia"/>
                          <w:b/>
                          <w:i/>
                          <w:vertAlign w:val="subscript"/>
                          <w:lang w:val="en-US" w:eastAsia="zh-CN"/>
                        </w:rPr>
                        <w:t>6</w:t>
                      </w:r>
                    </w:p>
                  </w:txbxContent>
                </v:textbox>
              </v:shap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82144" behindDoc="0" locked="0" layoutInCell="1" allowOverlap="1">
                <wp:simplePos x="0" y="0"/>
                <wp:positionH relativeFrom="column">
                  <wp:posOffset>2590165</wp:posOffset>
                </wp:positionH>
                <wp:positionV relativeFrom="paragraph">
                  <wp:posOffset>194945</wp:posOffset>
                </wp:positionV>
                <wp:extent cx="323850" cy="0"/>
                <wp:effectExtent l="0" t="25400" r="0" b="31750"/>
                <wp:wrapNone/>
                <wp:docPr id="320" name="直接连接符 320"/>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03.95pt;margin-top:15.35pt;height:0pt;width:25.5pt;z-index:251782144;mso-width-relative:page;mso-height-relative:page;" filled="f" stroked="t" coordsize="21600,21600" o:gfxdata="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BGaAcbVAAAACQEAAA8AAAAAAAAAAQAgAAAAIgAAAGRycy9kb3ducmV2&#10;LnhtbFBLAQIUABQAAAAIAIdO4kDK8WvK/wEAAOgDAAAOAAAAAAAAAAEAIAAAACQBAABkcnMvZTJv&#10;RG9jLnhtbFBLBQYAAAAABgAGAFkBAACVBQ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781120" behindDoc="0" locked="0" layoutInCell="1" allowOverlap="1">
                <wp:simplePos x="0" y="0"/>
                <wp:positionH relativeFrom="column">
                  <wp:posOffset>1785620</wp:posOffset>
                </wp:positionH>
                <wp:positionV relativeFrom="paragraph">
                  <wp:posOffset>72390</wp:posOffset>
                </wp:positionV>
                <wp:extent cx="793750" cy="256540"/>
                <wp:effectExtent l="4445" t="4445" r="20955" b="5715"/>
                <wp:wrapNone/>
                <wp:docPr id="319" name="文本框 319"/>
                <wp:cNvGraphicFramePr/>
                <a:graphic xmlns:a="http://schemas.openxmlformats.org/drawingml/2006/main">
                  <a:graphicData uri="http://schemas.microsoft.com/office/word/2010/wordprocessingShape">
                    <wps:wsp>
                      <wps:cNvSpPr txBox="1"/>
                      <wps:spPr>
                        <a:xfrm>
                          <a:off x="0" y="0"/>
                          <a:ext cx="79375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default" w:eastAsia="黑体"/>
                                <w:sz w:val="21"/>
                                <w:szCs w:val="21"/>
                                <w:lang w:val="en-US" w:eastAsia="zh-CN"/>
                              </w:rPr>
                            </w:pPr>
                            <w:r>
                              <w:rPr>
                                <w:rFonts w:hint="eastAsia"/>
                                <w:sz w:val="21"/>
                                <w:szCs w:val="21"/>
                                <w:lang w:val="en-US" w:eastAsia="zh-CN"/>
                              </w:rPr>
                              <w:t>固废暂存</w:t>
                            </w:r>
                          </w:p>
                        </w:txbxContent>
                      </wps:txbx>
                      <wps:bodyPr lIns="0" tIns="0" rIns="0" bIns="0" upright="1"/>
                    </wps:wsp>
                  </a:graphicData>
                </a:graphic>
              </wp:anchor>
            </w:drawing>
          </mc:Choice>
          <mc:Fallback>
            <w:pict>
              <v:shape id="_x0000_s1026" o:spid="_x0000_s1026" o:spt="202" type="#_x0000_t202" style="position:absolute;left:0pt;margin-left:140.6pt;margin-top:5.7pt;height:20.2pt;width:62.5pt;z-index:251781120;mso-width-relative:page;mso-height-relative:page;" fillcolor="#FFFFFF" filled="t" stroked="t" coordsize="21600,21600" o:gfxdata="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IXuLUPXAAAA&#10;CQEAAA8AAAAAAAAAAQAgAAAAIgAAAGRycy9kb3ducmV2LnhtbFBLAQIUABQAAAAIAIdO4kAY4GDk&#10;HgIAAF0EAAAOAAAAAAAAAAEAIAAAACY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default" w:eastAsia="黑体"/>
                          <w:sz w:val="21"/>
                          <w:szCs w:val="21"/>
                          <w:lang w:val="en-US" w:eastAsia="zh-CN"/>
                        </w:rPr>
                      </w:pPr>
                      <w:r>
                        <w:rPr>
                          <w:rFonts w:hint="eastAsia"/>
                          <w:sz w:val="21"/>
                          <w:szCs w:val="21"/>
                          <w:lang w:val="en-US" w:eastAsia="zh-CN"/>
                        </w:rPr>
                        <w:t>固废暂存</w:t>
                      </w:r>
                    </w:p>
                  </w:txbxContent>
                </v:textbox>
              </v:shape>
            </w:pict>
          </mc:Fallback>
        </mc:AlternateContent>
      </w:r>
    </w:p>
    <w:p>
      <w:pPr>
        <w:spacing w:line="500" w:lineRule="exact"/>
        <w:jc w:val="center"/>
        <w:rPr>
          <w:rFonts w:hint="default" w:ascii="Times New Roman" w:hAnsi="Times New Roman" w:cs="Times New Roman"/>
          <w:color w:val="auto"/>
          <w:szCs w:val="21"/>
        </w:rPr>
      </w:pPr>
      <w:r>
        <w:rPr>
          <w:rFonts w:hint="default" w:ascii="Times New Roman" w:hAnsi="Times New Roman" w:cs="Times New Roman"/>
          <w:color w:val="auto"/>
          <w:sz w:val="20"/>
        </w:rPr>
        <mc:AlternateContent>
          <mc:Choice Requires="wps">
            <w:drawing>
              <wp:anchor distT="0" distB="0" distL="114300" distR="114300" simplePos="0" relativeHeight="251810816" behindDoc="0" locked="0" layoutInCell="1" allowOverlap="1">
                <wp:simplePos x="0" y="0"/>
                <wp:positionH relativeFrom="column">
                  <wp:posOffset>2684145</wp:posOffset>
                </wp:positionH>
                <wp:positionV relativeFrom="paragraph">
                  <wp:posOffset>133985</wp:posOffset>
                </wp:positionV>
                <wp:extent cx="866775" cy="251460"/>
                <wp:effectExtent l="0" t="0" r="0" b="0"/>
                <wp:wrapNone/>
                <wp:docPr id="137" name="文本框 137"/>
                <wp:cNvGraphicFramePr/>
                <a:graphic xmlns:a="http://schemas.openxmlformats.org/drawingml/2006/main">
                  <a:graphicData uri="http://schemas.microsoft.com/office/word/2010/wordprocessingShape">
                    <wps:wsp>
                      <wps:cNvSpPr txBox="1"/>
                      <wps:spPr>
                        <a:xfrm>
                          <a:off x="0" y="0"/>
                          <a:ext cx="866775" cy="251460"/>
                        </a:xfrm>
                        <a:prstGeom prst="rect">
                          <a:avLst/>
                        </a:prstGeom>
                        <a:noFill/>
                        <a:ln>
                          <a:noFill/>
                        </a:ln>
                      </wps:spPr>
                      <wps:txbx>
                        <w:txbxContent>
                          <w:p>
                            <w:pPr>
                              <w:pStyle w:val="15"/>
                              <w:snapToGrid w:val="0"/>
                              <w:jc w:val="center"/>
                              <w:rPr>
                                <w:rFonts w:hint="default" w:eastAsia="黑体"/>
                                <w:lang w:val="en-US" w:eastAsia="zh-CN"/>
                              </w:rPr>
                            </w:pPr>
                            <w:r>
                              <w:rPr>
                                <w:rFonts w:hint="eastAsia"/>
                                <w:b/>
                                <w:i/>
                                <w:vertAlign w:val="baseline"/>
                                <w:lang w:val="en-US" w:eastAsia="zh-CN"/>
                              </w:rPr>
                              <w:t>W</w:t>
                            </w:r>
                            <w:r>
                              <w:rPr>
                                <w:rFonts w:hint="eastAsia"/>
                                <w:b/>
                                <w:i/>
                                <w:vertAlign w:val="subscript"/>
                              </w:rPr>
                              <w:t>1-</w:t>
                            </w:r>
                            <w:r>
                              <w:rPr>
                                <w:rFonts w:hint="eastAsia"/>
                                <w:b/>
                                <w:i/>
                                <w:vertAlign w:val="subscript"/>
                                <w:lang w:val="en-US" w:eastAsia="zh-CN"/>
                              </w:rPr>
                              <w:t>15</w:t>
                            </w:r>
                          </w:p>
                        </w:txbxContent>
                      </wps:txbx>
                      <wps:bodyPr lIns="0" tIns="0" rIns="0" bIns="0" upright="1"/>
                    </wps:wsp>
                  </a:graphicData>
                </a:graphic>
              </wp:anchor>
            </w:drawing>
          </mc:Choice>
          <mc:Fallback>
            <w:pict>
              <v:shape id="_x0000_s1026" o:spid="_x0000_s1026" o:spt="202" type="#_x0000_t202" style="position:absolute;left:0pt;margin-left:211.35pt;margin-top:10.55pt;height:19.8pt;width:68.25pt;z-index:251810816;mso-width-relative:page;mso-height-relative:page;" filled="f" stroked="f" coordsize="21600,21600" o:gfxdata="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ZEp/a2QAAAAkBAAAPAAAAAAAAAAEAIAAAACIAAABkcnMvZG93bnJldi54bWxQ&#10;SwECFAAUAAAACACHTuJAPxajGr0BAAB1AwAADgAAAAAAAAABACAAAAAoAQAAZHJzL2Uyb0RvYy54&#10;bWxQSwUGAAAAAAYABgBZAQAAVwUAAAAA&#10;">
                <v:fill on="f" focussize="0,0"/>
                <v:stroke on="f"/>
                <v:imagedata o:title=""/>
                <o:lock v:ext="edit" aspectratio="f"/>
                <v:textbox inset="0mm,0mm,0mm,0mm">
                  <w:txbxContent>
                    <w:p>
                      <w:pPr>
                        <w:pStyle w:val="15"/>
                        <w:snapToGrid w:val="0"/>
                        <w:jc w:val="center"/>
                        <w:rPr>
                          <w:rFonts w:hint="default" w:eastAsia="黑体"/>
                          <w:lang w:val="en-US" w:eastAsia="zh-CN"/>
                        </w:rPr>
                      </w:pPr>
                      <w:r>
                        <w:rPr>
                          <w:rFonts w:hint="eastAsia"/>
                          <w:b/>
                          <w:i/>
                          <w:vertAlign w:val="baseline"/>
                          <w:lang w:val="en-US" w:eastAsia="zh-CN"/>
                        </w:rPr>
                        <w:t>W</w:t>
                      </w:r>
                      <w:r>
                        <w:rPr>
                          <w:rFonts w:hint="eastAsia"/>
                          <w:b/>
                          <w:i/>
                          <w:vertAlign w:val="subscript"/>
                        </w:rPr>
                        <w:t>1-</w:t>
                      </w:r>
                      <w:r>
                        <w:rPr>
                          <w:rFonts w:hint="eastAsia"/>
                          <w:b/>
                          <w:i/>
                          <w:vertAlign w:val="subscript"/>
                          <w:lang w:val="en-US" w:eastAsia="zh-CN"/>
                        </w:rPr>
                        <w:t>15</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811840" behindDoc="0" locked="0" layoutInCell="1" allowOverlap="1">
                <wp:simplePos x="0" y="0"/>
                <wp:positionH relativeFrom="column">
                  <wp:posOffset>2574925</wp:posOffset>
                </wp:positionH>
                <wp:positionV relativeFrom="paragraph">
                  <wp:posOffset>282575</wp:posOffset>
                </wp:positionV>
                <wp:extent cx="323850" cy="0"/>
                <wp:effectExtent l="0" t="25400" r="0" b="31750"/>
                <wp:wrapNone/>
                <wp:docPr id="139" name="直接连接符 139"/>
                <wp:cNvGraphicFramePr/>
                <a:graphic xmlns:a="http://schemas.openxmlformats.org/drawingml/2006/main">
                  <a:graphicData uri="http://schemas.microsoft.com/office/word/2010/wordprocessingShape">
                    <wps:wsp>
                      <wps:cNvCnPr/>
                      <wps:spPr>
                        <a:xfrm>
                          <a:off x="0" y="0"/>
                          <a:ext cx="323850" cy="0"/>
                        </a:xfrm>
                        <a:prstGeom prst="line">
                          <a:avLst/>
                        </a:prstGeom>
                        <a:ln w="9525" cap="flat" cmpd="sng">
                          <a:solidFill>
                            <a:srgbClr val="000000"/>
                          </a:solidFill>
                          <a:prstDash val="solid"/>
                          <a:headEnd type="none" w="med" len="med"/>
                          <a:tailEnd type="stealth" w="sm" len="lg"/>
                        </a:ln>
                      </wps:spPr>
                      <wps:bodyPr upright="1"/>
                    </wps:wsp>
                  </a:graphicData>
                </a:graphic>
              </wp:anchor>
            </w:drawing>
          </mc:Choice>
          <mc:Fallback>
            <w:pict>
              <v:line id="_x0000_s1026" o:spid="_x0000_s1026" o:spt="20" style="position:absolute;left:0pt;margin-left:202.75pt;margin-top:22.25pt;height:0pt;width:25.5pt;z-index:251811840;mso-width-relative:page;mso-height-relative:page;" filled="f" stroked="t" coordsize="21600,21600" o:gfxdata="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w3DkJ1AAAAAkBAAAPAAAAAAAAAAEAIAAAACIAAABkcnMvZG93bnJl&#10;di54bWxQSwECFAAUAAAACACHTuJAy5b6NAECAADoAwAADgAAAAAAAAABACAAAAAjAQAAZHJzL2Uy&#10;b0RvYy54bWxQSwUGAAAAAAYABgBZAQAAlgUAAAAA&#10;">
                <v:fill on="f" focussize="0,0"/>
                <v:stroke color="#000000" joinstyle="round" endarrow="classic" endarrowwidth="narrow" endarrowlength="long"/>
                <v:imagedata o:title=""/>
                <o:lock v:ext="edit" aspectratio="f"/>
              </v:line>
            </w:pict>
          </mc:Fallback>
        </mc:AlternateContent>
      </w:r>
      <w:r>
        <w:rPr>
          <w:rFonts w:hint="default" w:ascii="Times New Roman" w:hAnsi="Times New Roman" w:cs="Times New Roman"/>
          <w:color w:val="auto"/>
          <w:sz w:val="20"/>
        </w:rPr>
        <mc:AlternateContent>
          <mc:Choice Requires="wps">
            <w:drawing>
              <wp:anchor distT="0" distB="0" distL="114300" distR="114300" simplePos="0" relativeHeight="251809792" behindDoc="0" locked="0" layoutInCell="1" allowOverlap="1">
                <wp:simplePos x="0" y="0"/>
                <wp:positionH relativeFrom="column">
                  <wp:posOffset>1776095</wp:posOffset>
                </wp:positionH>
                <wp:positionV relativeFrom="paragraph">
                  <wp:posOffset>126365</wp:posOffset>
                </wp:positionV>
                <wp:extent cx="793750" cy="256540"/>
                <wp:effectExtent l="4445" t="4445" r="20955" b="5715"/>
                <wp:wrapNone/>
                <wp:docPr id="135" name="文本框 135"/>
                <wp:cNvGraphicFramePr/>
                <a:graphic xmlns:a="http://schemas.openxmlformats.org/drawingml/2006/main">
                  <a:graphicData uri="http://schemas.microsoft.com/office/word/2010/wordprocessingShape">
                    <wps:wsp>
                      <wps:cNvSpPr txBox="1"/>
                      <wps:spPr>
                        <a:xfrm>
                          <a:off x="0" y="0"/>
                          <a:ext cx="79375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5"/>
                              <w:snapToGrid w:val="0"/>
                              <w:spacing w:line="340" w:lineRule="exact"/>
                              <w:jc w:val="center"/>
                              <w:rPr>
                                <w:rFonts w:hint="default" w:eastAsia="黑体"/>
                                <w:sz w:val="21"/>
                                <w:szCs w:val="21"/>
                                <w:lang w:val="en-US" w:eastAsia="zh-CN"/>
                              </w:rPr>
                            </w:pPr>
                            <w:r>
                              <w:rPr>
                                <w:rFonts w:hint="eastAsia"/>
                                <w:sz w:val="21"/>
                                <w:szCs w:val="21"/>
                                <w:lang w:val="en-US" w:eastAsia="zh-CN"/>
                              </w:rPr>
                              <w:t>生活污水</w:t>
                            </w:r>
                          </w:p>
                        </w:txbxContent>
                      </wps:txbx>
                      <wps:bodyPr lIns="0" tIns="0" rIns="0" bIns="0" upright="1"/>
                    </wps:wsp>
                  </a:graphicData>
                </a:graphic>
              </wp:anchor>
            </w:drawing>
          </mc:Choice>
          <mc:Fallback>
            <w:pict>
              <v:shape id="_x0000_s1026" o:spid="_x0000_s1026" o:spt="202" type="#_x0000_t202" style="position:absolute;left:0pt;margin-left:139.85pt;margin-top:9.95pt;height:20.2pt;width:62.5pt;z-index:251809792;mso-width-relative:page;mso-height-relative:page;" fillcolor="#FFFFFF" filled="t" stroked="t" coordsize="21600,21600" o:gfxdata="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I9K7ojYAAAA&#10;CQEAAA8AAAAAAAAAAQAgAAAAIgAAAGRycy9kb3ducmV2LnhtbFBLAQIUABQAAAAIAIdO4kDjro3W&#10;HQIAAF0EAAAOAAAAAAAAAAEAIAAAACcBAABkcnMvZTJvRG9jLnhtbFBLBQYAAAAABgAGAFkBAAC2&#10;BQAAAAA=&#10;">
                <v:fill on="t" focussize="0,0"/>
                <v:stroke color="#000000" joinstyle="miter"/>
                <v:imagedata o:title=""/>
                <o:lock v:ext="edit" aspectratio="f"/>
                <v:textbox inset="0mm,0mm,0mm,0mm">
                  <w:txbxContent>
                    <w:p>
                      <w:pPr>
                        <w:pStyle w:val="15"/>
                        <w:snapToGrid w:val="0"/>
                        <w:spacing w:line="340" w:lineRule="exact"/>
                        <w:jc w:val="center"/>
                        <w:rPr>
                          <w:rFonts w:hint="default" w:eastAsia="黑体"/>
                          <w:sz w:val="21"/>
                          <w:szCs w:val="21"/>
                          <w:lang w:val="en-US" w:eastAsia="zh-CN"/>
                        </w:rPr>
                      </w:pPr>
                      <w:r>
                        <w:rPr>
                          <w:rFonts w:hint="eastAsia"/>
                          <w:sz w:val="21"/>
                          <w:szCs w:val="21"/>
                          <w:lang w:val="en-US" w:eastAsia="zh-CN"/>
                        </w:rPr>
                        <w:t>生活污水</w:t>
                      </w:r>
                    </w:p>
                  </w:txbxContent>
                </v:textbox>
              </v:shape>
            </w:pict>
          </mc:Fallback>
        </mc:AlternateContent>
      </w:r>
    </w:p>
    <w:p>
      <w:pPr>
        <w:spacing w:line="500" w:lineRule="exact"/>
        <w:jc w:val="center"/>
        <w:rPr>
          <w:rFonts w:hint="default" w:ascii="Times New Roman" w:hAnsi="Times New Roman" w:eastAsia="宋体" w:cs="Times New Roman"/>
          <w:b/>
          <w:bCs/>
          <w:color w:val="auto"/>
          <w:sz w:val="21"/>
          <w:szCs w:val="21"/>
        </w:rPr>
      </w:pPr>
      <w:r>
        <w:rPr>
          <w:rFonts w:hint="default" w:ascii="Times New Roman" w:hAnsi="Times New Roman" w:cs="Times New Roman"/>
          <w:color w:val="auto"/>
          <w:szCs w:val="21"/>
        </w:rPr>
        <w:t>图例：G：废气；W：废水；N：噪声；S：固废</w:t>
      </w:r>
    </w:p>
    <w:p>
      <w:pPr>
        <w:spacing w:line="480" w:lineRule="exact"/>
        <w:ind w:firstLine="2108" w:firstLineChars="1000"/>
        <w:jc w:val="both"/>
        <w:rPr>
          <w:rFonts w:hint="default" w:ascii="Times New Roman" w:hAnsi="Times New Roman" w:cs="Times New Roman"/>
          <w:lang w:val="en-US" w:eastAsia="zh-CN"/>
        </w:rPr>
      </w:pPr>
      <w:r>
        <w:rPr>
          <w:rFonts w:hint="default" w:ascii="Times New Roman" w:hAnsi="Times New Roman" w:eastAsia="宋体" w:cs="Times New Roman"/>
          <w:b/>
          <w:bCs/>
          <w:color w:val="auto"/>
          <w:sz w:val="21"/>
          <w:szCs w:val="21"/>
        </w:rPr>
        <w:t>图3</w:t>
      </w:r>
      <w:r>
        <w:rPr>
          <w:rFonts w:hint="eastAsia"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lang w:val="en-US" w:eastAsia="zh-CN"/>
        </w:rPr>
        <w:t>6-2</w:t>
      </w:r>
      <w:r>
        <w:rPr>
          <w:rFonts w:hint="default" w:ascii="Times New Roman" w:hAnsi="Times New Roman" w:eastAsia="宋体" w:cs="Times New Roman"/>
          <w:b/>
          <w:bCs/>
          <w:color w:val="auto"/>
          <w:sz w:val="21"/>
          <w:szCs w:val="21"/>
        </w:rPr>
        <w:t xml:space="preserve">  生猪屠宰加工工艺流程及排污节点</w:t>
      </w:r>
    </w:p>
    <w:p>
      <w:pPr>
        <w:spacing w:line="480" w:lineRule="exact"/>
        <w:ind w:firstLine="480" w:firstLineChars="200"/>
        <w:rPr>
          <w:rFonts w:hint="default" w:ascii="Times New Roman" w:hAnsi="Times New Roman" w:cs="Times New Roman"/>
          <w:color w:val="auto"/>
        </w:rPr>
      </w:pPr>
      <w:r>
        <w:rPr>
          <w:rFonts w:hint="default" w:ascii="Times New Roman" w:hAnsi="Times New Roman" w:cs="Times New Roman"/>
          <w:color w:val="auto"/>
          <w:sz w:val="24"/>
        </w:rPr>
        <w:t>生猪屠宰加工工艺排污节点见表3</w:t>
      </w:r>
      <w:r>
        <w:rPr>
          <w:rFonts w:hint="default" w:ascii="Times New Roman" w:hAnsi="Times New Roman" w:cs="Times New Roman"/>
          <w:color w:val="auto"/>
          <w:sz w:val="24"/>
          <w:lang w:val="en-US" w:eastAsia="zh-CN"/>
        </w:rPr>
        <w:t>.6</w:t>
      </w:r>
      <w:r>
        <w:rPr>
          <w:rFonts w:hint="default" w:ascii="Times New Roman" w:hAnsi="Times New Roman" w:cs="Times New Roman"/>
          <w:color w:val="auto"/>
          <w:sz w:val="24"/>
        </w:rPr>
        <w:t>-1。</w:t>
      </w:r>
    </w:p>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eastAsia"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表3</w:t>
      </w:r>
      <w:r>
        <w:rPr>
          <w:rFonts w:hint="eastAsia" w:ascii="Times New Roman" w:hAnsi="Times New Roman" w:eastAsia="宋体" w:cs="Times New Roman"/>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6-1</w:t>
      </w:r>
      <w:r>
        <w:rPr>
          <w:rFonts w:hint="default" w:ascii="Times New Roman" w:hAnsi="Times New Roman" w:eastAsia="宋体" w:cs="Times New Roman"/>
          <w:b/>
          <w:bCs/>
          <w:color w:val="auto"/>
          <w:sz w:val="21"/>
          <w:szCs w:val="21"/>
          <w:highlight w:val="none"/>
        </w:rPr>
        <w:t xml:space="preserve">  生猪屠宰加工工艺排污节点分析一览表</w:t>
      </w:r>
    </w:p>
    <w:tbl>
      <w:tblPr>
        <w:tblStyle w:val="24"/>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0" w:type="dxa"/>
          <w:bottom w:w="0" w:type="dxa"/>
          <w:right w:w="0" w:type="dxa"/>
        </w:tblCellMar>
      </w:tblPr>
      <w:tblGrid>
        <w:gridCol w:w="647"/>
        <w:gridCol w:w="660"/>
        <w:gridCol w:w="2302"/>
        <w:gridCol w:w="1168"/>
        <w:gridCol w:w="1794"/>
        <w:gridCol w:w="2718"/>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类别</w:t>
            </w: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序号</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产污环节</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排放规律</w:t>
            </w:r>
          </w:p>
        </w:tc>
        <w:tc>
          <w:tcPr>
            <w:tcW w:w="96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主要污染物</w:t>
            </w:r>
          </w:p>
        </w:tc>
        <w:tc>
          <w:tcPr>
            <w:tcW w:w="146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eastAsia"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rPr>
              <w:t>排放去向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废气</w:t>
            </w: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G</w:t>
            </w:r>
            <w:r>
              <w:rPr>
                <w:rFonts w:hint="default" w:ascii="Times New Roman" w:hAnsi="Times New Roman" w:eastAsia="宋体" w:cs="Times New Roman"/>
                <w:b/>
                <w:i/>
                <w:color w:val="auto"/>
                <w:spacing w:val="0"/>
                <w:sz w:val="21"/>
                <w:szCs w:val="21"/>
                <w:vertAlign w:val="subscript"/>
              </w:rPr>
              <w:t>1-1</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待宰圈</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vertAlign w:val="subscript"/>
              </w:rPr>
            </w:pPr>
            <w:r>
              <w:rPr>
                <w:rFonts w:hint="default" w:ascii="Times New Roman" w:hAnsi="Times New Roman" w:eastAsia="宋体" w:cs="Times New Roman"/>
                <w:color w:val="auto"/>
                <w:spacing w:val="0"/>
                <w:sz w:val="21"/>
                <w:szCs w:val="21"/>
              </w:rPr>
              <w:t>恶臭</w:t>
            </w:r>
          </w:p>
        </w:tc>
        <w:tc>
          <w:tcPr>
            <w:tcW w:w="146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eastAsia="zh-CN"/>
              </w:rPr>
              <w:t>喷洒除臭剂</w:t>
            </w:r>
            <w:r>
              <w:rPr>
                <w:rFonts w:hint="default" w:ascii="Times New Roman" w:hAnsi="Times New Roman" w:eastAsia="宋体" w:cs="Times New Roman"/>
                <w:color w:val="auto"/>
                <w:spacing w:val="0"/>
                <w:sz w:val="21"/>
                <w:szCs w:val="21"/>
                <w:lang w:val="en-US" w:eastAsia="zh-CN"/>
              </w:rPr>
              <w:t>+</w:t>
            </w:r>
            <w:r>
              <w:rPr>
                <w:rFonts w:hint="default" w:ascii="Times New Roman" w:hAnsi="Times New Roman" w:eastAsia="宋体" w:cs="Times New Roman"/>
                <w:color w:val="auto"/>
                <w:spacing w:val="0"/>
                <w:sz w:val="21"/>
                <w:szCs w:val="21"/>
              </w:rPr>
              <w:t>活性炭吸附+15m排气筒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G</w:t>
            </w:r>
            <w:r>
              <w:rPr>
                <w:rFonts w:hint="default" w:ascii="Times New Roman" w:hAnsi="Times New Roman" w:eastAsia="宋体" w:cs="Times New Roman"/>
                <w:b/>
                <w:i/>
                <w:color w:val="auto"/>
                <w:spacing w:val="0"/>
                <w:sz w:val="21"/>
                <w:szCs w:val="21"/>
                <w:vertAlign w:val="subscript"/>
              </w:rPr>
              <w:t>1-2</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highlight w:val="none"/>
              </w:rPr>
              <w:t>屠宰</w:t>
            </w:r>
            <w:r>
              <w:rPr>
                <w:rFonts w:hint="eastAsia" w:ascii="Times New Roman" w:hAnsi="Times New Roman" w:eastAsia="宋体" w:cs="Times New Roman"/>
                <w:color w:val="auto"/>
                <w:spacing w:val="0"/>
                <w:sz w:val="21"/>
                <w:szCs w:val="21"/>
                <w:highlight w:val="none"/>
                <w:lang w:val="en-US" w:eastAsia="zh-CN"/>
              </w:rPr>
              <w:t>加工</w:t>
            </w:r>
            <w:r>
              <w:rPr>
                <w:rFonts w:hint="default" w:ascii="Times New Roman" w:hAnsi="Times New Roman" w:eastAsia="宋体" w:cs="Times New Roman"/>
                <w:color w:val="auto"/>
                <w:spacing w:val="0"/>
                <w:sz w:val="21"/>
                <w:szCs w:val="21"/>
                <w:highlight w:val="none"/>
              </w:rPr>
              <w:t>车间</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恶臭</w:t>
            </w:r>
          </w:p>
        </w:tc>
        <w:tc>
          <w:tcPr>
            <w:tcW w:w="146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活性炭吸附+15m排气筒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eastAsia"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G</w:t>
            </w:r>
            <w:r>
              <w:rPr>
                <w:rFonts w:hint="default" w:ascii="Times New Roman" w:hAnsi="Times New Roman" w:eastAsia="宋体" w:cs="Times New Roman"/>
                <w:b/>
                <w:i/>
                <w:color w:val="auto"/>
                <w:spacing w:val="0"/>
                <w:sz w:val="21"/>
                <w:szCs w:val="21"/>
                <w:vertAlign w:val="subscript"/>
              </w:rPr>
              <w:t>1-</w:t>
            </w:r>
            <w:r>
              <w:rPr>
                <w:rFonts w:hint="eastAsia" w:ascii="Times New Roman" w:hAnsi="Times New Roman" w:eastAsia="宋体" w:cs="Times New Roman"/>
                <w:b/>
                <w:i/>
                <w:color w:val="auto"/>
                <w:spacing w:val="0"/>
                <w:sz w:val="21"/>
                <w:szCs w:val="21"/>
                <w:vertAlign w:val="subscript"/>
                <w:lang w:val="en-US" w:eastAsia="zh-CN"/>
              </w:rPr>
              <w:t>3</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锅炉</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间断</w:t>
            </w:r>
          </w:p>
        </w:tc>
        <w:tc>
          <w:tcPr>
            <w:tcW w:w="96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SO</w:t>
            </w:r>
            <w:r>
              <w:rPr>
                <w:rFonts w:hint="default" w:ascii="Times New Roman" w:hAnsi="Times New Roman" w:eastAsia="宋体" w:cs="Times New Roman"/>
                <w:color w:val="auto"/>
                <w:spacing w:val="0"/>
                <w:sz w:val="21"/>
                <w:szCs w:val="21"/>
                <w:vertAlign w:val="subscript"/>
              </w:rPr>
              <w:t>2</w:t>
            </w:r>
            <w:r>
              <w:rPr>
                <w:rFonts w:hint="default" w:ascii="Times New Roman" w:hAnsi="Times New Roman" w:eastAsia="宋体" w:cs="Times New Roman"/>
                <w:color w:val="auto"/>
                <w:spacing w:val="0"/>
                <w:sz w:val="21"/>
                <w:szCs w:val="21"/>
              </w:rPr>
              <w:t>、NO</w:t>
            </w:r>
            <w:r>
              <w:rPr>
                <w:rFonts w:hint="default" w:ascii="Times New Roman" w:hAnsi="Times New Roman" w:eastAsia="宋体" w:cs="Times New Roman"/>
                <w:color w:val="auto"/>
                <w:spacing w:val="0"/>
                <w:sz w:val="21"/>
                <w:szCs w:val="21"/>
                <w:vertAlign w:val="subscript"/>
              </w:rPr>
              <w:t>X</w:t>
            </w:r>
            <w:r>
              <w:rPr>
                <w:rFonts w:hint="default" w:ascii="Times New Roman" w:hAnsi="Times New Roman" w:eastAsia="宋体" w:cs="Times New Roman"/>
                <w:color w:val="auto"/>
                <w:spacing w:val="0"/>
                <w:sz w:val="21"/>
                <w:szCs w:val="21"/>
              </w:rPr>
              <w:t>、颗粒物</w:t>
            </w:r>
          </w:p>
        </w:tc>
        <w:tc>
          <w:tcPr>
            <w:tcW w:w="146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低氮燃烧+</w:t>
            </w:r>
            <w:r>
              <w:rPr>
                <w:rFonts w:hint="eastAsia" w:ascii="Times New Roman" w:hAnsi="Times New Roman" w:eastAsia="宋体" w:cs="Times New Roman"/>
                <w:color w:val="auto"/>
                <w:spacing w:val="0"/>
                <w:sz w:val="21"/>
                <w:szCs w:val="21"/>
                <w:highlight w:val="none"/>
                <w:lang w:val="en-US" w:eastAsia="zh-CN"/>
              </w:rPr>
              <w:t>12</w:t>
            </w:r>
            <w:r>
              <w:rPr>
                <w:rFonts w:hint="default" w:ascii="Times New Roman" w:hAnsi="Times New Roman" w:eastAsia="宋体" w:cs="Times New Roman"/>
                <w:color w:val="auto"/>
                <w:spacing w:val="0"/>
                <w:sz w:val="21"/>
                <w:szCs w:val="21"/>
                <w:highlight w:val="none"/>
              </w:rPr>
              <w:t>m高</w:t>
            </w:r>
            <w:r>
              <w:rPr>
                <w:rFonts w:hint="default" w:ascii="Times New Roman" w:hAnsi="Times New Roman" w:eastAsia="宋体" w:cs="Times New Roman"/>
                <w:color w:val="auto"/>
                <w:spacing w:val="0"/>
                <w:sz w:val="21"/>
                <w:szCs w:val="21"/>
              </w:rPr>
              <w:t>烟囱</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9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eastAsia"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G</w:t>
            </w:r>
            <w:r>
              <w:rPr>
                <w:rFonts w:hint="default" w:ascii="Times New Roman" w:hAnsi="Times New Roman" w:eastAsia="宋体" w:cs="Times New Roman"/>
                <w:b/>
                <w:i/>
                <w:color w:val="auto"/>
                <w:spacing w:val="0"/>
                <w:sz w:val="21"/>
                <w:szCs w:val="21"/>
                <w:vertAlign w:val="subscript"/>
              </w:rPr>
              <w:t>1-</w:t>
            </w:r>
            <w:r>
              <w:rPr>
                <w:rFonts w:hint="eastAsia" w:ascii="Times New Roman" w:hAnsi="Times New Roman" w:eastAsia="宋体" w:cs="Times New Roman"/>
                <w:b/>
                <w:i/>
                <w:color w:val="auto"/>
                <w:spacing w:val="0"/>
                <w:sz w:val="21"/>
                <w:szCs w:val="21"/>
                <w:vertAlign w:val="subscript"/>
                <w:lang w:val="en-US" w:eastAsia="zh-CN"/>
              </w:rPr>
              <w:t>4</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污水处理站</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恶臭</w:t>
            </w:r>
          </w:p>
        </w:tc>
        <w:tc>
          <w:tcPr>
            <w:tcW w:w="146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活性炭吸附+15m排气筒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eastAsia"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G</w:t>
            </w:r>
            <w:r>
              <w:rPr>
                <w:rFonts w:hint="default" w:ascii="Times New Roman" w:hAnsi="Times New Roman" w:eastAsia="宋体" w:cs="Times New Roman"/>
                <w:b/>
                <w:i/>
                <w:color w:val="auto"/>
                <w:spacing w:val="0"/>
                <w:sz w:val="21"/>
                <w:szCs w:val="21"/>
                <w:vertAlign w:val="subscript"/>
              </w:rPr>
              <w:t>1-</w:t>
            </w:r>
            <w:r>
              <w:rPr>
                <w:rFonts w:hint="eastAsia" w:ascii="Times New Roman" w:hAnsi="Times New Roman" w:eastAsia="宋体" w:cs="Times New Roman"/>
                <w:b/>
                <w:i/>
                <w:color w:val="auto"/>
                <w:spacing w:val="0"/>
                <w:sz w:val="21"/>
                <w:szCs w:val="21"/>
                <w:vertAlign w:val="subscript"/>
                <w:lang w:val="en-US" w:eastAsia="zh-CN"/>
              </w:rPr>
              <w:t>5</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柴油储罐</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间断</w:t>
            </w:r>
          </w:p>
        </w:tc>
        <w:tc>
          <w:tcPr>
            <w:tcW w:w="96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非甲烷总烃</w:t>
            </w:r>
          </w:p>
        </w:tc>
        <w:tc>
          <w:tcPr>
            <w:tcW w:w="146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G</w:t>
            </w:r>
            <w:r>
              <w:rPr>
                <w:rFonts w:hint="default" w:ascii="Times New Roman" w:hAnsi="Times New Roman" w:eastAsia="宋体" w:cs="Times New Roman"/>
                <w:b/>
                <w:bCs/>
                <w:color w:val="auto"/>
                <w:spacing w:val="0"/>
                <w:sz w:val="21"/>
                <w:szCs w:val="21"/>
                <w:vertAlign w:val="subscript"/>
                <w:lang w:val="en-US" w:eastAsia="zh-CN"/>
              </w:rPr>
              <w:t>1-</w:t>
            </w:r>
            <w:r>
              <w:rPr>
                <w:rFonts w:hint="eastAsia" w:ascii="Times New Roman" w:hAnsi="Times New Roman" w:eastAsia="宋体" w:cs="Times New Roman"/>
                <w:b/>
                <w:bCs/>
                <w:color w:val="auto"/>
                <w:spacing w:val="0"/>
                <w:sz w:val="21"/>
                <w:szCs w:val="21"/>
                <w:vertAlign w:val="subscript"/>
                <w:lang w:val="en-US" w:eastAsia="zh-CN"/>
              </w:rPr>
              <w:t>6</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固废暂存</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连续</w:t>
            </w:r>
          </w:p>
        </w:tc>
        <w:tc>
          <w:tcPr>
            <w:tcW w:w="96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恶臭</w:t>
            </w:r>
          </w:p>
        </w:tc>
        <w:tc>
          <w:tcPr>
            <w:tcW w:w="146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日产日清、喷洒除臭剂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废水</w:t>
            </w: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W</w:t>
            </w:r>
            <w:r>
              <w:rPr>
                <w:rFonts w:hint="default" w:ascii="Times New Roman" w:hAnsi="Times New Roman" w:eastAsia="宋体" w:cs="Times New Roman"/>
                <w:b/>
                <w:i/>
                <w:color w:val="auto"/>
                <w:spacing w:val="0"/>
                <w:sz w:val="21"/>
                <w:szCs w:val="21"/>
                <w:vertAlign w:val="subscript"/>
              </w:rPr>
              <w:t>1-1</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待宰猪尿液、地面冲洗</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间断</w:t>
            </w:r>
          </w:p>
        </w:tc>
        <w:tc>
          <w:tcPr>
            <w:tcW w:w="965"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SS、COD、BOD</w:t>
            </w:r>
            <w:r>
              <w:rPr>
                <w:rFonts w:hint="default" w:ascii="Times New Roman" w:hAnsi="Times New Roman" w:eastAsia="宋体" w:cs="Times New Roman"/>
                <w:color w:val="auto"/>
                <w:spacing w:val="0"/>
                <w:sz w:val="21"/>
                <w:szCs w:val="21"/>
                <w:highlight w:val="none"/>
                <w:vertAlign w:val="subscript"/>
                <w:lang w:val="en-US" w:eastAsia="zh-CN"/>
              </w:rPr>
              <w:t>5</w:t>
            </w:r>
            <w:r>
              <w:rPr>
                <w:rFonts w:hint="default" w:ascii="Times New Roman" w:hAnsi="Times New Roman" w:eastAsia="宋体" w:cs="Times New Roman"/>
                <w:color w:val="auto"/>
                <w:spacing w:val="0"/>
                <w:sz w:val="21"/>
                <w:szCs w:val="21"/>
                <w:highlight w:val="none"/>
              </w:rPr>
              <w:t>、</w:t>
            </w:r>
          </w:p>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氨氮、动植物油</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lang w:val="en-US" w:eastAsia="zh-CN"/>
              </w:rPr>
              <w:t>粪大肠菌群</w:t>
            </w:r>
          </w:p>
        </w:tc>
        <w:tc>
          <w:tcPr>
            <w:tcW w:w="1462"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en-US" w:eastAsia="zh-CN"/>
              </w:rPr>
              <w:t>经沉淀池+气浮池+调节池+水解酸化+好氧生物池+MBR膜池+污泥消化池+</w:t>
            </w:r>
            <w:r>
              <w:rPr>
                <w:rFonts w:hint="eastAsia" w:ascii="Times New Roman" w:hAnsi="Times New Roman" w:eastAsia="宋体" w:cs="Times New Roman"/>
                <w:color w:val="auto"/>
                <w:spacing w:val="0"/>
                <w:sz w:val="21"/>
                <w:szCs w:val="21"/>
                <w:highlight w:val="none"/>
                <w:lang w:val="en-US" w:eastAsia="zh-CN"/>
              </w:rPr>
              <w:t>紫外</w:t>
            </w:r>
            <w:r>
              <w:rPr>
                <w:rFonts w:hint="default" w:ascii="Times New Roman" w:hAnsi="Times New Roman" w:eastAsia="宋体" w:cs="Times New Roman"/>
                <w:color w:val="auto"/>
                <w:spacing w:val="0"/>
                <w:sz w:val="21"/>
                <w:szCs w:val="21"/>
                <w:highlight w:val="none"/>
                <w:lang w:val="en-US" w:eastAsia="zh-CN"/>
              </w:rPr>
              <w:t>消毒工艺处理后，</w:t>
            </w:r>
            <w:r>
              <w:rPr>
                <w:rFonts w:hint="default" w:ascii="Times New Roman" w:hAnsi="Times New Roman" w:eastAsia="宋体" w:cs="Times New Roman"/>
                <w:color w:val="auto"/>
                <w:spacing w:val="0"/>
                <w:sz w:val="21"/>
                <w:szCs w:val="21"/>
                <w:highlight w:val="none"/>
              </w:rPr>
              <w:t>最终排入</w:t>
            </w:r>
            <w:r>
              <w:rPr>
                <w:rFonts w:hint="default" w:ascii="Times New Roman" w:hAnsi="Times New Roman" w:eastAsia="宋体" w:cs="Times New Roman"/>
                <w:color w:val="auto"/>
                <w:spacing w:val="0"/>
                <w:sz w:val="21"/>
                <w:szCs w:val="21"/>
                <w:highlight w:val="none"/>
                <w:lang w:val="en-US" w:eastAsia="zh-CN"/>
              </w:rPr>
              <w:t>兴隆镇</w:t>
            </w:r>
            <w:r>
              <w:rPr>
                <w:rFonts w:hint="default" w:ascii="Times New Roman" w:hAnsi="Times New Roman" w:eastAsia="宋体" w:cs="Times New Roman"/>
                <w:color w:val="auto"/>
                <w:spacing w:val="0"/>
                <w:sz w:val="21"/>
                <w:szCs w:val="21"/>
                <w:highlight w:val="none"/>
              </w:rPr>
              <w:t>污水处理厂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W</w:t>
            </w:r>
            <w:r>
              <w:rPr>
                <w:rFonts w:hint="default" w:ascii="Times New Roman" w:hAnsi="Times New Roman" w:eastAsia="宋体" w:cs="Times New Roman"/>
                <w:b/>
                <w:i/>
                <w:color w:val="auto"/>
                <w:spacing w:val="0"/>
                <w:sz w:val="21"/>
                <w:szCs w:val="21"/>
                <w:vertAlign w:val="subscript"/>
              </w:rPr>
              <w:t>1-2</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宰前冲洗</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W</w:t>
            </w:r>
            <w:r>
              <w:rPr>
                <w:rFonts w:hint="default" w:ascii="Times New Roman" w:hAnsi="Times New Roman" w:eastAsia="宋体" w:cs="Times New Roman"/>
                <w:b/>
                <w:i/>
                <w:color w:val="auto"/>
                <w:spacing w:val="0"/>
                <w:sz w:val="21"/>
                <w:szCs w:val="21"/>
                <w:vertAlign w:val="subscript"/>
              </w:rPr>
              <w:t>1-3</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打毛冲洗</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W</w:t>
            </w:r>
            <w:r>
              <w:rPr>
                <w:rFonts w:hint="default" w:ascii="Times New Roman" w:hAnsi="Times New Roman" w:eastAsia="宋体" w:cs="Times New Roman"/>
                <w:b/>
                <w:i/>
                <w:color w:val="auto"/>
                <w:spacing w:val="0"/>
                <w:sz w:val="21"/>
                <w:szCs w:val="21"/>
                <w:vertAlign w:val="subscript"/>
              </w:rPr>
              <w:t>1-4</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抛光冲洗</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W</w:t>
            </w:r>
            <w:r>
              <w:rPr>
                <w:rFonts w:hint="default" w:ascii="Times New Roman" w:hAnsi="Times New Roman" w:eastAsia="宋体" w:cs="Times New Roman"/>
                <w:b/>
                <w:i/>
                <w:color w:val="auto"/>
                <w:spacing w:val="0"/>
                <w:sz w:val="21"/>
                <w:szCs w:val="21"/>
                <w:vertAlign w:val="subscript"/>
              </w:rPr>
              <w:t>1-5</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蒸烫冷凝</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W</w:t>
            </w:r>
            <w:r>
              <w:rPr>
                <w:rFonts w:hint="default" w:ascii="Times New Roman" w:hAnsi="Times New Roman" w:eastAsia="宋体" w:cs="Times New Roman"/>
                <w:b/>
                <w:i/>
                <w:color w:val="auto"/>
                <w:spacing w:val="0"/>
                <w:sz w:val="21"/>
                <w:szCs w:val="21"/>
                <w:vertAlign w:val="subscript"/>
              </w:rPr>
              <w:t>1-6</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雕肛冲洗</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W</w:t>
            </w:r>
            <w:r>
              <w:rPr>
                <w:rFonts w:hint="default" w:ascii="Times New Roman" w:hAnsi="Times New Roman" w:eastAsia="宋体" w:cs="Times New Roman"/>
                <w:b/>
                <w:i/>
                <w:color w:val="auto"/>
                <w:spacing w:val="0"/>
                <w:sz w:val="21"/>
                <w:szCs w:val="21"/>
                <w:vertAlign w:val="subscript"/>
              </w:rPr>
              <w:t>1-7</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挑胸冲洗</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W</w:t>
            </w:r>
            <w:r>
              <w:rPr>
                <w:rFonts w:hint="default" w:ascii="Times New Roman" w:hAnsi="Times New Roman" w:eastAsia="宋体" w:cs="Times New Roman"/>
                <w:b/>
                <w:i/>
                <w:color w:val="auto"/>
                <w:spacing w:val="0"/>
                <w:sz w:val="21"/>
                <w:szCs w:val="21"/>
                <w:vertAlign w:val="subscript"/>
              </w:rPr>
              <w:t>1-8</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开膛冲洗</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W</w:t>
            </w:r>
            <w:r>
              <w:rPr>
                <w:rFonts w:hint="default" w:ascii="Times New Roman" w:hAnsi="Times New Roman" w:eastAsia="宋体" w:cs="Times New Roman"/>
                <w:b/>
                <w:i/>
                <w:color w:val="auto"/>
                <w:spacing w:val="0"/>
                <w:sz w:val="21"/>
                <w:szCs w:val="21"/>
                <w:vertAlign w:val="subscript"/>
              </w:rPr>
              <w:t>1-9</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胸膛冲洗</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W</w:t>
            </w:r>
            <w:r>
              <w:rPr>
                <w:rFonts w:hint="default" w:ascii="Times New Roman" w:hAnsi="Times New Roman" w:eastAsia="宋体" w:cs="Times New Roman"/>
                <w:b/>
                <w:i/>
                <w:color w:val="auto"/>
                <w:spacing w:val="0"/>
                <w:sz w:val="21"/>
                <w:szCs w:val="21"/>
                <w:vertAlign w:val="subscript"/>
              </w:rPr>
              <w:t>1-10</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内脏冲洗</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W</w:t>
            </w:r>
            <w:r>
              <w:rPr>
                <w:rFonts w:hint="default" w:ascii="Times New Roman" w:hAnsi="Times New Roman" w:eastAsia="宋体" w:cs="Times New Roman"/>
                <w:b/>
                <w:i/>
                <w:color w:val="auto"/>
                <w:spacing w:val="0"/>
                <w:sz w:val="21"/>
                <w:szCs w:val="21"/>
                <w:vertAlign w:val="subscript"/>
              </w:rPr>
              <w:t>1-11</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副</w:t>
            </w:r>
            <w:r>
              <w:rPr>
                <w:rFonts w:hint="default" w:ascii="Times New Roman" w:hAnsi="Times New Roman" w:eastAsia="宋体" w:cs="Times New Roman"/>
                <w:color w:val="auto"/>
                <w:spacing w:val="0"/>
                <w:sz w:val="21"/>
                <w:szCs w:val="21"/>
              </w:rPr>
              <w:t>体冲洗</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W</w:t>
            </w:r>
            <w:r>
              <w:rPr>
                <w:rFonts w:hint="default" w:ascii="Times New Roman" w:hAnsi="Times New Roman" w:eastAsia="宋体" w:cs="Times New Roman"/>
                <w:b/>
                <w:i/>
                <w:color w:val="auto"/>
                <w:spacing w:val="0"/>
                <w:sz w:val="21"/>
                <w:szCs w:val="21"/>
                <w:vertAlign w:val="subscript"/>
              </w:rPr>
              <w:t>1-12</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头、尾、蹄加工冲洗</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W</w:t>
            </w:r>
            <w:r>
              <w:rPr>
                <w:rFonts w:hint="default" w:ascii="Times New Roman" w:hAnsi="Times New Roman" w:eastAsia="宋体" w:cs="Times New Roman"/>
                <w:b/>
                <w:i/>
                <w:color w:val="auto"/>
                <w:spacing w:val="0"/>
                <w:sz w:val="21"/>
                <w:szCs w:val="21"/>
                <w:vertAlign w:val="subscript"/>
              </w:rPr>
              <w:t>1-13</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屠宰车间地面冲洗</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间断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W</w:t>
            </w:r>
            <w:r>
              <w:rPr>
                <w:rFonts w:hint="default" w:ascii="Times New Roman" w:hAnsi="Times New Roman" w:eastAsia="宋体" w:cs="Times New Roman"/>
                <w:b/>
                <w:i/>
                <w:color w:val="auto"/>
                <w:spacing w:val="0"/>
                <w:sz w:val="21"/>
                <w:szCs w:val="21"/>
                <w:vertAlign w:val="subscript"/>
              </w:rPr>
              <w:t>1-1</w:t>
            </w:r>
            <w:r>
              <w:rPr>
                <w:rFonts w:hint="default" w:ascii="Times New Roman" w:hAnsi="Times New Roman" w:eastAsia="宋体" w:cs="Times New Roman"/>
                <w:b/>
                <w:i/>
                <w:color w:val="auto"/>
                <w:spacing w:val="0"/>
                <w:sz w:val="21"/>
                <w:szCs w:val="21"/>
                <w:vertAlign w:val="subscript"/>
                <w:lang w:val="en-US" w:eastAsia="zh-CN"/>
              </w:rPr>
              <w:t>4</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锅炉排水</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W</w:t>
            </w:r>
            <w:r>
              <w:rPr>
                <w:rFonts w:hint="default" w:ascii="Times New Roman" w:hAnsi="Times New Roman" w:eastAsia="宋体" w:cs="Times New Roman"/>
                <w:b/>
                <w:i/>
                <w:color w:val="auto"/>
                <w:spacing w:val="0"/>
                <w:sz w:val="21"/>
                <w:szCs w:val="21"/>
                <w:vertAlign w:val="subscript"/>
              </w:rPr>
              <w:t>1-1</w:t>
            </w:r>
            <w:r>
              <w:rPr>
                <w:rFonts w:hint="default" w:ascii="Times New Roman" w:hAnsi="Times New Roman" w:eastAsia="宋体" w:cs="Times New Roman"/>
                <w:b/>
                <w:i/>
                <w:color w:val="auto"/>
                <w:spacing w:val="0"/>
                <w:sz w:val="21"/>
                <w:szCs w:val="21"/>
                <w:vertAlign w:val="subscript"/>
                <w:lang w:val="en-US" w:eastAsia="zh-CN"/>
              </w:rPr>
              <w:t>5</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生活污水</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间断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噪声</w:t>
            </w: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N</w:t>
            </w:r>
            <w:r>
              <w:rPr>
                <w:rFonts w:hint="default" w:ascii="Times New Roman" w:hAnsi="Times New Roman" w:eastAsia="宋体" w:cs="Times New Roman"/>
                <w:b/>
                <w:i/>
                <w:color w:val="auto"/>
                <w:spacing w:val="0"/>
                <w:sz w:val="21"/>
                <w:szCs w:val="21"/>
                <w:vertAlign w:val="subscript"/>
              </w:rPr>
              <w:t>1-1</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电击晕</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等效连续A声级</w:t>
            </w:r>
          </w:p>
        </w:tc>
        <w:tc>
          <w:tcPr>
            <w:tcW w:w="1462"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N</w:t>
            </w:r>
            <w:r>
              <w:rPr>
                <w:rFonts w:hint="default" w:ascii="Times New Roman" w:hAnsi="Times New Roman" w:eastAsia="宋体" w:cs="Times New Roman"/>
                <w:b/>
                <w:i/>
                <w:color w:val="auto"/>
                <w:spacing w:val="0"/>
                <w:sz w:val="21"/>
                <w:szCs w:val="21"/>
                <w:vertAlign w:val="subscript"/>
              </w:rPr>
              <w:t>1-2</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劈半</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N</w:t>
            </w:r>
            <w:r>
              <w:rPr>
                <w:rFonts w:hint="default" w:ascii="Times New Roman" w:hAnsi="Times New Roman" w:eastAsia="宋体" w:cs="Times New Roman"/>
                <w:b/>
                <w:i/>
                <w:color w:val="auto"/>
                <w:spacing w:val="0"/>
                <w:sz w:val="21"/>
                <w:szCs w:val="21"/>
                <w:vertAlign w:val="subscript"/>
              </w:rPr>
              <w:t>1-3</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锅炉风机</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N</w:t>
            </w:r>
            <w:r>
              <w:rPr>
                <w:rFonts w:hint="default" w:ascii="Times New Roman" w:hAnsi="Times New Roman" w:eastAsia="宋体" w:cs="Times New Roman"/>
                <w:b/>
                <w:i/>
                <w:color w:val="auto"/>
                <w:spacing w:val="0"/>
                <w:sz w:val="21"/>
                <w:szCs w:val="21"/>
                <w:vertAlign w:val="subscript"/>
              </w:rPr>
              <w:t>1-4</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制冷系统</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N</w:t>
            </w:r>
            <w:r>
              <w:rPr>
                <w:rFonts w:hint="default" w:ascii="Times New Roman" w:hAnsi="Times New Roman" w:eastAsia="宋体" w:cs="Times New Roman"/>
                <w:b/>
                <w:i/>
                <w:color w:val="auto"/>
                <w:spacing w:val="0"/>
                <w:sz w:val="21"/>
                <w:szCs w:val="21"/>
                <w:vertAlign w:val="subscript"/>
              </w:rPr>
              <w:t>1-5</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水泵等</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sz w:val="21"/>
                <w:szCs w:val="21"/>
              </w:rPr>
              <w:t>N</w:t>
            </w:r>
            <w:r>
              <w:rPr>
                <w:rFonts w:hint="default" w:ascii="Times New Roman" w:hAnsi="Times New Roman" w:eastAsia="宋体" w:cs="Times New Roman"/>
                <w:b/>
                <w:i/>
                <w:color w:val="auto"/>
                <w:spacing w:val="0"/>
                <w:sz w:val="21"/>
                <w:szCs w:val="21"/>
                <w:vertAlign w:val="subscript"/>
              </w:rPr>
              <w:t>1-</w:t>
            </w:r>
            <w:r>
              <w:rPr>
                <w:rFonts w:hint="default" w:ascii="Times New Roman" w:hAnsi="Times New Roman" w:eastAsia="宋体" w:cs="Times New Roman"/>
                <w:b/>
                <w:i/>
                <w:color w:val="auto"/>
                <w:spacing w:val="0"/>
                <w:sz w:val="21"/>
                <w:szCs w:val="21"/>
                <w:vertAlign w:val="subscript"/>
                <w:lang w:val="en-US" w:eastAsia="zh-CN"/>
              </w:rPr>
              <w:t>6</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sz w:val="21"/>
                <w:szCs w:val="21"/>
              </w:rPr>
              <w:t>泵</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sz w:val="21"/>
                <w:szCs w:val="21"/>
              </w:rPr>
              <w:t>间断</w:t>
            </w:r>
          </w:p>
        </w:tc>
        <w:tc>
          <w:tcPr>
            <w:tcW w:w="965"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1462"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restar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固体</w:t>
            </w:r>
          </w:p>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eastAsia"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rPr>
              <w:t>废物</w:t>
            </w: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S</w:t>
            </w:r>
            <w:r>
              <w:rPr>
                <w:rFonts w:hint="default" w:ascii="Times New Roman" w:hAnsi="Times New Roman" w:eastAsia="宋体" w:cs="Times New Roman"/>
                <w:b/>
                <w:i/>
                <w:color w:val="auto"/>
                <w:spacing w:val="0"/>
                <w:sz w:val="21"/>
                <w:szCs w:val="21"/>
                <w:vertAlign w:val="subscript"/>
              </w:rPr>
              <w:t>1-1</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eastAsia"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待宰</w:t>
            </w:r>
            <w:r>
              <w:rPr>
                <w:rFonts w:hint="eastAsia" w:ascii="Times New Roman" w:hAnsi="Times New Roman" w:eastAsia="宋体" w:cs="Times New Roman"/>
                <w:color w:val="auto"/>
                <w:spacing w:val="0"/>
                <w:sz w:val="21"/>
                <w:szCs w:val="21"/>
                <w:lang w:val="en-US" w:eastAsia="zh-CN"/>
              </w:rPr>
              <w:t>圈</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粪便</w:t>
            </w:r>
          </w:p>
        </w:tc>
        <w:tc>
          <w:tcPr>
            <w:tcW w:w="1462" w:type="pct"/>
            <w:tcBorders>
              <w:tl2br w:val="nil"/>
              <w:tr2bl w:val="nil"/>
            </w:tcBorders>
            <w:noWrap w:val="0"/>
            <w:vAlign w:val="top"/>
          </w:tcPr>
          <w:p>
            <w:pPr>
              <w:spacing w:before="32" w:line="234" w:lineRule="auto"/>
              <w:ind w:right="59" w:right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z w:val="21"/>
                <w:szCs w:val="21"/>
                <w:lang w:val="en-US" w:eastAsia="zh-CN"/>
              </w:rPr>
              <w:t>外售有机肥厂进行堆肥处理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S</w:t>
            </w:r>
            <w:r>
              <w:rPr>
                <w:rFonts w:hint="default" w:ascii="Times New Roman" w:hAnsi="Times New Roman" w:eastAsia="宋体" w:cs="Times New Roman"/>
                <w:b/>
                <w:i/>
                <w:color w:val="auto"/>
                <w:spacing w:val="0"/>
                <w:sz w:val="21"/>
                <w:szCs w:val="21"/>
                <w:vertAlign w:val="subscript"/>
              </w:rPr>
              <w:t>1-</w:t>
            </w:r>
            <w:r>
              <w:rPr>
                <w:rFonts w:hint="default" w:ascii="Times New Roman" w:hAnsi="Times New Roman" w:eastAsia="宋体" w:cs="Times New Roman"/>
                <w:b/>
                <w:i/>
                <w:color w:val="auto"/>
                <w:spacing w:val="0"/>
                <w:sz w:val="21"/>
                <w:szCs w:val="21"/>
                <w:vertAlign w:val="subscript"/>
                <w:lang w:val="en-US" w:eastAsia="zh-CN"/>
              </w:rPr>
              <w:t>2</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烫毛</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猪毛</w:t>
            </w:r>
          </w:p>
        </w:tc>
        <w:tc>
          <w:tcPr>
            <w:tcW w:w="1462" w:type="pct"/>
            <w:tcBorders>
              <w:tl2br w:val="nil"/>
              <w:tr2bl w:val="nil"/>
            </w:tcBorders>
            <w:noWrap w:val="0"/>
            <w:vAlign w:val="top"/>
          </w:tcPr>
          <w:p>
            <w:pPr>
              <w:spacing w:before="32" w:line="234" w:lineRule="auto"/>
              <w:ind w:right="138" w:rightChars="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外售至毛刷厂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eastAsia"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S</w:t>
            </w:r>
            <w:r>
              <w:rPr>
                <w:rFonts w:hint="default" w:ascii="Times New Roman" w:hAnsi="Times New Roman" w:eastAsia="宋体" w:cs="Times New Roman"/>
                <w:b/>
                <w:i/>
                <w:color w:val="auto"/>
                <w:spacing w:val="0"/>
                <w:sz w:val="21"/>
                <w:szCs w:val="21"/>
                <w:vertAlign w:val="subscript"/>
              </w:rPr>
              <w:t>1-</w:t>
            </w:r>
            <w:r>
              <w:rPr>
                <w:rFonts w:hint="eastAsia" w:ascii="Times New Roman" w:hAnsi="Times New Roman" w:eastAsia="宋体" w:cs="Times New Roman"/>
                <w:b/>
                <w:i/>
                <w:color w:val="auto"/>
                <w:spacing w:val="0"/>
                <w:sz w:val="21"/>
                <w:szCs w:val="21"/>
                <w:vertAlign w:val="subscript"/>
                <w:lang w:val="en-US" w:eastAsia="zh-CN"/>
              </w:rPr>
              <w:t>3</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去内容物</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废弃肠胃内容物</w:t>
            </w:r>
          </w:p>
        </w:tc>
        <w:tc>
          <w:tcPr>
            <w:tcW w:w="1462" w:type="pct"/>
            <w:tcBorders>
              <w:tl2br w:val="nil"/>
              <w:tr2bl w:val="nil"/>
            </w:tcBorders>
            <w:noWrap w:val="0"/>
            <w:vAlign w:val="top"/>
          </w:tcPr>
          <w:p>
            <w:pPr>
              <w:spacing w:before="35" w:line="232" w:lineRule="auto"/>
              <w:ind w:right="138" w:right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spacing w:val="9"/>
                <w:sz w:val="20"/>
                <w:szCs w:val="20"/>
                <w:highlight w:val="none"/>
              </w:rPr>
              <w:t>送至</w:t>
            </w:r>
            <w:r>
              <w:rPr>
                <w:rFonts w:hint="eastAsia" w:ascii="Times New Roman" w:hAnsi="Times New Roman" w:eastAsia="宋体" w:cs="Times New Roman"/>
                <w:spacing w:val="9"/>
                <w:sz w:val="20"/>
                <w:szCs w:val="20"/>
                <w:highlight w:val="none"/>
                <w:lang w:eastAsia="zh-CN"/>
              </w:rPr>
              <w:t>巴彦县燊缘无害化处理有限公司</w:t>
            </w:r>
            <w:r>
              <w:rPr>
                <w:rFonts w:hint="default" w:ascii="Times New Roman" w:hAnsi="Times New Roman" w:eastAsia="宋体" w:cs="Times New Roman"/>
                <w:spacing w:val="9"/>
                <w:sz w:val="20"/>
                <w:szCs w:val="20"/>
                <w:highlight w:val="none"/>
                <w:lang w:val="en-US" w:eastAsia="zh-CN"/>
              </w:rPr>
              <w:t>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eastAsia"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S</w:t>
            </w:r>
            <w:r>
              <w:rPr>
                <w:rFonts w:hint="default" w:ascii="Times New Roman" w:hAnsi="Times New Roman" w:eastAsia="宋体" w:cs="Times New Roman"/>
                <w:b/>
                <w:i/>
                <w:color w:val="auto"/>
                <w:spacing w:val="0"/>
                <w:sz w:val="21"/>
                <w:szCs w:val="21"/>
                <w:vertAlign w:val="subscript"/>
              </w:rPr>
              <w:t>1-</w:t>
            </w:r>
            <w:r>
              <w:rPr>
                <w:rFonts w:hint="eastAsia" w:ascii="Times New Roman" w:hAnsi="Times New Roman" w:eastAsia="宋体" w:cs="Times New Roman"/>
                <w:b/>
                <w:i/>
                <w:color w:val="auto"/>
                <w:spacing w:val="0"/>
                <w:sz w:val="21"/>
                <w:szCs w:val="21"/>
                <w:vertAlign w:val="subscript"/>
                <w:lang w:val="en-US" w:eastAsia="zh-CN"/>
              </w:rPr>
              <w:t>4</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修整</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间断</w:t>
            </w:r>
          </w:p>
        </w:tc>
        <w:tc>
          <w:tcPr>
            <w:tcW w:w="96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000000" w:themeColor="text1"/>
                <w:spacing w:val="0"/>
                <w:sz w:val="21"/>
                <w:szCs w:val="21"/>
                <w14:textFill>
                  <w14:solidFill>
                    <w14:schemeClr w14:val="tx1"/>
                  </w14:solidFill>
                </w14:textFill>
              </w:rPr>
            </w:pPr>
            <w:r>
              <w:rPr>
                <w:rFonts w:hint="default" w:ascii="Times New Roman" w:hAnsi="Times New Roman" w:eastAsia="宋体" w:cs="Times New Roman"/>
                <w:color w:val="000000" w:themeColor="text1"/>
                <w:spacing w:val="0"/>
                <w:sz w:val="21"/>
                <w:szCs w:val="21"/>
                <w14:textFill>
                  <w14:solidFill>
                    <w14:schemeClr w14:val="tx1"/>
                  </w14:solidFill>
                </w14:textFill>
              </w:rPr>
              <w:t>脂肪</w:t>
            </w:r>
          </w:p>
        </w:tc>
        <w:tc>
          <w:tcPr>
            <w:tcW w:w="1462" w:type="pct"/>
            <w:tcBorders>
              <w:tl2br w:val="nil"/>
              <w:tr2bl w:val="nil"/>
            </w:tcBorders>
            <w:noWrap w:val="0"/>
            <w:vAlign w:val="top"/>
          </w:tcPr>
          <w:p>
            <w:pPr>
              <w:spacing w:before="36" w:line="232" w:lineRule="auto"/>
              <w:ind w:right="138" w:rightChars="0"/>
              <w:jc w:val="center"/>
              <w:rPr>
                <w:rFonts w:hint="default" w:ascii="Times New Roman" w:hAnsi="Times New Roman" w:eastAsia="宋体" w:cs="Times New Roman"/>
                <w:color w:val="auto"/>
                <w:spacing w:val="0"/>
                <w:sz w:val="21"/>
                <w:szCs w:val="21"/>
                <w:lang w:val="en-US"/>
              </w:rPr>
            </w:pPr>
            <w:r>
              <w:rPr>
                <w:rFonts w:hint="default" w:ascii="Times New Roman" w:hAnsi="Times New Roman" w:eastAsia="宋体" w:cs="Times New Roman"/>
                <w:color w:val="auto"/>
                <w:spacing w:val="0"/>
                <w:sz w:val="21"/>
                <w:szCs w:val="21"/>
                <w:lang w:val="en-US" w:eastAsia="zh-CN"/>
              </w:rPr>
              <w:t>外</w:t>
            </w:r>
            <w:r>
              <w:rPr>
                <w:rFonts w:hint="eastAsia" w:ascii="Times New Roman" w:hAnsi="Times New Roman" w:eastAsia="宋体" w:cs="Times New Roman"/>
                <w:color w:val="auto"/>
                <w:spacing w:val="0"/>
                <w:sz w:val="21"/>
                <w:szCs w:val="21"/>
                <w:lang w:val="en-US" w:eastAsia="zh-CN"/>
              </w:rPr>
              <w:t>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eastAsia"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S</w:t>
            </w:r>
            <w:r>
              <w:rPr>
                <w:rFonts w:hint="default" w:ascii="Times New Roman" w:hAnsi="Times New Roman" w:eastAsia="宋体" w:cs="Times New Roman"/>
                <w:b/>
                <w:i/>
                <w:color w:val="auto"/>
                <w:spacing w:val="0"/>
                <w:sz w:val="21"/>
                <w:szCs w:val="21"/>
                <w:vertAlign w:val="subscript"/>
              </w:rPr>
              <w:t>1-</w:t>
            </w:r>
            <w:r>
              <w:rPr>
                <w:rFonts w:hint="eastAsia" w:ascii="Times New Roman" w:hAnsi="Times New Roman" w:eastAsia="宋体" w:cs="Times New Roman"/>
                <w:b/>
                <w:i/>
                <w:color w:val="auto"/>
                <w:spacing w:val="0"/>
                <w:sz w:val="21"/>
                <w:szCs w:val="21"/>
                <w:vertAlign w:val="subscript"/>
                <w:lang w:val="en-US" w:eastAsia="zh-CN"/>
              </w:rPr>
              <w:t>5</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分割</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连续</w:t>
            </w:r>
          </w:p>
        </w:tc>
        <w:tc>
          <w:tcPr>
            <w:tcW w:w="96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000000" w:themeColor="text1"/>
                <w:spacing w:val="0"/>
                <w:sz w:val="21"/>
                <w:szCs w:val="21"/>
                <w14:textFill>
                  <w14:solidFill>
                    <w14:schemeClr w14:val="tx1"/>
                  </w14:solidFill>
                </w14:textFill>
              </w:rPr>
            </w:pPr>
            <w:r>
              <w:rPr>
                <w:rFonts w:hint="default" w:ascii="Times New Roman" w:hAnsi="Times New Roman" w:eastAsia="宋体" w:cs="Times New Roman"/>
                <w:color w:val="000000" w:themeColor="text1"/>
                <w:spacing w:val="0"/>
                <w:sz w:val="21"/>
                <w:szCs w:val="21"/>
                <w14:textFill>
                  <w14:solidFill>
                    <w14:schemeClr w14:val="tx1"/>
                  </w14:solidFill>
                </w14:textFill>
              </w:rPr>
              <w:t>病变内脏、腺体</w:t>
            </w:r>
          </w:p>
        </w:tc>
        <w:tc>
          <w:tcPr>
            <w:tcW w:w="1462" w:type="pct"/>
            <w:tcBorders>
              <w:tl2br w:val="nil"/>
              <w:tr2bl w:val="nil"/>
            </w:tcBorders>
            <w:noWrap w:val="0"/>
            <w:vAlign w:val="top"/>
          </w:tcPr>
          <w:p>
            <w:pPr>
              <w:spacing w:before="36" w:line="213" w:lineRule="auto"/>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spacing w:val="5"/>
                <w:sz w:val="20"/>
                <w:szCs w:val="20"/>
                <w:highlight w:val="none"/>
                <w:lang w:val="en-US" w:eastAsia="zh-CN"/>
              </w:rPr>
              <w:t>送至</w:t>
            </w:r>
            <w:r>
              <w:rPr>
                <w:rFonts w:hint="eastAsia" w:ascii="Times New Roman" w:hAnsi="Times New Roman" w:eastAsia="宋体" w:cs="Times New Roman"/>
                <w:spacing w:val="5"/>
                <w:sz w:val="20"/>
                <w:szCs w:val="20"/>
                <w:highlight w:val="none"/>
                <w:lang w:val="en-US" w:eastAsia="zh-CN"/>
              </w:rPr>
              <w:t>巴彦县燊缘无害化处理有限公司</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eastAsia"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S</w:t>
            </w:r>
            <w:r>
              <w:rPr>
                <w:rFonts w:hint="default" w:ascii="Times New Roman" w:hAnsi="Times New Roman" w:eastAsia="宋体" w:cs="Times New Roman"/>
                <w:b/>
                <w:i/>
                <w:color w:val="auto"/>
                <w:spacing w:val="0"/>
                <w:sz w:val="21"/>
                <w:szCs w:val="21"/>
                <w:vertAlign w:val="subscript"/>
              </w:rPr>
              <w:t>1-</w:t>
            </w:r>
            <w:r>
              <w:rPr>
                <w:rFonts w:hint="eastAsia" w:ascii="Times New Roman" w:hAnsi="Times New Roman" w:eastAsia="宋体" w:cs="Times New Roman"/>
                <w:b/>
                <w:i/>
                <w:color w:val="auto"/>
                <w:spacing w:val="0"/>
                <w:sz w:val="21"/>
                <w:szCs w:val="21"/>
                <w:vertAlign w:val="subscript"/>
                <w:lang w:val="en-US" w:eastAsia="zh-CN"/>
              </w:rPr>
              <w:t>6</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恶臭吸附</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间断</w:t>
            </w:r>
          </w:p>
        </w:tc>
        <w:tc>
          <w:tcPr>
            <w:tcW w:w="96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废活性炭</w:t>
            </w:r>
          </w:p>
        </w:tc>
        <w:tc>
          <w:tcPr>
            <w:tcW w:w="1462"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z w:val="21"/>
                <w:szCs w:val="21"/>
                <w:lang w:val="en-US" w:eastAsia="zh-CN"/>
              </w:rPr>
              <w:t>由活性炭厂家回收再生处理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eastAsia"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S</w:t>
            </w:r>
            <w:r>
              <w:rPr>
                <w:rFonts w:hint="default" w:ascii="Times New Roman" w:hAnsi="Times New Roman" w:eastAsia="宋体" w:cs="Times New Roman"/>
                <w:b/>
                <w:i/>
                <w:color w:val="auto"/>
                <w:spacing w:val="0"/>
                <w:sz w:val="21"/>
                <w:szCs w:val="21"/>
                <w:vertAlign w:val="subscript"/>
              </w:rPr>
              <w:t>1-</w:t>
            </w:r>
            <w:r>
              <w:rPr>
                <w:rFonts w:hint="eastAsia" w:ascii="Times New Roman" w:hAnsi="Times New Roman" w:eastAsia="宋体" w:cs="Times New Roman"/>
                <w:b/>
                <w:i/>
                <w:color w:val="auto"/>
                <w:spacing w:val="0"/>
                <w:sz w:val="21"/>
                <w:szCs w:val="21"/>
                <w:vertAlign w:val="subscript"/>
                <w:lang w:val="en-US" w:eastAsia="zh-CN"/>
              </w:rPr>
              <w:t>7</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rPr>
              <w:t>检疫</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间断</w:t>
            </w:r>
          </w:p>
        </w:tc>
        <w:tc>
          <w:tcPr>
            <w:tcW w:w="96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检疫废物</w:t>
            </w:r>
          </w:p>
        </w:tc>
        <w:tc>
          <w:tcPr>
            <w:tcW w:w="1462" w:type="pct"/>
            <w:tcBorders>
              <w:tl2br w:val="nil"/>
              <w:tr2bl w:val="nil"/>
            </w:tcBorders>
            <w:noWrap w:val="0"/>
            <w:vAlign w:val="top"/>
          </w:tcPr>
          <w:p>
            <w:pPr>
              <w:spacing w:before="69" w:line="199" w:lineRule="auto"/>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spacing w:val="5"/>
                <w:sz w:val="20"/>
                <w:szCs w:val="20"/>
                <w:highlight w:val="none"/>
                <w:lang w:val="en-US" w:eastAsia="zh-CN"/>
              </w:rPr>
              <w:t>送至</w:t>
            </w:r>
            <w:r>
              <w:rPr>
                <w:rFonts w:hint="eastAsia" w:ascii="Times New Roman" w:hAnsi="Times New Roman" w:eastAsia="宋体" w:cs="Times New Roman"/>
                <w:spacing w:val="5"/>
                <w:sz w:val="20"/>
                <w:szCs w:val="20"/>
                <w:highlight w:val="none"/>
                <w:lang w:val="en-US" w:eastAsia="zh-CN"/>
              </w:rPr>
              <w:t>哈尔滨国环医疗固体废物无害化集中处置中心有限公司</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sz w:val="21"/>
                <w:szCs w:val="21"/>
              </w:rPr>
              <w:t>S</w:t>
            </w:r>
            <w:r>
              <w:rPr>
                <w:rFonts w:hint="default" w:ascii="Times New Roman" w:hAnsi="Times New Roman" w:eastAsia="宋体" w:cs="Times New Roman"/>
                <w:b/>
                <w:i/>
                <w:color w:val="auto"/>
                <w:spacing w:val="0"/>
                <w:sz w:val="21"/>
                <w:szCs w:val="21"/>
                <w:vertAlign w:val="subscript"/>
              </w:rPr>
              <w:t>1-</w:t>
            </w:r>
            <w:r>
              <w:rPr>
                <w:rFonts w:hint="eastAsia" w:ascii="Times New Roman" w:hAnsi="Times New Roman" w:eastAsia="宋体" w:cs="Times New Roman"/>
                <w:b/>
                <w:i/>
                <w:color w:val="auto"/>
                <w:spacing w:val="0"/>
                <w:sz w:val="21"/>
                <w:szCs w:val="21"/>
                <w:vertAlign w:val="subscript"/>
                <w:lang w:val="en-US" w:eastAsia="zh-CN"/>
              </w:rPr>
              <w:t>8</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sz w:val="21"/>
                <w:szCs w:val="21"/>
                <w:lang w:val="en-US" w:eastAsia="zh-CN"/>
              </w:rPr>
              <w:t>待宰圈</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sz w:val="21"/>
                <w:szCs w:val="21"/>
                <w:lang w:val="en-US" w:eastAsia="zh-CN"/>
              </w:rPr>
              <w:t>间断</w:t>
            </w:r>
          </w:p>
        </w:tc>
        <w:tc>
          <w:tcPr>
            <w:tcW w:w="96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sz w:val="21"/>
                <w:szCs w:val="21"/>
                <w:lang w:val="en-US" w:eastAsia="zh-CN"/>
              </w:rPr>
              <w:t>病死猪</w:t>
            </w:r>
          </w:p>
        </w:tc>
        <w:tc>
          <w:tcPr>
            <w:tcW w:w="1462" w:type="pct"/>
            <w:tcBorders>
              <w:tl2br w:val="nil"/>
              <w:tr2bl w:val="nil"/>
            </w:tcBorders>
            <w:noWrap w:val="0"/>
            <w:vAlign w:val="top"/>
          </w:tcPr>
          <w:p>
            <w:pPr>
              <w:spacing w:before="32" w:line="234" w:lineRule="auto"/>
              <w:ind w:right="59" w:rightChars="0"/>
              <w:jc w:val="center"/>
              <w:rPr>
                <w:rFonts w:hint="default" w:ascii="Times New Roman" w:hAnsi="Times New Roman" w:eastAsia="宋体" w:cs="Times New Roman"/>
                <w:color w:val="auto"/>
                <w:spacing w:val="0"/>
                <w:kern w:val="0"/>
                <w:sz w:val="21"/>
                <w:szCs w:val="21"/>
                <w:highlight w:val="none"/>
                <w:lang w:val="en-US" w:eastAsia="zh-CN" w:bidi="ar-SA"/>
              </w:rPr>
            </w:pPr>
            <w:r>
              <w:rPr>
                <w:rFonts w:hint="default" w:ascii="Times New Roman" w:hAnsi="Times New Roman" w:eastAsia="宋体" w:cs="Times New Roman"/>
                <w:spacing w:val="5"/>
                <w:sz w:val="20"/>
                <w:szCs w:val="20"/>
                <w:highlight w:val="none"/>
                <w:lang w:val="en-US" w:eastAsia="zh-CN"/>
              </w:rPr>
              <w:t>送至</w:t>
            </w:r>
            <w:r>
              <w:rPr>
                <w:rFonts w:hint="eastAsia" w:ascii="Times New Roman" w:hAnsi="Times New Roman" w:eastAsia="宋体" w:cs="Times New Roman"/>
                <w:spacing w:val="5"/>
                <w:sz w:val="20"/>
                <w:szCs w:val="20"/>
                <w:highlight w:val="none"/>
                <w:lang w:val="en-US" w:eastAsia="zh-CN"/>
              </w:rPr>
              <w:t>巴彦县燊缘无害化处理有限公司</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auto"/>
                <w:spacing w:val="0"/>
                <w:sz w:val="21"/>
                <w:szCs w:val="21"/>
              </w:rPr>
            </w:pPr>
          </w:p>
        </w:tc>
        <w:tc>
          <w:tcPr>
            <w:tcW w:w="35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sz w:val="21"/>
                <w:szCs w:val="21"/>
              </w:rPr>
              <w:t>S</w:t>
            </w:r>
            <w:r>
              <w:rPr>
                <w:rFonts w:hint="default" w:ascii="Times New Roman" w:hAnsi="Times New Roman" w:eastAsia="宋体" w:cs="Times New Roman"/>
                <w:b/>
                <w:i/>
                <w:color w:val="auto"/>
                <w:spacing w:val="0"/>
                <w:sz w:val="21"/>
                <w:szCs w:val="21"/>
                <w:vertAlign w:val="subscript"/>
              </w:rPr>
              <w:t>1-</w:t>
            </w:r>
            <w:r>
              <w:rPr>
                <w:rFonts w:hint="eastAsia" w:ascii="Times New Roman" w:hAnsi="Times New Roman" w:eastAsia="宋体" w:cs="Times New Roman"/>
                <w:b/>
                <w:i/>
                <w:color w:val="auto"/>
                <w:spacing w:val="0"/>
                <w:sz w:val="21"/>
                <w:szCs w:val="21"/>
                <w:vertAlign w:val="subscript"/>
                <w:lang w:val="en-US" w:eastAsia="zh-CN"/>
              </w:rPr>
              <w:t>9</w:t>
            </w:r>
          </w:p>
        </w:tc>
        <w:tc>
          <w:tcPr>
            <w:tcW w:w="123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sz w:val="21"/>
                <w:szCs w:val="21"/>
                <w:lang w:val="en-US" w:eastAsia="zh-CN"/>
              </w:rPr>
              <w:t>污水处理站</w:t>
            </w:r>
          </w:p>
        </w:tc>
        <w:tc>
          <w:tcPr>
            <w:tcW w:w="628"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sz w:val="21"/>
                <w:szCs w:val="21"/>
                <w:lang w:val="en-US" w:eastAsia="zh-CN"/>
              </w:rPr>
              <w:t>间断</w:t>
            </w:r>
          </w:p>
        </w:tc>
        <w:tc>
          <w:tcPr>
            <w:tcW w:w="965" w:type="pct"/>
            <w:tcBorders>
              <w:tl2br w:val="nil"/>
              <w:tr2bl w:val="nil"/>
            </w:tcBorders>
            <w:noWrap w:val="0"/>
            <w:vAlign w:val="center"/>
          </w:tcPr>
          <w:p>
            <w:pPr>
              <w:pStyle w:val="1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污泥、栅渣</w:t>
            </w:r>
          </w:p>
        </w:tc>
        <w:tc>
          <w:tcPr>
            <w:tcW w:w="1462" w:type="pct"/>
            <w:tcBorders>
              <w:tl2br w:val="nil"/>
              <w:tr2bl w:val="nil"/>
            </w:tcBorders>
            <w:noWrap w:val="0"/>
            <w:vAlign w:val="top"/>
          </w:tcPr>
          <w:p>
            <w:pPr>
              <w:spacing w:before="32" w:line="234" w:lineRule="auto"/>
              <w:ind w:right="138" w:right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z w:val="21"/>
                <w:szCs w:val="21"/>
                <w:highlight w:val="none"/>
              </w:rPr>
              <w:t>经离心式脱水机脱水、</w:t>
            </w:r>
            <w:r>
              <w:rPr>
                <w:rFonts w:hint="eastAsia" w:ascii="Times New Roman" w:hAnsi="Times New Roman" w:eastAsia="宋体" w:cs="Times New Roman"/>
                <w:color w:val="auto"/>
                <w:sz w:val="21"/>
                <w:szCs w:val="21"/>
                <w:highlight w:val="none"/>
                <w:lang w:val="en-US" w:eastAsia="zh-CN"/>
              </w:rPr>
              <w:t>送至生活垃圾填埋场</w:t>
            </w:r>
          </w:p>
        </w:tc>
      </w:tr>
    </w:tbl>
    <w:p>
      <w:pPr>
        <w:spacing w:before="192" w:line="219" w:lineRule="auto"/>
        <w:ind w:left="38"/>
        <w:outlineLvl w:val="1"/>
        <w:rPr>
          <w:rFonts w:hint="default" w:ascii="Times New Roman" w:hAnsi="Times New Roman" w:eastAsia="宋体" w:cs="Times New Roman"/>
          <w:sz w:val="24"/>
          <w:szCs w:val="24"/>
        </w:rPr>
      </w:pPr>
      <w:bookmarkStart w:id="190" w:name="_Toc21819"/>
      <w:bookmarkStart w:id="191" w:name="_Toc19198"/>
      <w:bookmarkStart w:id="192" w:name="_Toc31972"/>
      <w:r>
        <w:rPr>
          <w:rFonts w:hint="default" w:ascii="Times New Roman" w:hAnsi="Times New Roman" w:eastAsia="Times New Roman" w:cs="Times New Roman"/>
          <w:b/>
          <w:bCs/>
          <w:spacing w:val="6"/>
          <w:sz w:val="24"/>
          <w:szCs w:val="24"/>
        </w:rPr>
        <w:t>3.</w:t>
      </w:r>
      <w:r>
        <w:rPr>
          <w:rFonts w:hint="default" w:ascii="Times New Roman" w:hAnsi="Times New Roman" w:eastAsia="宋体" w:cs="Times New Roman"/>
          <w:b/>
          <w:bCs/>
          <w:spacing w:val="6"/>
          <w:sz w:val="24"/>
          <w:szCs w:val="24"/>
          <w:lang w:val="en-US" w:eastAsia="zh-CN"/>
        </w:rPr>
        <w:t>6</w:t>
      </w:r>
      <w:r>
        <w:rPr>
          <w:rFonts w:hint="default" w:ascii="Times New Roman" w:hAnsi="Times New Roman" w:eastAsia="Times New Roman" w:cs="Times New Roman"/>
          <w:b/>
          <w:bCs/>
          <w:spacing w:val="6"/>
          <w:sz w:val="24"/>
          <w:szCs w:val="24"/>
        </w:rPr>
        <w:t xml:space="preserve">.3  </w:t>
      </w:r>
      <w:r>
        <w:rPr>
          <w:rFonts w:hint="default" w:ascii="Times New Roman" w:hAnsi="Times New Roman" w:eastAsia="宋体" w:cs="Times New Roman"/>
          <w:spacing w:val="6"/>
          <w:sz w:val="24"/>
          <w:szCs w:val="24"/>
          <w14:textOutline w14:w="4358" w14:cap="sq" w14:cmpd="sng">
            <w14:solidFill>
              <w14:srgbClr w14:val="000000"/>
            </w14:solidFill>
            <w14:prstDash w14:val="solid"/>
            <w14:bevel/>
          </w14:textOutline>
        </w:rPr>
        <w:t>污染因素分析及相关平衡</w:t>
      </w:r>
      <w:bookmarkEnd w:id="190"/>
      <w:bookmarkEnd w:id="191"/>
      <w:bookmarkEnd w:id="192"/>
    </w:p>
    <w:p>
      <w:pPr>
        <w:spacing w:before="194" w:line="222" w:lineRule="auto"/>
        <w:ind w:left="44"/>
        <w:outlineLvl w:val="3"/>
        <w:rPr>
          <w:rFonts w:hint="default" w:ascii="Times New Roman" w:hAnsi="Times New Roman" w:eastAsia="黑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"3.3.3.1" </w:instrText>
      </w:r>
      <w:r>
        <w:rPr>
          <w:rFonts w:hint="default" w:ascii="Times New Roman" w:hAnsi="Times New Roman" w:cs="Times New Roman"/>
        </w:rPr>
        <w:fldChar w:fldCharType="separate"/>
      </w:r>
      <w:r>
        <w:rPr>
          <w:rFonts w:hint="default" w:ascii="Times New Roman" w:hAnsi="Times New Roman" w:eastAsia="Times New Roman" w:cs="Times New Roman"/>
          <w:spacing w:val="2"/>
          <w:sz w:val="24"/>
          <w:szCs w:val="24"/>
        </w:rPr>
        <w:t>3.</w:t>
      </w:r>
      <w:r>
        <w:rPr>
          <w:rFonts w:hint="default" w:ascii="Times New Roman" w:hAnsi="Times New Roman" w:eastAsia="宋体" w:cs="Times New Roman"/>
          <w:spacing w:val="2"/>
          <w:sz w:val="24"/>
          <w:szCs w:val="24"/>
          <w:lang w:val="en-US" w:eastAsia="zh-CN"/>
        </w:rPr>
        <w:t>6</w:t>
      </w:r>
      <w:r>
        <w:rPr>
          <w:rFonts w:hint="default" w:ascii="Times New Roman" w:hAnsi="Times New Roman" w:eastAsia="Times New Roman" w:cs="Times New Roman"/>
          <w:spacing w:val="2"/>
          <w:sz w:val="24"/>
          <w:szCs w:val="24"/>
        </w:rPr>
        <w:t>.3.1</w:t>
      </w:r>
      <w:r>
        <w:rPr>
          <w:rFonts w:hint="default" w:ascii="Times New Roman" w:hAnsi="Times New Roman" w:eastAsia="Times New Roman" w:cs="Times New Roman"/>
          <w:spacing w:val="2"/>
          <w:sz w:val="24"/>
          <w:szCs w:val="24"/>
        </w:rPr>
        <w:fldChar w:fldCharType="end"/>
      </w:r>
      <w:r>
        <w:rPr>
          <w:rFonts w:hint="default" w:ascii="Times New Roman" w:hAnsi="Times New Roman" w:eastAsia="Times New Roman" w:cs="Times New Roman"/>
          <w:spacing w:val="19"/>
          <w:w w:val="101"/>
          <w:sz w:val="24"/>
          <w:szCs w:val="24"/>
        </w:rPr>
        <w:t xml:space="preserve">  </w:t>
      </w:r>
      <w:r>
        <w:rPr>
          <w:rFonts w:hint="default" w:ascii="Times New Roman" w:hAnsi="Times New Roman" w:eastAsia="黑体" w:cs="Times New Roman"/>
          <w:spacing w:val="2"/>
          <w:sz w:val="24"/>
          <w:szCs w:val="24"/>
        </w:rPr>
        <w:t>污染因素分析</w:t>
      </w:r>
    </w:p>
    <w:p>
      <w:pPr>
        <w:spacing w:before="189" w:line="219" w:lineRule="auto"/>
        <w:ind w:left="524"/>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根据本项目工程概况和工艺特点，其主要污染源</w:t>
      </w:r>
      <w:r>
        <w:rPr>
          <w:rFonts w:hint="default" w:ascii="Times New Roman" w:hAnsi="Times New Roman" w:eastAsia="宋体" w:cs="Times New Roman"/>
          <w:spacing w:val="-1"/>
          <w:sz w:val="24"/>
          <w:szCs w:val="24"/>
        </w:rPr>
        <w:t>及污染因子识别见下表。</w:t>
      </w:r>
    </w:p>
    <w:p>
      <w:pPr>
        <w:spacing w:before="129" w:line="228" w:lineRule="auto"/>
        <w:ind w:left="3015"/>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36"/>
          <w:sz w:val="20"/>
          <w:szCs w:val="20"/>
          <w:highlight w:val="none"/>
        </w:rPr>
        <w:t xml:space="preserve"> </w:t>
      </w:r>
      <w:r>
        <w:rPr>
          <w:rFonts w:hint="default" w:ascii="Times New Roman" w:hAnsi="Times New Roman" w:eastAsia="Times New Roman" w:cs="Times New Roman"/>
          <w:b/>
          <w:bCs/>
          <w:spacing w:val="7"/>
          <w:sz w:val="20"/>
          <w:szCs w:val="20"/>
          <w:highlight w:val="none"/>
        </w:rPr>
        <w:t>3</w:t>
      </w:r>
      <w:r>
        <w:rPr>
          <w:rFonts w:hint="eastAsia" w:ascii="Times New Roman" w:hAnsi="Times New Roman" w:eastAsia="宋体" w:cs="Times New Roman"/>
          <w:b/>
          <w:bCs/>
          <w:spacing w:val="7"/>
          <w:sz w:val="20"/>
          <w:szCs w:val="20"/>
          <w:highlight w:val="none"/>
          <w:lang w:val="en-US" w:eastAsia="zh-CN"/>
        </w:rPr>
        <w:t>-</w:t>
      </w:r>
      <w:r>
        <w:rPr>
          <w:rFonts w:hint="default" w:ascii="Times New Roman" w:hAnsi="Times New Roman" w:eastAsia="宋体" w:cs="Times New Roman"/>
          <w:b/>
          <w:bCs/>
          <w:spacing w:val="7"/>
          <w:sz w:val="20"/>
          <w:szCs w:val="20"/>
          <w:highlight w:val="none"/>
          <w:lang w:val="en-US" w:eastAsia="zh-CN"/>
        </w:rPr>
        <w:t>6</w:t>
      </w:r>
      <w:r>
        <w:rPr>
          <w:rFonts w:hint="default" w:ascii="Times New Roman" w:hAnsi="Times New Roman" w:eastAsia="Times New Roman" w:cs="Times New Roman"/>
          <w:b/>
          <w:bCs/>
          <w:spacing w:val="7"/>
          <w:sz w:val="20"/>
          <w:szCs w:val="20"/>
          <w:highlight w:val="none"/>
        </w:rPr>
        <w:t>-</w:t>
      </w:r>
      <w:r>
        <w:rPr>
          <w:rFonts w:hint="default" w:ascii="Times New Roman" w:hAnsi="Times New Roman" w:eastAsia="宋体" w:cs="Times New Roman"/>
          <w:b/>
          <w:bCs/>
          <w:spacing w:val="7"/>
          <w:sz w:val="20"/>
          <w:szCs w:val="20"/>
          <w:highlight w:val="none"/>
          <w:lang w:val="en-US" w:eastAsia="zh-CN"/>
        </w:rPr>
        <w:t>2</w:t>
      </w:r>
      <w:r>
        <w:rPr>
          <w:rFonts w:hint="default" w:ascii="Times New Roman" w:hAnsi="Times New Roman" w:eastAsia="Times New Roman" w:cs="Times New Roman"/>
          <w:b/>
          <w:bCs/>
          <w:spacing w:val="7"/>
          <w:sz w:val="20"/>
          <w:szCs w:val="20"/>
          <w:highlight w:val="none"/>
        </w:rPr>
        <w:t xml:space="preserve">  </w:t>
      </w: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污染源及污染因子识别表</w:t>
      </w:r>
    </w:p>
    <w:p>
      <w:pPr>
        <w:spacing w:line="17" w:lineRule="exact"/>
        <w:rPr>
          <w:rFonts w:hint="default" w:ascii="Times New Roman" w:hAnsi="Times New Roman" w:cs="Times New Roman"/>
        </w:rPr>
      </w:pPr>
    </w:p>
    <w:tbl>
      <w:tblPr>
        <w:tblStyle w:val="24"/>
        <w:tblW w:w="499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64"/>
        <w:gridCol w:w="785"/>
        <w:gridCol w:w="1392"/>
        <w:gridCol w:w="3091"/>
        <w:gridCol w:w="2279"/>
        <w:gridCol w:w="11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trPr>
        <w:tc>
          <w:tcPr>
            <w:tcW w:w="402" w:type="pc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阶段</w:t>
            </w:r>
          </w:p>
        </w:tc>
        <w:tc>
          <w:tcPr>
            <w:tcW w:w="41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种类</w:t>
            </w:r>
          </w:p>
        </w:tc>
        <w:tc>
          <w:tcPr>
            <w:tcW w:w="7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来源</w:t>
            </w:r>
          </w:p>
        </w:tc>
        <w:tc>
          <w:tcPr>
            <w:tcW w:w="16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主要组成</w:t>
            </w:r>
          </w:p>
        </w:tc>
        <w:tc>
          <w:tcPr>
            <w:tcW w:w="11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排放位置</w:t>
            </w:r>
          </w:p>
        </w:tc>
        <w:tc>
          <w:tcPr>
            <w:tcW w:w="626"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排放特性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2" w:type="pct"/>
            <w:vMerge w:val="restar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期</w:t>
            </w:r>
          </w:p>
        </w:tc>
        <w:tc>
          <w:tcPr>
            <w:tcW w:w="41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7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设备安装</w:t>
            </w:r>
          </w:p>
        </w:tc>
        <w:tc>
          <w:tcPr>
            <w:tcW w:w="16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机械噪声</w:t>
            </w:r>
          </w:p>
        </w:tc>
        <w:tc>
          <w:tcPr>
            <w:tcW w:w="11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待宰圈、屠宰车间、污水处理站</w:t>
            </w:r>
          </w:p>
        </w:tc>
        <w:tc>
          <w:tcPr>
            <w:tcW w:w="626"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2"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41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废气</w:t>
            </w:r>
          </w:p>
        </w:tc>
        <w:tc>
          <w:tcPr>
            <w:tcW w:w="7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事故池</w:t>
            </w:r>
          </w:p>
        </w:tc>
        <w:tc>
          <w:tcPr>
            <w:tcW w:w="16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扬尘</w:t>
            </w:r>
          </w:p>
        </w:tc>
        <w:tc>
          <w:tcPr>
            <w:tcW w:w="11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事故池</w:t>
            </w:r>
          </w:p>
        </w:tc>
        <w:tc>
          <w:tcPr>
            <w:tcW w:w="626"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2"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41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7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施工人员</w:t>
            </w:r>
          </w:p>
        </w:tc>
        <w:tc>
          <w:tcPr>
            <w:tcW w:w="16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生活污水</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COD、BOD</w:t>
            </w:r>
            <w:r>
              <w:rPr>
                <w:rFonts w:hint="default" w:ascii="Times New Roman" w:hAnsi="Times New Roman" w:eastAsia="宋体" w:cs="Times New Roman"/>
                <w:color w:val="auto"/>
                <w:sz w:val="21"/>
                <w:szCs w:val="21"/>
                <w:highlight w:val="none"/>
                <w:vertAlign w:val="subscript"/>
              </w:rPr>
              <w:t>5</w:t>
            </w:r>
            <w:r>
              <w:rPr>
                <w:rFonts w:hint="default" w:ascii="Times New Roman" w:hAnsi="Times New Roman" w:eastAsia="宋体" w:cs="Times New Roman"/>
                <w:color w:val="auto"/>
                <w:sz w:val="21"/>
                <w:szCs w:val="21"/>
                <w:highlight w:val="none"/>
              </w:rPr>
              <w:t>、SS</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施工废水</w:t>
            </w:r>
          </w:p>
        </w:tc>
        <w:tc>
          <w:tcPr>
            <w:tcW w:w="11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施工场地</w:t>
            </w:r>
          </w:p>
        </w:tc>
        <w:tc>
          <w:tcPr>
            <w:tcW w:w="626"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2"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41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7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施工人员</w:t>
            </w:r>
          </w:p>
        </w:tc>
        <w:tc>
          <w:tcPr>
            <w:tcW w:w="16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生活垃圾</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建筑垃圾</w:t>
            </w:r>
          </w:p>
        </w:tc>
        <w:tc>
          <w:tcPr>
            <w:tcW w:w="11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施工场地</w:t>
            </w:r>
          </w:p>
        </w:tc>
        <w:tc>
          <w:tcPr>
            <w:tcW w:w="626"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集中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402" w:type="pct"/>
            <w:vMerge w:val="restar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营</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期</w:t>
            </w:r>
          </w:p>
        </w:tc>
        <w:tc>
          <w:tcPr>
            <w:tcW w:w="413"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p>
        </w:tc>
        <w:tc>
          <w:tcPr>
            <w:tcW w:w="73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无组织排放</w:t>
            </w:r>
          </w:p>
        </w:tc>
        <w:tc>
          <w:tcPr>
            <w:tcW w:w="16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氨、硫化氢、臭气浓度</w:t>
            </w:r>
          </w:p>
        </w:tc>
        <w:tc>
          <w:tcPr>
            <w:tcW w:w="11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屠宰</w:t>
            </w:r>
            <w:r>
              <w:rPr>
                <w:rFonts w:hint="default" w:ascii="Times New Roman" w:hAnsi="Times New Roman" w:eastAsia="宋体" w:cs="Times New Roman"/>
                <w:color w:val="auto"/>
                <w:sz w:val="21"/>
                <w:szCs w:val="21"/>
                <w:lang w:val="en-US" w:eastAsia="zh-CN"/>
              </w:rPr>
              <w:t>车</w:t>
            </w:r>
            <w:r>
              <w:rPr>
                <w:rFonts w:hint="default" w:ascii="Times New Roman" w:hAnsi="Times New Roman" w:eastAsia="宋体" w:cs="Times New Roman"/>
                <w:color w:val="auto"/>
                <w:sz w:val="21"/>
                <w:szCs w:val="21"/>
              </w:rPr>
              <w:t>间、</w:t>
            </w:r>
            <w:r>
              <w:rPr>
                <w:rFonts w:hint="default" w:ascii="Times New Roman" w:hAnsi="Times New Roman" w:cs="Times New Roman"/>
                <w:color w:val="auto"/>
                <w:sz w:val="21"/>
                <w:szCs w:val="21"/>
              </w:rPr>
              <w:t>待宰</w:t>
            </w:r>
            <w:r>
              <w:rPr>
                <w:rFonts w:hint="default" w:ascii="Times New Roman" w:hAnsi="Times New Roman" w:eastAsia="宋体" w:cs="Times New Roman"/>
                <w:color w:val="auto"/>
                <w:spacing w:val="0"/>
                <w:sz w:val="21"/>
                <w:szCs w:val="21"/>
                <w:lang w:val="en-US" w:eastAsia="zh-CN"/>
              </w:rPr>
              <w:t>圈</w:t>
            </w:r>
            <w:r>
              <w:rPr>
                <w:rFonts w:hint="default" w:ascii="Times New Roman" w:hAnsi="Times New Roman" w:eastAsia="宋体" w:cs="Times New Roman"/>
                <w:color w:val="auto"/>
                <w:sz w:val="21"/>
                <w:szCs w:val="21"/>
              </w:rPr>
              <w:t>、污水处理站</w:t>
            </w:r>
            <w:r>
              <w:rPr>
                <w:rFonts w:hint="default" w:ascii="Times New Roman" w:hAnsi="Times New Roman" w:eastAsia="宋体" w:cs="Times New Roman"/>
                <w:color w:val="auto"/>
                <w:sz w:val="21"/>
                <w:szCs w:val="21"/>
                <w:lang w:eastAsia="zh-CN"/>
              </w:rPr>
              <w:t>、固废暂存</w:t>
            </w:r>
            <w:r>
              <w:rPr>
                <w:rFonts w:hint="default" w:ascii="Times New Roman" w:hAnsi="Times New Roman" w:eastAsia="宋体" w:cs="Times New Roman"/>
                <w:color w:val="auto"/>
                <w:sz w:val="21"/>
                <w:szCs w:val="21"/>
                <w:lang w:val="en-US" w:eastAsia="zh-CN"/>
              </w:rPr>
              <w:t>间</w:t>
            </w:r>
          </w:p>
        </w:tc>
        <w:tc>
          <w:tcPr>
            <w:tcW w:w="626"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2"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41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73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16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非甲烷总烃</w:t>
            </w:r>
          </w:p>
        </w:tc>
        <w:tc>
          <w:tcPr>
            <w:tcW w:w="11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柴油储罐</w:t>
            </w:r>
          </w:p>
        </w:tc>
        <w:tc>
          <w:tcPr>
            <w:tcW w:w="626"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2"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41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73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有组织排放</w:t>
            </w:r>
          </w:p>
        </w:tc>
        <w:tc>
          <w:tcPr>
            <w:tcW w:w="16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lang w:val="en-US" w:eastAsia="zh-CN"/>
              </w:rPr>
            </w:pPr>
            <w:r>
              <w:rPr>
                <w:rFonts w:hint="eastAsia" w:ascii="Times New Roman" w:hAnsi="Times New Roman" w:eastAsia="宋体" w:cs="Times New Roman"/>
                <w:color w:val="auto"/>
                <w:sz w:val="21"/>
                <w:szCs w:val="21"/>
                <w:lang w:val="en-US" w:eastAsia="zh-CN"/>
              </w:rPr>
              <w:t>氨、硫化氢、臭气浓度</w:t>
            </w:r>
          </w:p>
        </w:tc>
        <w:tc>
          <w:tcPr>
            <w:tcW w:w="11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屠宰间、</w:t>
            </w:r>
            <w:r>
              <w:rPr>
                <w:rFonts w:hint="default" w:ascii="Times New Roman" w:hAnsi="Times New Roman" w:cs="Times New Roman"/>
                <w:color w:val="auto"/>
                <w:sz w:val="21"/>
                <w:szCs w:val="21"/>
              </w:rPr>
              <w:t>待宰</w:t>
            </w:r>
            <w:r>
              <w:rPr>
                <w:rFonts w:hint="default" w:ascii="Times New Roman" w:hAnsi="Times New Roman" w:eastAsia="宋体" w:cs="Times New Roman"/>
                <w:color w:val="auto"/>
                <w:spacing w:val="0"/>
                <w:sz w:val="21"/>
                <w:szCs w:val="21"/>
                <w:lang w:val="en-US" w:eastAsia="zh-CN"/>
              </w:rPr>
              <w:t>圈</w:t>
            </w:r>
            <w:r>
              <w:rPr>
                <w:rFonts w:hint="default" w:ascii="Times New Roman" w:hAnsi="Times New Roman" w:eastAsia="宋体" w:cs="Times New Roman"/>
                <w:color w:val="auto"/>
                <w:sz w:val="21"/>
                <w:szCs w:val="21"/>
              </w:rPr>
              <w:t>、污水处理站</w:t>
            </w:r>
          </w:p>
        </w:tc>
        <w:tc>
          <w:tcPr>
            <w:tcW w:w="626"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2"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41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73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16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颗粒物、SO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x</w:t>
            </w:r>
          </w:p>
        </w:tc>
        <w:tc>
          <w:tcPr>
            <w:tcW w:w="11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锅炉</w:t>
            </w:r>
            <w:r>
              <w:rPr>
                <w:rFonts w:hint="default" w:ascii="Times New Roman" w:hAnsi="Times New Roman" w:eastAsia="宋体" w:cs="Times New Roman"/>
                <w:color w:val="auto"/>
                <w:sz w:val="21"/>
                <w:szCs w:val="21"/>
              </w:rPr>
              <w:t>烟囱</w:t>
            </w:r>
          </w:p>
        </w:tc>
        <w:tc>
          <w:tcPr>
            <w:tcW w:w="626"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2"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413"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w:t>
            </w:r>
          </w:p>
        </w:tc>
        <w:tc>
          <w:tcPr>
            <w:tcW w:w="7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生产废水</w:t>
            </w:r>
          </w:p>
        </w:tc>
        <w:tc>
          <w:tcPr>
            <w:tcW w:w="16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SS、COD、BOD</w:t>
            </w:r>
            <w:r>
              <w:rPr>
                <w:rFonts w:hint="default" w:ascii="Times New Roman" w:hAnsi="Times New Roman" w:eastAsia="宋体" w:cs="Times New Roman"/>
                <w:color w:val="auto"/>
                <w:sz w:val="21"/>
                <w:szCs w:val="21"/>
                <w:vertAlign w:val="subscript"/>
              </w:rPr>
              <w:t>5</w:t>
            </w:r>
            <w:r>
              <w:rPr>
                <w:rFonts w:hint="default" w:ascii="Times New Roman" w:hAnsi="Times New Roman" w:eastAsia="宋体" w:cs="Times New Roman"/>
                <w:color w:val="auto"/>
                <w:sz w:val="21"/>
                <w:szCs w:val="21"/>
              </w:rPr>
              <w:t>、氨氮、动植物油、粪大肠杆菌</w:t>
            </w:r>
          </w:p>
        </w:tc>
        <w:tc>
          <w:tcPr>
            <w:tcW w:w="11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cs="Times New Roman"/>
                <w:color w:val="auto"/>
                <w:sz w:val="21"/>
                <w:szCs w:val="21"/>
              </w:rPr>
              <w:t>待宰</w:t>
            </w:r>
            <w:r>
              <w:rPr>
                <w:rFonts w:hint="default" w:ascii="Times New Roman" w:hAnsi="Times New Roman" w:eastAsia="宋体" w:cs="Times New Roman"/>
                <w:color w:val="auto"/>
                <w:spacing w:val="0"/>
                <w:sz w:val="21"/>
                <w:szCs w:val="21"/>
                <w:lang w:val="en-US" w:eastAsia="zh-CN"/>
              </w:rPr>
              <w:t>圈</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屠宰车间</w:t>
            </w:r>
            <w:r>
              <w:rPr>
                <w:rFonts w:hint="default"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洗车等</w:t>
            </w:r>
          </w:p>
        </w:tc>
        <w:tc>
          <w:tcPr>
            <w:tcW w:w="626"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2"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41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7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工作人员</w:t>
            </w:r>
          </w:p>
        </w:tc>
        <w:tc>
          <w:tcPr>
            <w:tcW w:w="16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SS、COD、BOD</w:t>
            </w:r>
            <w:r>
              <w:rPr>
                <w:rFonts w:hint="default" w:ascii="Times New Roman" w:hAnsi="Times New Roman" w:eastAsia="宋体" w:cs="Times New Roman"/>
                <w:color w:val="auto"/>
                <w:sz w:val="21"/>
                <w:szCs w:val="21"/>
                <w:vertAlign w:val="subscript"/>
              </w:rPr>
              <w:t>5</w:t>
            </w:r>
            <w:r>
              <w:rPr>
                <w:rFonts w:hint="default" w:ascii="Times New Roman" w:hAnsi="Times New Roman" w:eastAsia="宋体" w:cs="Times New Roman"/>
                <w:color w:val="auto"/>
                <w:sz w:val="21"/>
                <w:szCs w:val="21"/>
              </w:rPr>
              <w:t>、氨氮、动植物油</w:t>
            </w:r>
          </w:p>
        </w:tc>
        <w:tc>
          <w:tcPr>
            <w:tcW w:w="11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办公</w:t>
            </w:r>
            <w:r>
              <w:rPr>
                <w:rFonts w:hint="default" w:ascii="Times New Roman" w:hAnsi="Times New Roman" w:eastAsia="宋体" w:cs="Times New Roman"/>
                <w:color w:val="auto"/>
                <w:sz w:val="21"/>
                <w:szCs w:val="21"/>
                <w:lang w:val="en-US" w:eastAsia="zh-CN"/>
              </w:rPr>
              <w:t>室</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员工宿舍</w:t>
            </w:r>
          </w:p>
        </w:tc>
        <w:tc>
          <w:tcPr>
            <w:tcW w:w="626"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2"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413"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w:t>
            </w:r>
          </w:p>
        </w:tc>
        <w:tc>
          <w:tcPr>
            <w:tcW w:w="7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生产车间</w:t>
            </w:r>
          </w:p>
        </w:tc>
        <w:tc>
          <w:tcPr>
            <w:tcW w:w="16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待宰圈废物、</w:t>
            </w:r>
            <w:r>
              <w:rPr>
                <w:rFonts w:hint="default" w:ascii="Times New Roman" w:hAnsi="Times New Roman" w:eastAsia="宋体" w:cs="Times New Roman"/>
                <w:color w:val="auto"/>
                <w:sz w:val="21"/>
                <w:szCs w:val="21"/>
              </w:rPr>
              <w:t>屠宰废物、</w:t>
            </w:r>
            <w:r>
              <w:rPr>
                <w:rFonts w:hint="default" w:ascii="Times New Roman" w:hAnsi="Times New Roman" w:eastAsia="宋体" w:cs="Times New Roman"/>
                <w:color w:val="auto"/>
                <w:sz w:val="21"/>
                <w:szCs w:val="21"/>
                <w:lang w:val="en-US" w:eastAsia="zh-CN"/>
              </w:rPr>
              <w:t>污水处理站废物</w:t>
            </w:r>
            <w:r>
              <w:rPr>
                <w:rFonts w:hint="default" w:ascii="Times New Roman" w:hAnsi="Times New Roman" w:eastAsia="宋体" w:cs="Times New Roman"/>
                <w:color w:val="auto"/>
                <w:sz w:val="21"/>
                <w:szCs w:val="21"/>
              </w:rPr>
              <w:t>、废活性炭</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废离子交换树脂</w:t>
            </w:r>
          </w:p>
        </w:tc>
        <w:tc>
          <w:tcPr>
            <w:tcW w:w="11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生产车间</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污水站等</w:t>
            </w:r>
          </w:p>
        </w:tc>
        <w:tc>
          <w:tcPr>
            <w:tcW w:w="626"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集中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2"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41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7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工作人员</w:t>
            </w:r>
          </w:p>
        </w:tc>
        <w:tc>
          <w:tcPr>
            <w:tcW w:w="16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生活垃圾</w:t>
            </w:r>
          </w:p>
        </w:tc>
        <w:tc>
          <w:tcPr>
            <w:tcW w:w="11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车间、办公</w:t>
            </w:r>
            <w:r>
              <w:rPr>
                <w:rFonts w:hint="default" w:ascii="Times New Roman" w:hAnsi="Times New Roman" w:eastAsia="宋体" w:cs="Times New Roman"/>
                <w:color w:val="auto"/>
                <w:sz w:val="21"/>
                <w:szCs w:val="21"/>
                <w:lang w:val="en-US" w:eastAsia="zh-CN"/>
              </w:rPr>
              <w:t>室</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员工宿舍</w:t>
            </w:r>
          </w:p>
        </w:tc>
        <w:tc>
          <w:tcPr>
            <w:tcW w:w="626"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2"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41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7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机械设备</w:t>
            </w:r>
          </w:p>
        </w:tc>
        <w:tc>
          <w:tcPr>
            <w:tcW w:w="16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设备噪声</w:t>
            </w:r>
          </w:p>
        </w:tc>
        <w:tc>
          <w:tcPr>
            <w:tcW w:w="11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厂房内</w:t>
            </w:r>
          </w:p>
        </w:tc>
        <w:tc>
          <w:tcPr>
            <w:tcW w:w="626"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间断</w:t>
            </w:r>
          </w:p>
        </w:tc>
      </w:tr>
    </w:tbl>
    <w:p>
      <w:pPr>
        <w:spacing w:before="120" w:line="222" w:lineRule="auto"/>
        <w:ind w:left="44"/>
        <w:outlineLvl w:val="3"/>
        <w:rPr>
          <w:rFonts w:hint="default" w:ascii="Times New Roman" w:hAnsi="Times New Roman" w:eastAsia="黑体" w:cs="Times New Roman"/>
          <w:sz w:val="24"/>
          <w:szCs w:val="24"/>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"3.3.3.2" </w:instrText>
      </w:r>
      <w:r>
        <w:rPr>
          <w:rFonts w:hint="default" w:ascii="Times New Roman" w:hAnsi="Times New Roman" w:cs="Times New Roman"/>
          <w:highlight w:val="none"/>
        </w:rPr>
        <w:fldChar w:fldCharType="separate"/>
      </w:r>
      <w:r>
        <w:rPr>
          <w:rFonts w:hint="default" w:ascii="Times New Roman" w:hAnsi="Times New Roman" w:eastAsia="Times New Roman" w:cs="Times New Roman"/>
          <w:spacing w:val="2"/>
          <w:sz w:val="24"/>
          <w:szCs w:val="24"/>
          <w:highlight w:val="none"/>
        </w:rPr>
        <w:t>3.</w:t>
      </w:r>
      <w:r>
        <w:rPr>
          <w:rFonts w:hint="default" w:ascii="Times New Roman" w:hAnsi="Times New Roman" w:eastAsia="宋体" w:cs="Times New Roman"/>
          <w:spacing w:val="2"/>
          <w:sz w:val="24"/>
          <w:szCs w:val="24"/>
          <w:highlight w:val="none"/>
          <w:lang w:val="en-US" w:eastAsia="zh-CN"/>
        </w:rPr>
        <w:t>6</w:t>
      </w:r>
      <w:r>
        <w:rPr>
          <w:rFonts w:hint="default" w:ascii="Times New Roman" w:hAnsi="Times New Roman" w:eastAsia="Times New Roman" w:cs="Times New Roman"/>
          <w:spacing w:val="2"/>
          <w:sz w:val="24"/>
          <w:szCs w:val="24"/>
          <w:highlight w:val="none"/>
        </w:rPr>
        <w:t>.3.2</w:t>
      </w:r>
      <w:r>
        <w:rPr>
          <w:rFonts w:hint="default" w:ascii="Times New Roman" w:hAnsi="Times New Roman" w:eastAsia="Times New Roman" w:cs="Times New Roman"/>
          <w:spacing w:val="2"/>
          <w:sz w:val="24"/>
          <w:szCs w:val="24"/>
          <w:highlight w:val="none"/>
        </w:rPr>
        <w:fldChar w:fldCharType="end"/>
      </w:r>
      <w:r>
        <w:rPr>
          <w:rFonts w:hint="default" w:ascii="Times New Roman" w:hAnsi="Times New Roman" w:eastAsia="Times New Roman" w:cs="Times New Roman"/>
          <w:spacing w:val="13"/>
          <w:sz w:val="24"/>
          <w:szCs w:val="24"/>
          <w:highlight w:val="none"/>
        </w:rPr>
        <w:t xml:space="preserve">  </w:t>
      </w:r>
      <w:r>
        <w:rPr>
          <w:rFonts w:hint="default" w:ascii="Times New Roman" w:hAnsi="Times New Roman" w:eastAsia="黑体" w:cs="Times New Roman"/>
          <w:spacing w:val="2"/>
          <w:sz w:val="24"/>
          <w:szCs w:val="24"/>
          <w:highlight w:val="none"/>
        </w:rPr>
        <w:t>物料平衡</w:t>
      </w:r>
    </w:p>
    <w:p>
      <w:pPr>
        <w:spacing w:before="189" w:line="480" w:lineRule="exact"/>
        <w:ind w:right="27"/>
        <w:jc w:val="right"/>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1"/>
          <w:position w:val="18"/>
          <w:sz w:val="24"/>
          <w:szCs w:val="24"/>
          <w:highlight w:val="none"/>
        </w:rPr>
        <w:t>根据类比调查，并结合工程设计产品核算，屠宰加工过程物料平衡图见图</w:t>
      </w:r>
      <w:r>
        <w:rPr>
          <w:rFonts w:hint="default" w:ascii="Times New Roman" w:hAnsi="Times New Roman" w:eastAsia="宋体" w:cs="Times New Roman"/>
          <w:spacing w:val="-47"/>
          <w:position w:val="18"/>
          <w:sz w:val="24"/>
          <w:szCs w:val="24"/>
          <w:highlight w:val="none"/>
        </w:rPr>
        <w:t xml:space="preserve"> </w:t>
      </w:r>
      <w:r>
        <w:rPr>
          <w:rFonts w:hint="default" w:ascii="Times New Roman" w:hAnsi="Times New Roman" w:eastAsia="Times New Roman" w:cs="Times New Roman"/>
          <w:spacing w:val="1"/>
          <w:position w:val="18"/>
          <w:sz w:val="24"/>
          <w:szCs w:val="24"/>
          <w:highlight w:val="none"/>
        </w:rPr>
        <w:t>3</w:t>
      </w:r>
      <w:r>
        <w:rPr>
          <w:rFonts w:hint="eastAsia" w:ascii="Times New Roman" w:hAnsi="Times New Roman" w:eastAsia="宋体" w:cs="Times New Roman"/>
          <w:spacing w:val="1"/>
          <w:position w:val="18"/>
          <w:sz w:val="24"/>
          <w:szCs w:val="24"/>
          <w:highlight w:val="none"/>
          <w:lang w:val="en-US" w:eastAsia="zh-CN"/>
        </w:rPr>
        <w:t>-</w:t>
      </w:r>
      <w:r>
        <w:rPr>
          <w:rFonts w:hint="default" w:ascii="Times New Roman" w:hAnsi="Times New Roman" w:eastAsia="宋体" w:cs="Times New Roman"/>
          <w:spacing w:val="1"/>
          <w:position w:val="18"/>
          <w:sz w:val="24"/>
          <w:szCs w:val="24"/>
          <w:highlight w:val="none"/>
          <w:lang w:val="en-US" w:eastAsia="zh-CN"/>
        </w:rPr>
        <w:t>6</w:t>
      </w:r>
      <w:r>
        <w:rPr>
          <w:rFonts w:hint="default" w:ascii="Times New Roman" w:hAnsi="Times New Roman" w:eastAsia="Times New Roman" w:cs="Times New Roman"/>
          <w:spacing w:val="1"/>
          <w:position w:val="18"/>
          <w:sz w:val="24"/>
          <w:szCs w:val="24"/>
          <w:highlight w:val="none"/>
        </w:rPr>
        <w:t>-</w:t>
      </w:r>
      <w:r>
        <w:rPr>
          <w:rFonts w:hint="eastAsia" w:ascii="Times New Roman" w:hAnsi="Times New Roman" w:eastAsia="宋体" w:cs="Times New Roman"/>
          <w:spacing w:val="1"/>
          <w:position w:val="18"/>
          <w:sz w:val="24"/>
          <w:szCs w:val="24"/>
          <w:highlight w:val="none"/>
          <w:lang w:val="en-US" w:eastAsia="zh-CN"/>
        </w:rPr>
        <w:t>3</w:t>
      </w:r>
      <w:r>
        <w:rPr>
          <w:rFonts w:hint="default" w:ascii="Times New Roman" w:hAnsi="Times New Roman" w:eastAsia="Times New Roman" w:cs="Times New Roman"/>
          <w:position w:val="18"/>
          <w:sz w:val="24"/>
          <w:szCs w:val="24"/>
          <w:highlight w:val="none"/>
        </w:rPr>
        <w:t xml:space="preserve"> </w:t>
      </w:r>
      <w:r>
        <w:rPr>
          <w:rFonts w:hint="default" w:ascii="Times New Roman" w:hAnsi="Times New Roman" w:eastAsia="宋体" w:cs="Times New Roman"/>
          <w:position w:val="18"/>
          <w:sz w:val="24"/>
          <w:szCs w:val="24"/>
          <w:highlight w:val="none"/>
        </w:rPr>
        <w:t>及</w:t>
      </w:r>
    </w:p>
    <w:p>
      <w:pPr>
        <w:spacing w:before="1" w:line="220" w:lineRule="auto"/>
        <w:ind w:left="43"/>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3"/>
          <w:sz w:val="24"/>
          <w:szCs w:val="24"/>
          <w:highlight w:val="none"/>
        </w:rPr>
        <w:t>表</w:t>
      </w:r>
      <w:r>
        <w:rPr>
          <w:rFonts w:hint="default" w:ascii="Times New Roman" w:hAnsi="Times New Roman" w:eastAsia="宋体" w:cs="Times New Roman"/>
          <w:spacing w:val="-50"/>
          <w:sz w:val="24"/>
          <w:szCs w:val="24"/>
          <w:highlight w:val="none"/>
        </w:rPr>
        <w:t xml:space="preserve"> </w:t>
      </w:r>
      <w:r>
        <w:rPr>
          <w:rFonts w:hint="default" w:ascii="Times New Roman" w:hAnsi="Times New Roman" w:eastAsia="Times New Roman" w:cs="Times New Roman"/>
          <w:spacing w:val="-3"/>
          <w:sz w:val="24"/>
          <w:szCs w:val="24"/>
          <w:highlight w:val="none"/>
        </w:rPr>
        <w:t>3</w:t>
      </w:r>
      <w:r>
        <w:rPr>
          <w:rFonts w:hint="eastAsia" w:ascii="Times New Roman" w:hAnsi="Times New Roman" w:eastAsia="宋体" w:cs="Times New Roman"/>
          <w:spacing w:val="-3"/>
          <w:sz w:val="24"/>
          <w:szCs w:val="24"/>
          <w:highlight w:val="none"/>
          <w:lang w:val="en-US" w:eastAsia="zh-CN"/>
        </w:rPr>
        <w:t>-</w:t>
      </w:r>
      <w:r>
        <w:rPr>
          <w:rFonts w:hint="default" w:ascii="Times New Roman" w:hAnsi="Times New Roman" w:eastAsia="宋体" w:cs="Times New Roman"/>
          <w:spacing w:val="-3"/>
          <w:sz w:val="24"/>
          <w:szCs w:val="24"/>
          <w:highlight w:val="none"/>
          <w:lang w:val="en-US" w:eastAsia="zh-CN"/>
        </w:rPr>
        <w:t>6</w:t>
      </w:r>
      <w:r>
        <w:rPr>
          <w:rFonts w:hint="default" w:ascii="Times New Roman" w:hAnsi="Times New Roman" w:eastAsia="Times New Roman" w:cs="Times New Roman"/>
          <w:spacing w:val="-3"/>
          <w:sz w:val="24"/>
          <w:szCs w:val="24"/>
          <w:highlight w:val="none"/>
        </w:rPr>
        <w:t>-</w:t>
      </w:r>
      <w:r>
        <w:rPr>
          <w:rFonts w:hint="default" w:ascii="Times New Roman" w:hAnsi="Times New Roman" w:eastAsia="宋体" w:cs="Times New Roman"/>
          <w:spacing w:val="-3"/>
          <w:sz w:val="24"/>
          <w:szCs w:val="24"/>
          <w:highlight w:val="none"/>
          <w:lang w:val="en-US" w:eastAsia="zh-CN"/>
        </w:rPr>
        <w:t>3</w:t>
      </w:r>
      <w:r>
        <w:rPr>
          <w:rFonts w:hint="eastAsia" w:ascii="Times New Roman" w:hAnsi="Times New Roman" w:eastAsia="宋体" w:cs="Times New Roman"/>
          <w:spacing w:val="-3"/>
          <w:sz w:val="24"/>
          <w:szCs w:val="24"/>
          <w:highlight w:val="none"/>
          <w:lang w:val="en-US" w:eastAsia="zh-CN"/>
        </w:rPr>
        <w:t>、3-6-4</w:t>
      </w:r>
      <w:r>
        <w:rPr>
          <w:rFonts w:hint="default" w:ascii="Times New Roman" w:hAnsi="Times New Roman" w:eastAsia="宋体" w:cs="Times New Roman"/>
          <w:spacing w:val="-3"/>
          <w:sz w:val="24"/>
          <w:szCs w:val="24"/>
          <w:highlight w:val="none"/>
        </w:rPr>
        <w:t>。</w:t>
      </w:r>
    </w:p>
    <w:p>
      <w:pPr>
        <w:spacing w:before="126" w:line="227" w:lineRule="auto"/>
        <w:ind w:left="3226"/>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27"/>
          <w:sz w:val="20"/>
          <w:szCs w:val="20"/>
          <w:highlight w:val="none"/>
        </w:rPr>
        <w:t xml:space="preserve"> </w:t>
      </w:r>
      <w:r>
        <w:rPr>
          <w:rFonts w:hint="default" w:ascii="Times New Roman" w:hAnsi="Times New Roman" w:eastAsia="Times New Roman" w:cs="Times New Roman"/>
          <w:b/>
          <w:bCs/>
          <w:spacing w:val="6"/>
          <w:sz w:val="20"/>
          <w:szCs w:val="20"/>
          <w:highlight w:val="none"/>
        </w:rPr>
        <w:t>3</w:t>
      </w:r>
      <w:r>
        <w:rPr>
          <w:rFonts w:hint="eastAsia" w:ascii="Times New Roman" w:hAnsi="Times New Roman" w:eastAsia="宋体" w:cs="Times New Roman"/>
          <w:b/>
          <w:bCs/>
          <w:spacing w:val="6"/>
          <w:sz w:val="20"/>
          <w:szCs w:val="20"/>
          <w:highlight w:val="none"/>
          <w:lang w:val="en-US" w:eastAsia="zh-CN"/>
        </w:rPr>
        <w:t>-</w:t>
      </w:r>
      <w:r>
        <w:rPr>
          <w:rFonts w:hint="default" w:ascii="Times New Roman" w:hAnsi="Times New Roman" w:eastAsia="宋体" w:cs="Times New Roman"/>
          <w:b/>
          <w:bCs/>
          <w:spacing w:val="6"/>
          <w:sz w:val="20"/>
          <w:szCs w:val="20"/>
          <w:highlight w:val="none"/>
          <w:lang w:val="en-US" w:eastAsia="zh-CN"/>
        </w:rPr>
        <w:t>6</w:t>
      </w:r>
      <w:r>
        <w:rPr>
          <w:rFonts w:hint="default" w:ascii="Times New Roman" w:hAnsi="Times New Roman" w:eastAsia="Times New Roman" w:cs="Times New Roman"/>
          <w:b/>
          <w:bCs/>
          <w:spacing w:val="6"/>
          <w:sz w:val="20"/>
          <w:szCs w:val="20"/>
          <w:highlight w:val="none"/>
        </w:rPr>
        <w:t>-</w:t>
      </w:r>
      <w:r>
        <w:rPr>
          <w:rFonts w:hint="default" w:ascii="Times New Roman" w:hAnsi="Times New Roman" w:eastAsia="宋体" w:cs="Times New Roman"/>
          <w:b/>
          <w:bCs/>
          <w:spacing w:val="6"/>
          <w:sz w:val="20"/>
          <w:szCs w:val="20"/>
          <w:highlight w:val="none"/>
          <w:lang w:val="en-US" w:eastAsia="zh-CN"/>
        </w:rPr>
        <w:t>3</w:t>
      </w:r>
      <w:r>
        <w:rPr>
          <w:rFonts w:hint="default" w:ascii="Times New Roman" w:hAnsi="Times New Roman" w:eastAsia="Times New Roman" w:cs="Times New Roman"/>
          <w:b/>
          <w:bCs/>
          <w:spacing w:val="6"/>
          <w:sz w:val="20"/>
          <w:szCs w:val="20"/>
          <w:highlight w:val="none"/>
        </w:rPr>
        <w:t xml:space="preserve">  </w:t>
      </w: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本次</w:t>
      </w:r>
      <w:r>
        <w:rPr>
          <w:rFonts w:hint="eastAsia" w:ascii="Times New Roman" w:hAnsi="Times New Roman" w:eastAsia="宋体" w:cs="Times New Roman"/>
          <w:spacing w:val="6"/>
          <w:sz w:val="20"/>
          <w:szCs w:val="20"/>
          <w:highlight w:val="none"/>
          <w:lang w:val="en-US" w:eastAsia="zh-CN"/>
          <w14:textOutline w14:w="3795" w14:cap="sq" w14:cmpd="sng">
            <w14:solidFill>
              <w14:srgbClr w14:val="000000"/>
            </w14:solidFill>
            <w14:prstDash w14:val="solid"/>
            <w14:bevel/>
          </w14:textOutline>
        </w:rPr>
        <w:t>扩建</w:t>
      </w: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项目物料平衡表</w:t>
      </w:r>
    </w:p>
    <w:p>
      <w:pPr>
        <w:spacing w:line="19" w:lineRule="exact"/>
        <w:rPr>
          <w:rFonts w:hint="default" w:ascii="Times New Roman" w:hAnsi="Times New Roman" w:cs="Times New Roman"/>
          <w:highlight w:val="none"/>
        </w:rPr>
      </w:pPr>
    </w:p>
    <w:tbl>
      <w:tblPr>
        <w:tblStyle w:val="34"/>
        <w:tblW w:w="5006"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281"/>
        <w:gridCol w:w="2316"/>
        <w:gridCol w:w="2348"/>
        <w:gridCol w:w="2333"/>
        <w:gridCol w:w="3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2" w:hRule="atLeast"/>
        </w:trPr>
        <w:tc>
          <w:tcPr>
            <w:tcW w:w="1224" w:type="pct"/>
            <w:tcBorders>
              <w:tl2br w:val="nil"/>
              <w:tr2bl w:val="nil"/>
            </w:tcBorders>
            <w:vAlign w:val="top"/>
          </w:tcPr>
          <w:p>
            <w:pPr>
              <w:spacing w:before="116" w:line="230"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名称</w:t>
            </w:r>
          </w:p>
        </w:tc>
        <w:tc>
          <w:tcPr>
            <w:tcW w:w="1243" w:type="pct"/>
            <w:tcBorders>
              <w:tl2br w:val="nil"/>
              <w:tr2bl w:val="nil"/>
            </w:tcBorders>
            <w:vAlign w:val="top"/>
          </w:tcPr>
          <w:p>
            <w:pPr>
              <w:spacing w:before="116"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lang w:val="en-US" w:eastAsia="zh-CN"/>
              </w:rPr>
              <w:t>投入</w:t>
            </w:r>
            <w:r>
              <w:rPr>
                <w:rFonts w:hint="default" w:ascii="Times New Roman" w:hAnsi="Times New Roman" w:eastAsia="宋体" w:cs="Times New Roman"/>
                <w:spacing w:val="5"/>
                <w:sz w:val="20"/>
                <w:szCs w:val="20"/>
                <w:highlight w:val="none"/>
              </w:rPr>
              <w:t>（</w:t>
            </w:r>
            <w:r>
              <w:rPr>
                <w:rFonts w:hint="default" w:ascii="Times New Roman" w:hAnsi="Times New Roman" w:eastAsia="Times New Roman" w:cs="Times New Roman"/>
                <w:spacing w:val="5"/>
                <w:sz w:val="20"/>
                <w:szCs w:val="20"/>
                <w:highlight w:val="none"/>
              </w:rPr>
              <w:t>t</w:t>
            </w:r>
            <w:r>
              <w:rPr>
                <w:rFonts w:hint="default" w:ascii="Times New Roman" w:hAnsi="Times New Roman" w:eastAsia="宋体" w:cs="Times New Roman"/>
                <w:spacing w:val="5"/>
                <w:sz w:val="20"/>
                <w:szCs w:val="20"/>
                <w:highlight w:val="none"/>
              </w:rPr>
              <w:t>）</w:t>
            </w:r>
          </w:p>
        </w:tc>
        <w:tc>
          <w:tcPr>
            <w:tcW w:w="1260" w:type="pct"/>
            <w:tcBorders>
              <w:tl2br w:val="nil"/>
              <w:tr2bl w:val="nil"/>
            </w:tcBorders>
            <w:vAlign w:val="top"/>
          </w:tcPr>
          <w:p>
            <w:pPr>
              <w:spacing w:before="116"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2"/>
                <w:sz w:val="20"/>
                <w:szCs w:val="20"/>
                <w:highlight w:val="none"/>
                <w:lang w:val="en-US" w:eastAsia="zh-CN"/>
              </w:rPr>
              <w:t>产出</w:t>
            </w:r>
            <w:r>
              <w:rPr>
                <w:rFonts w:hint="default" w:ascii="Times New Roman" w:hAnsi="Times New Roman" w:eastAsia="宋体" w:cs="Times New Roman"/>
                <w:spacing w:val="2"/>
                <w:sz w:val="20"/>
                <w:szCs w:val="20"/>
                <w:highlight w:val="none"/>
              </w:rPr>
              <w:t>（</w:t>
            </w:r>
            <w:r>
              <w:rPr>
                <w:rFonts w:hint="default" w:ascii="Times New Roman" w:hAnsi="Times New Roman" w:eastAsia="Times New Roman" w:cs="Times New Roman"/>
                <w:spacing w:val="2"/>
                <w:sz w:val="20"/>
                <w:szCs w:val="20"/>
                <w:highlight w:val="none"/>
              </w:rPr>
              <w:t>t</w:t>
            </w:r>
            <w:r>
              <w:rPr>
                <w:rFonts w:hint="default" w:ascii="Times New Roman" w:hAnsi="Times New Roman" w:eastAsia="宋体" w:cs="Times New Roman"/>
                <w:spacing w:val="2"/>
                <w:sz w:val="20"/>
                <w:szCs w:val="20"/>
                <w:highlight w:val="none"/>
              </w:rPr>
              <w:t>）</w:t>
            </w:r>
          </w:p>
        </w:tc>
        <w:tc>
          <w:tcPr>
            <w:tcW w:w="1271" w:type="pct"/>
            <w:gridSpan w:val="2"/>
            <w:tcBorders>
              <w:tl2br w:val="nil"/>
              <w:tr2bl w:val="nil"/>
            </w:tcBorders>
            <w:vAlign w:val="top"/>
          </w:tcPr>
          <w:p>
            <w:pPr>
              <w:spacing w:before="116" w:line="229"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 w:hRule="atLeast"/>
        </w:trPr>
        <w:tc>
          <w:tcPr>
            <w:tcW w:w="1224" w:type="pct"/>
            <w:tcBorders>
              <w:tl2br w:val="nil"/>
              <w:tr2bl w:val="nil"/>
            </w:tcBorders>
            <w:vAlign w:val="top"/>
          </w:tcPr>
          <w:p>
            <w:pPr>
              <w:spacing w:before="111"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生猪</w:t>
            </w:r>
          </w:p>
        </w:tc>
        <w:tc>
          <w:tcPr>
            <w:tcW w:w="1243" w:type="pct"/>
            <w:tcBorders>
              <w:tl2br w:val="nil"/>
              <w:tr2bl w:val="nil"/>
            </w:tcBorders>
            <w:vAlign w:val="top"/>
          </w:tcPr>
          <w:p>
            <w:pPr>
              <w:spacing w:before="146"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z w:val="20"/>
                <w:szCs w:val="20"/>
                <w:highlight w:val="none"/>
                <w:lang w:val="en-US" w:eastAsia="zh-CN"/>
              </w:rPr>
              <w:t>22650</w:t>
            </w:r>
          </w:p>
        </w:tc>
        <w:tc>
          <w:tcPr>
            <w:tcW w:w="1260" w:type="pct"/>
            <w:tcBorders>
              <w:tl2br w:val="nil"/>
              <w:tr2bl w:val="nil"/>
            </w:tcBorders>
            <w:vAlign w:val="top"/>
          </w:tcPr>
          <w:p>
            <w:pPr>
              <w:spacing w:before="143" w:line="199"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w:t>
            </w:r>
          </w:p>
        </w:tc>
        <w:tc>
          <w:tcPr>
            <w:tcW w:w="1271" w:type="pct"/>
            <w:gridSpan w:val="2"/>
            <w:tcBorders>
              <w:tl2br w:val="nil"/>
              <w:tr2bl w:val="nil"/>
            </w:tcBorders>
            <w:vAlign w:val="top"/>
          </w:tcPr>
          <w:p>
            <w:pPr>
              <w:spacing w:before="111" w:line="221"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2"/>
                <w:sz w:val="20"/>
                <w:szCs w:val="20"/>
                <w:highlight w:val="none"/>
              </w:rPr>
              <w:t>按</w:t>
            </w:r>
            <w:r>
              <w:rPr>
                <w:rFonts w:hint="default" w:ascii="Times New Roman" w:hAnsi="Times New Roman" w:eastAsia="Times New Roman" w:cs="Times New Roman"/>
                <w:spacing w:val="2"/>
                <w:sz w:val="20"/>
                <w:szCs w:val="20"/>
                <w:highlight w:val="none"/>
              </w:rPr>
              <w:t>1</w:t>
            </w:r>
            <w:r>
              <w:rPr>
                <w:rFonts w:hint="default" w:ascii="Times New Roman" w:hAnsi="Times New Roman" w:eastAsia="宋体" w:cs="Times New Roman"/>
                <w:spacing w:val="2"/>
                <w:sz w:val="20"/>
                <w:szCs w:val="20"/>
                <w:highlight w:val="none"/>
                <w:lang w:val="en-US" w:eastAsia="zh-CN"/>
              </w:rPr>
              <w:t>5</w:t>
            </w:r>
            <w:r>
              <w:rPr>
                <w:rFonts w:hint="default" w:ascii="Times New Roman" w:hAnsi="Times New Roman" w:eastAsia="Times New Roman" w:cs="Times New Roman"/>
                <w:spacing w:val="2"/>
                <w:sz w:val="20"/>
                <w:szCs w:val="20"/>
                <w:highlight w:val="none"/>
              </w:rPr>
              <w:t>0</w:t>
            </w:r>
            <w:r>
              <w:rPr>
                <w:rFonts w:hint="default" w:ascii="Times New Roman" w:hAnsi="Times New Roman" w:eastAsia="Times New Roman" w:cs="Times New Roman"/>
                <w:sz w:val="20"/>
                <w:szCs w:val="20"/>
                <w:highlight w:val="none"/>
              </w:rPr>
              <w:t>kg</w:t>
            </w:r>
            <w:r>
              <w:rPr>
                <w:rFonts w:hint="default" w:ascii="Times New Roman" w:hAnsi="Times New Roman" w:eastAsia="Times New Roman" w:cs="Times New Roman"/>
                <w:spacing w:val="2"/>
                <w:sz w:val="20"/>
                <w:szCs w:val="20"/>
                <w:highlight w:val="none"/>
              </w:rPr>
              <w:t>/</w:t>
            </w:r>
            <w:r>
              <w:rPr>
                <w:rFonts w:hint="default" w:ascii="Times New Roman" w:hAnsi="Times New Roman" w:eastAsia="宋体" w:cs="Times New Roman"/>
                <w:spacing w:val="2"/>
                <w:sz w:val="20"/>
                <w:szCs w:val="20"/>
                <w:highlight w:val="none"/>
              </w:rPr>
              <w:t>头计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224" w:type="pct"/>
            <w:tcBorders>
              <w:tl2br w:val="nil"/>
              <w:tr2bl w:val="nil"/>
            </w:tcBorders>
            <w:vAlign w:val="top"/>
          </w:tcPr>
          <w:p>
            <w:pPr>
              <w:spacing w:before="112"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2"/>
                <w:sz w:val="20"/>
                <w:szCs w:val="20"/>
                <w:highlight w:val="none"/>
              </w:rPr>
              <w:t>白条肉</w:t>
            </w:r>
          </w:p>
        </w:tc>
        <w:tc>
          <w:tcPr>
            <w:tcW w:w="1243" w:type="pct"/>
            <w:tcBorders>
              <w:tl2br w:val="nil"/>
              <w:tr2bl w:val="nil"/>
            </w:tcBorders>
            <w:vAlign w:val="top"/>
          </w:tcPr>
          <w:p>
            <w:pPr>
              <w:spacing w:before="139"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1260" w:type="pct"/>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pacing w:val="-1"/>
                <w:sz w:val="22"/>
                <w:szCs w:val="22"/>
                <w:highlight w:val="none"/>
                <w:lang w:val="en-US" w:eastAsia="zh-CN"/>
              </w:rPr>
              <w:t>16534.5</w:t>
            </w:r>
          </w:p>
        </w:tc>
        <w:tc>
          <w:tcPr>
            <w:tcW w:w="1271" w:type="pct"/>
            <w:gridSpan w:val="2"/>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约73%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 w:hRule="atLeast"/>
        </w:trPr>
        <w:tc>
          <w:tcPr>
            <w:tcW w:w="1224" w:type="pct"/>
            <w:tcBorders>
              <w:tl2br w:val="nil"/>
              <w:tr2bl w:val="nil"/>
            </w:tcBorders>
            <w:vAlign w:val="top"/>
          </w:tcPr>
          <w:p>
            <w:pPr>
              <w:spacing w:before="112" w:line="228"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4"/>
                <w:sz w:val="20"/>
                <w:szCs w:val="20"/>
                <w:highlight w:val="none"/>
                <w:lang w:val="en-US" w:eastAsia="zh-CN"/>
              </w:rPr>
              <w:t>可食用内脏</w:t>
            </w:r>
          </w:p>
        </w:tc>
        <w:tc>
          <w:tcPr>
            <w:tcW w:w="1243" w:type="pct"/>
            <w:tcBorders>
              <w:tl2br w:val="nil"/>
              <w:tr2bl w:val="nil"/>
            </w:tcBorders>
            <w:vAlign w:val="top"/>
          </w:tcPr>
          <w:p>
            <w:pPr>
              <w:spacing w:before="140"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1260" w:type="pct"/>
            <w:tcBorders>
              <w:tl2br w:val="nil"/>
              <w:tr2bl w:val="nil"/>
            </w:tcBorders>
            <w:vAlign w:val="top"/>
          </w:tcPr>
          <w:p>
            <w:pPr>
              <w:spacing w:before="144"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pacing w:val="-1"/>
                <w:sz w:val="22"/>
                <w:szCs w:val="22"/>
                <w:highlight w:val="none"/>
                <w:lang w:val="en-US" w:eastAsia="zh-CN"/>
              </w:rPr>
              <w:t>1472.2</w:t>
            </w:r>
          </w:p>
        </w:tc>
        <w:tc>
          <w:tcPr>
            <w:tcW w:w="1271" w:type="pct"/>
            <w:gridSpan w:val="2"/>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224" w:type="pct"/>
            <w:tcBorders>
              <w:tl2br w:val="nil"/>
              <w:tr2bl w:val="nil"/>
            </w:tcBorders>
            <w:vAlign w:val="top"/>
          </w:tcPr>
          <w:p>
            <w:pPr>
              <w:spacing w:before="114"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猪血</w:t>
            </w:r>
          </w:p>
        </w:tc>
        <w:tc>
          <w:tcPr>
            <w:tcW w:w="1243" w:type="pct"/>
            <w:tcBorders>
              <w:tl2br w:val="nil"/>
              <w:tr2bl w:val="nil"/>
            </w:tcBorders>
            <w:vAlign w:val="top"/>
          </w:tcPr>
          <w:p>
            <w:pPr>
              <w:spacing w:before="142"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1260" w:type="pct"/>
            <w:tcBorders>
              <w:tl2br w:val="nil"/>
              <w:tr2bl w:val="nil"/>
            </w:tcBorders>
            <w:vAlign w:val="top"/>
          </w:tcPr>
          <w:p>
            <w:pPr>
              <w:spacing w:before="146"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pacing w:val="-7"/>
                <w:sz w:val="22"/>
                <w:szCs w:val="22"/>
                <w:highlight w:val="none"/>
                <w:lang w:val="en-US" w:eastAsia="zh-CN"/>
              </w:rPr>
              <w:t>1019.3</w:t>
            </w:r>
          </w:p>
        </w:tc>
        <w:tc>
          <w:tcPr>
            <w:tcW w:w="1271" w:type="pct"/>
            <w:gridSpan w:val="2"/>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 w:hRule="atLeast"/>
        </w:trPr>
        <w:tc>
          <w:tcPr>
            <w:tcW w:w="1224" w:type="pct"/>
            <w:tcBorders>
              <w:tl2br w:val="nil"/>
              <w:tr2bl w:val="nil"/>
            </w:tcBorders>
            <w:vAlign w:val="top"/>
          </w:tcPr>
          <w:p>
            <w:pPr>
              <w:spacing w:before="112" w:line="228"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7"/>
                <w:sz w:val="20"/>
                <w:szCs w:val="20"/>
                <w:highlight w:val="none"/>
                <w:lang w:val="en-US" w:eastAsia="zh-CN"/>
              </w:rPr>
              <w:t>头、蹄、尾</w:t>
            </w:r>
          </w:p>
        </w:tc>
        <w:tc>
          <w:tcPr>
            <w:tcW w:w="1243" w:type="pct"/>
            <w:tcBorders>
              <w:tl2br w:val="nil"/>
              <w:tr2bl w:val="nil"/>
            </w:tcBorders>
            <w:vAlign w:val="top"/>
          </w:tcPr>
          <w:p>
            <w:pPr>
              <w:spacing w:before="140"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1260" w:type="pct"/>
            <w:tcBorders>
              <w:tl2br w:val="nil"/>
              <w:tr2bl w:val="nil"/>
            </w:tcBorders>
            <w:vAlign w:val="top"/>
          </w:tcPr>
          <w:p>
            <w:pPr>
              <w:spacing w:before="144"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pacing w:val="-2"/>
                <w:sz w:val="22"/>
                <w:szCs w:val="22"/>
                <w:highlight w:val="none"/>
                <w:lang w:val="en-US" w:eastAsia="zh-CN"/>
              </w:rPr>
              <w:t>1472.3</w:t>
            </w:r>
          </w:p>
        </w:tc>
        <w:tc>
          <w:tcPr>
            <w:tcW w:w="1271" w:type="pct"/>
            <w:gridSpan w:val="2"/>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224" w:type="pct"/>
            <w:tcBorders>
              <w:tl2br w:val="nil"/>
              <w:tr2bl w:val="nil"/>
            </w:tcBorders>
            <w:vAlign w:val="top"/>
          </w:tcPr>
          <w:p>
            <w:pPr>
              <w:spacing w:before="114" w:line="228"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z w:val="20"/>
                <w:szCs w:val="20"/>
                <w:highlight w:val="none"/>
                <w:lang w:val="en-US" w:eastAsia="zh-CN"/>
              </w:rPr>
              <w:t>板油</w:t>
            </w:r>
          </w:p>
        </w:tc>
        <w:tc>
          <w:tcPr>
            <w:tcW w:w="1243" w:type="pct"/>
            <w:tcBorders>
              <w:tl2br w:val="nil"/>
              <w:tr2bl w:val="nil"/>
            </w:tcBorders>
            <w:vAlign w:val="top"/>
          </w:tcPr>
          <w:p>
            <w:pPr>
              <w:spacing w:before="142"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1260" w:type="pct"/>
            <w:tcBorders>
              <w:tl2br w:val="nil"/>
              <w:tr2bl w:val="nil"/>
            </w:tcBorders>
            <w:vAlign w:val="top"/>
          </w:tcPr>
          <w:p>
            <w:pPr>
              <w:spacing w:before="146"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340</w:t>
            </w:r>
          </w:p>
        </w:tc>
        <w:tc>
          <w:tcPr>
            <w:tcW w:w="1271" w:type="pct"/>
            <w:gridSpan w:val="2"/>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约1.5%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224" w:type="pct"/>
            <w:tcBorders>
              <w:tl2br w:val="nil"/>
              <w:tr2bl w:val="nil"/>
            </w:tcBorders>
            <w:vAlign w:val="top"/>
          </w:tcPr>
          <w:p>
            <w:pPr>
              <w:spacing w:before="114" w:line="228"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z w:val="20"/>
                <w:szCs w:val="20"/>
                <w:highlight w:val="none"/>
                <w:lang w:val="en-US" w:eastAsia="zh-CN"/>
              </w:rPr>
              <w:t>猪毛</w:t>
            </w:r>
          </w:p>
        </w:tc>
        <w:tc>
          <w:tcPr>
            <w:tcW w:w="1243" w:type="pct"/>
            <w:tcBorders>
              <w:tl2br w:val="nil"/>
              <w:tr2bl w:val="nil"/>
            </w:tcBorders>
            <w:vAlign w:val="top"/>
          </w:tcPr>
          <w:p>
            <w:pPr>
              <w:spacing w:before="142" w:line="193"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w:t>
            </w:r>
          </w:p>
        </w:tc>
        <w:tc>
          <w:tcPr>
            <w:tcW w:w="1260" w:type="pct"/>
            <w:tcBorders>
              <w:tl2br w:val="nil"/>
              <w:tr2bl w:val="nil"/>
            </w:tcBorders>
            <w:vAlign w:val="top"/>
          </w:tcPr>
          <w:p>
            <w:pPr>
              <w:spacing w:before="146" w:line="189" w:lineRule="auto"/>
              <w:jc w:val="center"/>
              <w:rPr>
                <w:rFonts w:hint="default" w:ascii="Times New Roman" w:hAnsi="Times New Roman" w:eastAsia="宋体" w:cs="Times New Roman"/>
                <w:spacing w:val="-3"/>
                <w:sz w:val="22"/>
                <w:szCs w:val="22"/>
                <w:highlight w:val="none"/>
                <w:lang w:val="en-US" w:eastAsia="zh-CN"/>
              </w:rPr>
            </w:pPr>
            <w:r>
              <w:rPr>
                <w:rFonts w:hint="default" w:ascii="Times New Roman" w:hAnsi="Times New Roman" w:eastAsia="宋体" w:cs="Times New Roman"/>
                <w:spacing w:val="-3"/>
                <w:sz w:val="22"/>
                <w:szCs w:val="22"/>
                <w:highlight w:val="none"/>
                <w:lang w:val="en-US" w:eastAsia="zh-CN"/>
              </w:rPr>
              <w:t>113</w:t>
            </w:r>
          </w:p>
        </w:tc>
        <w:tc>
          <w:tcPr>
            <w:tcW w:w="1271" w:type="pct"/>
            <w:gridSpan w:val="2"/>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约0.5%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224" w:type="pct"/>
            <w:tcBorders>
              <w:tl2br w:val="nil"/>
              <w:tr2bl w:val="nil"/>
            </w:tcBorders>
            <w:vAlign w:val="top"/>
          </w:tcPr>
          <w:p>
            <w:pPr>
              <w:spacing w:before="114" w:line="227"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胃容物</w:t>
            </w:r>
          </w:p>
        </w:tc>
        <w:tc>
          <w:tcPr>
            <w:tcW w:w="1243" w:type="pct"/>
            <w:tcBorders>
              <w:tl2br w:val="nil"/>
              <w:tr2bl w:val="nil"/>
            </w:tcBorders>
            <w:vAlign w:val="top"/>
          </w:tcPr>
          <w:p>
            <w:pPr>
              <w:spacing w:before="142"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1260" w:type="pct"/>
            <w:tcBorders>
              <w:tl2br w:val="nil"/>
              <w:tr2bl w:val="nil"/>
            </w:tcBorders>
            <w:vAlign w:val="top"/>
          </w:tcPr>
          <w:p>
            <w:pPr>
              <w:spacing w:before="147"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1132.5</w:t>
            </w:r>
          </w:p>
        </w:tc>
        <w:tc>
          <w:tcPr>
            <w:tcW w:w="1271" w:type="pct"/>
            <w:gridSpan w:val="2"/>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约5.0%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0" w:hRule="atLeast"/>
        </w:trPr>
        <w:tc>
          <w:tcPr>
            <w:tcW w:w="1224" w:type="pct"/>
            <w:tcBorders>
              <w:tl2br w:val="nil"/>
              <w:tr2bl w:val="nil"/>
            </w:tcBorders>
            <w:vAlign w:val="top"/>
          </w:tcPr>
          <w:p>
            <w:pPr>
              <w:spacing w:before="115"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不可食内脏</w:t>
            </w:r>
          </w:p>
        </w:tc>
        <w:tc>
          <w:tcPr>
            <w:tcW w:w="1243" w:type="pct"/>
            <w:tcBorders>
              <w:tl2br w:val="nil"/>
              <w:tr2bl w:val="nil"/>
            </w:tcBorders>
            <w:vAlign w:val="top"/>
          </w:tcPr>
          <w:p>
            <w:pPr>
              <w:spacing w:before="143"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1260" w:type="pct"/>
            <w:tcBorders>
              <w:tl2br w:val="nil"/>
              <w:tr2bl w:val="nil"/>
            </w:tcBorders>
            <w:vAlign w:val="top"/>
          </w:tcPr>
          <w:p>
            <w:pPr>
              <w:spacing w:before="148"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158.5</w:t>
            </w:r>
          </w:p>
        </w:tc>
        <w:tc>
          <w:tcPr>
            <w:tcW w:w="1271" w:type="pct"/>
            <w:gridSpan w:val="2"/>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约0.7%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18" w:type="pct"/>
          <w:trHeight w:val="441" w:hRule="atLeast"/>
        </w:trPr>
        <w:tc>
          <w:tcPr>
            <w:tcW w:w="1224" w:type="pct"/>
            <w:tcBorders>
              <w:tl2br w:val="nil"/>
              <w:tr2bl w:val="nil"/>
            </w:tcBorders>
            <w:vAlign w:val="top"/>
          </w:tcPr>
          <w:p>
            <w:pPr>
              <w:spacing w:before="115"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猪粪</w:t>
            </w:r>
          </w:p>
        </w:tc>
        <w:tc>
          <w:tcPr>
            <w:tcW w:w="1243" w:type="pct"/>
            <w:tcBorders>
              <w:tl2br w:val="nil"/>
              <w:tr2bl w:val="nil"/>
            </w:tcBorders>
            <w:vAlign w:val="top"/>
          </w:tcPr>
          <w:p>
            <w:pPr>
              <w:spacing w:before="143"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1260" w:type="pct"/>
            <w:tcBorders>
              <w:tl2br w:val="nil"/>
              <w:tr2bl w:val="nil"/>
            </w:tcBorders>
            <w:vAlign w:val="top"/>
          </w:tcPr>
          <w:p>
            <w:pPr>
              <w:spacing w:before="148"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226.5</w:t>
            </w:r>
          </w:p>
        </w:tc>
        <w:tc>
          <w:tcPr>
            <w:tcW w:w="1252" w:type="pct"/>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18" w:type="pct"/>
          <w:trHeight w:val="436" w:hRule="atLeast"/>
        </w:trPr>
        <w:tc>
          <w:tcPr>
            <w:tcW w:w="1224" w:type="pct"/>
            <w:tcBorders>
              <w:tl2br w:val="nil"/>
              <w:tr2bl w:val="nil"/>
            </w:tcBorders>
            <w:vAlign w:val="top"/>
          </w:tcPr>
          <w:p>
            <w:pPr>
              <w:spacing w:before="113"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z w:val="20"/>
                <w:szCs w:val="20"/>
                <w:highlight w:val="none"/>
                <w:lang w:val="en-US" w:eastAsia="zh-CN"/>
              </w:rPr>
              <w:t>病变腺体、内脏及残留脂肪</w:t>
            </w:r>
          </w:p>
        </w:tc>
        <w:tc>
          <w:tcPr>
            <w:tcW w:w="1243" w:type="pct"/>
            <w:tcBorders>
              <w:tl2br w:val="nil"/>
              <w:tr2bl w:val="nil"/>
            </w:tcBorders>
            <w:vAlign w:val="top"/>
          </w:tcPr>
          <w:p>
            <w:pPr>
              <w:spacing w:before="141"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1260" w:type="pct"/>
            <w:tcBorders>
              <w:tl2br w:val="nil"/>
              <w:tr2bl w:val="nil"/>
            </w:tcBorders>
            <w:vAlign w:val="top"/>
          </w:tcPr>
          <w:p>
            <w:pPr>
              <w:spacing w:before="146"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181.2</w:t>
            </w:r>
          </w:p>
        </w:tc>
        <w:tc>
          <w:tcPr>
            <w:tcW w:w="1252" w:type="pct"/>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约0.8%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18" w:type="pct"/>
          <w:trHeight w:val="441" w:hRule="atLeast"/>
        </w:trPr>
        <w:tc>
          <w:tcPr>
            <w:tcW w:w="1224" w:type="pct"/>
            <w:tcBorders>
              <w:tl2br w:val="nil"/>
              <w:tr2bl w:val="nil"/>
            </w:tcBorders>
            <w:vAlign w:val="top"/>
          </w:tcPr>
          <w:p>
            <w:pPr>
              <w:spacing w:before="116" w:line="229" w:lineRule="auto"/>
              <w:ind w:left="939"/>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合计</w:t>
            </w:r>
          </w:p>
        </w:tc>
        <w:tc>
          <w:tcPr>
            <w:tcW w:w="1243" w:type="pct"/>
            <w:tcBorders>
              <w:tl2br w:val="nil"/>
              <w:tr2bl w:val="nil"/>
            </w:tcBorders>
            <w:vAlign w:val="top"/>
          </w:tcPr>
          <w:p>
            <w:pPr>
              <w:spacing w:before="152"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3"/>
                <w:sz w:val="20"/>
                <w:szCs w:val="20"/>
                <w:highlight w:val="none"/>
                <w:lang w:val="en-US" w:eastAsia="zh-CN"/>
              </w:rPr>
              <w:t>22650</w:t>
            </w:r>
          </w:p>
        </w:tc>
        <w:tc>
          <w:tcPr>
            <w:tcW w:w="1260" w:type="pct"/>
            <w:tcBorders>
              <w:tl2br w:val="nil"/>
              <w:tr2bl w:val="nil"/>
            </w:tcBorders>
            <w:vAlign w:val="top"/>
          </w:tcPr>
          <w:p>
            <w:pPr>
              <w:spacing w:before="146"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22650</w:t>
            </w:r>
          </w:p>
        </w:tc>
        <w:tc>
          <w:tcPr>
            <w:tcW w:w="1252" w:type="pct"/>
            <w:tcBorders>
              <w:tl2br w:val="nil"/>
              <w:tr2bl w:val="nil"/>
            </w:tcBorders>
            <w:vAlign w:val="top"/>
          </w:tcPr>
          <w:p>
            <w:pPr>
              <w:spacing w:before="146" w:line="189"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pacing w:val="-6"/>
                <w:sz w:val="22"/>
                <w:szCs w:val="22"/>
                <w:highlight w:val="none"/>
              </w:rPr>
              <w:t>100%</w:t>
            </w:r>
          </w:p>
        </w:tc>
      </w:tr>
    </w:tbl>
    <w:p>
      <w:pPr>
        <w:spacing w:before="54" w:line="228" w:lineRule="auto"/>
        <w:ind w:left="3415"/>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Times New Roman" w:cs="Times New Roman"/>
          <w:b/>
          <w:bCs/>
          <w:spacing w:val="6"/>
          <w:sz w:val="20"/>
          <w:szCs w:val="20"/>
          <w:highlight w:val="none"/>
        </w:rPr>
        <w:t>3</w:t>
      </w:r>
      <w:r>
        <w:rPr>
          <w:rFonts w:hint="eastAsia" w:ascii="Times New Roman" w:hAnsi="Times New Roman" w:eastAsia="宋体" w:cs="Times New Roman"/>
          <w:b/>
          <w:bCs/>
          <w:spacing w:val="6"/>
          <w:sz w:val="20"/>
          <w:szCs w:val="20"/>
          <w:highlight w:val="none"/>
          <w:lang w:val="en-US" w:eastAsia="zh-CN"/>
        </w:rPr>
        <w:t>-</w:t>
      </w:r>
      <w:r>
        <w:rPr>
          <w:rFonts w:hint="default" w:ascii="Times New Roman" w:hAnsi="Times New Roman" w:eastAsia="宋体" w:cs="Times New Roman"/>
          <w:b/>
          <w:bCs/>
          <w:spacing w:val="6"/>
          <w:sz w:val="20"/>
          <w:szCs w:val="20"/>
          <w:highlight w:val="none"/>
          <w:lang w:val="en-US" w:eastAsia="zh-CN"/>
        </w:rPr>
        <w:t>6</w:t>
      </w:r>
      <w:r>
        <w:rPr>
          <w:rFonts w:hint="default" w:ascii="Times New Roman" w:hAnsi="Times New Roman" w:eastAsia="Times New Roman" w:cs="Times New Roman"/>
          <w:b/>
          <w:bCs/>
          <w:spacing w:val="6"/>
          <w:sz w:val="20"/>
          <w:szCs w:val="20"/>
          <w:highlight w:val="none"/>
        </w:rPr>
        <w:t>-</w:t>
      </w:r>
      <w:r>
        <w:rPr>
          <w:rFonts w:hint="default" w:ascii="Times New Roman" w:hAnsi="Times New Roman" w:eastAsia="宋体" w:cs="Times New Roman"/>
          <w:b/>
          <w:bCs/>
          <w:spacing w:val="6"/>
          <w:sz w:val="20"/>
          <w:szCs w:val="20"/>
          <w:highlight w:val="none"/>
          <w:lang w:val="en-US" w:eastAsia="zh-CN"/>
        </w:rPr>
        <w:t xml:space="preserve">4  </w:t>
      </w:r>
      <w:r>
        <w:rPr>
          <w:rFonts w:hint="eastAsia" w:ascii="Times New Roman" w:hAnsi="Times New Roman" w:eastAsia="宋体" w:cs="Times New Roman"/>
          <w:b/>
          <w:bCs/>
          <w:spacing w:val="6"/>
          <w:sz w:val="20"/>
          <w:szCs w:val="20"/>
          <w:highlight w:val="none"/>
          <w:lang w:val="en-US" w:eastAsia="zh-CN"/>
        </w:rPr>
        <w:t>改扩建后</w:t>
      </w: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全</w:t>
      </w:r>
      <w:r>
        <w:rPr>
          <w:rFonts w:hint="eastAsia" w:ascii="Times New Roman" w:hAnsi="Times New Roman" w:eastAsia="宋体" w:cs="Times New Roman"/>
          <w:spacing w:val="6"/>
          <w:sz w:val="20"/>
          <w:szCs w:val="20"/>
          <w:highlight w:val="none"/>
          <w:lang w:val="en-US" w:eastAsia="zh-CN"/>
          <w14:textOutline w14:w="3795" w14:cap="sq" w14:cmpd="sng">
            <w14:solidFill>
              <w14:srgbClr w14:val="000000"/>
            </w14:solidFill>
            <w14:prstDash w14:val="solid"/>
            <w14:bevel/>
          </w14:textOutline>
        </w:rPr>
        <w:t>厂</w:t>
      </w: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物料平衡表</w:t>
      </w:r>
    </w:p>
    <w:p>
      <w:pPr>
        <w:spacing w:line="18" w:lineRule="exact"/>
        <w:rPr>
          <w:rFonts w:hint="default" w:ascii="Times New Roman" w:hAnsi="Times New Roman" w:cs="Times New Roman"/>
          <w:highlight w:val="none"/>
        </w:rPr>
      </w:pPr>
    </w:p>
    <w:tbl>
      <w:tblPr>
        <w:tblStyle w:val="34"/>
        <w:tblW w:w="5006"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281"/>
        <w:gridCol w:w="2316"/>
        <w:gridCol w:w="2348"/>
        <w:gridCol w:w="2333"/>
        <w:gridCol w:w="3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2" w:hRule="atLeast"/>
        </w:trPr>
        <w:tc>
          <w:tcPr>
            <w:tcW w:w="1224" w:type="pct"/>
            <w:tcBorders>
              <w:tl2br w:val="nil"/>
              <w:tr2bl w:val="nil"/>
            </w:tcBorders>
            <w:vAlign w:val="top"/>
          </w:tcPr>
          <w:p>
            <w:pPr>
              <w:spacing w:before="116" w:line="230"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名称</w:t>
            </w:r>
          </w:p>
        </w:tc>
        <w:tc>
          <w:tcPr>
            <w:tcW w:w="1243" w:type="pct"/>
            <w:tcBorders>
              <w:tl2br w:val="nil"/>
              <w:tr2bl w:val="nil"/>
            </w:tcBorders>
            <w:vAlign w:val="top"/>
          </w:tcPr>
          <w:p>
            <w:pPr>
              <w:spacing w:before="116"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lang w:val="en-US" w:eastAsia="zh-CN"/>
              </w:rPr>
              <w:t>投入</w:t>
            </w:r>
            <w:r>
              <w:rPr>
                <w:rFonts w:hint="default" w:ascii="Times New Roman" w:hAnsi="Times New Roman" w:eastAsia="宋体" w:cs="Times New Roman"/>
                <w:spacing w:val="5"/>
                <w:sz w:val="20"/>
                <w:szCs w:val="20"/>
                <w:highlight w:val="none"/>
              </w:rPr>
              <w:t>（</w:t>
            </w:r>
            <w:r>
              <w:rPr>
                <w:rFonts w:hint="default" w:ascii="Times New Roman" w:hAnsi="Times New Roman" w:eastAsia="Times New Roman" w:cs="Times New Roman"/>
                <w:spacing w:val="5"/>
                <w:sz w:val="20"/>
                <w:szCs w:val="20"/>
                <w:highlight w:val="none"/>
              </w:rPr>
              <w:t>t</w:t>
            </w:r>
            <w:r>
              <w:rPr>
                <w:rFonts w:hint="default" w:ascii="Times New Roman" w:hAnsi="Times New Roman" w:eastAsia="宋体" w:cs="Times New Roman"/>
                <w:spacing w:val="5"/>
                <w:sz w:val="20"/>
                <w:szCs w:val="20"/>
                <w:highlight w:val="none"/>
              </w:rPr>
              <w:t>）</w:t>
            </w:r>
          </w:p>
        </w:tc>
        <w:tc>
          <w:tcPr>
            <w:tcW w:w="1260" w:type="pct"/>
            <w:tcBorders>
              <w:tl2br w:val="nil"/>
              <w:tr2bl w:val="nil"/>
            </w:tcBorders>
            <w:vAlign w:val="top"/>
          </w:tcPr>
          <w:p>
            <w:pPr>
              <w:spacing w:before="116"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2"/>
                <w:sz w:val="20"/>
                <w:szCs w:val="20"/>
                <w:highlight w:val="none"/>
                <w:lang w:val="en-US" w:eastAsia="zh-CN"/>
              </w:rPr>
              <w:t>产出</w:t>
            </w:r>
            <w:r>
              <w:rPr>
                <w:rFonts w:hint="default" w:ascii="Times New Roman" w:hAnsi="Times New Roman" w:eastAsia="宋体" w:cs="Times New Roman"/>
                <w:spacing w:val="2"/>
                <w:sz w:val="20"/>
                <w:szCs w:val="20"/>
                <w:highlight w:val="none"/>
              </w:rPr>
              <w:t>（</w:t>
            </w:r>
            <w:r>
              <w:rPr>
                <w:rFonts w:hint="default" w:ascii="Times New Roman" w:hAnsi="Times New Roman" w:eastAsia="Times New Roman" w:cs="Times New Roman"/>
                <w:spacing w:val="2"/>
                <w:sz w:val="20"/>
                <w:szCs w:val="20"/>
                <w:highlight w:val="none"/>
              </w:rPr>
              <w:t>t</w:t>
            </w:r>
            <w:r>
              <w:rPr>
                <w:rFonts w:hint="default" w:ascii="Times New Roman" w:hAnsi="Times New Roman" w:eastAsia="宋体" w:cs="Times New Roman"/>
                <w:spacing w:val="2"/>
                <w:sz w:val="20"/>
                <w:szCs w:val="20"/>
                <w:highlight w:val="none"/>
              </w:rPr>
              <w:t>）</w:t>
            </w:r>
          </w:p>
        </w:tc>
        <w:tc>
          <w:tcPr>
            <w:tcW w:w="1271" w:type="pct"/>
            <w:gridSpan w:val="2"/>
            <w:tcBorders>
              <w:tl2br w:val="nil"/>
              <w:tr2bl w:val="nil"/>
            </w:tcBorders>
            <w:vAlign w:val="top"/>
          </w:tcPr>
          <w:p>
            <w:pPr>
              <w:spacing w:before="116" w:line="229"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 w:hRule="atLeast"/>
        </w:trPr>
        <w:tc>
          <w:tcPr>
            <w:tcW w:w="1224" w:type="pct"/>
            <w:tcBorders>
              <w:tl2br w:val="nil"/>
              <w:tr2bl w:val="nil"/>
            </w:tcBorders>
            <w:vAlign w:val="top"/>
          </w:tcPr>
          <w:p>
            <w:pPr>
              <w:spacing w:before="111"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生猪</w:t>
            </w:r>
          </w:p>
        </w:tc>
        <w:tc>
          <w:tcPr>
            <w:tcW w:w="1243" w:type="pct"/>
            <w:tcBorders>
              <w:tl2br w:val="nil"/>
              <w:tr2bl w:val="nil"/>
            </w:tcBorders>
            <w:vAlign w:val="top"/>
          </w:tcPr>
          <w:p>
            <w:pPr>
              <w:spacing w:before="146"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z w:val="20"/>
                <w:szCs w:val="20"/>
                <w:highlight w:val="none"/>
                <w:lang w:val="en-US" w:eastAsia="zh-CN"/>
              </w:rPr>
              <w:t>24000</w:t>
            </w:r>
          </w:p>
        </w:tc>
        <w:tc>
          <w:tcPr>
            <w:tcW w:w="1260" w:type="pct"/>
            <w:tcBorders>
              <w:tl2br w:val="nil"/>
              <w:tr2bl w:val="nil"/>
            </w:tcBorders>
            <w:vAlign w:val="top"/>
          </w:tcPr>
          <w:p>
            <w:pPr>
              <w:spacing w:before="143" w:line="199"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w:t>
            </w:r>
          </w:p>
        </w:tc>
        <w:tc>
          <w:tcPr>
            <w:tcW w:w="1271" w:type="pct"/>
            <w:gridSpan w:val="2"/>
            <w:tcBorders>
              <w:tl2br w:val="nil"/>
              <w:tr2bl w:val="nil"/>
            </w:tcBorders>
            <w:vAlign w:val="top"/>
          </w:tcPr>
          <w:p>
            <w:pPr>
              <w:spacing w:before="111" w:line="221"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2"/>
                <w:sz w:val="20"/>
                <w:szCs w:val="20"/>
                <w:highlight w:val="none"/>
              </w:rPr>
              <w:t>按</w:t>
            </w:r>
            <w:r>
              <w:rPr>
                <w:rFonts w:hint="default" w:ascii="Times New Roman" w:hAnsi="Times New Roman" w:eastAsia="Times New Roman" w:cs="Times New Roman"/>
                <w:spacing w:val="2"/>
                <w:sz w:val="20"/>
                <w:szCs w:val="20"/>
                <w:highlight w:val="none"/>
              </w:rPr>
              <w:t>1</w:t>
            </w:r>
            <w:r>
              <w:rPr>
                <w:rFonts w:hint="default" w:ascii="Times New Roman" w:hAnsi="Times New Roman" w:eastAsia="宋体" w:cs="Times New Roman"/>
                <w:spacing w:val="2"/>
                <w:sz w:val="20"/>
                <w:szCs w:val="20"/>
                <w:highlight w:val="none"/>
                <w:lang w:val="en-US" w:eastAsia="zh-CN"/>
              </w:rPr>
              <w:t>5</w:t>
            </w:r>
            <w:r>
              <w:rPr>
                <w:rFonts w:hint="default" w:ascii="Times New Roman" w:hAnsi="Times New Roman" w:eastAsia="Times New Roman" w:cs="Times New Roman"/>
                <w:spacing w:val="2"/>
                <w:sz w:val="20"/>
                <w:szCs w:val="20"/>
                <w:highlight w:val="none"/>
              </w:rPr>
              <w:t>0</w:t>
            </w:r>
            <w:r>
              <w:rPr>
                <w:rFonts w:hint="default" w:ascii="Times New Roman" w:hAnsi="Times New Roman" w:eastAsia="Times New Roman" w:cs="Times New Roman"/>
                <w:sz w:val="20"/>
                <w:szCs w:val="20"/>
                <w:highlight w:val="none"/>
              </w:rPr>
              <w:t>kg</w:t>
            </w:r>
            <w:r>
              <w:rPr>
                <w:rFonts w:hint="default" w:ascii="Times New Roman" w:hAnsi="Times New Roman" w:eastAsia="Times New Roman" w:cs="Times New Roman"/>
                <w:spacing w:val="2"/>
                <w:sz w:val="20"/>
                <w:szCs w:val="20"/>
                <w:highlight w:val="none"/>
              </w:rPr>
              <w:t>/</w:t>
            </w:r>
            <w:r>
              <w:rPr>
                <w:rFonts w:hint="default" w:ascii="Times New Roman" w:hAnsi="Times New Roman" w:eastAsia="宋体" w:cs="Times New Roman"/>
                <w:spacing w:val="2"/>
                <w:sz w:val="20"/>
                <w:szCs w:val="20"/>
                <w:highlight w:val="none"/>
              </w:rPr>
              <w:t>头计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224" w:type="pct"/>
            <w:tcBorders>
              <w:tl2br w:val="nil"/>
              <w:tr2bl w:val="nil"/>
            </w:tcBorders>
            <w:vAlign w:val="top"/>
          </w:tcPr>
          <w:p>
            <w:pPr>
              <w:spacing w:before="112"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2"/>
                <w:sz w:val="20"/>
                <w:szCs w:val="20"/>
                <w:highlight w:val="none"/>
              </w:rPr>
              <w:t>白条肉</w:t>
            </w:r>
          </w:p>
        </w:tc>
        <w:tc>
          <w:tcPr>
            <w:tcW w:w="1243" w:type="pct"/>
            <w:tcBorders>
              <w:tl2br w:val="nil"/>
              <w:tr2bl w:val="nil"/>
            </w:tcBorders>
            <w:vAlign w:val="top"/>
          </w:tcPr>
          <w:p>
            <w:pPr>
              <w:spacing w:before="139"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234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17520</w:t>
            </w:r>
          </w:p>
        </w:tc>
        <w:tc>
          <w:tcPr>
            <w:tcW w:w="1271" w:type="pct"/>
            <w:gridSpan w:val="2"/>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约73%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 w:hRule="atLeast"/>
        </w:trPr>
        <w:tc>
          <w:tcPr>
            <w:tcW w:w="1224" w:type="pct"/>
            <w:tcBorders>
              <w:tl2br w:val="nil"/>
              <w:tr2bl w:val="nil"/>
            </w:tcBorders>
            <w:vAlign w:val="top"/>
          </w:tcPr>
          <w:p>
            <w:pPr>
              <w:spacing w:before="112" w:line="228"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4"/>
                <w:sz w:val="20"/>
                <w:szCs w:val="20"/>
                <w:highlight w:val="none"/>
                <w:lang w:val="en-US" w:eastAsia="zh-CN"/>
              </w:rPr>
              <w:t>可食用内脏</w:t>
            </w:r>
          </w:p>
        </w:tc>
        <w:tc>
          <w:tcPr>
            <w:tcW w:w="1243" w:type="pct"/>
            <w:tcBorders>
              <w:tl2br w:val="nil"/>
              <w:tr2bl w:val="nil"/>
            </w:tcBorders>
            <w:vAlign w:val="top"/>
          </w:tcPr>
          <w:p>
            <w:pPr>
              <w:spacing w:before="140"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234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1560</w:t>
            </w:r>
          </w:p>
        </w:tc>
        <w:tc>
          <w:tcPr>
            <w:tcW w:w="1271" w:type="pct"/>
            <w:gridSpan w:val="2"/>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224" w:type="pct"/>
            <w:tcBorders>
              <w:tl2br w:val="nil"/>
              <w:tr2bl w:val="nil"/>
            </w:tcBorders>
            <w:vAlign w:val="top"/>
          </w:tcPr>
          <w:p>
            <w:pPr>
              <w:spacing w:before="114"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猪血</w:t>
            </w:r>
          </w:p>
        </w:tc>
        <w:tc>
          <w:tcPr>
            <w:tcW w:w="1243" w:type="pct"/>
            <w:tcBorders>
              <w:tl2br w:val="nil"/>
              <w:tr2bl w:val="nil"/>
            </w:tcBorders>
            <w:vAlign w:val="top"/>
          </w:tcPr>
          <w:p>
            <w:pPr>
              <w:spacing w:before="142"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234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1080</w:t>
            </w:r>
          </w:p>
        </w:tc>
        <w:tc>
          <w:tcPr>
            <w:tcW w:w="1271" w:type="pct"/>
            <w:gridSpan w:val="2"/>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 w:hRule="atLeast"/>
        </w:trPr>
        <w:tc>
          <w:tcPr>
            <w:tcW w:w="1224" w:type="pct"/>
            <w:tcBorders>
              <w:tl2br w:val="nil"/>
              <w:tr2bl w:val="nil"/>
            </w:tcBorders>
            <w:vAlign w:val="top"/>
          </w:tcPr>
          <w:p>
            <w:pPr>
              <w:spacing w:before="112" w:line="228"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7"/>
                <w:sz w:val="20"/>
                <w:szCs w:val="20"/>
                <w:highlight w:val="none"/>
                <w:lang w:val="en-US" w:eastAsia="zh-CN"/>
              </w:rPr>
              <w:t>头、蹄、尾</w:t>
            </w:r>
          </w:p>
        </w:tc>
        <w:tc>
          <w:tcPr>
            <w:tcW w:w="1243" w:type="pct"/>
            <w:tcBorders>
              <w:tl2br w:val="nil"/>
              <w:tr2bl w:val="nil"/>
            </w:tcBorders>
            <w:vAlign w:val="top"/>
          </w:tcPr>
          <w:p>
            <w:pPr>
              <w:spacing w:before="140"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234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1560</w:t>
            </w:r>
          </w:p>
        </w:tc>
        <w:tc>
          <w:tcPr>
            <w:tcW w:w="1271" w:type="pct"/>
            <w:gridSpan w:val="2"/>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224" w:type="pct"/>
            <w:tcBorders>
              <w:tl2br w:val="nil"/>
              <w:tr2bl w:val="nil"/>
            </w:tcBorders>
            <w:vAlign w:val="top"/>
          </w:tcPr>
          <w:p>
            <w:pPr>
              <w:spacing w:before="114" w:line="228"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z w:val="20"/>
                <w:szCs w:val="20"/>
                <w:highlight w:val="none"/>
                <w:lang w:val="en-US" w:eastAsia="zh-CN"/>
              </w:rPr>
              <w:t>板油</w:t>
            </w:r>
          </w:p>
        </w:tc>
        <w:tc>
          <w:tcPr>
            <w:tcW w:w="1243" w:type="pct"/>
            <w:tcBorders>
              <w:tl2br w:val="nil"/>
              <w:tr2bl w:val="nil"/>
            </w:tcBorders>
            <w:vAlign w:val="top"/>
          </w:tcPr>
          <w:p>
            <w:pPr>
              <w:spacing w:before="142"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234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360</w:t>
            </w:r>
          </w:p>
        </w:tc>
        <w:tc>
          <w:tcPr>
            <w:tcW w:w="1271" w:type="pct"/>
            <w:gridSpan w:val="2"/>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约1.5%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224" w:type="pct"/>
            <w:tcBorders>
              <w:tl2br w:val="nil"/>
              <w:tr2bl w:val="nil"/>
            </w:tcBorders>
            <w:vAlign w:val="top"/>
          </w:tcPr>
          <w:p>
            <w:pPr>
              <w:spacing w:before="114" w:line="228"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z w:val="20"/>
                <w:szCs w:val="20"/>
                <w:highlight w:val="none"/>
                <w:lang w:val="en-US" w:eastAsia="zh-CN"/>
              </w:rPr>
              <w:t>猪毛</w:t>
            </w:r>
          </w:p>
        </w:tc>
        <w:tc>
          <w:tcPr>
            <w:tcW w:w="1243" w:type="pct"/>
            <w:tcBorders>
              <w:tl2br w:val="nil"/>
              <w:tr2bl w:val="nil"/>
            </w:tcBorders>
            <w:vAlign w:val="top"/>
          </w:tcPr>
          <w:p>
            <w:pPr>
              <w:spacing w:before="142" w:line="193"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w:t>
            </w:r>
          </w:p>
        </w:tc>
        <w:tc>
          <w:tcPr>
            <w:tcW w:w="234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2"/>
                <w:szCs w:val="22"/>
                <w:u w:val="none"/>
                <w:lang w:val="en-US" w:eastAsia="zh-CN" w:bidi="ar"/>
              </w:rPr>
            </w:pPr>
            <w:r>
              <w:rPr>
                <w:rFonts w:hint="default" w:ascii="Times New Roman" w:hAnsi="Times New Roman" w:eastAsia="宋体" w:cs="Times New Roman"/>
                <w:i w:val="0"/>
                <w:iCs w:val="0"/>
                <w:snapToGrid w:val="0"/>
                <w:color w:val="000000"/>
                <w:kern w:val="0"/>
                <w:sz w:val="22"/>
                <w:szCs w:val="22"/>
                <w:u w:val="none"/>
                <w:lang w:val="en-US" w:eastAsia="zh-CN" w:bidi="ar"/>
              </w:rPr>
              <w:t>120</w:t>
            </w:r>
          </w:p>
        </w:tc>
        <w:tc>
          <w:tcPr>
            <w:tcW w:w="1271" w:type="pct"/>
            <w:gridSpan w:val="2"/>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约0.5%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1224" w:type="pct"/>
            <w:tcBorders>
              <w:tl2br w:val="nil"/>
              <w:tr2bl w:val="nil"/>
            </w:tcBorders>
            <w:vAlign w:val="top"/>
          </w:tcPr>
          <w:p>
            <w:pPr>
              <w:spacing w:before="114" w:line="227"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胃容物</w:t>
            </w:r>
          </w:p>
        </w:tc>
        <w:tc>
          <w:tcPr>
            <w:tcW w:w="1243" w:type="pct"/>
            <w:tcBorders>
              <w:tl2br w:val="nil"/>
              <w:tr2bl w:val="nil"/>
            </w:tcBorders>
            <w:vAlign w:val="top"/>
          </w:tcPr>
          <w:p>
            <w:pPr>
              <w:spacing w:before="142"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234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1200</w:t>
            </w:r>
          </w:p>
        </w:tc>
        <w:tc>
          <w:tcPr>
            <w:tcW w:w="1271" w:type="pct"/>
            <w:gridSpan w:val="2"/>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约5.0%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0" w:hRule="atLeast"/>
        </w:trPr>
        <w:tc>
          <w:tcPr>
            <w:tcW w:w="1224" w:type="pct"/>
            <w:tcBorders>
              <w:tl2br w:val="nil"/>
              <w:tr2bl w:val="nil"/>
            </w:tcBorders>
            <w:vAlign w:val="top"/>
          </w:tcPr>
          <w:p>
            <w:pPr>
              <w:spacing w:before="115"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不可食内脏</w:t>
            </w:r>
          </w:p>
        </w:tc>
        <w:tc>
          <w:tcPr>
            <w:tcW w:w="1243" w:type="pct"/>
            <w:tcBorders>
              <w:tl2br w:val="nil"/>
              <w:tr2bl w:val="nil"/>
            </w:tcBorders>
            <w:vAlign w:val="top"/>
          </w:tcPr>
          <w:p>
            <w:pPr>
              <w:spacing w:before="143"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234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168</w:t>
            </w:r>
          </w:p>
        </w:tc>
        <w:tc>
          <w:tcPr>
            <w:tcW w:w="1271" w:type="pct"/>
            <w:gridSpan w:val="2"/>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约0.7%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18" w:type="pct"/>
          <w:trHeight w:val="441" w:hRule="atLeast"/>
        </w:trPr>
        <w:tc>
          <w:tcPr>
            <w:tcW w:w="1224" w:type="pct"/>
            <w:tcBorders>
              <w:tl2br w:val="nil"/>
              <w:tr2bl w:val="nil"/>
            </w:tcBorders>
            <w:vAlign w:val="top"/>
          </w:tcPr>
          <w:p>
            <w:pPr>
              <w:spacing w:before="115"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猪粪</w:t>
            </w:r>
          </w:p>
        </w:tc>
        <w:tc>
          <w:tcPr>
            <w:tcW w:w="1243" w:type="pct"/>
            <w:tcBorders>
              <w:tl2br w:val="nil"/>
              <w:tr2bl w:val="nil"/>
            </w:tcBorders>
            <w:vAlign w:val="top"/>
          </w:tcPr>
          <w:p>
            <w:pPr>
              <w:spacing w:before="143"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234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240</w:t>
            </w:r>
          </w:p>
        </w:tc>
        <w:tc>
          <w:tcPr>
            <w:tcW w:w="1252" w:type="pct"/>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18" w:type="pct"/>
          <w:trHeight w:val="436" w:hRule="atLeast"/>
        </w:trPr>
        <w:tc>
          <w:tcPr>
            <w:tcW w:w="1224" w:type="pct"/>
            <w:tcBorders>
              <w:tl2br w:val="nil"/>
              <w:tr2bl w:val="nil"/>
            </w:tcBorders>
            <w:vAlign w:val="top"/>
          </w:tcPr>
          <w:p>
            <w:pPr>
              <w:spacing w:before="113"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z w:val="20"/>
                <w:szCs w:val="20"/>
                <w:highlight w:val="none"/>
                <w:lang w:val="en-US" w:eastAsia="zh-CN"/>
              </w:rPr>
              <w:t>病变腺体、内脏及残留脂肪</w:t>
            </w:r>
          </w:p>
        </w:tc>
        <w:tc>
          <w:tcPr>
            <w:tcW w:w="1243" w:type="pct"/>
            <w:tcBorders>
              <w:tl2br w:val="nil"/>
              <w:tr2bl w:val="nil"/>
            </w:tcBorders>
            <w:vAlign w:val="top"/>
          </w:tcPr>
          <w:p>
            <w:pPr>
              <w:spacing w:before="141" w:line="193"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z w:val="22"/>
                <w:szCs w:val="22"/>
                <w:highlight w:val="none"/>
              </w:rPr>
              <w:t>/</w:t>
            </w:r>
          </w:p>
        </w:tc>
        <w:tc>
          <w:tcPr>
            <w:tcW w:w="234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192</w:t>
            </w:r>
          </w:p>
        </w:tc>
        <w:tc>
          <w:tcPr>
            <w:tcW w:w="1252" w:type="pct"/>
            <w:tcBorders>
              <w:tl2br w:val="nil"/>
              <w:tr2bl w:val="nil"/>
            </w:tcBorders>
            <w:vAlign w:val="top"/>
          </w:tcPr>
          <w:p>
            <w:pPr>
              <w:spacing w:before="143" w:line="189" w:lineRule="auto"/>
              <w:jc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sz w:val="22"/>
                <w:szCs w:val="22"/>
                <w:highlight w:val="none"/>
                <w:lang w:val="en-US" w:eastAsia="zh-CN"/>
              </w:rPr>
              <w:t>约0.8%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18" w:type="pct"/>
          <w:trHeight w:val="441" w:hRule="atLeast"/>
        </w:trPr>
        <w:tc>
          <w:tcPr>
            <w:tcW w:w="1224" w:type="pct"/>
            <w:tcBorders>
              <w:tl2br w:val="nil"/>
              <w:tr2bl w:val="nil"/>
            </w:tcBorders>
            <w:vAlign w:val="top"/>
          </w:tcPr>
          <w:p>
            <w:pPr>
              <w:spacing w:before="116" w:line="229" w:lineRule="auto"/>
              <w:ind w:left="939"/>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合计</w:t>
            </w:r>
          </w:p>
        </w:tc>
        <w:tc>
          <w:tcPr>
            <w:tcW w:w="1243" w:type="pct"/>
            <w:tcBorders>
              <w:tl2br w:val="nil"/>
              <w:tr2bl w:val="nil"/>
            </w:tcBorders>
            <w:vAlign w:val="top"/>
          </w:tcPr>
          <w:p>
            <w:pPr>
              <w:spacing w:before="152"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3"/>
                <w:sz w:val="20"/>
                <w:szCs w:val="20"/>
                <w:highlight w:val="none"/>
                <w:lang w:val="en-US" w:eastAsia="zh-CN"/>
              </w:rPr>
              <w:t>24000</w:t>
            </w:r>
          </w:p>
        </w:tc>
        <w:tc>
          <w:tcPr>
            <w:tcW w:w="234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2"/>
                <w:szCs w:val="22"/>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24000</w:t>
            </w:r>
          </w:p>
        </w:tc>
        <w:tc>
          <w:tcPr>
            <w:tcW w:w="1252" w:type="pct"/>
            <w:tcBorders>
              <w:tl2br w:val="nil"/>
              <w:tr2bl w:val="nil"/>
            </w:tcBorders>
            <w:vAlign w:val="top"/>
          </w:tcPr>
          <w:p>
            <w:pPr>
              <w:spacing w:before="146" w:line="189" w:lineRule="auto"/>
              <w:jc w:val="center"/>
              <w:rPr>
                <w:rFonts w:hint="default" w:ascii="Times New Roman" w:hAnsi="Times New Roman" w:eastAsia="Times New Roman" w:cs="Times New Roman"/>
                <w:sz w:val="22"/>
                <w:szCs w:val="22"/>
                <w:highlight w:val="none"/>
              </w:rPr>
            </w:pPr>
            <w:r>
              <w:rPr>
                <w:rFonts w:hint="default" w:ascii="Times New Roman" w:hAnsi="Times New Roman" w:eastAsia="Times New Roman" w:cs="Times New Roman"/>
                <w:spacing w:val="-6"/>
                <w:sz w:val="22"/>
                <w:szCs w:val="22"/>
                <w:highlight w:val="none"/>
              </w:rPr>
              <w:t>100%</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cs="Times New Roman"/>
          <w:highlight w:val="none"/>
        </w:rPr>
      </w:pPr>
      <w:r>
        <w:rPr>
          <w:rFonts w:hint="default" w:ascii="Times New Roman" w:hAnsi="Times New Roman" w:cs="Times New Roman"/>
          <w:position w:val="-129"/>
          <w:highlight w:val="none"/>
        </w:rPr>
        <w:object>
          <v:shape id="_x0000_i1026" o:spt="75" type="#_x0000_t75" style="height:314.25pt;width:321pt;" o:ole="t" filled="f" o:preferrelative="t" stroked="f" coordsize="21600,21600">
            <v:path/>
            <v:fill on="f" focussize="0,0"/>
            <v:stroke on="f"/>
            <v:imagedata r:id="rId36" o:title=""/>
            <o:lock v:ext="edit" aspectratio="f"/>
            <w10:wrap type="none"/>
            <w10:anchorlock/>
          </v:shape>
          <o:OLEObject Type="Embed" ProgID="Visio.Drawing.11" ShapeID="_x0000_i1026" DrawAspect="Content" ObjectID="_1468075726" r:id="rId35">
            <o:LockedField>false</o:LockedField>
          </o:OLEObject>
        </w:objec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28" w:firstLineChars="200"/>
        <w:jc w:val="center"/>
        <w:textAlignment w:val="baseline"/>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图</w:t>
      </w:r>
      <w:r>
        <w:rPr>
          <w:rFonts w:hint="default" w:ascii="Times New Roman" w:hAnsi="Times New Roman" w:eastAsia="宋体" w:cs="Times New Roman"/>
          <w:spacing w:val="-42"/>
          <w:sz w:val="20"/>
          <w:szCs w:val="20"/>
          <w:highlight w:val="none"/>
        </w:rPr>
        <w:t xml:space="preserve"> </w:t>
      </w:r>
      <w:r>
        <w:rPr>
          <w:rFonts w:hint="default" w:ascii="Times New Roman" w:hAnsi="Times New Roman" w:eastAsia="Times New Roman" w:cs="Times New Roman"/>
          <w:b/>
          <w:bCs/>
          <w:spacing w:val="7"/>
          <w:sz w:val="20"/>
          <w:szCs w:val="20"/>
          <w:highlight w:val="none"/>
        </w:rPr>
        <w:t>3</w:t>
      </w:r>
      <w:r>
        <w:rPr>
          <w:rFonts w:hint="eastAsia" w:ascii="Times New Roman" w:hAnsi="Times New Roman" w:eastAsia="宋体" w:cs="Times New Roman"/>
          <w:b/>
          <w:bCs/>
          <w:spacing w:val="7"/>
          <w:sz w:val="20"/>
          <w:szCs w:val="20"/>
          <w:highlight w:val="none"/>
          <w:lang w:val="en-US" w:eastAsia="zh-CN"/>
        </w:rPr>
        <w:t>-</w:t>
      </w:r>
      <w:r>
        <w:rPr>
          <w:rFonts w:hint="default" w:ascii="Times New Roman" w:hAnsi="Times New Roman" w:eastAsia="宋体" w:cs="Times New Roman"/>
          <w:b/>
          <w:bCs/>
          <w:spacing w:val="7"/>
          <w:sz w:val="20"/>
          <w:szCs w:val="20"/>
          <w:highlight w:val="none"/>
          <w:lang w:val="en-US" w:eastAsia="zh-CN"/>
        </w:rPr>
        <w:t>6</w:t>
      </w:r>
      <w:r>
        <w:rPr>
          <w:rFonts w:hint="default" w:ascii="Times New Roman" w:hAnsi="Times New Roman" w:eastAsia="Times New Roman" w:cs="Times New Roman"/>
          <w:b/>
          <w:bCs/>
          <w:spacing w:val="7"/>
          <w:sz w:val="20"/>
          <w:szCs w:val="20"/>
          <w:highlight w:val="none"/>
        </w:rPr>
        <w:t>-</w:t>
      </w:r>
      <w:r>
        <w:rPr>
          <w:rFonts w:hint="default" w:ascii="Times New Roman" w:hAnsi="Times New Roman" w:eastAsia="宋体" w:cs="Times New Roman"/>
          <w:b/>
          <w:bCs/>
          <w:spacing w:val="7"/>
          <w:sz w:val="20"/>
          <w:szCs w:val="20"/>
          <w:highlight w:val="none"/>
          <w:lang w:val="en-US" w:eastAsia="zh-CN"/>
        </w:rPr>
        <w:t>3</w:t>
      </w:r>
      <w:r>
        <w:rPr>
          <w:rFonts w:hint="default" w:ascii="Times New Roman" w:hAnsi="Times New Roman" w:eastAsia="Times New Roman" w:cs="Times New Roman"/>
          <w:b/>
          <w:bCs/>
          <w:spacing w:val="7"/>
          <w:sz w:val="20"/>
          <w:szCs w:val="20"/>
          <w:highlight w:val="none"/>
        </w:rPr>
        <w:t xml:space="preserve">  </w:t>
      </w:r>
      <w:r>
        <w:rPr>
          <w:rFonts w:hint="eastAsia" w:ascii="Times New Roman" w:hAnsi="Times New Roman" w:eastAsia="宋体" w:cs="Times New Roman"/>
          <w:b/>
          <w:bCs/>
          <w:spacing w:val="7"/>
          <w:sz w:val="20"/>
          <w:szCs w:val="20"/>
          <w:highlight w:val="none"/>
          <w:lang w:val="en-US" w:eastAsia="zh-CN"/>
        </w:rPr>
        <w:t>扩建后</w:t>
      </w:r>
      <w:r>
        <w:rPr>
          <w:rFonts w:hint="eastAsia"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全厂</w:t>
      </w: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物料平衡图（单位：</w:t>
      </w:r>
      <w:r>
        <w:rPr>
          <w:rFonts w:hint="default" w:ascii="Times New Roman" w:hAnsi="Times New Roman" w:eastAsia="宋体" w:cs="Times New Roman"/>
          <w:b/>
          <w:bCs/>
          <w:sz w:val="20"/>
          <w:szCs w:val="20"/>
          <w:highlight w:val="none"/>
          <w:lang w:val="en-US" w:eastAsia="zh-CN"/>
        </w:rPr>
        <w:t>t</w:t>
      </w:r>
      <w:r>
        <w:rPr>
          <w:rFonts w:hint="default" w:ascii="Times New Roman" w:hAnsi="Times New Roman" w:eastAsia="Times New Roman" w:cs="Times New Roman"/>
          <w:b/>
          <w:bCs/>
          <w:spacing w:val="6"/>
          <w:sz w:val="20"/>
          <w:szCs w:val="20"/>
          <w:highlight w:val="none"/>
        </w:rPr>
        <w:t>/</w:t>
      </w:r>
      <w:r>
        <w:rPr>
          <w:rFonts w:hint="default" w:ascii="Times New Roman" w:hAnsi="Times New Roman" w:eastAsia="宋体" w:cs="Times New Roman"/>
          <w:spacing w:val="6"/>
          <w:sz w:val="20"/>
          <w:szCs w:val="20"/>
          <w:highlight w:val="none"/>
          <w:lang w:val="en-US" w:eastAsia="zh-CN"/>
          <w14:textOutline w14:w="3795" w14:cap="sq" w14:cmpd="sng">
            <w14:solidFill>
              <w14:srgbClr w14:val="000000"/>
            </w14:solidFill>
            <w14:prstDash w14:val="solid"/>
            <w14:bevel/>
          </w14:textOutline>
        </w:rPr>
        <w:t>a</w:t>
      </w: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20" w:firstLineChars="200"/>
        <w:jc w:val="both"/>
        <w:textAlignment w:val="baseline"/>
        <w:outlineLvl w:val="3"/>
        <w:rPr>
          <w:rFonts w:hint="default" w:ascii="Times New Roman" w:hAnsi="Times New Roman" w:eastAsia="黑体" w:cs="Times New Roman"/>
          <w:sz w:val="24"/>
          <w:szCs w:val="24"/>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"3.3.3.3" </w:instrText>
      </w:r>
      <w:r>
        <w:rPr>
          <w:rFonts w:hint="default" w:ascii="Times New Roman" w:hAnsi="Times New Roman" w:cs="Times New Roman"/>
          <w:highlight w:val="none"/>
        </w:rPr>
        <w:fldChar w:fldCharType="separate"/>
      </w:r>
      <w:r>
        <w:rPr>
          <w:rFonts w:hint="default" w:ascii="Times New Roman" w:hAnsi="Times New Roman" w:eastAsia="Times New Roman" w:cs="Times New Roman"/>
          <w:spacing w:val="1"/>
          <w:sz w:val="24"/>
          <w:szCs w:val="24"/>
          <w:highlight w:val="none"/>
        </w:rPr>
        <w:t>3.</w:t>
      </w:r>
      <w:r>
        <w:rPr>
          <w:rFonts w:hint="default" w:ascii="Times New Roman" w:hAnsi="Times New Roman" w:eastAsia="宋体" w:cs="Times New Roman"/>
          <w:spacing w:val="1"/>
          <w:sz w:val="24"/>
          <w:szCs w:val="24"/>
          <w:highlight w:val="none"/>
          <w:lang w:val="en-US" w:eastAsia="zh-CN"/>
        </w:rPr>
        <w:t>6</w:t>
      </w:r>
      <w:r>
        <w:rPr>
          <w:rFonts w:hint="default" w:ascii="Times New Roman" w:hAnsi="Times New Roman" w:eastAsia="Times New Roman" w:cs="Times New Roman"/>
          <w:spacing w:val="1"/>
          <w:sz w:val="24"/>
          <w:szCs w:val="24"/>
          <w:highlight w:val="none"/>
        </w:rPr>
        <w:t>.3.3</w:t>
      </w:r>
      <w:r>
        <w:rPr>
          <w:rFonts w:hint="default" w:ascii="Times New Roman" w:hAnsi="Times New Roman" w:eastAsia="Times New Roman" w:cs="Times New Roman"/>
          <w:spacing w:val="1"/>
          <w:sz w:val="24"/>
          <w:szCs w:val="24"/>
          <w:highlight w:val="none"/>
        </w:rPr>
        <w:fldChar w:fldCharType="end"/>
      </w:r>
      <w:r>
        <w:rPr>
          <w:rFonts w:hint="default" w:ascii="Times New Roman" w:hAnsi="Times New Roman" w:eastAsia="Times New Roman" w:cs="Times New Roman"/>
          <w:spacing w:val="15"/>
          <w:w w:val="101"/>
          <w:sz w:val="24"/>
          <w:szCs w:val="24"/>
          <w:highlight w:val="none"/>
        </w:rPr>
        <w:t xml:space="preserve">  </w:t>
      </w:r>
      <w:r>
        <w:rPr>
          <w:rFonts w:hint="default" w:ascii="Times New Roman" w:hAnsi="Times New Roman" w:eastAsia="黑体" w:cs="Times New Roman"/>
          <w:spacing w:val="1"/>
          <w:sz w:val="24"/>
          <w:szCs w:val="24"/>
          <w:highlight w:val="none"/>
        </w:rPr>
        <w:t>水平衡</w:t>
      </w:r>
    </w:p>
    <w:p>
      <w:pPr>
        <w:spacing w:before="110" w:line="219" w:lineRule="auto"/>
        <w:ind w:left="504"/>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2"/>
          <w:sz w:val="24"/>
          <w:szCs w:val="24"/>
          <w:highlight w:val="none"/>
          <w14:textOutline w14:w="4358" w14:cap="sq" w14:cmpd="sng">
            <w14:solidFill>
              <w14:srgbClr w14:val="000000"/>
            </w14:solidFill>
            <w14:prstDash w14:val="solid"/>
            <w14:bevel/>
          </w14:textOutline>
        </w:rPr>
        <w:t>（</w:t>
      </w:r>
      <w:r>
        <w:rPr>
          <w:rFonts w:hint="default" w:ascii="Times New Roman" w:hAnsi="Times New Roman" w:eastAsia="Times New Roman" w:cs="Times New Roman"/>
          <w:b/>
          <w:bCs/>
          <w:spacing w:val="-2"/>
          <w:sz w:val="24"/>
          <w:szCs w:val="24"/>
          <w:highlight w:val="none"/>
        </w:rPr>
        <w:t>1</w:t>
      </w:r>
      <w:r>
        <w:rPr>
          <w:rFonts w:hint="default" w:ascii="Times New Roman" w:hAnsi="Times New Roman" w:eastAsia="宋体" w:cs="Times New Roman"/>
          <w:spacing w:val="-2"/>
          <w:sz w:val="24"/>
          <w:szCs w:val="24"/>
          <w:highlight w:val="none"/>
          <w14:textOutline w14:w="4358" w14:cap="sq" w14:cmpd="sng">
            <w14:solidFill>
              <w14:srgbClr w14:val="000000"/>
            </w14:solidFill>
            <w14:prstDash w14:val="solid"/>
            <w14:bevel/>
          </w14:textOutline>
        </w:rPr>
        <w:t>）改扩建项目水平衡</w:t>
      </w:r>
    </w:p>
    <w:p>
      <w:pPr>
        <w:spacing w:before="128" w:line="227" w:lineRule="auto"/>
        <w:ind w:left="2756"/>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7"/>
          <w:sz w:val="20"/>
          <w:szCs w:val="20"/>
          <w:highlight w:val="none"/>
        </w:rPr>
        <w:t xml:space="preserve"> </w:t>
      </w:r>
      <w:r>
        <w:rPr>
          <w:rFonts w:hint="default" w:ascii="Times New Roman" w:hAnsi="Times New Roman" w:eastAsia="Times New Roman" w:cs="Times New Roman"/>
          <w:b/>
          <w:bCs/>
          <w:spacing w:val="7"/>
          <w:sz w:val="20"/>
          <w:szCs w:val="20"/>
          <w:highlight w:val="none"/>
        </w:rPr>
        <w:t>3</w:t>
      </w:r>
      <w:r>
        <w:rPr>
          <w:rFonts w:hint="eastAsia" w:ascii="Times New Roman" w:hAnsi="Times New Roman" w:eastAsia="宋体" w:cs="Times New Roman"/>
          <w:b/>
          <w:bCs/>
          <w:spacing w:val="7"/>
          <w:sz w:val="20"/>
          <w:szCs w:val="20"/>
          <w:highlight w:val="none"/>
          <w:lang w:val="en-US" w:eastAsia="zh-CN"/>
        </w:rPr>
        <w:t>-</w:t>
      </w:r>
      <w:r>
        <w:rPr>
          <w:rFonts w:hint="default" w:ascii="Times New Roman" w:hAnsi="Times New Roman" w:eastAsia="宋体" w:cs="Times New Roman"/>
          <w:b/>
          <w:bCs/>
          <w:spacing w:val="7"/>
          <w:sz w:val="20"/>
          <w:szCs w:val="20"/>
          <w:highlight w:val="none"/>
          <w:lang w:val="en-US" w:eastAsia="zh-CN"/>
        </w:rPr>
        <w:t>6</w:t>
      </w:r>
      <w:r>
        <w:rPr>
          <w:rFonts w:hint="default" w:ascii="Times New Roman" w:hAnsi="Times New Roman" w:eastAsia="Times New Roman" w:cs="Times New Roman"/>
          <w:b/>
          <w:bCs/>
          <w:spacing w:val="7"/>
          <w:sz w:val="20"/>
          <w:szCs w:val="20"/>
          <w:highlight w:val="none"/>
        </w:rPr>
        <w:t>-</w:t>
      </w:r>
      <w:r>
        <w:rPr>
          <w:rFonts w:hint="default" w:ascii="Times New Roman" w:hAnsi="Times New Roman" w:eastAsia="宋体" w:cs="Times New Roman"/>
          <w:b/>
          <w:bCs/>
          <w:spacing w:val="7"/>
          <w:sz w:val="20"/>
          <w:szCs w:val="20"/>
          <w:highlight w:val="none"/>
          <w:lang w:val="en-US" w:eastAsia="zh-CN"/>
        </w:rPr>
        <w:t>5</w:t>
      </w:r>
      <w:r>
        <w:rPr>
          <w:rFonts w:hint="default" w:ascii="Times New Roman" w:hAnsi="Times New Roman" w:eastAsia="Times New Roman" w:cs="Times New Roman"/>
          <w:b/>
          <w:bCs/>
          <w:spacing w:val="63"/>
          <w:w w:val="101"/>
          <w:sz w:val="20"/>
          <w:szCs w:val="20"/>
          <w:highlight w:val="none"/>
        </w:rPr>
        <w:t xml:space="preserve"> </w:t>
      </w: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本项目用水、排水情况统计表</w:t>
      </w:r>
    </w:p>
    <w:p>
      <w:pPr>
        <w:spacing w:line="19" w:lineRule="exact"/>
        <w:rPr>
          <w:rFonts w:hint="default" w:ascii="Times New Roman" w:hAnsi="Times New Roman" w:cs="Times New Roman"/>
          <w:highlight w:val="none"/>
        </w:rPr>
      </w:pPr>
    </w:p>
    <w:tbl>
      <w:tblPr>
        <w:tblStyle w:val="34"/>
        <w:tblW w:w="5023"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91"/>
        <w:gridCol w:w="1526"/>
        <w:gridCol w:w="1520"/>
        <w:gridCol w:w="1563"/>
        <w:gridCol w:w="1029"/>
        <w:gridCol w:w="1545"/>
        <w:gridCol w:w="157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3" w:hRule="atLeast"/>
        </w:trPr>
        <w:tc>
          <w:tcPr>
            <w:tcW w:w="316" w:type="pct"/>
            <w:vAlign w:val="top"/>
          </w:tcPr>
          <w:p>
            <w:pPr>
              <w:spacing w:before="156" w:line="229"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14:textOutline w14:w="3795" w14:cap="sq" w14:cmpd="sng">
                  <w14:solidFill>
                    <w14:srgbClr w14:val="000000"/>
                  </w14:solidFill>
                  <w14:prstDash w14:val="solid"/>
                  <w14:bevel/>
                </w14:textOutline>
              </w:rPr>
              <w:t>序号</w:t>
            </w:r>
          </w:p>
        </w:tc>
        <w:tc>
          <w:tcPr>
            <w:tcW w:w="816" w:type="pct"/>
            <w:vAlign w:val="top"/>
          </w:tcPr>
          <w:p>
            <w:pPr>
              <w:spacing w:before="156"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15"/>
                <w:sz w:val="20"/>
                <w:szCs w:val="20"/>
                <w:highlight w:val="none"/>
                <w14:textOutline w14:w="3795" w14:cap="sq" w14:cmpd="sng">
                  <w14:solidFill>
                    <w14:srgbClr w14:val="000000"/>
                  </w14:solidFill>
                  <w14:prstDash w14:val="solid"/>
                  <w14:bevel/>
                </w14:textOutline>
              </w:rPr>
              <w:t>用水环节</w:t>
            </w:r>
          </w:p>
        </w:tc>
        <w:tc>
          <w:tcPr>
            <w:tcW w:w="813" w:type="pct"/>
            <w:vAlign w:val="top"/>
          </w:tcPr>
          <w:p>
            <w:pPr>
              <w:spacing w:before="156" w:line="221"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日用水量</w:t>
            </w:r>
            <w:r>
              <w:rPr>
                <w:rFonts w:hint="default" w:ascii="Times New Roman" w:hAnsi="Times New Roman" w:eastAsia="Times New Roman" w:cs="Times New Roman"/>
                <w:b/>
                <w:bCs/>
                <w:spacing w:val="6"/>
                <w:sz w:val="20"/>
                <w:szCs w:val="20"/>
                <w:highlight w:val="none"/>
              </w:rPr>
              <w:t>(m</w:t>
            </w:r>
            <w:r>
              <w:rPr>
                <w:rFonts w:hint="default" w:ascii="Times New Roman" w:hAnsi="Times New Roman" w:eastAsia="Times New Roman" w:cs="Times New Roman"/>
                <w:b/>
                <w:bCs/>
                <w:spacing w:val="6"/>
                <w:position w:val="6"/>
                <w:sz w:val="13"/>
                <w:szCs w:val="13"/>
                <w:highlight w:val="none"/>
              </w:rPr>
              <w:t>3</w:t>
            </w:r>
            <w:r>
              <w:rPr>
                <w:rFonts w:hint="default" w:ascii="Times New Roman" w:hAnsi="Times New Roman" w:eastAsia="Times New Roman" w:cs="Times New Roman"/>
                <w:b/>
                <w:bCs/>
                <w:spacing w:val="6"/>
                <w:sz w:val="20"/>
                <w:szCs w:val="20"/>
                <w:highlight w:val="none"/>
              </w:rPr>
              <w:t>/d)</w:t>
            </w:r>
          </w:p>
        </w:tc>
        <w:tc>
          <w:tcPr>
            <w:tcW w:w="836" w:type="pct"/>
            <w:vAlign w:val="top"/>
          </w:tcPr>
          <w:p>
            <w:pPr>
              <w:spacing w:before="156" w:line="221" w:lineRule="auto"/>
              <w:ind w:left="149"/>
              <w:jc w:val="both"/>
              <w:rPr>
                <w:rFonts w:hint="default" w:ascii="Times New Roman" w:hAnsi="Times New Roman" w:eastAsia="宋体" w:cs="Times New Roman"/>
                <w:spacing w:val="6"/>
                <w:sz w:val="20"/>
                <w:szCs w:val="20"/>
                <w:highlight w:val="none"/>
                <w:lang w:val="en-US" w:eastAsia="zh-CN"/>
                <w14:textOutline w14:w="3795" w14:cap="sq" w14:cmpd="sng">
                  <w14:solidFill>
                    <w14:srgbClr w14:val="000000"/>
                  </w14:solidFill>
                  <w14:prstDash w14:val="solid"/>
                  <w14:bevel/>
                </w14:textOutline>
              </w:rPr>
            </w:pPr>
            <w:r>
              <w:rPr>
                <w:rFonts w:hint="default" w:ascii="Times New Roman" w:hAnsi="Times New Roman" w:eastAsia="宋体" w:cs="Times New Roman"/>
                <w:spacing w:val="6"/>
                <w:sz w:val="20"/>
                <w:szCs w:val="20"/>
                <w:highlight w:val="none"/>
                <w:lang w:val="en-US" w:eastAsia="zh-CN"/>
                <w14:textOutline w14:w="3795" w14:cap="sq" w14:cmpd="sng">
                  <w14:solidFill>
                    <w14:srgbClr w14:val="000000"/>
                  </w14:solidFill>
                  <w14:prstDash w14:val="solid"/>
                  <w14:bevel/>
                </w14:textOutline>
              </w:rPr>
              <w:t>年用水量</w:t>
            </w:r>
            <w:r>
              <w:rPr>
                <w:rFonts w:hint="default" w:ascii="Times New Roman" w:hAnsi="Times New Roman" w:eastAsia="Times New Roman" w:cs="Times New Roman"/>
                <w:b/>
                <w:bCs/>
                <w:spacing w:val="6"/>
                <w:sz w:val="20"/>
                <w:szCs w:val="20"/>
                <w:highlight w:val="none"/>
              </w:rPr>
              <w:t>(m</w:t>
            </w:r>
            <w:r>
              <w:rPr>
                <w:rFonts w:hint="default" w:ascii="Times New Roman" w:hAnsi="Times New Roman" w:eastAsia="Times New Roman" w:cs="Times New Roman"/>
                <w:b/>
                <w:bCs/>
                <w:spacing w:val="6"/>
                <w:position w:val="6"/>
                <w:sz w:val="13"/>
                <w:szCs w:val="13"/>
                <w:highlight w:val="none"/>
              </w:rPr>
              <w:t>3</w:t>
            </w:r>
            <w:r>
              <w:rPr>
                <w:rFonts w:hint="default" w:ascii="Times New Roman" w:hAnsi="Times New Roman" w:eastAsia="Times New Roman" w:cs="Times New Roman"/>
                <w:b/>
                <w:bCs/>
                <w:spacing w:val="6"/>
                <w:sz w:val="20"/>
                <w:szCs w:val="20"/>
                <w:highlight w:val="none"/>
              </w:rPr>
              <w:t>/a)</w:t>
            </w:r>
          </w:p>
        </w:tc>
        <w:tc>
          <w:tcPr>
            <w:tcW w:w="550" w:type="pct"/>
            <w:vAlign w:val="top"/>
          </w:tcPr>
          <w:p>
            <w:pPr>
              <w:spacing w:before="156"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15"/>
                <w:sz w:val="20"/>
                <w:szCs w:val="20"/>
                <w:highlight w:val="none"/>
                <w14:textOutline w14:w="3795" w14:cap="sq" w14:cmpd="sng">
                  <w14:solidFill>
                    <w14:srgbClr w14:val="000000"/>
                  </w14:solidFill>
                  <w14:prstDash w14:val="solid"/>
                  <w14:bevel/>
                </w14:textOutline>
              </w:rPr>
              <w:t>产污系数</w:t>
            </w:r>
          </w:p>
        </w:tc>
        <w:tc>
          <w:tcPr>
            <w:tcW w:w="826" w:type="pct"/>
            <w:vAlign w:val="top"/>
          </w:tcPr>
          <w:p>
            <w:pPr>
              <w:spacing w:before="156" w:line="221"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日排水量</w:t>
            </w:r>
            <w:r>
              <w:rPr>
                <w:rFonts w:hint="default" w:ascii="Times New Roman" w:hAnsi="Times New Roman" w:eastAsia="Times New Roman" w:cs="Times New Roman"/>
                <w:b/>
                <w:bCs/>
                <w:spacing w:val="6"/>
                <w:sz w:val="20"/>
                <w:szCs w:val="20"/>
                <w:highlight w:val="none"/>
              </w:rPr>
              <w:t>(m</w:t>
            </w:r>
            <w:r>
              <w:rPr>
                <w:rFonts w:hint="default" w:ascii="Times New Roman" w:hAnsi="Times New Roman" w:eastAsia="Times New Roman" w:cs="Times New Roman"/>
                <w:b/>
                <w:bCs/>
                <w:spacing w:val="6"/>
                <w:position w:val="6"/>
                <w:sz w:val="13"/>
                <w:szCs w:val="13"/>
                <w:highlight w:val="none"/>
              </w:rPr>
              <w:t>3</w:t>
            </w:r>
            <w:r>
              <w:rPr>
                <w:rFonts w:hint="default" w:ascii="Times New Roman" w:hAnsi="Times New Roman" w:eastAsia="Times New Roman" w:cs="Times New Roman"/>
                <w:b/>
                <w:bCs/>
                <w:spacing w:val="6"/>
                <w:sz w:val="20"/>
                <w:szCs w:val="20"/>
                <w:highlight w:val="none"/>
              </w:rPr>
              <w:t>/d)</w:t>
            </w:r>
          </w:p>
        </w:tc>
        <w:tc>
          <w:tcPr>
            <w:tcW w:w="840" w:type="pct"/>
            <w:vAlign w:val="top"/>
          </w:tcPr>
          <w:p>
            <w:pPr>
              <w:spacing w:before="156" w:line="221"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年排水量</w:t>
            </w:r>
            <w:r>
              <w:rPr>
                <w:rFonts w:hint="default" w:ascii="Times New Roman" w:hAnsi="Times New Roman" w:eastAsia="Times New Roman" w:cs="Times New Roman"/>
                <w:b/>
                <w:bCs/>
                <w:spacing w:val="6"/>
                <w:sz w:val="20"/>
                <w:szCs w:val="20"/>
                <w:highlight w:val="none"/>
              </w:rPr>
              <w:t>(m</w:t>
            </w:r>
            <w:r>
              <w:rPr>
                <w:rFonts w:hint="default" w:ascii="Times New Roman" w:hAnsi="Times New Roman" w:eastAsia="Times New Roman" w:cs="Times New Roman"/>
                <w:b/>
                <w:bCs/>
                <w:spacing w:val="6"/>
                <w:position w:val="6"/>
                <w:sz w:val="13"/>
                <w:szCs w:val="13"/>
                <w:highlight w:val="none"/>
              </w:rPr>
              <w:t>3</w:t>
            </w:r>
            <w:r>
              <w:rPr>
                <w:rFonts w:hint="default" w:ascii="Times New Roman" w:hAnsi="Times New Roman" w:eastAsia="Times New Roman" w:cs="Times New Roman"/>
                <w:b/>
                <w:bCs/>
                <w:spacing w:val="6"/>
                <w:sz w:val="20"/>
                <w:szCs w:val="20"/>
                <w:highlight w:val="none"/>
              </w:rPr>
              <w:t>/a)</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16" w:type="pct"/>
            <w:vAlign w:val="top"/>
          </w:tcPr>
          <w:p>
            <w:pPr>
              <w:spacing w:before="135" w:line="195" w:lineRule="auto"/>
              <w:ind w:left="305"/>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1</w:t>
            </w:r>
          </w:p>
        </w:tc>
        <w:tc>
          <w:tcPr>
            <w:tcW w:w="816" w:type="pct"/>
            <w:vAlign w:val="top"/>
          </w:tcPr>
          <w:p>
            <w:pPr>
              <w:spacing w:before="52"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rPr>
              <w:t>生活用水</w:t>
            </w:r>
          </w:p>
        </w:tc>
        <w:tc>
          <w:tcPr>
            <w:tcW w:w="813" w:type="pct"/>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i w:val="0"/>
                <w:iCs w:val="0"/>
                <w:snapToGrid w:val="0"/>
                <w:color w:val="000000"/>
                <w:kern w:val="0"/>
                <w:sz w:val="20"/>
                <w:szCs w:val="20"/>
                <w:u w:val="none"/>
                <w:lang w:val="en-US" w:eastAsia="zh-CN" w:bidi="ar"/>
              </w:rPr>
              <w:t>/</w:t>
            </w:r>
          </w:p>
        </w:tc>
        <w:tc>
          <w:tcPr>
            <w:tcW w:w="836" w:type="pct"/>
            <w:vAlign w:val="top"/>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
              </w:rPr>
            </w:pPr>
            <w:r>
              <w:rPr>
                <w:rFonts w:hint="eastAsia" w:ascii="Times New Roman" w:hAnsi="Times New Roman" w:eastAsia="宋体" w:cs="Times New Roman"/>
                <w:i w:val="0"/>
                <w:iCs w:val="0"/>
                <w:snapToGrid w:val="0"/>
                <w:color w:val="000000"/>
                <w:kern w:val="0"/>
                <w:sz w:val="20"/>
                <w:szCs w:val="20"/>
                <w:u w:val="none"/>
                <w:lang w:val="en-US" w:eastAsia="zh-CN" w:bidi="ar"/>
              </w:rPr>
              <w:t>/</w:t>
            </w:r>
          </w:p>
        </w:tc>
        <w:tc>
          <w:tcPr>
            <w:tcW w:w="550" w:type="pct"/>
            <w:vAlign w:val="top"/>
          </w:tcPr>
          <w:p>
            <w:pPr>
              <w:spacing w:before="137" w:line="195" w:lineRule="auto"/>
              <w:jc w:val="center"/>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spacing w:val="1"/>
                <w:sz w:val="20"/>
                <w:szCs w:val="20"/>
                <w:highlight w:val="none"/>
                <w:lang w:val="en-US" w:eastAsia="zh-CN"/>
              </w:rPr>
              <w:t>/</w:t>
            </w:r>
          </w:p>
        </w:tc>
        <w:tc>
          <w:tcPr>
            <w:tcW w:w="826" w:type="pct"/>
            <w:vAlign w:val="top"/>
          </w:tcPr>
          <w:p>
            <w:pPr>
              <w:spacing w:before="137" w:line="195" w:lineRule="auto"/>
              <w:jc w:val="center"/>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spacing w:val="-2"/>
                <w:sz w:val="20"/>
                <w:szCs w:val="20"/>
                <w:highlight w:val="none"/>
                <w:lang w:val="en-US" w:eastAsia="zh-CN"/>
              </w:rPr>
              <w:t>/</w:t>
            </w:r>
          </w:p>
        </w:tc>
        <w:tc>
          <w:tcPr>
            <w:tcW w:w="840" w:type="pct"/>
            <w:vAlign w:val="top"/>
          </w:tcPr>
          <w:p>
            <w:pPr>
              <w:spacing w:before="137" w:line="195" w:lineRule="auto"/>
              <w:jc w:val="center"/>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spacing w:val="4"/>
                <w:sz w:val="20"/>
                <w:szCs w:val="20"/>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7" w:hRule="atLeast"/>
        </w:trPr>
        <w:tc>
          <w:tcPr>
            <w:tcW w:w="316" w:type="pct"/>
            <w:vAlign w:val="top"/>
          </w:tcPr>
          <w:p>
            <w:pPr>
              <w:spacing w:before="98" w:line="195" w:lineRule="auto"/>
              <w:ind w:left="286"/>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2</w:t>
            </w:r>
          </w:p>
        </w:tc>
        <w:tc>
          <w:tcPr>
            <w:tcW w:w="816" w:type="pct"/>
            <w:vAlign w:val="top"/>
          </w:tcPr>
          <w:p>
            <w:pPr>
              <w:spacing w:before="51"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rPr>
              <w:t>待宰圈冲洗</w:t>
            </w:r>
            <w:r>
              <w:rPr>
                <w:rFonts w:hint="default" w:ascii="Times New Roman" w:hAnsi="Times New Roman" w:eastAsia="宋体" w:cs="Times New Roman"/>
                <w:spacing w:val="8"/>
                <w:sz w:val="20"/>
                <w:szCs w:val="20"/>
                <w:lang w:val="en-US" w:eastAsia="zh-CN"/>
              </w:rPr>
              <w:t>用水</w:t>
            </w:r>
          </w:p>
        </w:tc>
        <w:tc>
          <w:tcPr>
            <w:tcW w:w="813"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
              </w:rPr>
            </w:pPr>
            <w:r>
              <w:rPr>
                <w:rFonts w:hint="default" w:ascii="Times New Roman" w:hAnsi="Times New Roman" w:eastAsia="宋体" w:cs="Times New Roman"/>
                <w:i w:val="0"/>
                <w:iCs w:val="0"/>
                <w:snapToGrid w:val="0"/>
                <w:color w:val="000000"/>
                <w:kern w:val="0"/>
                <w:sz w:val="20"/>
                <w:szCs w:val="20"/>
                <w:u w:val="none"/>
                <w:lang w:val="en-US" w:eastAsia="zh-CN" w:bidi="ar"/>
              </w:rPr>
              <w:t>4.44</w:t>
            </w:r>
          </w:p>
        </w:tc>
        <w:tc>
          <w:tcPr>
            <w:tcW w:w="1563"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
              </w:rPr>
            </w:pPr>
            <w:r>
              <w:rPr>
                <w:rFonts w:hint="eastAsia" w:ascii="Times New Roman" w:hAnsi="Times New Roman" w:eastAsia="宋体" w:cs="Times New Roman"/>
                <w:i w:val="0"/>
                <w:iCs w:val="0"/>
                <w:snapToGrid w:val="0"/>
                <w:color w:val="000000"/>
                <w:kern w:val="0"/>
                <w:sz w:val="20"/>
                <w:szCs w:val="20"/>
                <w:u w:val="none"/>
                <w:lang w:val="en-US" w:eastAsia="zh-CN" w:bidi="ar"/>
              </w:rPr>
              <w:t>1508.49</w:t>
            </w:r>
          </w:p>
        </w:tc>
        <w:tc>
          <w:tcPr>
            <w:tcW w:w="1029"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
              </w:rPr>
            </w:pPr>
            <w:r>
              <w:rPr>
                <w:rFonts w:hint="default" w:ascii="Times New Roman" w:hAnsi="Times New Roman" w:eastAsia="宋体" w:cs="Times New Roman"/>
                <w:i w:val="0"/>
                <w:iCs w:val="0"/>
                <w:snapToGrid w:val="0"/>
                <w:color w:val="000000"/>
                <w:kern w:val="0"/>
                <w:sz w:val="20"/>
                <w:szCs w:val="20"/>
                <w:u w:val="none"/>
                <w:lang w:val="en-US" w:eastAsia="zh-CN" w:bidi="ar"/>
              </w:rPr>
              <w:t>0.</w:t>
            </w:r>
            <w:r>
              <w:rPr>
                <w:rFonts w:hint="eastAsia" w:ascii="Times New Roman" w:hAnsi="Times New Roman" w:eastAsia="宋体" w:cs="Times New Roman"/>
                <w:i w:val="0"/>
                <w:iCs w:val="0"/>
                <w:snapToGrid w:val="0"/>
                <w:color w:val="000000"/>
                <w:kern w:val="0"/>
                <w:sz w:val="20"/>
                <w:szCs w:val="20"/>
                <w:u w:val="none"/>
                <w:lang w:val="en-US" w:eastAsia="zh-CN" w:bidi="ar"/>
              </w:rPr>
              <w:t>8</w:t>
            </w:r>
          </w:p>
        </w:tc>
        <w:tc>
          <w:tcPr>
            <w:tcW w:w="1545" w:type="dxa"/>
            <w:vAlign w:val="center"/>
          </w:tcPr>
          <w:p>
            <w:pPr>
              <w:keepNext w:val="0"/>
              <w:keepLines w:val="0"/>
              <w:widowControl/>
              <w:suppressLineNumbers w:val="0"/>
              <w:jc w:val="center"/>
              <w:textAlignment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4.67</w:t>
            </w:r>
          </w:p>
        </w:tc>
        <w:tc>
          <w:tcPr>
            <w:tcW w:w="840" w:type="pct"/>
            <w:vAlign w:val="top"/>
          </w:tcPr>
          <w:p>
            <w:pPr>
              <w:spacing w:before="101"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1589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16" w:type="pct"/>
            <w:vAlign w:val="top"/>
          </w:tcPr>
          <w:p>
            <w:pPr>
              <w:spacing w:before="92" w:line="195" w:lineRule="auto"/>
              <w:ind w:left="290"/>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3</w:t>
            </w:r>
          </w:p>
        </w:tc>
        <w:tc>
          <w:tcPr>
            <w:tcW w:w="816" w:type="pct"/>
            <w:vAlign w:val="top"/>
          </w:tcPr>
          <w:p>
            <w:pPr>
              <w:spacing w:before="51"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rPr>
              <w:t>屠宰</w:t>
            </w:r>
            <w:r>
              <w:rPr>
                <w:rFonts w:hint="default" w:ascii="Times New Roman" w:hAnsi="Times New Roman" w:eastAsia="宋体" w:cs="Times New Roman"/>
                <w:spacing w:val="8"/>
                <w:sz w:val="20"/>
                <w:szCs w:val="20"/>
                <w:lang w:val="en-US" w:eastAsia="zh-CN"/>
              </w:rPr>
              <w:t>用水</w:t>
            </w:r>
          </w:p>
        </w:tc>
        <w:tc>
          <w:tcPr>
            <w:tcW w:w="813" w:type="pct"/>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lang w:val="en-US"/>
              </w:rPr>
            </w:pPr>
            <w:r>
              <w:rPr>
                <w:rFonts w:hint="default" w:ascii="Times New Roman" w:hAnsi="Times New Roman" w:eastAsia="宋体" w:cs="Times New Roman"/>
                <w:i w:val="0"/>
                <w:iCs w:val="0"/>
                <w:snapToGrid w:val="0"/>
                <w:color w:val="000000"/>
                <w:kern w:val="0"/>
                <w:sz w:val="20"/>
                <w:szCs w:val="20"/>
                <w:u w:val="none"/>
                <w:lang w:val="en-US" w:eastAsia="zh-CN" w:bidi="ar"/>
              </w:rPr>
              <w:t>266.2</w:t>
            </w:r>
          </w:p>
        </w:tc>
        <w:tc>
          <w:tcPr>
            <w:tcW w:w="1563"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
              </w:rPr>
            </w:pPr>
            <w:r>
              <w:rPr>
                <w:rFonts w:hint="eastAsia" w:ascii="Times New Roman" w:hAnsi="Times New Roman" w:eastAsia="宋体" w:cs="Times New Roman"/>
                <w:i w:val="0"/>
                <w:iCs w:val="0"/>
                <w:snapToGrid w:val="0"/>
                <w:color w:val="000000"/>
                <w:kern w:val="0"/>
                <w:sz w:val="20"/>
                <w:szCs w:val="20"/>
                <w:u w:val="none"/>
                <w:lang w:val="en-US" w:eastAsia="zh-CN" w:bidi="ar"/>
              </w:rPr>
              <w:t>90509.4</w:t>
            </w:r>
          </w:p>
        </w:tc>
        <w:tc>
          <w:tcPr>
            <w:tcW w:w="1029"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r>
              <w:rPr>
                <w:rFonts w:hint="eastAsia" w:ascii="Times New Roman" w:hAnsi="Times New Roman" w:eastAsia="宋体" w:cs="Times New Roman"/>
                <w:i w:val="0"/>
                <w:iCs w:val="0"/>
                <w:snapToGrid w:val="0"/>
                <w:color w:val="000000"/>
                <w:kern w:val="0"/>
                <w:sz w:val="20"/>
                <w:szCs w:val="20"/>
                <w:u w:val="none"/>
                <w:lang w:val="en-US" w:eastAsia="zh-CN" w:bidi="ar"/>
              </w:rPr>
              <w:t>8</w:t>
            </w:r>
          </w:p>
        </w:tc>
        <w:tc>
          <w:tcPr>
            <w:tcW w:w="826" w:type="pct"/>
            <w:vAlign w:val="top"/>
          </w:tcPr>
          <w:p>
            <w:pPr>
              <w:spacing w:before="95"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212.96</w:t>
            </w:r>
          </w:p>
        </w:tc>
        <w:tc>
          <w:tcPr>
            <w:tcW w:w="840" w:type="pct"/>
            <w:vAlign w:val="top"/>
          </w:tcPr>
          <w:p>
            <w:pPr>
              <w:spacing w:before="95"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72407.52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316" w:type="pct"/>
            <w:vAlign w:val="top"/>
          </w:tcPr>
          <w:p>
            <w:pPr>
              <w:spacing w:before="92" w:line="195" w:lineRule="auto"/>
              <w:ind w:left="285"/>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1"/>
                <w:sz w:val="20"/>
                <w:szCs w:val="20"/>
                <w:highlight w:val="none"/>
              </w:rPr>
              <w:t>4</w:t>
            </w:r>
          </w:p>
        </w:tc>
        <w:tc>
          <w:tcPr>
            <w:tcW w:w="816" w:type="pct"/>
            <w:vAlign w:val="top"/>
          </w:tcPr>
          <w:p>
            <w:pPr>
              <w:spacing w:before="51"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rPr>
              <w:t>锅炉</w:t>
            </w:r>
            <w:r>
              <w:rPr>
                <w:rFonts w:hint="default" w:ascii="Times New Roman" w:hAnsi="Times New Roman" w:eastAsia="宋体" w:cs="Times New Roman"/>
                <w:spacing w:val="8"/>
                <w:sz w:val="20"/>
                <w:szCs w:val="20"/>
                <w:lang w:val="en-US" w:eastAsia="zh-CN"/>
              </w:rPr>
              <w:t>用水</w:t>
            </w:r>
          </w:p>
        </w:tc>
        <w:tc>
          <w:tcPr>
            <w:tcW w:w="1520"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lang w:val="en-US"/>
              </w:rPr>
            </w:pPr>
            <w:r>
              <w:rPr>
                <w:rFonts w:hint="eastAsia" w:ascii="Times New Roman" w:hAnsi="Times New Roman" w:eastAsia="宋体" w:cs="Times New Roman"/>
                <w:i w:val="0"/>
                <w:iCs w:val="0"/>
                <w:snapToGrid w:val="0"/>
                <w:color w:val="000000"/>
                <w:kern w:val="0"/>
                <w:sz w:val="20"/>
                <w:szCs w:val="20"/>
                <w:u w:val="none"/>
                <w:lang w:val="en-US" w:eastAsia="zh-CN" w:bidi="ar"/>
              </w:rPr>
              <w:t>12.4</w:t>
            </w:r>
          </w:p>
        </w:tc>
        <w:tc>
          <w:tcPr>
            <w:tcW w:w="1563"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
              </w:rPr>
            </w:pPr>
            <w:r>
              <w:rPr>
                <w:rFonts w:hint="eastAsia" w:ascii="Times New Roman" w:hAnsi="Times New Roman" w:eastAsia="宋体" w:cs="Times New Roman"/>
                <w:i w:val="0"/>
                <w:iCs w:val="0"/>
                <w:snapToGrid w:val="0"/>
                <w:color w:val="000000"/>
                <w:kern w:val="0"/>
                <w:sz w:val="20"/>
                <w:szCs w:val="20"/>
                <w:u w:val="none"/>
                <w:lang w:val="en-US" w:eastAsia="zh-CN" w:bidi="ar"/>
              </w:rPr>
              <w:t>4212.1</w:t>
            </w:r>
          </w:p>
        </w:tc>
        <w:tc>
          <w:tcPr>
            <w:tcW w:w="1029"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rPr>
            </w:pPr>
            <w:r>
              <w:rPr>
                <w:rFonts w:hint="eastAsia" w:ascii="Times New Roman" w:hAnsi="Times New Roman" w:eastAsia="宋体" w:cs="Times New Roman"/>
                <w:i w:val="0"/>
                <w:iCs w:val="0"/>
                <w:snapToGrid w:val="0"/>
                <w:color w:val="000000"/>
                <w:kern w:val="0"/>
                <w:sz w:val="20"/>
                <w:szCs w:val="20"/>
                <w:u w:val="none"/>
                <w:lang w:val="en-US" w:eastAsia="zh-CN" w:bidi="ar"/>
              </w:rPr>
              <w:t>/</w:t>
            </w:r>
          </w:p>
        </w:tc>
        <w:tc>
          <w:tcPr>
            <w:tcW w:w="826" w:type="pct"/>
            <w:vAlign w:val="top"/>
          </w:tcPr>
          <w:p>
            <w:pPr>
              <w:spacing w:before="94"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pacing w:val="2"/>
                <w:sz w:val="20"/>
                <w:szCs w:val="20"/>
                <w:highlight w:val="none"/>
                <w:lang w:val="en-US" w:eastAsia="zh-CN"/>
              </w:rPr>
              <w:t>0.14</w:t>
            </w:r>
          </w:p>
        </w:tc>
        <w:tc>
          <w:tcPr>
            <w:tcW w:w="840" w:type="pct"/>
            <w:vAlign w:val="top"/>
          </w:tcPr>
          <w:p>
            <w:pPr>
              <w:spacing w:before="94"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pacing w:val="-1"/>
                <w:sz w:val="20"/>
                <w:szCs w:val="20"/>
                <w:highlight w:val="none"/>
                <w:lang w:val="en-US" w:eastAsia="zh-CN"/>
              </w:rPr>
              <w:t>47.88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16" w:type="pct"/>
            <w:vAlign w:val="top"/>
          </w:tcPr>
          <w:p>
            <w:pPr>
              <w:spacing w:before="96" w:line="192" w:lineRule="auto"/>
              <w:ind w:left="292"/>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5</w:t>
            </w:r>
          </w:p>
        </w:tc>
        <w:tc>
          <w:tcPr>
            <w:tcW w:w="816" w:type="pct"/>
            <w:vAlign w:val="top"/>
          </w:tcPr>
          <w:p>
            <w:pPr>
              <w:spacing w:before="52"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rPr>
              <w:t>车辆冲洗</w:t>
            </w:r>
            <w:r>
              <w:rPr>
                <w:rFonts w:hint="default" w:ascii="Times New Roman" w:hAnsi="Times New Roman" w:eastAsia="宋体" w:cs="Times New Roman"/>
                <w:spacing w:val="8"/>
                <w:sz w:val="20"/>
                <w:szCs w:val="20"/>
                <w:lang w:val="en-US" w:eastAsia="zh-CN"/>
              </w:rPr>
              <w:t>用水</w:t>
            </w:r>
          </w:p>
        </w:tc>
        <w:tc>
          <w:tcPr>
            <w:tcW w:w="1519"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lang w:val="en-US"/>
              </w:rPr>
            </w:pPr>
            <w:r>
              <w:rPr>
                <w:rFonts w:hint="default" w:ascii="Times New Roman" w:hAnsi="Times New Roman" w:eastAsia="宋体" w:cs="Times New Roman"/>
                <w:i w:val="0"/>
                <w:iCs w:val="0"/>
                <w:snapToGrid w:val="0"/>
                <w:color w:val="000000"/>
                <w:kern w:val="0"/>
                <w:sz w:val="20"/>
                <w:szCs w:val="20"/>
                <w:u w:val="none"/>
                <w:lang w:val="en-US" w:eastAsia="zh-CN" w:bidi="ar"/>
              </w:rPr>
              <w:t>0.78</w:t>
            </w:r>
          </w:p>
        </w:tc>
        <w:tc>
          <w:tcPr>
            <w:tcW w:w="1562"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
              </w:rPr>
            </w:pPr>
            <w:r>
              <w:rPr>
                <w:rFonts w:hint="default" w:ascii="Times New Roman" w:hAnsi="Times New Roman" w:eastAsia="宋体" w:cs="Times New Roman"/>
                <w:i w:val="0"/>
                <w:iCs w:val="0"/>
                <w:snapToGrid w:val="0"/>
                <w:color w:val="000000"/>
                <w:kern w:val="0"/>
                <w:sz w:val="20"/>
                <w:szCs w:val="20"/>
                <w:u w:val="none"/>
                <w:lang w:val="en-US" w:eastAsia="zh-CN" w:bidi="ar"/>
              </w:rPr>
              <w:t>264</w:t>
            </w:r>
          </w:p>
        </w:tc>
        <w:tc>
          <w:tcPr>
            <w:tcW w:w="1028"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lang w:val="en-US"/>
              </w:rPr>
            </w:pPr>
            <w:r>
              <w:rPr>
                <w:rFonts w:hint="default" w:ascii="Times New Roman" w:hAnsi="Times New Roman" w:eastAsia="宋体" w:cs="Times New Roman"/>
                <w:i w:val="0"/>
                <w:iCs w:val="0"/>
                <w:snapToGrid w:val="0"/>
                <w:color w:val="000000"/>
                <w:kern w:val="0"/>
                <w:sz w:val="20"/>
                <w:szCs w:val="20"/>
                <w:u w:val="none"/>
                <w:lang w:val="en-US" w:eastAsia="zh-CN" w:bidi="ar"/>
              </w:rPr>
              <w:t>0.</w:t>
            </w:r>
            <w:r>
              <w:rPr>
                <w:rFonts w:hint="eastAsia" w:ascii="Times New Roman" w:hAnsi="Times New Roman" w:eastAsia="宋体" w:cs="Times New Roman"/>
                <w:i w:val="0"/>
                <w:iCs w:val="0"/>
                <w:snapToGrid w:val="0"/>
                <w:color w:val="000000"/>
                <w:kern w:val="0"/>
                <w:sz w:val="20"/>
                <w:szCs w:val="20"/>
                <w:u w:val="none"/>
                <w:lang w:val="en-US" w:eastAsia="zh-CN" w:bidi="ar"/>
              </w:rPr>
              <w:t>8</w:t>
            </w:r>
          </w:p>
        </w:tc>
        <w:tc>
          <w:tcPr>
            <w:tcW w:w="1544"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i w:val="0"/>
                <w:iCs w:val="0"/>
                <w:snapToGrid w:val="0"/>
                <w:color w:val="000000"/>
                <w:kern w:val="0"/>
                <w:sz w:val="20"/>
                <w:szCs w:val="20"/>
                <w:u w:val="none"/>
                <w:lang w:val="en-US" w:eastAsia="zh-CN" w:bidi="ar"/>
              </w:rPr>
              <w:t>0.62</w:t>
            </w:r>
          </w:p>
        </w:tc>
        <w:tc>
          <w:tcPr>
            <w:tcW w:w="1570" w:type="dxa"/>
            <w:vAlign w:val="center"/>
          </w:tcPr>
          <w:p>
            <w:pPr>
              <w:keepNext w:val="0"/>
              <w:keepLines w:val="0"/>
              <w:widowControl/>
              <w:suppressLineNumbers w:val="0"/>
              <w:jc w:val="center"/>
              <w:textAlignment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211.2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1132" w:type="pct"/>
            <w:gridSpan w:val="2"/>
            <w:vAlign w:val="top"/>
          </w:tcPr>
          <w:p>
            <w:pPr>
              <w:spacing w:before="60" w:line="229" w:lineRule="auto"/>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合计</w:t>
            </w:r>
          </w:p>
        </w:tc>
        <w:tc>
          <w:tcPr>
            <w:tcW w:w="1519"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i w:val="0"/>
                <w:iCs w:val="0"/>
                <w:snapToGrid w:val="0"/>
                <w:color w:val="000000"/>
                <w:kern w:val="0"/>
                <w:sz w:val="20"/>
                <w:szCs w:val="20"/>
                <w:u w:val="none"/>
                <w:lang w:val="en-US" w:eastAsia="zh-CN" w:bidi="ar"/>
              </w:rPr>
              <w:t>283.82</w:t>
            </w:r>
          </w:p>
        </w:tc>
        <w:tc>
          <w:tcPr>
            <w:tcW w:w="1562" w:type="dxa"/>
            <w:vAlign w:val="center"/>
          </w:tcPr>
          <w:p>
            <w:pPr>
              <w:keepNext w:val="0"/>
              <w:keepLines w:val="0"/>
              <w:widowControl/>
              <w:suppressLineNumbers w:val="0"/>
              <w:jc w:val="center"/>
              <w:textAlignment w:val="center"/>
              <w:rPr>
                <w:rFonts w:hint="default" w:ascii="Times New Roman" w:hAnsi="Times New Roman" w:eastAsia="Times New Roman" w:cs="Times New Roman"/>
                <w:spacing w:val="1"/>
                <w:sz w:val="20"/>
                <w:szCs w:val="20"/>
                <w:highlight w:val="none"/>
              </w:rPr>
            </w:pPr>
            <w:r>
              <w:rPr>
                <w:rFonts w:hint="default" w:ascii="Times New Roman" w:hAnsi="Times New Roman" w:eastAsia="宋体" w:cs="Times New Roman"/>
                <w:i w:val="0"/>
                <w:iCs w:val="0"/>
                <w:snapToGrid w:val="0"/>
                <w:color w:val="000000"/>
                <w:kern w:val="0"/>
                <w:sz w:val="20"/>
                <w:szCs w:val="20"/>
                <w:u w:val="none"/>
                <w:lang w:val="en-US" w:eastAsia="zh-CN" w:bidi="ar"/>
              </w:rPr>
              <w:t>96493.99</w:t>
            </w:r>
          </w:p>
        </w:tc>
        <w:tc>
          <w:tcPr>
            <w:tcW w:w="1028" w:type="dxa"/>
            <w:vAlign w:val="center"/>
          </w:tcPr>
          <w:p>
            <w:pPr>
              <w:jc w:val="center"/>
              <w:rPr>
                <w:rFonts w:hint="default" w:ascii="Times New Roman" w:hAnsi="Times New Roman" w:eastAsia="Times New Roman" w:cs="Times New Roman"/>
                <w:sz w:val="20"/>
                <w:szCs w:val="20"/>
                <w:highlight w:val="none"/>
              </w:rPr>
            </w:pPr>
          </w:p>
        </w:tc>
        <w:tc>
          <w:tcPr>
            <w:tcW w:w="1544"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i w:val="0"/>
                <w:iCs w:val="0"/>
                <w:snapToGrid w:val="0"/>
                <w:color w:val="000000"/>
                <w:kern w:val="0"/>
                <w:sz w:val="20"/>
                <w:szCs w:val="20"/>
                <w:u w:val="none"/>
                <w:lang w:val="en-US" w:eastAsia="zh-CN" w:bidi="ar"/>
              </w:rPr>
              <w:t>218.39</w:t>
            </w:r>
          </w:p>
        </w:tc>
        <w:tc>
          <w:tcPr>
            <w:tcW w:w="1570"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i w:val="0"/>
                <w:iCs w:val="0"/>
                <w:snapToGrid w:val="0"/>
                <w:color w:val="000000"/>
                <w:kern w:val="0"/>
                <w:sz w:val="20"/>
                <w:szCs w:val="20"/>
                <w:u w:val="none"/>
                <w:lang w:val="en-US" w:eastAsia="zh-CN" w:bidi="ar"/>
              </w:rPr>
              <w:t>74255.6</w:t>
            </w:r>
          </w:p>
        </w:tc>
      </w:tr>
    </w:tbl>
    <w:p>
      <w:pPr>
        <w:spacing w:before="78" w:line="219" w:lineRule="auto"/>
        <w:ind w:left="13"/>
        <w:rPr>
          <w:rFonts w:hint="default" w:ascii="Times New Roman" w:hAnsi="Times New Roman" w:cs="Times New Roman"/>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spacing w:val="5"/>
          <w:position w:val="20"/>
          <w:sz w:val="20"/>
          <w:szCs w:val="20"/>
          <w:highlight w:val="none"/>
          <w14:textOutline w14:w="3795" w14:cap="sq" w14:cmpd="sng">
            <w14:solidFill>
              <w14:srgbClr w14:val="000000"/>
            </w14:solidFill>
            <w14:prstDash w14:val="solid"/>
            <w14:bevel/>
          </w14:textOutline>
        </w:rPr>
      </w:pPr>
      <w:r>
        <w:rPr>
          <w:rFonts w:hint="default" w:ascii="Times New Roman" w:hAnsi="Times New Roman" w:eastAsia="宋体" w:cs="Times New Roman"/>
          <w:spacing w:val="5"/>
          <w:position w:val="20"/>
          <w:sz w:val="20"/>
          <w:szCs w:val="20"/>
          <w:highlight w:val="none"/>
          <w14:textOutline w14:w="3795" w14:cap="sq" w14:cmpd="sng">
            <w14:solidFill>
              <w14:srgbClr w14:val="000000"/>
            </w14:solidFill>
            <w14:prstDash w14:val="solid"/>
            <w14:bevel/>
          </w14:textOutline>
        </w:rPr>
        <w:object>
          <v:shape id="_x0000_i1027" o:spt="75" type="#_x0000_t75" style="height:342.75pt;width:402pt;" o:ole="t" filled="f" o:preferrelative="t" stroked="f" coordsize="21600,21600">
            <v:path/>
            <v:fill on="f" focussize="0,0"/>
            <v:stroke on="f"/>
            <v:imagedata r:id="rId38" o:title=""/>
            <o:lock v:ext="edit" aspectratio="f"/>
            <w10:wrap type="none"/>
            <w10:anchorlock/>
          </v:shape>
          <o:OLEObject Type="Embed" ProgID="Visio.Drawing.11" ShapeID="_x0000_i1027" DrawAspect="Content" ObjectID="_1468075727" r:id="rId37">
            <o:LockedField>false</o:LockedField>
          </o:OLEObject>
        </w:objec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z w:val="20"/>
          <w:szCs w:val="20"/>
          <w:highlight w:val="none"/>
        </w:rPr>
      </w:pPr>
      <w:r>
        <w:rPr>
          <w:rFonts w:hint="default" w:ascii="Times New Roman" w:hAnsi="Times New Roman" w:eastAsia="宋体" w:cs="Times New Roman"/>
          <w:spacing w:val="5"/>
          <w:position w:val="20"/>
          <w:sz w:val="20"/>
          <w:szCs w:val="20"/>
          <w:highlight w:val="none"/>
          <w14:textOutline w14:w="3795" w14:cap="sq" w14:cmpd="sng">
            <w14:solidFill>
              <w14:srgbClr w14:val="000000"/>
            </w14:solidFill>
            <w14:prstDash w14:val="solid"/>
            <w14:bevel/>
          </w14:textOutline>
        </w:rPr>
        <w:t>图</w:t>
      </w:r>
      <w:r>
        <w:rPr>
          <w:rFonts w:hint="default" w:ascii="Times New Roman" w:hAnsi="Times New Roman" w:eastAsia="宋体" w:cs="Times New Roman"/>
          <w:spacing w:val="-43"/>
          <w:position w:val="20"/>
          <w:sz w:val="20"/>
          <w:szCs w:val="20"/>
          <w:highlight w:val="none"/>
        </w:rPr>
        <w:t xml:space="preserve"> </w:t>
      </w:r>
      <w:r>
        <w:rPr>
          <w:rFonts w:hint="default" w:ascii="Times New Roman" w:hAnsi="Times New Roman" w:eastAsia="Times New Roman" w:cs="Times New Roman"/>
          <w:b/>
          <w:bCs/>
          <w:spacing w:val="5"/>
          <w:position w:val="20"/>
          <w:sz w:val="20"/>
          <w:szCs w:val="20"/>
          <w:highlight w:val="none"/>
        </w:rPr>
        <w:t>3</w:t>
      </w:r>
      <w:r>
        <w:rPr>
          <w:rFonts w:hint="eastAsia" w:ascii="Times New Roman" w:hAnsi="Times New Roman" w:eastAsia="宋体" w:cs="Times New Roman"/>
          <w:b/>
          <w:bCs/>
          <w:spacing w:val="5"/>
          <w:position w:val="20"/>
          <w:sz w:val="20"/>
          <w:szCs w:val="20"/>
          <w:highlight w:val="none"/>
          <w:lang w:val="en-US" w:eastAsia="zh-CN"/>
        </w:rPr>
        <w:t>-</w:t>
      </w:r>
      <w:r>
        <w:rPr>
          <w:rFonts w:hint="default" w:ascii="Times New Roman" w:hAnsi="Times New Roman" w:eastAsia="宋体" w:cs="Times New Roman"/>
          <w:b/>
          <w:bCs/>
          <w:spacing w:val="5"/>
          <w:position w:val="20"/>
          <w:sz w:val="20"/>
          <w:szCs w:val="20"/>
          <w:highlight w:val="none"/>
          <w:lang w:val="en-US" w:eastAsia="zh-CN"/>
        </w:rPr>
        <w:t>6</w:t>
      </w:r>
      <w:r>
        <w:rPr>
          <w:rFonts w:hint="default" w:ascii="Times New Roman" w:hAnsi="Times New Roman" w:eastAsia="Times New Roman" w:cs="Times New Roman"/>
          <w:b/>
          <w:bCs/>
          <w:spacing w:val="5"/>
          <w:position w:val="20"/>
          <w:sz w:val="20"/>
          <w:szCs w:val="20"/>
          <w:highlight w:val="none"/>
        </w:rPr>
        <w:t>-</w:t>
      </w:r>
      <w:r>
        <w:rPr>
          <w:rFonts w:hint="default" w:ascii="Times New Roman" w:hAnsi="Times New Roman" w:eastAsia="宋体" w:cs="Times New Roman"/>
          <w:b/>
          <w:bCs/>
          <w:spacing w:val="5"/>
          <w:position w:val="20"/>
          <w:sz w:val="20"/>
          <w:szCs w:val="20"/>
          <w:highlight w:val="none"/>
          <w:lang w:val="en-US" w:eastAsia="zh-CN"/>
        </w:rPr>
        <w:t>4</w:t>
      </w:r>
      <w:r>
        <w:rPr>
          <w:rFonts w:hint="default" w:ascii="Times New Roman" w:hAnsi="Times New Roman" w:eastAsia="Times New Roman" w:cs="Times New Roman"/>
          <w:b/>
          <w:bCs/>
          <w:spacing w:val="5"/>
          <w:position w:val="20"/>
          <w:sz w:val="20"/>
          <w:szCs w:val="20"/>
          <w:highlight w:val="none"/>
        </w:rPr>
        <w:t xml:space="preserve">  </w:t>
      </w:r>
      <w:r>
        <w:rPr>
          <w:rFonts w:hint="eastAsia" w:ascii="Times New Roman" w:hAnsi="Times New Roman" w:eastAsia="宋体" w:cs="Times New Roman"/>
          <w:spacing w:val="5"/>
          <w:position w:val="20"/>
          <w:sz w:val="20"/>
          <w:szCs w:val="20"/>
          <w:highlight w:val="none"/>
          <w:lang w:val="en-US" w:eastAsia="zh-CN"/>
          <w14:textOutline w14:w="3795" w14:cap="sq" w14:cmpd="sng">
            <w14:solidFill>
              <w14:srgbClr w14:val="000000"/>
            </w14:solidFill>
            <w14:prstDash w14:val="solid"/>
            <w14:bevel/>
          </w14:textOutline>
        </w:rPr>
        <w:t>改扩建</w:t>
      </w:r>
      <w:r>
        <w:rPr>
          <w:rFonts w:hint="default" w:ascii="Times New Roman" w:hAnsi="Times New Roman" w:eastAsia="宋体" w:cs="Times New Roman"/>
          <w:spacing w:val="5"/>
          <w:position w:val="20"/>
          <w:sz w:val="20"/>
          <w:szCs w:val="20"/>
          <w:highlight w:val="none"/>
          <w14:textOutline w14:w="3795" w14:cap="sq" w14:cmpd="sng">
            <w14:solidFill>
              <w14:srgbClr w14:val="000000"/>
            </w14:solidFill>
            <w14:prstDash w14:val="solid"/>
            <w14:bevel/>
          </w14:textOutline>
        </w:rPr>
        <w:t>项目水平衡图</w:t>
      </w:r>
      <w:r>
        <w:rPr>
          <w:rFonts w:hint="default" w:ascii="Times New Roman" w:hAnsi="Times New Roman" w:eastAsia="宋体" w:cs="Times New Roman"/>
          <w:spacing w:val="5"/>
          <w:position w:val="20"/>
          <w:sz w:val="20"/>
          <w:szCs w:val="20"/>
          <w:highlight w:val="none"/>
        </w:rPr>
        <w:t xml:space="preserve"> </w:t>
      </w:r>
      <w:r>
        <w:rPr>
          <w:rFonts w:hint="default" w:ascii="Times New Roman" w:hAnsi="Times New Roman" w:eastAsia="Times New Roman" w:cs="Times New Roman"/>
          <w:b/>
          <w:bCs/>
          <w:spacing w:val="5"/>
          <w:position w:val="20"/>
          <w:sz w:val="20"/>
          <w:szCs w:val="20"/>
          <w:highlight w:val="none"/>
        </w:rPr>
        <w:t>m</w:t>
      </w:r>
      <w:r>
        <w:rPr>
          <w:rFonts w:hint="default" w:ascii="Times New Roman" w:hAnsi="Times New Roman" w:eastAsia="Times New Roman" w:cs="Times New Roman"/>
          <w:b/>
          <w:bCs/>
          <w:spacing w:val="5"/>
          <w:position w:val="26"/>
          <w:sz w:val="13"/>
          <w:szCs w:val="13"/>
          <w:highlight w:val="none"/>
        </w:rPr>
        <w:t>3</w:t>
      </w:r>
      <w:r>
        <w:rPr>
          <w:rFonts w:hint="default" w:ascii="Times New Roman" w:hAnsi="Times New Roman" w:eastAsia="Times New Roman" w:cs="Times New Roman"/>
          <w:b/>
          <w:bCs/>
          <w:spacing w:val="5"/>
          <w:position w:val="20"/>
          <w:sz w:val="20"/>
          <w:szCs w:val="20"/>
          <w:highlight w:val="none"/>
        </w:rPr>
        <w:t>/d</w:t>
      </w:r>
    </w:p>
    <w:p>
      <w:pPr>
        <w:spacing w:line="219" w:lineRule="auto"/>
        <w:ind w:left="504"/>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1"/>
          <w:sz w:val="24"/>
          <w:szCs w:val="24"/>
          <w:highlight w:val="none"/>
          <w14:textOutline w14:w="4358" w14:cap="sq" w14:cmpd="sng">
            <w14:solidFill>
              <w14:srgbClr w14:val="000000"/>
            </w14:solidFill>
            <w14:prstDash w14:val="solid"/>
            <w14:bevel/>
          </w14:textOutline>
        </w:rPr>
        <w:t>（</w:t>
      </w:r>
      <w:r>
        <w:rPr>
          <w:rFonts w:hint="default" w:ascii="Times New Roman" w:hAnsi="Times New Roman" w:eastAsia="Times New Roman" w:cs="Times New Roman"/>
          <w:b/>
          <w:bCs/>
          <w:spacing w:val="-1"/>
          <w:sz w:val="24"/>
          <w:szCs w:val="24"/>
          <w:highlight w:val="none"/>
        </w:rPr>
        <w:t>2</w:t>
      </w:r>
      <w:r>
        <w:rPr>
          <w:rFonts w:hint="default" w:ascii="Times New Roman" w:hAnsi="Times New Roman" w:eastAsia="宋体" w:cs="Times New Roman"/>
          <w:spacing w:val="-1"/>
          <w:sz w:val="24"/>
          <w:szCs w:val="24"/>
          <w:highlight w:val="none"/>
          <w14:textOutline w14:w="4358" w14:cap="sq" w14:cmpd="sng">
            <w14:solidFill>
              <w14:srgbClr w14:val="000000"/>
            </w14:solidFill>
            <w14:prstDash w14:val="solid"/>
            <w14:bevel/>
          </w14:textOutline>
        </w:rPr>
        <w:t>）改扩建后全厂水平衡</w:t>
      </w:r>
    </w:p>
    <w:p>
      <w:pPr>
        <w:spacing w:before="126" w:line="227"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8"/>
          <w:sz w:val="20"/>
          <w:szCs w:val="20"/>
          <w:highlight w:val="none"/>
        </w:rPr>
        <w:t xml:space="preserve"> </w:t>
      </w:r>
      <w:r>
        <w:rPr>
          <w:rFonts w:hint="default" w:ascii="Times New Roman" w:hAnsi="Times New Roman" w:eastAsia="Times New Roman" w:cs="Times New Roman"/>
          <w:b/>
          <w:bCs/>
          <w:spacing w:val="8"/>
          <w:sz w:val="20"/>
          <w:szCs w:val="20"/>
          <w:highlight w:val="none"/>
        </w:rPr>
        <w:t>3</w:t>
      </w:r>
      <w:r>
        <w:rPr>
          <w:rFonts w:hint="eastAsia" w:ascii="Times New Roman" w:hAnsi="Times New Roman" w:eastAsia="宋体" w:cs="Times New Roman"/>
          <w:b/>
          <w:bCs/>
          <w:spacing w:val="8"/>
          <w:sz w:val="20"/>
          <w:szCs w:val="20"/>
          <w:highlight w:val="none"/>
          <w:lang w:val="en-US" w:eastAsia="zh-CN"/>
        </w:rPr>
        <w:t>-</w:t>
      </w:r>
      <w:r>
        <w:rPr>
          <w:rFonts w:hint="default" w:ascii="Times New Roman" w:hAnsi="Times New Roman" w:eastAsia="宋体" w:cs="Times New Roman"/>
          <w:b/>
          <w:bCs/>
          <w:spacing w:val="8"/>
          <w:sz w:val="20"/>
          <w:szCs w:val="20"/>
          <w:highlight w:val="none"/>
          <w:lang w:val="en-US" w:eastAsia="zh-CN"/>
        </w:rPr>
        <w:t>6</w:t>
      </w:r>
      <w:r>
        <w:rPr>
          <w:rFonts w:hint="default" w:ascii="Times New Roman" w:hAnsi="Times New Roman" w:eastAsia="Times New Roman" w:cs="Times New Roman"/>
          <w:b/>
          <w:bCs/>
          <w:spacing w:val="8"/>
          <w:sz w:val="20"/>
          <w:szCs w:val="20"/>
          <w:highlight w:val="none"/>
        </w:rPr>
        <w:t>-</w:t>
      </w:r>
      <w:r>
        <w:rPr>
          <w:rFonts w:hint="default" w:ascii="Times New Roman" w:hAnsi="Times New Roman" w:eastAsia="宋体" w:cs="Times New Roman"/>
          <w:b/>
          <w:bCs/>
          <w:spacing w:val="8"/>
          <w:sz w:val="20"/>
          <w:szCs w:val="20"/>
          <w:highlight w:val="none"/>
          <w:lang w:val="en-US" w:eastAsia="zh-CN"/>
        </w:rPr>
        <w:t>6</w:t>
      </w:r>
      <w:r>
        <w:rPr>
          <w:rFonts w:hint="default" w:ascii="Times New Roman" w:hAnsi="Times New Roman" w:eastAsia="Times New Roman" w:cs="Times New Roman"/>
          <w:b/>
          <w:bCs/>
          <w:spacing w:val="3"/>
          <w:sz w:val="20"/>
          <w:szCs w:val="20"/>
          <w:highlight w:val="none"/>
        </w:rPr>
        <w:t xml:space="preserve">    </w:t>
      </w:r>
      <w:r>
        <w:rPr>
          <w:rFonts w:hint="default" w:ascii="Times New Roman" w:hAnsi="Times New Roman" w:eastAsia="宋体" w:cs="Times New Roman"/>
          <w:spacing w:val="8"/>
          <w:sz w:val="20"/>
          <w:szCs w:val="20"/>
          <w:highlight w:val="none"/>
          <w14:textOutline w14:w="3795" w14:cap="sq" w14:cmpd="sng">
            <w14:solidFill>
              <w14:srgbClr w14:val="000000"/>
            </w14:solidFill>
            <w14:prstDash w14:val="solid"/>
            <w14:bevel/>
          </w14:textOutline>
        </w:rPr>
        <w:t>本项目建成后全厂用水、排水情况统计表</w:t>
      </w:r>
    </w:p>
    <w:tbl>
      <w:tblPr>
        <w:tblStyle w:val="34"/>
        <w:tblW w:w="5023"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91"/>
        <w:gridCol w:w="1526"/>
        <w:gridCol w:w="1520"/>
        <w:gridCol w:w="1563"/>
        <w:gridCol w:w="1029"/>
        <w:gridCol w:w="1545"/>
        <w:gridCol w:w="157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3" w:hRule="atLeast"/>
        </w:trPr>
        <w:tc>
          <w:tcPr>
            <w:tcW w:w="316" w:type="pct"/>
            <w:vAlign w:val="top"/>
          </w:tcPr>
          <w:p>
            <w:pPr>
              <w:spacing w:before="156" w:line="229"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14:textOutline w14:w="3795" w14:cap="sq" w14:cmpd="sng">
                  <w14:solidFill>
                    <w14:srgbClr w14:val="000000"/>
                  </w14:solidFill>
                  <w14:prstDash w14:val="solid"/>
                  <w14:bevel/>
                </w14:textOutline>
              </w:rPr>
              <w:t>序号</w:t>
            </w:r>
          </w:p>
        </w:tc>
        <w:tc>
          <w:tcPr>
            <w:tcW w:w="816" w:type="pct"/>
            <w:vAlign w:val="top"/>
          </w:tcPr>
          <w:p>
            <w:pPr>
              <w:spacing w:before="156"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15"/>
                <w:sz w:val="20"/>
                <w:szCs w:val="20"/>
                <w:highlight w:val="none"/>
                <w14:textOutline w14:w="3795" w14:cap="sq" w14:cmpd="sng">
                  <w14:solidFill>
                    <w14:srgbClr w14:val="000000"/>
                  </w14:solidFill>
                  <w14:prstDash w14:val="solid"/>
                  <w14:bevel/>
                </w14:textOutline>
              </w:rPr>
              <w:t>用水环节</w:t>
            </w:r>
          </w:p>
        </w:tc>
        <w:tc>
          <w:tcPr>
            <w:tcW w:w="813" w:type="pct"/>
            <w:vAlign w:val="top"/>
          </w:tcPr>
          <w:p>
            <w:pPr>
              <w:spacing w:before="156" w:line="221"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日用水量</w:t>
            </w:r>
            <w:r>
              <w:rPr>
                <w:rFonts w:hint="default" w:ascii="Times New Roman" w:hAnsi="Times New Roman" w:eastAsia="Times New Roman" w:cs="Times New Roman"/>
                <w:b/>
                <w:bCs/>
                <w:spacing w:val="6"/>
                <w:sz w:val="20"/>
                <w:szCs w:val="20"/>
                <w:highlight w:val="none"/>
              </w:rPr>
              <w:t>(m</w:t>
            </w:r>
            <w:r>
              <w:rPr>
                <w:rFonts w:hint="default" w:ascii="Times New Roman" w:hAnsi="Times New Roman" w:eastAsia="Times New Roman" w:cs="Times New Roman"/>
                <w:b/>
                <w:bCs/>
                <w:spacing w:val="6"/>
                <w:position w:val="6"/>
                <w:sz w:val="13"/>
                <w:szCs w:val="13"/>
                <w:highlight w:val="none"/>
              </w:rPr>
              <w:t>3</w:t>
            </w:r>
            <w:r>
              <w:rPr>
                <w:rFonts w:hint="default" w:ascii="Times New Roman" w:hAnsi="Times New Roman" w:eastAsia="Times New Roman" w:cs="Times New Roman"/>
                <w:b/>
                <w:bCs/>
                <w:spacing w:val="6"/>
                <w:sz w:val="20"/>
                <w:szCs w:val="20"/>
                <w:highlight w:val="none"/>
              </w:rPr>
              <w:t>/d)</w:t>
            </w:r>
          </w:p>
        </w:tc>
        <w:tc>
          <w:tcPr>
            <w:tcW w:w="836" w:type="pct"/>
            <w:vAlign w:val="top"/>
          </w:tcPr>
          <w:p>
            <w:pPr>
              <w:spacing w:before="156" w:line="221" w:lineRule="auto"/>
              <w:ind w:left="149"/>
              <w:jc w:val="both"/>
              <w:rPr>
                <w:rFonts w:hint="default" w:ascii="Times New Roman" w:hAnsi="Times New Roman" w:eastAsia="宋体" w:cs="Times New Roman"/>
                <w:spacing w:val="6"/>
                <w:sz w:val="20"/>
                <w:szCs w:val="20"/>
                <w:highlight w:val="none"/>
                <w:lang w:val="en-US" w:eastAsia="zh-CN"/>
                <w14:textOutline w14:w="3795" w14:cap="sq" w14:cmpd="sng">
                  <w14:solidFill>
                    <w14:srgbClr w14:val="000000"/>
                  </w14:solidFill>
                  <w14:prstDash w14:val="solid"/>
                  <w14:bevel/>
                </w14:textOutline>
              </w:rPr>
            </w:pPr>
            <w:r>
              <w:rPr>
                <w:rFonts w:hint="default" w:ascii="Times New Roman" w:hAnsi="Times New Roman" w:eastAsia="宋体" w:cs="Times New Roman"/>
                <w:spacing w:val="6"/>
                <w:sz w:val="20"/>
                <w:szCs w:val="20"/>
                <w:highlight w:val="none"/>
                <w:lang w:val="en-US" w:eastAsia="zh-CN"/>
                <w14:textOutline w14:w="3795" w14:cap="sq" w14:cmpd="sng">
                  <w14:solidFill>
                    <w14:srgbClr w14:val="000000"/>
                  </w14:solidFill>
                  <w14:prstDash w14:val="solid"/>
                  <w14:bevel/>
                </w14:textOutline>
              </w:rPr>
              <w:t>年用水量</w:t>
            </w:r>
            <w:r>
              <w:rPr>
                <w:rFonts w:hint="default" w:ascii="Times New Roman" w:hAnsi="Times New Roman" w:eastAsia="Times New Roman" w:cs="Times New Roman"/>
                <w:b/>
                <w:bCs/>
                <w:spacing w:val="6"/>
                <w:sz w:val="20"/>
                <w:szCs w:val="20"/>
                <w:highlight w:val="none"/>
              </w:rPr>
              <w:t>(m</w:t>
            </w:r>
            <w:r>
              <w:rPr>
                <w:rFonts w:hint="default" w:ascii="Times New Roman" w:hAnsi="Times New Roman" w:eastAsia="Times New Roman" w:cs="Times New Roman"/>
                <w:b/>
                <w:bCs/>
                <w:spacing w:val="6"/>
                <w:position w:val="6"/>
                <w:sz w:val="13"/>
                <w:szCs w:val="13"/>
                <w:highlight w:val="none"/>
              </w:rPr>
              <w:t>3</w:t>
            </w:r>
            <w:r>
              <w:rPr>
                <w:rFonts w:hint="default" w:ascii="Times New Roman" w:hAnsi="Times New Roman" w:eastAsia="Times New Roman" w:cs="Times New Roman"/>
                <w:b/>
                <w:bCs/>
                <w:spacing w:val="6"/>
                <w:sz w:val="20"/>
                <w:szCs w:val="20"/>
                <w:highlight w:val="none"/>
              </w:rPr>
              <w:t>/a)</w:t>
            </w:r>
          </w:p>
        </w:tc>
        <w:tc>
          <w:tcPr>
            <w:tcW w:w="550" w:type="pct"/>
            <w:vAlign w:val="top"/>
          </w:tcPr>
          <w:p>
            <w:pPr>
              <w:spacing w:before="156"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15"/>
                <w:sz w:val="20"/>
                <w:szCs w:val="20"/>
                <w:highlight w:val="none"/>
                <w14:textOutline w14:w="3795" w14:cap="sq" w14:cmpd="sng">
                  <w14:solidFill>
                    <w14:srgbClr w14:val="000000"/>
                  </w14:solidFill>
                  <w14:prstDash w14:val="solid"/>
                  <w14:bevel/>
                </w14:textOutline>
              </w:rPr>
              <w:t>产污系数</w:t>
            </w:r>
          </w:p>
        </w:tc>
        <w:tc>
          <w:tcPr>
            <w:tcW w:w="826" w:type="pct"/>
            <w:vAlign w:val="top"/>
          </w:tcPr>
          <w:p>
            <w:pPr>
              <w:spacing w:before="156" w:line="221"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日排水量</w:t>
            </w:r>
            <w:r>
              <w:rPr>
                <w:rFonts w:hint="default" w:ascii="Times New Roman" w:hAnsi="Times New Roman" w:eastAsia="Times New Roman" w:cs="Times New Roman"/>
                <w:b/>
                <w:bCs/>
                <w:spacing w:val="6"/>
                <w:sz w:val="20"/>
                <w:szCs w:val="20"/>
                <w:highlight w:val="none"/>
              </w:rPr>
              <w:t>(m</w:t>
            </w:r>
            <w:r>
              <w:rPr>
                <w:rFonts w:hint="default" w:ascii="Times New Roman" w:hAnsi="Times New Roman" w:eastAsia="Times New Roman" w:cs="Times New Roman"/>
                <w:b/>
                <w:bCs/>
                <w:spacing w:val="6"/>
                <w:position w:val="6"/>
                <w:sz w:val="13"/>
                <w:szCs w:val="13"/>
                <w:highlight w:val="none"/>
              </w:rPr>
              <w:t>3</w:t>
            </w:r>
            <w:r>
              <w:rPr>
                <w:rFonts w:hint="default" w:ascii="Times New Roman" w:hAnsi="Times New Roman" w:eastAsia="Times New Roman" w:cs="Times New Roman"/>
                <w:b/>
                <w:bCs/>
                <w:spacing w:val="6"/>
                <w:sz w:val="20"/>
                <w:szCs w:val="20"/>
                <w:highlight w:val="none"/>
              </w:rPr>
              <w:t>/d)</w:t>
            </w:r>
          </w:p>
        </w:tc>
        <w:tc>
          <w:tcPr>
            <w:tcW w:w="840" w:type="pct"/>
            <w:vAlign w:val="top"/>
          </w:tcPr>
          <w:p>
            <w:pPr>
              <w:spacing w:before="156" w:line="221"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年排水量</w:t>
            </w:r>
            <w:r>
              <w:rPr>
                <w:rFonts w:hint="default" w:ascii="Times New Roman" w:hAnsi="Times New Roman" w:eastAsia="Times New Roman" w:cs="Times New Roman"/>
                <w:b/>
                <w:bCs/>
                <w:spacing w:val="6"/>
                <w:sz w:val="20"/>
                <w:szCs w:val="20"/>
                <w:highlight w:val="none"/>
              </w:rPr>
              <w:t>(m</w:t>
            </w:r>
            <w:r>
              <w:rPr>
                <w:rFonts w:hint="default" w:ascii="Times New Roman" w:hAnsi="Times New Roman" w:eastAsia="Times New Roman" w:cs="Times New Roman"/>
                <w:b/>
                <w:bCs/>
                <w:spacing w:val="6"/>
                <w:position w:val="6"/>
                <w:sz w:val="13"/>
                <w:szCs w:val="13"/>
                <w:highlight w:val="none"/>
              </w:rPr>
              <w:t>3</w:t>
            </w:r>
            <w:r>
              <w:rPr>
                <w:rFonts w:hint="default" w:ascii="Times New Roman" w:hAnsi="Times New Roman" w:eastAsia="Times New Roman" w:cs="Times New Roman"/>
                <w:b/>
                <w:bCs/>
                <w:spacing w:val="6"/>
                <w:sz w:val="20"/>
                <w:szCs w:val="20"/>
                <w:highlight w:val="none"/>
              </w:rPr>
              <w:t>/a)</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16" w:type="pct"/>
            <w:vAlign w:val="top"/>
          </w:tcPr>
          <w:p>
            <w:pPr>
              <w:spacing w:before="135" w:line="195" w:lineRule="auto"/>
              <w:ind w:left="305"/>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1</w:t>
            </w:r>
          </w:p>
        </w:tc>
        <w:tc>
          <w:tcPr>
            <w:tcW w:w="816" w:type="pct"/>
            <w:vAlign w:val="top"/>
          </w:tcPr>
          <w:p>
            <w:pPr>
              <w:spacing w:before="52"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rPr>
              <w:t>生活用水</w:t>
            </w:r>
          </w:p>
        </w:tc>
        <w:tc>
          <w:tcPr>
            <w:tcW w:w="1520"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i w:val="0"/>
                <w:iCs w:val="0"/>
                <w:snapToGrid w:val="0"/>
                <w:color w:val="000000"/>
                <w:kern w:val="0"/>
                <w:sz w:val="20"/>
                <w:szCs w:val="20"/>
                <w:u w:val="none"/>
                <w:lang w:val="en-US" w:eastAsia="zh-CN" w:bidi="ar"/>
              </w:rPr>
              <w:t>4.6</w:t>
            </w:r>
          </w:p>
        </w:tc>
        <w:tc>
          <w:tcPr>
            <w:tcW w:w="1563"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
              </w:rPr>
            </w:pPr>
            <w:r>
              <w:rPr>
                <w:rFonts w:hint="default" w:ascii="Times New Roman" w:hAnsi="Times New Roman" w:eastAsia="宋体" w:cs="Times New Roman"/>
                <w:i w:val="0"/>
                <w:iCs w:val="0"/>
                <w:snapToGrid w:val="0"/>
                <w:color w:val="000000"/>
                <w:kern w:val="0"/>
                <w:sz w:val="20"/>
                <w:szCs w:val="20"/>
                <w:u w:val="none"/>
                <w:lang w:val="en-US" w:eastAsia="zh-CN" w:bidi="ar"/>
              </w:rPr>
              <w:t>1564</w:t>
            </w:r>
          </w:p>
        </w:tc>
        <w:tc>
          <w:tcPr>
            <w:tcW w:w="1029" w:type="dxa"/>
            <w:vAlign w:val="center"/>
          </w:tcPr>
          <w:p>
            <w:pPr>
              <w:keepNext w:val="0"/>
              <w:keepLines w:val="0"/>
              <w:widowControl/>
              <w:suppressLineNumbers w:val="0"/>
              <w:jc w:val="center"/>
              <w:textAlignment w:val="center"/>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w:t>
            </w:r>
          </w:p>
        </w:tc>
        <w:tc>
          <w:tcPr>
            <w:tcW w:w="1545" w:type="dxa"/>
            <w:vAlign w:val="center"/>
          </w:tcPr>
          <w:p>
            <w:pPr>
              <w:keepNext w:val="0"/>
              <w:keepLines w:val="0"/>
              <w:widowControl/>
              <w:suppressLineNumbers w:val="0"/>
              <w:jc w:val="center"/>
              <w:textAlignment w:val="center"/>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3.68</w:t>
            </w:r>
          </w:p>
        </w:tc>
        <w:tc>
          <w:tcPr>
            <w:tcW w:w="1571" w:type="dxa"/>
            <w:vAlign w:val="center"/>
          </w:tcPr>
          <w:p>
            <w:pPr>
              <w:keepNext w:val="0"/>
              <w:keepLines w:val="0"/>
              <w:widowControl/>
              <w:suppressLineNumbers w:val="0"/>
              <w:jc w:val="center"/>
              <w:textAlignment w:val="center"/>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1251.2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7" w:hRule="atLeast"/>
        </w:trPr>
        <w:tc>
          <w:tcPr>
            <w:tcW w:w="316" w:type="pct"/>
            <w:vAlign w:val="top"/>
          </w:tcPr>
          <w:p>
            <w:pPr>
              <w:spacing w:before="98" w:line="195" w:lineRule="auto"/>
              <w:ind w:left="286"/>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2</w:t>
            </w:r>
          </w:p>
        </w:tc>
        <w:tc>
          <w:tcPr>
            <w:tcW w:w="816" w:type="pct"/>
            <w:vAlign w:val="top"/>
          </w:tcPr>
          <w:p>
            <w:pPr>
              <w:spacing w:before="51"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rPr>
              <w:t>待宰圈冲洗</w:t>
            </w:r>
            <w:r>
              <w:rPr>
                <w:rFonts w:hint="default" w:ascii="Times New Roman" w:hAnsi="Times New Roman" w:eastAsia="宋体" w:cs="Times New Roman"/>
                <w:spacing w:val="8"/>
                <w:sz w:val="20"/>
                <w:szCs w:val="20"/>
                <w:lang w:val="en-US" w:eastAsia="zh-CN"/>
              </w:rPr>
              <w:t>用水</w:t>
            </w:r>
          </w:p>
        </w:tc>
        <w:tc>
          <w:tcPr>
            <w:tcW w:w="1520"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
              </w:rPr>
            </w:pPr>
            <w:r>
              <w:rPr>
                <w:rFonts w:hint="default" w:ascii="Times New Roman" w:hAnsi="Times New Roman" w:eastAsia="宋体" w:cs="Times New Roman"/>
                <w:i w:val="0"/>
                <w:iCs w:val="0"/>
                <w:snapToGrid w:val="0"/>
                <w:color w:val="000000"/>
                <w:kern w:val="0"/>
                <w:sz w:val="20"/>
                <w:szCs w:val="20"/>
                <w:u w:val="none"/>
                <w:lang w:val="en-US" w:eastAsia="zh-CN" w:bidi="ar"/>
              </w:rPr>
              <w:t>4.7</w:t>
            </w:r>
          </w:p>
        </w:tc>
        <w:tc>
          <w:tcPr>
            <w:tcW w:w="1563"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
              </w:rPr>
            </w:pPr>
            <w:r>
              <w:rPr>
                <w:rFonts w:hint="default" w:ascii="Times New Roman" w:hAnsi="Times New Roman" w:eastAsia="宋体" w:cs="Times New Roman"/>
                <w:i w:val="0"/>
                <w:iCs w:val="0"/>
                <w:snapToGrid w:val="0"/>
                <w:color w:val="000000"/>
                <w:kern w:val="0"/>
                <w:sz w:val="20"/>
                <w:szCs w:val="20"/>
                <w:u w:val="none"/>
                <w:lang w:val="en-US" w:eastAsia="zh-CN" w:bidi="ar"/>
              </w:rPr>
              <w:t>1598.4</w:t>
            </w:r>
          </w:p>
        </w:tc>
        <w:tc>
          <w:tcPr>
            <w:tcW w:w="1029"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
              </w:rPr>
            </w:pPr>
            <w:r>
              <w:rPr>
                <w:rFonts w:hint="default" w:ascii="Times New Roman" w:hAnsi="Times New Roman" w:eastAsia="宋体" w:cs="Times New Roman"/>
                <w:i w:val="0"/>
                <w:iCs w:val="0"/>
                <w:snapToGrid w:val="0"/>
                <w:color w:val="000000"/>
                <w:kern w:val="0"/>
                <w:sz w:val="20"/>
                <w:szCs w:val="20"/>
                <w:u w:val="none"/>
                <w:lang w:val="en-US" w:eastAsia="zh-CN" w:bidi="ar"/>
              </w:rPr>
              <w:t>0.8</w:t>
            </w:r>
          </w:p>
        </w:tc>
        <w:tc>
          <w:tcPr>
            <w:tcW w:w="1545" w:type="dxa"/>
            <w:vAlign w:val="center"/>
          </w:tcPr>
          <w:p>
            <w:pPr>
              <w:keepNext w:val="0"/>
              <w:keepLines w:val="0"/>
              <w:widowControl/>
              <w:suppressLineNumbers w:val="0"/>
              <w:jc w:val="center"/>
              <w:textAlignment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4.95</w:t>
            </w:r>
          </w:p>
        </w:tc>
        <w:tc>
          <w:tcPr>
            <w:tcW w:w="1571" w:type="dxa"/>
            <w:vAlign w:val="center"/>
          </w:tcPr>
          <w:p>
            <w:pPr>
              <w:keepNext w:val="0"/>
              <w:keepLines w:val="0"/>
              <w:widowControl/>
              <w:suppressLineNumbers w:val="0"/>
              <w:jc w:val="center"/>
              <w:textAlignment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1683.71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16" w:type="pct"/>
            <w:vAlign w:val="top"/>
          </w:tcPr>
          <w:p>
            <w:pPr>
              <w:spacing w:before="92" w:line="195" w:lineRule="auto"/>
              <w:ind w:left="290"/>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3</w:t>
            </w:r>
          </w:p>
        </w:tc>
        <w:tc>
          <w:tcPr>
            <w:tcW w:w="816" w:type="pct"/>
            <w:vAlign w:val="top"/>
          </w:tcPr>
          <w:p>
            <w:pPr>
              <w:spacing w:before="51"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rPr>
              <w:t>屠宰</w:t>
            </w:r>
            <w:r>
              <w:rPr>
                <w:rFonts w:hint="default" w:ascii="Times New Roman" w:hAnsi="Times New Roman" w:eastAsia="宋体" w:cs="Times New Roman"/>
                <w:spacing w:val="8"/>
                <w:sz w:val="20"/>
                <w:szCs w:val="20"/>
                <w:lang w:val="en-US" w:eastAsia="zh-CN"/>
              </w:rPr>
              <w:t>用水</w:t>
            </w:r>
          </w:p>
        </w:tc>
        <w:tc>
          <w:tcPr>
            <w:tcW w:w="1520"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lang w:val="en-US"/>
              </w:rPr>
            </w:pPr>
            <w:r>
              <w:rPr>
                <w:rFonts w:hint="default" w:ascii="Times New Roman" w:hAnsi="Times New Roman" w:eastAsia="宋体" w:cs="Times New Roman"/>
                <w:i w:val="0"/>
                <w:iCs w:val="0"/>
                <w:snapToGrid w:val="0"/>
                <w:color w:val="000000"/>
                <w:kern w:val="0"/>
                <w:sz w:val="20"/>
                <w:szCs w:val="20"/>
                <w:u w:val="none"/>
                <w:lang w:val="en-US" w:eastAsia="zh-CN" w:bidi="ar"/>
              </w:rPr>
              <w:t>282.07</w:t>
            </w:r>
          </w:p>
        </w:tc>
        <w:tc>
          <w:tcPr>
            <w:tcW w:w="1563"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
              </w:rPr>
            </w:pPr>
            <w:r>
              <w:rPr>
                <w:rFonts w:hint="default" w:ascii="Times New Roman" w:hAnsi="Times New Roman" w:eastAsia="宋体" w:cs="Times New Roman"/>
                <w:i w:val="0"/>
                <w:iCs w:val="0"/>
                <w:snapToGrid w:val="0"/>
                <w:color w:val="000000"/>
                <w:kern w:val="0"/>
                <w:sz w:val="20"/>
                <w:szCs w:val="20"/>
                <w:u w:val="none"/>
                <w:lang w:val="en-US" w:eastAsia="zh-CN" w:bidi="ar"/>
              </w:rPr>
              <w:t>95904</w:t>
            </w:r>
          </w:p>
        </w:tc>
        <w:tc>
          <w:tcPr>
            <w:tcW w:w="1029"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i w:val="0"/>
                <w:iCs w:val="0"/>
                <w:snapToGrid w:val="0"/>
                <w:color w:val="000000"/>
                <w:kern w:val="0"/>
                <w:sz w:val="20"/>
                <w:szCs w:val="20"/>
                <w:u w:val="none"/>
                <w:lang w:val="en-US" w:eastAsia="zh-CN" w:bidi="ar"/>
              </w:rPr>
              <w:t>0.8</w:t>
            </w:r>
          </w:p>
        </w:tc>
        <w:tc>
          <w:tcPr>
            <w:tcW w:w="1545" w:type="dxa"/>
            <w:vAlign w:val="center"/>
          </w:tcPr>
          <w:p>
            <w:pPr>
              <w:keepNext w:val="0"/>
              <w:keepLines w:val="0"/>
              <w:widowControl/>
              <w:suppressLineNumbers w:val="0"/>
              <w:jc w:val="center"/>
              <w:textAlignment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225.65</w:t>
            </w:r>
          </w:p>
        </w:tc>
        <w:tc>
          <w:tcPr>
            <w:tcW w:w="1571" w:type="dxa"/>
            <w:vAlign w:val="center"/>
          </w:tcPr>
          <w:p>
            <w:pPr>
              <w:keepNext w:val="0"/>
              <w:keepLines w:val="0"/>
              <w:widowControl/>
              <w:suppressLineNumbers w:val="0"/>
              <w:jc w:val="center"/>
              <w:textAlignment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76723.2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316" w:type="pct"/>
            <w:vAlign w:val="top"/>
          </w:tcPr>
          <w:p>
            <w:pPr>
              <w:spacing w:before="92" w:line="195" w:lineRule="auto"/>
              <w:ind w:left="285"/>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1"/>
                <w:sz w:val="20"/>
                <w:szCs w:val="20"/>
                <w:highlight w:val="none"/>
              </w:rPr>
              <w:t>4</w:t>
            </w:r>
          </w:p>
        </w:tc>
        <w:tc>
          <w:tcPr>
            <w:tcW w:w="816" w:type="pct"/>
            <w:vAlign w:val="top"/>
          </w:tcPr>
          <w:p>
            <w:pPr>
              <w:spacing w:before="51"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rPr>
              <w:t>锅炉</w:t>
            </w:r>
            <w:r>
              <w:rPr>
                <w:rFonts w:hint="default" w:ascii="Times New Roman" w:hAnsi="Times New Roman" w:eastAsia="宋体" w:cs="Times New Roman"/>
                <w:spacing w:val="8"/>
                <w:sz w:val="20"/>
                <w:szCs w:val="20"/>
                <w:lang w:val="en-US" w:eastAsia="zh-CN"/>
              </w:rPr>
              <w:t>用水</w:t>
            </w:r>
          </w:p>
        </w:tc>
        <w:tc>
          <w:tcPr>
            <w:tcW w:w="1520"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lang w:val="en-US"/>
              </w:rPr>
            </w:pPr>
            <w:r>
              <w:rPr>
                <w:rFonts w:hint="default" w:ascii="Times New Roman" w:hAnsi="Times New Roman" w:eastAsia="宋体" w:cs="Times New Roman"/>
                <w:i w:val="0"/>
                <w:iCs w:val="0"/>
                <w:snapToGrid w:val="0"/>
                <w:color w:val="000000"/>
                <w:kern w:val="0"/>
                <w:sz w:val="20"/>
                <w:szCs w:val="20"/>
                <w:u w:val="none"/>
                <w:lang w:val="en-US" w:eastAsia="zh-CN" w:bidi="ar"/>
              </w:rPr>
              <w:t>13.1</w:t>
            </w:r>
          </w:p>
        </w:tc>
        <w:tc>
          <w:tcPr>
            <w:tcW w:w="1563"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
              </w:rPr>
            </w:pPr>
            <w:r>
              <w:rPr>
                <w:rFonts w:hint="default" w:ascii="Times New Roman" w:hAnsi="Times New Roman" w:eastAsia="宋体" w:cs="Times New Roman"/>
                <w:i w:val="0"/>
                <w:iCs w:val="0"/>
                <w:snapToGrid w:val="0"/>
                <w:color w:val="000000"/>
                <w:kern w:val="0"/>
                <w:sz w:val="20"/>
                <w:szCs w:val="20"/>
                <w:u w:val="none"/>
                <w:lang w:val="en-US" w:eastAsia="zh-CN" w:bidi="ar"/>
              </w:rPr>
              <w:t>4218.2</w:t>
            </w:r>
          </w:p>
        </w:tc>
        <w:tc>
          <w:tcPr>
            <w:tcW w:w="1029"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i w:val="0"/>
                <w:iCs w:val="0"/>
                <w:snapToGrid w:val="0"/>
                <w:color w:val="000000"/>
                <w:kern w:val="0"/>
                <w:sz w:val="20"/>
                <w:szCs w:val="20"/>
                <w:u w:val="none"/>
                <w:lang w:val="en-US" w:eastAsia="zh-CN" w:bidi="ar"/>
              </w:rPr>
              <w:t>/</w:t>
            </w:r>
          </w:p>
        </w:tc>
        <w:tc>
          <w:tcPr>
            <w:tcW w:w="1545" w:type="dxa"/>
            <w:vAlign w:val="center"/>
          </w:tcPr>
          <w:p>
            <w:pPr>
              <w:keepNext w:val="0"/>
              <w:keepLines w:val="0"/>
              <w:widowControl/>
              <w:suppressLineNumbers w:val="0"/>
              <w:jc w:val="center"/>
              <w:textAlignment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0.148</w:t>
            </w:r>
          </w:p>
        </w:tc>
        <w:tc>
          <w:tcPr>
            <w:tcW w:w="1571" w:type="dxa"/>
            <w:vAlign w:val="center"/>
          </w:tcPr>
          <w:p>
            <w:pPr>
              <w:keepNext w:val="0"/>
              <w:keepLines w:val="0"/>
              <w:widowControl/>
              <w:suppressLineNumbers w:val="0"/>
              <w:jc w:val="center"/>
              <w:textAlignment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50.58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16" w:type="pct"/>
            <w:vAlign w:val="top"/>
          </w:tcPr>
          <w:p>
            <w:pPr>
              <w:spacing w:before="96" w:line="192" w:lineRule="auto"/>
              <w:ind w:left="292"/>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5</w:t>
            </w:r>
          </w:p>
        </w:tc>
        <w:tc>
          <w:tcPr>
            <w:tcW w:w="816" w:type="pct"/>
            <w:vAlign w:val="top"/>
          </w:tcPr>
          <w:p>
            <w:pPr>
              <w:spacing w:before="52"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rPr>
              <w:t>车辆冲洗</w:t>
            </w:r>
            <w:r>
              <w:rPr>
                <w:rFonts w:hint="default" w:ascii="Times New Roman" w:hAnsi="Times New Roman" w:eastAsia="宋体" w:cs="Times New Roman"/>
                <w:spacing w:val="8"/>
                <w:sz w:val="20"/>
                <w:szCs w:val="20"/>
                <w:lang w:val="en-US" w:eastAsia="zh-CN"/>
              </w:rPr>
              <w:t>用水</w:t>
            </w:r>
          </w:p>
        </w:tc>
        <w:tc>
          <w:tcPr>
            <w:tcW w:w="1519"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lang w:val="en-US"/>
              </w:rPr>
            </w:pPr>
            <w:r>
              <w:rPr>
                <w:rFonts w:hint="default" w:ascii="Times New Roman" w:hAnsi="Times New Roman" w:eastAsia="宋体" w:cs="Times New Roman"/>
                <w:i w:val="0"/>
                <w:iCs w:val="0"/>
                <w:snapToGrid w:val="0"/>
                <w:color w:val="000000"/>
                <w:kern w:val="0"/>
                <w:sz w:val="20"/>
                <w:szCs w:val="20"/>
                <w:u w:val="none"/>
                <w:lang w:val="en-US" w:eastAsia="zh-CN" w:bidi="ar"/>
              </w:rPr>
              <w:t>0.83</w:t>
            </w:r>
          </w:p>
        </w:tc>
        <w:tc>
          <w:tcPr>
            <w:tcW w:w="1562"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
              </w:rPr>
            </w:pPr>
            <w:r>
              <w:rPr>
                <w:rFonts w:hint="default" w:ascii="Times New Roman" w:hAnsi="Times New Roman" w:eastAsia="宋体" w:cs="Times New Roman"/>
                <w:i w:val="0"/>
                <w:iCs w:val="0"/>
                <w:snapToGrid w:val="0"/>
                <w:color w:val="000000"/>
                <w:kern w:val="0"/>
                <w:sz w:val="20"/>
                <w:szCs w:val="20"/>
                <w:u w:val="none"/>
                <w:lang w:val="en-US" w:eastAsia="zh-CN" w:bidi="ar"/>
              </w:rPr>
              <w:t>280</w:t>
            </w:r>
          </w:p>
        </w:tc>
        <w:tc>
          <w:tcPr>
            <w:tcW w:w="1028"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lang w:val="en-US"/>
              </w:rPr>
            </w:pPr>
            <w:r>
              <w:rPr>
                <w:rFonts w:hint="default" w:ascii="Times New Roman" w:hAnsi="Times New Roman" w:eastAsia="宋体" w:cs="Times New Roman"/>
                <w:i w:val="0"/>
                <w:iCs w:val="0"/>
                <w:snapToGrid w:val="0"/>
                <w:color w:val="000000"/>
                <w:kern w:val="0"/>
                <w:sz w:val="20"/>
                <w:szCs w:val="20"/>
                <w:u w:val="none"/>
                <w:lang w:val="en-US" w:eastAsia="zh-CN" w:bidi="ar"/>
              </w:rPr>
              <w:t>0.8</w:t>
            </w:r>
          </w:p>
        </w:tc>
        <w:tc>
          <w:tcPr>
            <w:tcW w:w="1544"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i w:val="0"/>
                <w:iCs w:val="0"/>
                <w:snapToGrid w:val="0"/>
                <w:color w:val="000000"/>
                <w:kern w:val="0"/>
                <w:sz w:val="20"/>
                <w:szCs w:val="20"/>
                <w:u w:val="none"/>
                <w:lang w:val="en-US" w:eastAsia="zh-CN" w:bidi="ar"/>
              </w:rPr>
              <w:t>0.66</w:t>
            </w:r>
          </w:p>
        </w:tc>
        <w:tc>
          <w:tcPr>
            <w:tcW w:w="1570" w:type="dxa"/>
            <w:vAlign w:val="center"/>
          </w:tcPr>
          <w:p>
            <w:pPr>
              <w:keepNext w:val="0"/>
              <w:keepLines w:val="0"/>
              <w:widowControl/>
              <w:suppressLineNumbers w:val="0"/>
              <w:jc w:val="center"/>
              <w:textAlignment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i w:val="0"/>
                <w:iCs w:val="0"/>
                <w:snapToGrid w:val="0"/>
                <w:color w:val="000000"/>
                <w:kern w:val="0"/>
                <w:sz w:val="20"/>
                <w:szCs w:val="20"/>
                <w:u w:val="none"/>
                <w:lang w:val="en-US" w:eastAsia="zh-CN" w:bidi="ar"/>
              </w:rPr>
              <w:t>224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1132" w:type="pct"/>
            <w:gridSpan w:val="2"/>
            <w:vAlign w:val="top"/>
          </w:tcPr>
          <w:p>
            <w:pPr>
              <w:spacing w:before="60" w:line="229"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合计</w:t>
            </w:r>
          </w:p>
        </w:tc>
        <w:tc>
          <w:tcPr>
            <w:tcW w:w="1519"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i w:val="0"/>
                <w:iCs w:val="0"/>
                <w:snapToGrid w:val="0"/>
                <w:color w:val="000000"/>
                <w:kern w:val="0"/>
                <w:sz w:val="20"/>
                <w:szCs w:val="20"/>
                <w:u w:val="none"/>
                <w:lang w:val="en-US" w:eastAsia="zh-CN" w:bidi="ar"/>
              </w:rPr>
              <w:t>305.3</w:t>
            </w:r>
          </w:p>
        </w:tc>
        <w:tc>
          <w:tcPr>
            <w:tcW w:w="1562" w:type="dxa"/>
            <w:vAlign w:val="center"/>
          </w:tcPr>
          <w:p>
            <w:pPr>
              <w:keepNext w:val="0"/>
              <w:keepLines w:val="0"/>
              <w:widowControl/>
              <w:suppressLineNumbers w:val="0"/>
              <w:jc w:val="center"/>
              <w:textAlignment w:val="center"/>
              <w:rPr>
                <w:rFonts w:hint="default" w:ascii="Times New Roman" w:hAnsi="Times New Roman" w:eastAsia="Times New Roman" w:cs="Times New Roman"/>
                <w:spacing w:val="1"/>
                <w:sz w:val="20"/>
                <w:szCs w:val="20"/>
                <w:highlight w:val="none"/>
              </w:rPr>
            </w:pPr>
            <w:r>
              <w:rPr>
                <w:rFonts w:hint="default" w:ascii="Times New Roman" w:hAnsi="Times New Roman" w:eastAsia="宋体" w:cs="Times New Roman"/>
                <w:i w:val="0"/>
                <w:iCs w:val="0"/>
                <w:snapToGrid w:val="0"/>
                <w:color w:val="000000"/>
                <w:kern w:val="0"/>
                <w:sz w:val="20"/>
                <w:szCs w:val="20"/>
                <w:u w:val="none"/>
                <w:lang w:val="en-US" w:eastAsia="zh-CN" w:bidi="ar"/>
              </w:rPr>
              <w:t>103564.6</w:t>
            </w:r>
          </w:p>
        </w:tc>
        <w:tc>
          <w:tcPr>
            <w:tcW w:w="1028" w:type="dxa"/>
            <w:vAlign w:val="center"/>
          </w:tcPr>
          <w:p>
            <w:pPr>
              <w:jc w:val="center"/>
              <w:rPr>
                <w:rFonts w:hint="default" w:ascii="Times New Roman" w:hAnsi="Times New Roman" w:eastAsia="Times New Roman" w:cs="Times New Roman"/>
                <w:sz w:val="20"/>
                <w:szCs w:val="20"/>
                <w:highlight w:val="none"/>
              </w:rPr>
            </w:pPr>
          </w:p>
        </w:tc>
        <w:tc>
          <w:tcPr>
            <w:tcW w:w="1544"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lang w:val="en-US"/>
              </w:rPr>
            </w:pPr>
            <w:r>
              <w:rPr>
                <w:rFonts w:hint="default" w:ascii="Times New Roman" w:hAnsi="Times New Roman" w:eastAsia="宋体" w:cs="Times New Roman"/>
                <w:i w:val="0"/>
                <w:iCs w:val="0"/>
                <w:snapToGrid w:val="0"/>
                <w:color w:val="000000"/>
                <w:kern w:val="0"/>
                <w:sz w:val="20"/>
                <w:szCs w:val="20"/>
                <w:u w:val="none"/>
                <w:lang w:val="en-US" w:eastAsia="zh-CN" w:bidi="ar"/>
              </w:rPr>
              <w:t>235.0</w:t>
            </w:r>
            <w:r>
              <w:rPr>
                <w:rFonts w:hint="eastAsia" w:ascii="Times New Roman" w:hAnsi="Times New Roman" w:eastAsia="宋体" w:cs="Times New Roman"/>
                <w:i w:val="0"/>
                <w:iCs w:val="0"/>
                <w:snapToGrid w:val="0"/>
                <w:color w:val="000000"/>
                <w:kern w:val="0"/>
                <w:sz w:val="20"/>
                <w:szCs w:val="20"/>
                <w:u w:val="none"/>
                <w:lang w:val="en-US" w:eastAsia="zh-CN" w:bidi="ar"/>
              </w:rPr>
              <w:t>9</w:t>
            </w:r>
          </w:p>
        </w:tc>
        <w:tc>
          <w:tcPr>
            <w:tcW w:w="1570" w:type="dxa"/>
            <w:vAlign w:val="center"/>
          </w:tcPr>
          <w:p>
            <w:pPr>
              <w:keepNext w:val="0"/>
              <w:keepLines w:val="0"/>
              <w:widowControl/>
              <w:suppressLineNumbers w:val="0"/>
              <w:jc w:val="center"/>
              <w:textAlignment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i w:val="0"/>
                <w:iCs w:val="0"/>
                <w:snapToGrid w:val="0"/>
                <w:color w:val="000000"/>
                <w:kern w:val="0"/>
                <w:sz w:val="20"/>
                <w:szCs w:val="20"/>
                <w:u w:val="none"/>
                <w:lang w:val="en-US" w:eastAsia="zh-CN" w:bidi="ar"/>
              </w:rPr>
              <w:t>79932.69</w:t>
            </w:r>
          </w:p>
        </w:tc>
      </w:tr>
    </w:tbl>
    <w:p>
      <w:pPr>
        <w:spacing w:line="20" w:lineRule="exact"/>
        <w:rPr>
          <w:rFonts w:hint="default" w:ascii="Times New Roman" w:hAnsi="Times New Roman" w:cs="Times New Roman"/>
          <w:highlight w:val="none"/>
        </w:rPr>
      </w:pPr>
    </w:p>
    <w:p>
      <w:pPr>
        <w:spacing w:before="245" w:line="228" w:lineRule="auto"/>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pPr>
      <w:r>
        <w:rPr>
          <w:rFonts w:hint="default" w:ascii="Times New Roman" w:hAnsi="Times New Roman" w:eastAsia="宋体" w:cs="Times New Roman"/>
          <w:spacing w:val="5"/>
          <w:position w:val="20"/>
          <w:sz w:val="20"/>
          <w:szCs w:val="20"/>
          <w:highlight w:val="none"/>
          <w14:textOutline w14:w="3795" w14:cap="sq" w14:cmpd="sng">
            <w14:solidFill>
              <w14:srgbClr w14:val="000000"/>
            </w14:solidFill>
            <w14:prstDash w14:val="solid"/>
            <w14:bevel/>
          </w14:textOutline>
        </w:rPr>
        <w:object>
          <v:shape id="_x0000_i1028" o:spt="75" type="#_x0000_t75" style="height:404.25pt;width:402pt;" o:ole="t" filled="f" o:preferrelative="t" stroked="f" coordsize="21600,21600">
            <v:path/>
            <v:fill on="f" focussize="0,0"/>
            <v:stroke on="f"/>
            <v:imagedata r:id="rId40" o:title=""/>
            <o:lock v:ext="edit" aspectratio="f"/>
            <w10:wrap type="none"/>
            <w10:anchorlock/>
          </v:shape>
          <o:OLEObject Type="Embed" ProgID="Visio.Drawing.11" ShapeID="_x0000_i1028" DrawAspect="Content" ObjectID="_1468075728" r:id="rId39">
            <o:LockedField>false</o:LockedField>
          </o:OLEObject>
        </w:object>
      </w:r>
    </w:p>
    <w:p>
      <w:pPr>
        <w:spacing w:before="245" w:line="228" w:lineRule="auto"/>
        <w:ind w:left="2904"/>
        <w:rPr>
          <w:rFonts w:hint="default" w:ascii="Times New Roman" w:hAnsi="Times New Roman" w:eastAsia="Times New Roman" w:cs="Times New Roman"/>
          <w:sz w:val="20"/>
          <w:szCs w:val="20"/>
          <w:highlight w:val="none"/>
        </w:rPr>
      </w:pPr>
      <w: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t>图</w:t>
      </w:r>
      <w:r>
        <w:rPr>
          <w:rFonts w:hint="default" w:ascii="Times New Roman" w:hAnsi="Times New Roman" w:eastAsia="宋体" w:cs="Times New Roman"/>
          <w:spacing w:val="-24"/>
          <w:sz w:val="20"/>
          <w:szCs w:val="20"/>
          <w:highlight w:val="none"/>
        </w:rPr>
        <w:t xml:space="preserve"> </w:t>
      </w:r>
      <w:r>
        <w:rPr>
          <w:rFonts w:hint="default" w:ascii="Times New Roman" w:hAnsi="Times New Roman" w:eastAsia="Times New Roman" w:cs="Times New Roman"/>
          <w:b/>
          <w:bCs/>
          <w:spacing w:val="5"/>
          <w:sz w:val="20"/>
          <w:szCs w:val="20"/>
          <w:highlight w:val="none"/>
        </w:rPr>
        <w:t>3</w:t>
      </w:r>
      <w:r>
        <w:rPr>
          <w:rFonts w:hint="eastAsia" w:ascii="Times New Roman" w:hAnsi="Times New Roman" w:eastAsia="宋体" w:cs="Times New Roman"/>
          <w:b/>
          <w:bCs/>
          <w:spacing w:val="5"/>
          <w:sz w:val="20"/>
          <w:szCs w:val="20"/>
          <w:highlight w:val="none"/>
          <w:lang w:val="en-US" w:eastAsia="zh-CN"/>
        </w:rPr>
        <w:t>-</w:t>
      </w:r>
      <w:r>
        <w:rPr>
          <w:rFonts w:hint="default" w:ascii="Times New Roman" w:hAnsi="Times New Roman" w:eastAsia="宋体" w:cs="Times New Roman"/>
          <w:b/>
          <w:bCs/>
          <w:spacing w:val="5"/>
          <w:sz w:val="20"/>
          <w:szCs w:val="20"/>
          <w:highlight w:val="none"/>
          <w:lang w:val="en-US" w:eastAsia="zh-CN"/>
        </w:rPr>
        <w:t>6</w:t>
      </w:r>
      <w:r>
        <w:rPr>
          <w:rFonts w:hint="default" w:ascii="Times New Roman" w:hAnsi="Times New Roman" w:eastAsia="Times New Roman" w:cs="Times New Roman"/>
          <w:b/>
          <w:bCs/>
          <w:spacing w:val="5"/>
          <w:sz w:val="20"/>
          <w:szCs w:val="20"/>
          <w:highlight w:val="none"/>
        </w:rPr>
        <w:t>-</w:t>
      </w:r>
      <w:r>
        <w:rPr>
          <w:rFonts w:hint="default" w:ascii="Times New Roman" w:hAnsi="Times New Roman" w:eastAsia="宋体" w:cs="Times New Roman"/>
          <w:b/>
          <w:bCs/>
          <w:spacing w:val="5"/>
          <w:sz w:val="20"/>
          <w:szCs w:val="20"/>
          <w:highlight w:val="none"/>
          <w:lang w:val="en-US" w:eastAsia="zh-CN"/>
        </w:rPr>
        <w:t>5</w:t>
      </w:r>
      <w:r>
        <w:rPr>
          <w:rFonts w:hint="default" w:ascii="Times New Roman" w:hAnsi="Times New Roman" w:eastAsia="Times New Roman" w:cs="Times New Roman"/>
          <w:b/>
          <w:bCs/>
          <w:spacing w:val="5"/>
          <w:sz w:val="20"/>
          <w:szCs w:val="20"/>
          <w:highlight w:val="none"/>
        </w:rPr>
        <w:t xml:space="preserve">  </w:t>
      </w:r>
      <w:r>
        <w:rPr>
          <w:rFonts w:hint="default" w:ascii="Times New Roman" w:hAnsi="Times New Roman" w:eastAsia="宋体" w:cs="Times New Roman"/>
          <w:spacing w:val="5"/>
          <w:sz w:val="20"/>
          <w:szCs w:val="20"/>
          <w:highlight w:val="none"/>
          <w14:textOutline w14:w="3795" w14:cap="sq" w14:cmpd="sng">
            <w14:solidFill>
              <w14:srgbClr w14:val="000000"/>
            </w14:solidFill>
            <w14:prstDash w14:val="solid"/>
            <w14:bevel/>
          </w14:textOutline>
        </w:rPr>
        <w:t>改扩建后全厂水平衡图</w:t>
      </w:r>
      <w:r>
        <w:rPr>
          <w:rFonts w:hint="default" w:ascii="Times New Roman" w:hAnsi="Times New Roman" w:eastAsia="宋体" w:cs="Times New Roman"/>
          <w:spacing w:val="5"/>
          <w:sz w:val="20"/>
          <w:szCs w:val="20"/>
          <w:highlight w:val="none"/>
        </w:rPr>
        <w:t xml:space="preserve">  </w:t>
      </w:r>
      <w:r>
        <w:rPr>
          <w:rFonts w:hint="default" w:ascii="Times New Roman" w:hAnsi="Times New Roman" w:eastAsia="Times New Roman" w:cs="Times New Roman"/>
          <w:b/>
          <w:bCs/>
          <w:spacing w:val="5"/>
          <w:sz w:val="20"/>
          <w:szCs w:val="20"/>
          <w:highlight w:val="none"/>
        </w:rPr>
        <w:t>m</w:t>
      </w:r>
      <w:r>
        <w:rPr>
          <w:rFonts w:hint="default" w:ascii="Times New Roman" w:hAnsi="Times New Roman" w:eastAsia="Times New Roman" w:cs="Times New Roman"/>
          <w:b/>
          <w:bCs/>
          <w:spacing w:val="5"/>
          <w:position w:val="6"/>
          <w:sz w:val="13"/>
          <w:szCs w:val="13"/>
          <w:highlight w:val="none"/>
        </w:rPr>
        <w:t>3</w:t>
      </w:r>
      <w:r>
        <w:rPr>
          <w:rFonts w:hint="default" w:ascii="Times New Roman" w:hAnsi="Times New Roman" w:eastAsia="Times New Roman" w:cs="Times New Roman"/>
          <w:b/>
          <w:bCs/>
          <w:spacing w:val="5"/>
          <w:sz w:val="20"/>
          <w:szCs w:val="20"/>
          <w:highlight w:val="none"/>
        </w:rPr>
        <w:t>/d</w:t>
      </w:r>
    </w:p>
    <w:p>
      <w:pPr>
        <w:keepNext w:val="0"/>
        <w:keepLines w:val="0"/>
        <w:pageBreakBefore w:val="0"/>
        <w:wordWrap/>
        <w:overflowPunct/>
        <w:topLinePunct w:val="0"/>
        <w:bidi w:val="0"/>
        <w:spacing w:line="360" w:lineRule="auto"/>
        <w:ind w:left="0" w:firstLine="492" w:firstLineChars="200"/>
        <w:jc w:val="both"/>
        <w:outlineLvl w:val="1"/>
        <w:rPr>
          <w:rFonts w:hint="default" w:ascii="Times New Roman" w:hAnsi="Times New Roman" w:eastAsia="宋体" w:cs="Times New Roman"/>
          <w:sz w:val="24"/>
          <w:szCs w:val="24"/>
        </w:rPr>
      </w:pPr>
      <w:bookmarkStart w:id="193" w:name="_Toc6771"/>
      <w:bookmarkStart w:id="194" w:name="_Toc28361"/>
      <w:bookmarkStart w:id="195" w:name="_Toc25100"/>
      <w:r>
        <w:rPr>
          <w:rFonts w:hint="default" w:ascii="Times New Roman" w:hAnsi="Times New Roman" w:eastAsia="Times New Roman" w:cs="Times New Roman"/>
          <w:b/>
          <w:bCs/>
          <w:spacing w:val="3"/>
          <w:sz w:val="24"/>
          <w:szCs w:val="24"/>
        </w:rPr>
        <w:t>3.</w:t>
      </w:r>
      <w:r>
        <w:rPr>
          <w:rFonts w:hint="default" w:ascii="Times New Roman" w:hAnsi="Times New Roman" w:eastAsia="宋体" w:cs="Times New Roman"/>
          <w:b/>
          <w:bCs/>
          <w:spacing w:val="3"/>
          <w:sz w:val="24"/>
          <w:szCs w:val="24"/>
          <w:lang w:val="en-US" w:eastAsia="zh-CN"/>
        </w:rPr>
        <w:t>6</w:t>
      </w:r>
      <w:r>
        <w:rPr>
          <w:rFonts w:hint="default" w:ascii="Times New Roman" w:hAnsi="Times New Roman" w:eastAsia="Times New Roman" w:cs="Times New Roman"/>
          <w:b/>
          <w:bCs/>
          <w:spacing w:val="3"/>
          <w:sz w:val="24"/>
          <w:szCs w:val="24"/>
        </w:rPr>
        <w:t>.4</w:t>
      </w:r>
      <w:r>
        <w:rPr>
          <w:rFonts w:hint="default" w:ascii="Times New Roman" w:hAnsi="Times New Roman" w:eastAsia="Times New Roman" w:cs="Times New Roman"/>
          <w:b/>
          <w:bCs/>
          <w:spacing w:val="14"/>
          <w:sz w:val="24"/>
          <w:szCs w:val="24"/>
        </w:rPr>
        <w:t xml:space="preserve">  </w:t>
      </w:r>
      <w:r>
        <w:rPr>
          <w:rFonts w:hint="default" w:ascii="Times New Roman" w:hAnsi="Times New Roman" w:eastAsia="宋体" w:cs="Times New Roman"/>
          <w:spacing w:val="3"/>
          <w:sz w:val="24"/>
          <w:szCs w:val="24"/>
          <w14:textOutline w14:w="4358" w14:cap="sq" w14:cmpd="sng">
            <w14:solidFill>
              <w14:srgbClr w14:val="000000"/>
            </w14:solidFill>
            <w14:prstDash w14:val="solid"/>
            <w14:bevel/>
          </w14:textOutline>
        </w:rPr>
        <w:t>污染源</w:t>
      </w:r>
      <w:r>
        <w:rPr>
          <w:rFonts w:hint="default" w:ascii="Times New Roman" w:hAnsi="Times New Roman" w:eastAsia="宋体" w:cs="Times New Roman"/>
          <w:spacing w:val="3"/>
          <w:sz w:val="24"/>
          <w:szCs w:val="24"/>
          <w:lang w:val="en-US" w:eastAsia="zh-CN"/>
          <w14:textOutline w14:w="4358" w14:cap="sq" w14:cmpd="sng">
            <w14:solidFill>
              <w14:srgbClr w14:val="000000"/>
            </w14:solidFill>
            <w14:prstDash w14:val="solid"/>
            <w14:bevel/>
          </w14:textOutline>
        </w:rPr>
        <w:t>强</w:t>
      </w:r>
      <w:r>
        <w:rPr>
          <w:rFonts w:hint="default" w:ascii="Times New Roman" w:hAnsi="Times New Roman" w:eastAsia="宋体" w:cs="Times New Roman"/>
          <w:spacing w:val="3"/>
          <w:sz w:val="24"/>
          <w:szCs w:val="24"/>
          <w14:textOutline w14:w="4358" w14:cap="sq" w14:cmpd="sng">
            <w14:solidFill>
              <w14:srgbClr w14:val="000000"/>
            </w14:solidFill>
            <w14:prstDash w14:val="solid"/>
            <w14:bevel/>
          </w14:textOutline>
        </w:rPr>
        <w:t>分析</w:t>
      </w:r>
      <w:bookmarkEnd w:id="193"/>
      <w:bookmarkEnd w:id="194"/>
      <w:bookmarkEnd w:id="195"/>
    </w:p>
    <w:p>
      <w:pPr>
        <w:keepNext w:val="0"/>
        <w:keepLines w:val="0"/>
        <w:pageBreakBefore w:val="0"/>
        <w:wordWrap/>
        <w:overflowPunct/>
        <w:topLinePunct w:val="0"/>
        <w:bidi w:val="0"/>
        <w:spacing w:line="360" w:lineRule="auto"/>
        <w:ind w:left="0" w:leftChars="0" w:right="0" w:firstLine="420" w:firstLineChars="200"/>
        <w:jc w:val="both"/>
        <w:outlineLvl w:val="3"/>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HYPERLINK "3.3.4.1"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eastAsia="Times New Roman" w:cs="Times New Roman"/>
          <w:color w:val="000000" w:themeColor="text1"/>
          <w:spacing w:val="3"/>
          <w:sz w:val="24"/>
          <w:szCs w:val="24"/>
          <w14:textFill>
            <w14:solidFill>
              <w14:schemeClr w14:val="tx1"/>
            </w14:solidFill>
          </w14:textFill>
        </w:rPr>
        <w:t>3.</w:t>
      </w:r>
      <w:r>
        <w:rPr>
          <w:rFonts w:hint="default" w:ascii="Times New Roman" w:hAnsi="Times New Roman" w:eastAsia="宋体" w:cs="Times New Roman"/>
          <w:color w:val="000000" w:themeColor="text1"/>
          <w:spacing w:val="3"/>
          <w:sz w:val="24"/>
          <w:szCs w:val="24"/>
          <w:lang w:val="en-US" w:eastAsia="zh-CN"/>
          <w14:textFill>
            <w14:solidFill>
              <w14:schemeClr w14:val="tx1"/>
            </w14:solidFill>
          </w14:textFill>
        </w:rPr>
        <w:t>6</w:t>
      </w:r>
      <w:r>
        <w:rPr>
          <w:rFonts w:hint="default" w:ascii="Times New Roman" w:hAnsi="Times New Roman" w:eastAsia="Times New Roman" w:cs="Times New Roman"/>
          <w:color w:val="000000" w:themeColor="text1"/>
          <w:spacing w:val="3"/>
          <w:sz w:val="24"/>
          <w:szCs w:val="24"/>
          <w14:textFill>
            <w14:solidFill>
              <w14:schemeClr w14:val="tx1"/>
            </w14:solidFill>
          </w14:textFill>
        </w:rPr>
        <w:t>.4.1</w:t>
      </w:r>
      <w:r>
        <w:rPr>
          <w:rFonts w:hint="default" w:ascii="Times New Roman" w:hAnsi="Times New Roman" w:eastAsia="Times New Roman" w:cs="Times New Roman"/>
          <w:color w:val="000000" w:themeColor="text1"/>
          <w:spacing w:val="3"/>
          <w:sz w:val="24"/>
          <w:szCs w:val="24"/>
          <w14:textFill>
            <w14:solidFill>
              <w14:schemeClr w14:val="tx1"/>
            </w14:solidFill>
          </w14:textFill>
        </w:rPr>
        <w:fldChar w:fldCharType="end"/>
      </w:r>
      <w:r>
        <w:rPr>
          <w:rFonts w:hint="default" w:ascii="Times New Roman" w:hAnsi="Times New Roman" w:eastAsia="Times New Roman" w:cs="Times New Roman"/>
          <w:color w:val="000000" w:themeColor="text1"/>
          <w:spacing w:val="14"/>
          <w:sz w:val="24"/>
          <w:szCs w:val="24"/>
          <w14:textFill>
            <w14:solidFill>
              <w14:schemeClr w14:val="tx1"/>
            </w14:solidFill>
          </w14:textFill>
        </w:rPr>
        <w:t xml:space="preserve">  </w:t>
      </w:r>
      <w:r>
        <w:rPr>
          <w:rFonts w:hint="default" w:ascii="Times New Roman" w:hAnsi="Times New Roman" w:eastAsia="黑体" w:cs="Times New Roman"/>
          <w:color w:val="000000" w:themeColor="text1"/>
          <w:spacing w:val="3"/>
          <w:sz w:val="24"/>
          <w:szCs w:val="24"/>
          <w14:textFill>
            <w14:solidFill>
              <w14:schemeClr w14:val="tx1"/>
            </w14:solidFill>
          </w14:textFill>
        </w:rPr>
        <w:t>废气污染源</w:t>
      </w:r>
      <w:r>
        <w:rPr>
          <w:rFonts w:hint="default" w:ascii="Times New Roman" w:hAnsi="Times New Roman" w:eastAsia="黑体" w:cs="Times New Roman"/>
          <w:color w:val="000000" w:themeColor="text1"/>
          <w:spacing w:val="3"/>
          <w:sz w:val="24"/>
          <w:szCs w:val="24"/>
          <w:lang w:val="en-US" w:eastAsia="zh-CN"/>
          <w14:textFill>
            <w14:solidFill>
              <w14:schemeClr w14:val="tx1"/>
            </w14:solidFill>
          </w14:textFill>
        </w:rPr>
        <w:t>强</w:t>
      </w:r>
      <w:r>
        <w:rPr>
          <w:rFonts w:hint="default" w:ascii="Times New Roman" w:hAnsi="Times New Roman" w:eastAsia="黑体" w:cs="Times New Roman"/>
          <w:color w:val="000000" w:themeColor="text1"/>
          <w:spacing w:val="3"/>
          <w:sz w:val="24"/>
          <w:szCs w:val="24"/>
          <w14:textFill>
            <w14:solidFill>
              <w14:schemeClr w14:val="tx1"/>
            </w14:solidFill>
          </w14:textFill>
        </w:rPr>
        <w:t>分析</w:t>
      </w:r>
    </w:p>
    <w:p>
      <w:pPr>
        <w:keepNext w:val="0"/>
        <w:keepLines w:val="0"/>
        <w:pageBreakBefore w:val="0"/>
        <w:wordWrap/>
        <w:overflowPunct/>
        <w:topLinePunct w:val="0"/>
        <w:bidi w:val="0"/>
        <w:spacing w:line="360" w:lineRule="auto"/>
        <w:ind w:left="0" w:leftChars="0" w:right="0" w:firstLine="476" w:firstLineChars="200"/>
        <w:jc w:val="both"/>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pacing w:val="-1"/>
          <w:sz w:val="24"/>
          <w:szCs w:val="24"/>
          <w14:textOutline w14:w="4358" w14:cap="sq" w14:cmpd="sng">
            <w14:solidFill>
              <w14:srgbClr w14:val="000000"/>
            </w14:solidFill>
            <w14:prstDash w14:val="solid"/>
            <w14:bevel/>
          </w14:textOutline>
          <w14:textFill>
            <w14:solidFill>
              <w14:schemeClr w14:val="tx1"/>
            </w14:solidFill>
          </w14:textFill>
        </w:rPr>
        <w:t>（</w:t>
      </w:r>
      <w:r>
        <w:rPr>
          <w:rFonts w:hint="default" w:ascii="Times New Roman" w:hAnsi="Times New Roman" w:eastAsia="Times New Roman" w:cs="Times New Roman"/>
          <w:b/>
          <w:bCs/>
          <w:color w:val="000000" w:themeColor="text1"/>
          <w:spacing w:val="-1"/>
          <w:sz w:val="24"/>
          <w:szCs w:val="24"/>
          <w14:textFill>
            <w14:solidFill>
              <w14:schemeClr w14:val="tx1"/>
            </w14:solidFill>
          </w14:textFill>
        </w:rPr>
        <w:t>1</w:t>
      </w:r>
      <w:r>
        <w:rPr>
          <w:rFonts w:hint="default" w:ascii="Times New Roman" w:hAnsi="Times New Roman" w:eastAsia="宋体" w:cs="Times New Roman"/>
          <w:color w:val="000000" w:themeColor="text1"/>
          <w:spacing w:val="-1"/>
          <w:sz w:val="24"/>
          <w:szCs w:val="24"/>
          <w14:textOutline w14:w="4358" w14:cap="sq" w14:cmpd="sng">
            <w14:solidFill>
              <w14:srgbClr w14:val="000000"/>
            </w14:solidFill>
            <w14:prstDash w14:val="solid"/>
            <w14:bevel/>
          </w14:textOutline>
          <w14:textFill>
            <w14:solidFill>
              <w14:schemeClr w14:val="tx1"/>
            </w14:solidFill>
          </w14:textFill>
        </w:rPr>
        <w:t>）</w:t>
      </w:r>
      <w:r>
        <w:rPr>
          <w:rFonts w:hint="default" w:ascii="Times New Roman" w:hAnsi="Times New Roman" w:eastAsia="宋体" w:cs="Times New Roman"/>
          <w:color w:val="000000" w:themeColor="text1"/>
          <w:spacing w:val="-1"/>
          <w:sz w:val="24"/>
          <w:szCs w:val="24"/>
          <w:lang w:val="en-US" w:eastAsia="zh-CN"/>
          <w14:textOutline w14:w="4358" w14:cap="sq" w14:cmpd="sng">
            <w14:solidFill>
              <w14:srgbClr w14:val="000000"/>
            </w14:solidFill>
            <w14:prstDash w14:val="solid"/>
            <w14:bevel/>
          </w14:textOutline>
          <w14:textFill>
            <w14:solidFill>
              <w14:schemeClr w14:val="tx1"/>
            </w14:solidFill>
          </w14:textFill>
        </w:rPr>
        <w:t>恶臭气体</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default" w:ascii="Times New Roman" w:hAnsi="Times New Roman" w:eastAsia="宋体" w:cs="Times New Roman"/>
          <w:color w:val="000000" w:themeColor="text1"/>
          <w:spacing w:val="0"/>
          <w:sz w:val="24"/>
          <w:szCs w:val="24"/>
          <w14:textFill>
            <w14:solidFill>
              <w14:schemeClr w14:val="tx1"/>
            </w14:solidFill>
          </w14:textFill>
        </w:rPr>
      </w:pPr>
      <w:r>
        <w:rPr>
          <w:rFonts w:hint="default" w:ascii="Times New Roman" w:hAnsi="Times New Roman" w:eastAsia="宋体" w:cs="Times New Roman"/>
          <w:color w:val="000000" w:themeColor="text1"/>
          <w:spacing w:val="0"/>
          <w:sz w:val="24"/>
          <w:szCs w:val="24"/>
          <w14:textFill>
            <w14:solidFill>
              <w14:schemeClr w14:val="tx1"/>
            </w14:solidFill>
          </w14:textFill>
        </w:rPr>
        <w:t>恶臭来源：主要来自待宰</w:t>
      </w: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t>圈</w:t>
      </w:r>
      <w:r>
        <w:rPr>
          <w:rFonts w:hint="default" w:ascii="Times New Roman" w:hAnsi="Times New Roman" w:eastAsia="宋体" w:cs="Times New Roman"/>
          <w:color w:val="000000" w:themeColor="text1"/>
          <w:spacing w:val="0"/>
          <w:sz w:val="24"/>
          <w:szCs w:val="24"/>
          <w14:textFill>
            <w14:solidFill>
              <w14:schemeClr w14:val="tx1"/>
            </w14:solidFill>
          </w14:textFill>
        </w:rPr>
        <w:t>、屠宰</w:t>
      </w: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t>加工</w:t>
      </w:r>
      <w:r>
        <w:rPr>
          <w:rFonts w:hint="default" w:ascii="Times New Roman" w:hAnsi="Times New Roman" w:eastAsia="宋体" w:cs="Times New Roman"/>
          <w:color w:val="000000" w:themeColor="text1"/>
          <w:spacing w:val="0"/>
          <w:sz w:val="24"/>
          <w:szCs w:val="24"/>
          <w14:textFill>
            <w14:solidFill>
              <w14:schemeClr w14:val="tx1"/>
            </w14:solidFill>
          </w14:textFill>
        </w:rPr>
        <w:t>车间和污水处理站。</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eastAsia="宋体" w:cs="Times New Roman"/>
          <w:color w:val="000000" w:themeColor="text1"/>
          <w:spacing w:val="0"/>
          <w:sz w:val="24"/>
          <w:szCs w:val="24"/>
          <w14:textFill>
            <w14:solidFill>
              <w14:schemeClr w14:val="tx1"/>
            </w14:solidFill>
          </w14:textFill>
        </w:rPr>
      </w:pP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instrText xml:space="preserve"> = 1 \* GB3 \* MERGEFORMAT </w:instrText>
      </w: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fldChar w:fldCharType="separate"/>
      </w:r>
      <w:r>
        <w:rPr>
          <w:rFonts w:hint="default" w:ascii="Times New Roman" w:hAnsi="Times New Roman" w:cs="Times New Roman"/>
          <w:color w:val="000000" w:themeColor="text1"/>
          <w:sz w:val="24"/>
          <w:szCs w:val="24"/>
          <w14:textFill>
            <w14:solidFill>
              <w14:schemeClr w14:val="tx1"/>
            </w14:solidFill>
          </w14:textFill>
        </w:rPr>
        <w:t>①</w:t>
      </w: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spacing w:val="0"/>
          <w:sz w:val="24"/>
          <w:szCs w:val="24"/>
          <w14:textFill>
            <w14:solidFill>
              <w14:schemeClr w14:val="tx1"/>
            </w14:solidFill>
          </w14:textFill>
        </w:rPr>
        <w:t>待宰</w:t>
      </w: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t>圈</w:t>
      </w:r>
      <w:r>
        <w:rPr>
          <w:rFonts w:hint="default" w:ascii="Times New Roman" w:hAnsi="Times New Roman" w:eastAsia="宋体" w:cs="Times New Roman"/>
          <w:color w:val="000000" w:themeColor="text1"/>
          <w:spacing w:val="0"/>
          <w:sz w:val="24"/>
          <w:szCs w:val="24"/>
          <w14:textFill>
            <w14:solidFill>
              <w14:schemeClr w14:val="tx1"/>
            </w14:solidFill>
          </w14:textFill>
        </w:rPr>
        <w:t>恶臭</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default" w:ascii="Times New Roman" w:hAnsi="Times New Roman" w:eastAsia="宋体" w:cs="Times New Roman"/>
          <w:color w:val="000000" w:themeColor="text1"/>
          <w:spacing w:val="0"/>
          <w:sz w:val="24"/>
          <w:szCs w:val="24"/>
          <w14:textFill>
            <w14:solidFill>
              <w14:schemeClr w14:val="tx1"/>
            </w14:solidFill>
          </w14:textFill>
        </w:rPr>
      </w:pPr>
      <w:r>
        <w:rPr>
          <w:rFonts w:hint="default" w:ascii="Times New Roman" w:hAnsi="Times New Roman" w:eastAsia="宋体" w:cs="Times New Roman"/>
          <w:color w:val="000000" w:themeColor="text1"/>
          <w:spacing w:val="0"/>
          <w:sz w:val="24"/>
          <w:szCs w:val="24"/>
          <w14:textFill>
            <w14:solidFill>
              <w14:schemeClr w14:val="tx1"/>
            </w14:solidFill>
          </w14:textFill>
        </w:rPr>
        <w:t>待宰</w:t>
      </w: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t>圈</w:t>
      </w:r>
      <w:r>
        <w:rPr>
          <w:rFonts w:hint="default" w:ascii="Times New Roman" w:hAnsi="Times New Roman" w:eastAsia="宋体" w:cs="Times New Roman"/>
          <w:color w:val="000000" w:themeColor="text1"/>
          <w:spacing w:val="0"/>
          <w:sz w:val="24"/>
          <w:szCs w:val="24"/>
          <w14:textFill>
            <w14:solidFill>
              <w14:schemeClr w14:val="tx1"/>
            </w14:solidFill>
          </w14:textFill>
        </w:rPr>
        <w:t>是为生猪提供存放、观察及休息的场所，</w:t>
      </w:r>
      <w:r>
        <w:rPr>
          <w:rFonts w:hint="default" w:ascii="Times New Roman" w:hAnsi="Times New Roman" w:cs="Times New Roman"/>
          <w:color w:val="000000" w:themeColor="text1"/>
          <w:sz w:val="24"/>
          <w:szCs w:val="24"/>
          <w14:textFill>
            <w14:solidFill>
              <w14:schemeClr w14:val="tx1"/>
            </w14:solidFill>
          </w14:textFill>
        </w:rPr>
        <w:t>待宰</w:t>
      </w: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t>圈</w:t>
      </w:r>
      <w:r>
        <w:rPr>
          <w:rFonts w:hint="default" w:ascii="Times New Roman" w:hAnsi="Times New Roman" w:eastAsia="宋体" w:cs="Times New Roman"/>
          <w:color w:val="000000" w:themeColor="text1"/>
          <w:spacing w:val="0"/>
          <w:sz w:val="24"/>
          <w:szCs w:val="24"/>
          <w14:textFill>
            <w14:solidFill>
              <w14:schemeClr w14:val="tx1"/>
            </w14:solidFill>
          </w14:textFill>
        </w:rPr>
        <w:t>的恶臭主要来自猪粪、尿，这些粪便会产生氨、H</w:t>
      </w:r>
      <w:r>
        <w:rPr>
          <w:rFonts w:hint="default" w:ascii="Times New Roman" w:hAnsi="Times New Roman" w:eastAsia="宋体" w:cs="Times New Roman"/>
          <w:color w:val="000000" w:themeColor="text1"/>
          <w:spacing w:val="0"/>
          <w:sz w:val="24"/>
          <w:szCs w:val="24"/>
          <w:vertAlign w:val="subscript"/>
          <w14:textFill>
            <w14:solidFill>
              <w14:schemeClr w14:val="tx1"/>
            </w14:solidFill>
          </w14:textFill>
        </w:rPr>
        <w:t>2</w:t>
      </w:r>
      <w:r>
        <w:rPr>
          <w:rFonts w:hint="default" w:ascii="Times New Roman" w:hAnsi="Times New Roman" w:eastAsia="宋体" w:cs="Times New Roman"/>
          <w:color w:val="000000" w:themeColor="text1"/>
          <w:spacing w:val="0"/>
          <w:sz w:val="24"/>
          <w:szCs w:val="24"/>
          <w14:textFill>
            <w14:solidFill>
              <w14:schemeClr w14:val="tx1"/>
            </w14:solidFill>
          </w14:textFill>
        </w:rPr>
        <w:t>S等恶臭气体，若未及时清除或清除后不能及时处理，将会使臭味成倍增加，并会</w:t>
      </w: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t>滋</w:t>
      </w:r>
      <w:r>
        <w:rPr>
          <w:rFonts w:hint="default" w:ascii="Times New Roman" w:hAnsi="Times New Roman" w:eastAsia="宋体" w:cs="Times New Roman"/>
          <w:color w:val="000000" w:themeColor="text1"/>
          <w:spacing w:val="0"/>
          <w:sz w:val="24"/>
          <w:szCs w:val="24"/>
          <w14:textFill>
            <w14:solidFill>
              <w14:schemeClr w14:val="tx1"/>
            </w14:solidFill>
          </w14:textFill>
        </w:rPr>
        <w:t>生大量蚊蝇，影响环境卫生。本项目</w:t>
      </w:r>
      <w:r>
        <w:rPr>
          <w:rFonts w:hint="default" w:ascii="Times New Roman" w:hAnsi="Times New Roman" w:cs="Times New Roman"/>
          <w:color w:val="000000" w:themeColor="text1"/>
          <w:sz w:val="24"/>
          <w:szCs w:val="24"/>
          <w14:textFill>
            <w14:solidFill>
              <w14:schemeClr w14:val="tx1"/>
            </w14:solidFill>
          </w14:textFill>
        </w:rPr>
        <w:t>待宰</w:t>
      </w: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t>圈</w:t>
      </w:r>
      <w:r>
        <w:rPr>
          <w:rFonts w:hint="default" w:ascii="Times New Roman" w:hAnsi="Times New Roman" w:eastAsia="宋体" w:cs="Times New Roman"/>
          <w:color w:val="000000" w:themeColor="text1"/>
          <w:spacing w:val="0"/>
          <w:sz w:val="24"/>
          <w:szCs w:val="24"/>
          <w14:textFill>
            <w14:solidFill>
              <w14:schemeClr w14:val="tx1"/>
            </w14:solidFill>
          </w14:textFill>
        </w:rPr>
        <w:t>设置专人管理，</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生猪进厂后</w:t>
      </w:r>
      <w:r>
        <w:rPr>
          <w:rFonts w:hint="default" w:ascii="Times New Roman" w:hAnsi="Times New Roman" w:eastAsia="宋体" w:cs="Times New Roman"/>
          <w:color w:val="000000" w:themeColor="text1"/>
          <w:spacing w:val="0"/>
          <w:sz w:val="24"/>
          <w:szCs w:val="24"/>
          <w14:textFill>
            <w14:solidFill>
              <w14:schemeClr w14:val="tx1"/>
            </w14:solidFill>
          </w14:textFill>
        </w:rPr>
        <w:t>及时清扫，冲刷猪粪、尿，冲刷废水及时处理，并将猪粪及时外运综合利用，减少恶臭源的散发。</w:t>
      </w:r>
    </w:p>
    <w:p>
      <w:pPr>
        <w:keepNext w:val="0"/>
        <w:keepLines w:val="0"/>
        <w:pageBreakBefore w:val="0"/>
        <w:wordWrap/>
        <w:overflowPunct/>
        <w:topLinePunct w:val="0"/>
        <w:bidi w:val="0"/>
        <w:spacing w:line="360" w:lineRule="auto"/>
        <w:ind w:left="0" w:leftChars="0" w:right="0" w:firstLine="480" w:firstLineChars="200"/>
        <w:jc w:val="both"/>
        <w:rPr>
          <w:rFonts w:hint="default" w:ascii="Times New Roman" w:hAnsi="Times New Roman" w:eastAsia="宋体" w:cs="Times New Roman"/>
          <w:color w:val="000000" w:themeColor="text1"/>
          <w:spacing w:val="2"/>
          <w:sz w:val="24"/>
          <w:szCs w:val="24"/>
          <w14:textFill>
            <w14:solidFill>
              <w14:schemeClr w14:val="tx1"/>
            </w14:solidFill>
          </w14:textFill>
        </w:rPr>
      </w:pPr>
      <w:r>
        <w:rPr>
          <w:rFonts w:hint="default" w:ascii="Times New Roman" w:hAnsi="Times New Roman" w:eastAsia="宋体" w:cs="Times New Roman"/>
          <w:bCs/>
          <w:color w:val="000000" w:themeColor="text1"/>
          <w:spacing w:val="0"/>
          <w:sz w:val="24"/>
          <w:szCs w:val="24"/>
          <w14:textFill>
            <w14:solidFill>
              <w14:schemeClr w14:val="tx1"/>
            </w14:solidFill>
          </w14:textFill>
        </w:rPr>
        <w:t>本项目</w:t>
      </w:r>
      <w:r>
        <w:rPr>
          <w:rFonts w:hint="default" w:ascii="Times New Roman" w:hAnsi="Times New Roman" w:cs="Times New Roman"/>
          <w:color w:val="000000" w:themeColor="text1"/>
          <w:sz w:val="24"/>
          <w:szCs w:val="24"/>
          <w14:textFill>
            <w14:solidFill>
              <w14:schemeClr w14:val="tx1"/>
            </w14:solidFill>
          </w14:textFill>
        </w:rPr>
        <w:t>待宰</w:t>
      </w: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t>圈</w:t>
      </w:r>
      <w:r>
        <w:rPr>
          <w:rFonts w:hint="default" w:ascii="Times New Roman" w:hAnsi="Times New Roman" w:eastAsia="宋体" w:cs="Times New Roman"/>
          <w:bCs/>
          <w:color w:val="000000" w:themeColor="text1"/>
          <w:spacing w:val="0"/>
          <w:sz w:val="24"/>
          <w:szCs w:val="24"/>
          <w14:textFill>
            <w14:solidFill>
              <w14:schemeClr w14:val="tx1"/>
            </w14:solidFill>
          </w14:textFill>
        </w:rPr>
        <w:t>恶臭污染源强根据天津市环境影响评价中心孙艳青等编制的《养猪场恶臭影响量化分析及控制对策研究》中猪舍</w:t>
      </w:r>
      <w:r>
        <w:rPr>
          <w:rFonts w:hint="default" w:ascii="Times New Roman" w:hAnsi="Times New Roman" w:eastAsia="宋体" w:cs="Times New Roman"/>
          <w:color w:val="000000" w:themeColor="text1"/>
          <w:spacing w:val="0"/>
          <w:sz w:val="24"/>
          <w:szCs w:val="24"/>
          <w14:textFill>
            <w14:solidFill>
              <w14:schemeClr w14:val="tx1"/>
            </w14:solidFill>
          </w14:textFill>
        </w:rPr>
        <w:t>NH</w:t>
      </w:r>
      <w:r>
        <w:rPr>
          <w:rFonts w:hint="default" w:ascii="Times New Roman" w:hAnsi="Times New Roman" w:eastAsia="宋体" w:cs="Times New Roman"/>
          <w:color w:val="000000" w:themeColor="text1"/>
          <w:spacing w:val="0"/>
          <w:sz w:val="24"/>
          <w:szCs w:val="24"/>
          <w:vertAlign w:val="subscript"/>
          <w14:textFill>
            <w14:solidFill>
              <w14:schemeClr w14:val="tx1"/>
            </w14:solidFill>
          </w14:textFill>
        </w:rPr>
        <w:t>3</w:t>
      </w:r>
      <w:r>
        <w:rPr>
          <w:rFonts w:hint="default" w:ascii="Times New Roman" w:hAnsi="Times New Roman" w:eastAsia="宋体" w:cs="Times New Roman"/>
          <w:color w:val="000000" w:themeColor="text1"/>
          <w:spacing w:val="0"/>
          <w:sz w:val="24"/>
          <w:szCs w:val="24"/>
          <w14:textFill>
            <w14:solidFill>
              <w14:schemeClr w14:val="tx1"/>
            </w14:solidFill>
          </w14:textFill>
        </w:rPr>
        <w:t>和</w:t>
      </w:r>
      <w:r>
        <w:rPr>
          <w:rFonts w:hint="default" w:ascii="Times New Roman" w:hAnsi="Times New Roman" w:eastAsia="宋体" w:cs="Times New Roman"/>
          <w:bCs/>
          <w:color w:val="000000" w:themeColor="text1"/>
          <w:spacing w:val="0"/>
          <w:sz w:val="24"/>
          <w:szCs w:val="24"/>
          <w14:textFill>
            <w14:solidFill>
              <w14:schemeClr w14:val="tx1"/>
            </w14:solidFill>
          </w14:textFill>
        </w:rPr>
        <w:t>H</w:t>
      </w:r>
      <w:r>
        <w:rPr>
          <w:rFonts w:hint="default" w:ascii="Times New Roman" w:hAnsi="Times New Roman" w:eastAsia="宋体" w:cs="Times New Roman"/>
          <w:bCs/>
          <w:color w:val="000000" w:themeColor="text1"/>
          <w:spacing w:val="0"/>
          <w:sz w:val="24"/>
          <w:szCs w:val="24"/>
          <w:vertAlign w:val="subscript"/>
          <w14:textFill>
            <w14:solidFill>
              <w14:schemeClr w14:val="tx1"/>
            </w14:solidFill>
          </w14:textFill>
        </w:rPr>
        <w:t>2</w:t>
      </w:r>
      <w:r>
        <w:rPr>
          <w:rFonts w:hint="default" w:ascii="Times New Roman" w:hAnsi="Times New Roman" w:eastAsia="宋体" w:cs="Times New Roman"/>
          <w:bCs/>
          <w:color w:val="000000" w:themeColor="text1"/>
          <w:spacing w:val="0"/>
          <w:sz w:val="24"/>
          <w:szCs w:val="24"/>
          <w14:textFill>
            <w14:solidFill>
              <w14:schemeClr w14:val="tx1"/>
            </w14:solidFill>
          </w14:textFill>
        </w:rPr>
        <w:t>S的排放源强计算得到，猪舍中猪</w:t>
      </w:r>
      <w:r>
        <w:rPr>
          <w:rFonts w:hint="default" w:ascii="Times New Roman" w:hAnsi="Times New Roman" w:eastAsia="宋体" w:cs="Times New Roman"/>
          <w:color w:val="000000" w:themeColor="text1"/>
          <w:spacing w:val="0"/>
          <w:sz w:val="24"/>
          <w:szCs w:val="24"/>
          <w14:textFill>
            <w14:solidFill>
              <w14:schemeClr w14:val="tx1"/>
            </w14:solidFill>
          </w14:textFill>
        </w:rPr>
        <w:t>NH</w:t>
      </w:r>
      <w:r>
        <w:rPr>
          <w:rFonts w:hint="default" w:ascii="Times New Roman" w:hAnsi="Times New Roman" w:eastAsia="宋体" w:cs="Times New Roman"/>
          <w:color w:val="000000" w:themeColor="text1"/>
          <w:spacing w:val="0"/>
          <w:sz w:val="24"/>
          <w:szCs w:val="24"/>
          <w:vertAlign w:val="subscript"/>
          <w14:textFill>
            <w14:solidFill>
              <w14:schemeClr w14:val="tx1"/>
            </w14:solidFill>
          </w14:textFill>
        </w:rPr>
        <w:t>3</w:t>
      </w:r>
      <w:r>
        <w:rPr>
          <w:rFonts w:hint="default" w:ascii="Times New Roman" w:hAnsi="Times New Roman" w:eastAsia="宋体" w:cs="Times New Roman"/>
          <w:color w:val="000000" w:themeColor="text1"/>
          <w:spacing w:val="0"/>
          <w:sz w:val="24"/>
          <w:szCs w:val="24"/>
          <w14:textFill>
            <w14:solidFill>
              <w14:schemeClr w14:val="tx1"/>
            </w14:solidFill>
          </w14:textFill>
        </w:rPr>
        <w:t>排放源强为</w:t>
      </w: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t>2.0</w:t>
      </w:r>
      <w:r>
        <w:rPr>
          <w:rFonts w:hint="default" w:ascii="Times New Roman" w:hAnsi="Times New Roman" w:eastAsia="宋体" w:cs="Times New Roman"/>
          <w:color w:val="000000" w:themeColor="text1"/>
          <w:spacing w:val="0"/>
          <w:sz w:val="24"/>
          <w:szCs w:val="24"/>
          <w14:textFill>
            <w14:solidFill>
              <w14:schemeClr w14:val="tx1"/>
            </w14:solidFill>
          </w14:textFill>
        </w:rPr>
        <w:t>g/(头.d)，</w:t>
      </w:r>
      <w:r>
        <w:rPr>
          <w:rFonts w:hint="default" w:ascii="Times New Roman" w:hAnsi="Times New Roman" w:eastAsia="宋体" w:cs="Times New Roman"/>
          <w:bCs/>
          <w:color w:val="000000" w:themeColor="text1"/>
          <w:spacing w:val="0"/>
          <w:sz w:val="24"/>
          <w:szCs w:val="24"/>
          <w14:textFill>
            <w14:solidFill>
              <w14:schemeClr w14:val="tx1"/>
            </w14:solidFill>
          </w14:textFill>
        </w:rPr>
        <w:t>H</w:t>
      </w:r>
      <w:r>
        <w:rPr>
          <w:rFonts w:hint="default" w:ascii="Times New Roman" w:hAnsi="Times New Roman" w:eastAsia="宋体" w:cs="Times New Roman"/>
          <w:bCs/>
          <w:color w:val="000000" w:themeColor="text1"/>
          <w:spacing w:val="0"/>
          <w:sz w:val="24"/>
          <w:szCs w:val="24"/>
          <w:vertAlign w:val="subscript"/>
          <w14:textFill>
            <w14:solidFill>
              <w14:schemeClr w14:val="tx1"/>
            </w14:solidFill>
          </w14:textFill>
        </w:rPr>
        <w:t>2</w:t>
      </w:r>
      <w:r>
        <w:rPr>
          <w:rFonts w:hint="default" w:ascii="Times New Roman" w:hAnsi="Times New Roman" w:eastAsia="宋体" w:cs="Times New Roman"/>
          <w:bCs/>
          <w:color w:val="000000" w:themeColor="text1"/>
          <w:spacing w:val="0"/>
          <w:sz w:val="24"/>
          <w:szCs w:val="24"/>
          <w14:textFill>
            <w14:solidFill>
              <w14:schemeClr w14:val="tx1"/>
            </w14:solidFill>
          </w14:textFill>
        </w:rPr>
        <w:t>S</w:t>
      </w:r>
      <w:r>
        <w:rPr>
          <w:rFonts w:hint="default" w:ascii="Times New Roman" w:hAnsi="Times New Roman" w:eastAsia="宋体" w:cs="Times New Roman"/>
          <w:color w:val="000000" w:themeColor="text1"/>
          <w:spacing w:val="0"/>
          <w:sz w:val="24"/>
          <w:szCs w:val="24"/>
          <w14:textFill>
            <w14:solidFill>
              <w14:schemeClr w14:val="tx1"/>
            </w14:solidFill>
          </w14:textFill>
        </w:rPr>
        <w:t>排放源强为0.</w:t>
      </w: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t>3</w:t>
      </w:r>
      <w:r>
        <w:rPr>
          <w:rFonts w:hint="default" w:ascii="Times New Roman" w:hAnsi="Times New Roman" w:eastAsia="宋体" w:cs="Times New Roman"/>
          <w:color w:val="000000" w:themeColor="text1"/>
          <w:spacing w:val="0"/>
          <w:sz w:val="24"/>
          <w:szCs w:val="24"/>
          <w14:textFill>
            <w14:solidFill>
              <w14:schemeClr w14:val="tx1"/>
            </w14:solidFill>
          </w14:textFill>
        </w:rPr>
        <w:t>g/(头.d)，</w:t>
      </w:r>
      <w:r>
        <w:rPr>
          <w:rFonts w:hint="default" w:ascii="Times New Roman" w:hAnsi="Times New Roman" w:eastAsia="宋体" w:cs="Times New Roman"/>
          <w:color w:val="000000" w:themeColor="text1"/>
          <w:spacing w:val="0"/>
          <w:sz w:val="24"/>
          <w:szCs w:val="24"/>
          <w:lang w:eastAsia="zh-CN"/>
          <w14:textFill>
            <w14:solidFill>
              <w14:schemeClr w14:val="tx1"/>
            </w14:solidFill>
          </w14:textFill>
        </w:rPr>
        <w:t>养猪厂猪舍中猪粪便量为</w:t>
      </w: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t>10kg</w:t>
      </w:r>
      <w:r>
        <w:rPr>
          <w:rFonts w:hint="default" w:ascii="Times New Roman" w:hAnsi="Times New Roman" w:eastAsia="宋体" w:cs="Times New Roman"/>
          <w:color w:val="000000" w:themeColor="text1"/>
          <w:spacing w:val="0"/>
          <w:sz w:val="24"/>
          <w:szCs w:val="24"/>
          <w14:textFill>
            <w14:solidFill>
              <w14:schemeClr w14:val="tx1"/>
            </w14:solidFill>
          </w14:textFill>
        </w:rPr>
        <w:t>/(头.d)，</w:t>
      </w:r>
      <w:r>
        <w:rPr>
          <w:rFonts w:hint="default" w:ascii="Times New Roman" w:hAnsi="Times New Roman" w:eastAsia="宋体" w:cs="Times New Roman"/>
          <w:color w:val="000000" w:themeColor="text1"/>
          <w:spacing w:val="0"/>
          <w:sz w:val="24"/>
          <w:szCs w:val="24"/>
          <w:lang w:eastAsia="zh-CN"/>
          <w14:textFill>
            <w14:solidFill>
              <w14:schemeClr w14:val="tx1"/>
            </w14:solidFill>
          </w14:textFill>
        </w:rPr>
        <w:t>由于项目待宰栏动物进行停食管理，粪便量减少，为</w:t>
      </w: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t>3kg</w:t>
      </w:r>
      <w:r>
        <w:rPr>
          <w:rFonts w:hint="default" w:ascii="Times New Roman" w:hAnsi="Times New Roman" w:eastAsia="宋体" w:cs="Times New Roman"/>
          <w:color w:val="000000" w:themeColor="text1"/>
          <w:spacing w:val="0"/>
          <w:sz w:val="24"/>
          <w:szCs w:val="24"/>
          <w14:textFill>
            <w14:solidFill>
              <w14:schemeClr w14:val="tx1"/>
            </w14:solidFill>
          </w14:textFill>
        </w:rPr>
        <w:t>/(头.d)，</w:t>
      </w:r>
      <w:r>
        <w:rPr>
          <w:rFonts w:hint="default" w:ascii="Times New Roman" w:hAnsi="Times New Roman" w:eastAsia="宋体" w:cs="Times New Roman"/>
          <w:b w:val="0"/>
          <w:bCs w:val="0"/>
          <w:i w:val="0"/>
          <w:iCs w:val="0"/>
          <w:color w:val="000000" w:themeColor="text1"/>
          <w:spacing w:val="0"/>
          <w:kern w:val="21"/>
          <w:sz w:val="24"/>
          <w:szCs w:val="24"/>
          <w:highlight w:val="none"/>
          <w:u w:val="none"/>
          <w14:textFill>
            <w14:solidFill>
              <w14:schemeClr w14:val="tx1"/>
            </w14:solidFill>
          </w14:textFill>
        </w:rPr>
        <w:t>本项目</w:t>
      </w:r>
      <w:r>
        <w:rPr>
          <w:rFonts w:hint="eastAsia" w:ascii="Times New Roman" w:hAnsi="Times New Roman" w:eastAsia="宋体" w:cs="Times New Roman"/>
          <w:b w:val="0"/>
          <w:bCs w:val="0"/>
          <w:i w:val="0"/>
          <w:iCs w:val="0"/>
          <w:color w:val="000000" w:themeColor="text1"/>
          <w:spacing w:val="0"/>
          <w:kern w:val="21"/>
          <w:sz w:val="24"/>
          <w:szCs w:val="24"/>
          <w:highlight w:val="none"/>
          <w:u w:val="none"/>
          <w:lang w:val="en-US" w:eastAsia="zh-CN"/>
          <w14:textFill>
            <w14:solidFill>
              <w14:schemeClr w14:val="tx1"/>
            </w14:solidFill>
          </w14:textFill>
        </w:rPr>
        <w:t>扩建后全厂</w:t>
      </w:r>
      <w:r>
        <w:rPr>
          <w:rFonts w:hint="default" w:ascii="Times New Roman" w:hAnsi="Times New Roman" w:cs="Times New Roman"/>
          <w:color w:val="000000" w:themeColor="text1"/>
          <w:sz w:val="24"/>
          <w:szCs w:val="24"/>
          <w14:textFill>
            <w14:solidFill>
              <w14:schemeClr w14:val="tx1"/>
            </w14:solidFill>
          </w14:textFill>
        </w:rPr>
        <w:t>待宰</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生猪</w:t>
      </w:r>
      <w:r>
        <w:rPr>
          <w:rFonts w:hint="eastAsia" w:ascii="Times New Roman" w:hAnsi="Times New Roman" w:cs="Times New Roman"/>
          <w:color w:val="000000" w:themeColor="text1"/>
          <w:sz w:val="24"/>
          <w:lang w:val="en-US" w:eastAsia="zh-CN"/>
          <w14:textFill>
            <w14:solidFill>
              <w14:schemeClr w14:val="tx1"/>
            </w14:solidFill>
          </w14:textFill>
        </w:rPr>
        <w:t>160000</w:t>
      </w:r>
      <w:r>
        <w:rPr>
          <w:rFonts w:hint="default" w:ascii="Times New Roman" w:hAnsi="Times New Roman" w:eastAsia="宋体" w:cs="Times New Roman"/>
          <w:b w:val="0"/>
          <w:bCs w:val="0"/>
          <w:i w:val="0"/>
          <w:iCs w:val="0"/>
          <w:color w:val="000000" w:themeColor="text1"/>
          <w:spacing w:val="0"/>
          <w:kern w:val="21"/>
          <w:sz w:val="24"/>
          <w:szCs w:val="24"/>
          <w:highlight w:val="none"/>
          <w:u w:val="none"/>
          <w14:textFill>
            <w14:solidFill>
              <w14:schemeClr w14:val="tx1"/>
            </w14:solidFill>
          </w14:textFill>
        </w:rPr>
        <w:t>头</w:t>
      </w:r>
      <w:r>
        <w:rPr>
          <w:rFonts w:hint="default" w:ascii="Times New Roman" w:hAnsi="Times New Roman" w:eastAsia="宋体" w:cs="Times New Roman"/>
          <w:b w:val="0"/>
          <w:bCs w:val="0"/>
          <w:i w:val="0"/>
          <w:iCs w:val="0"/>
          <w:color w:val="000000" w:themeColor="text1"/>
          <w:spacing w:val="0"/>
          <w:kern w:val="21"/>
          <w:sz w:val="24"/>
          <w:szCs w:val="24"/>
          <w:highlight w:val="none"/>
          <w:u w:val="none"/>
          <w:lang w:val="en-US" w:eastAsia="zh-CN"/>
          <w14:textFill>
            <w14:solidFill>
              <w14:schemeClr w14:val="tx1"/>
            </w14:solidFill>
          </w14:textFill>
        </w:rPr>
        <w:t>/年</w:t>
      </w:r>
      <w:r>
        <w:rPr>
          <w:rFonts w:hint="default" w:ascii="Times New Roman" w:hAnsi="Times New Roman" w:eastAsia="宋体" w:cs="Times New Roman"/>
          <w:b w:val="0"/>
          <w:bCs w:val="0"/>
          <w:i w:val="0"/>
          <w:iCs w:val="0"/>
          <w:color w:val="000000" w:themeColor="text1"/>
          <w:spacing w:val="0"/>
          <w:kern w:val="21"/>
          <w:sz w:val="24"/>
          <w:szCs w:val="24"/>
          <w:highlight w:val="none"/>
          <w:u w:val="none"/>
          <w:lang w:eastAsia="zh-CN"/>
          <w14:textFill>
            <w14:solidFill>
              <w14:schemeClr w14:val="tx1"/>
            </w14:solidFill>
          </w14:textFill>
        </w:rPr>
        <w:t>，</w:t>
      </w:r>
      <w:r>
        <w:rPr>
          <w:rFonts w:hint="default" w:ascii="Times New Roman" w:hAnsi="Times New Roman" w:eastAsia="宋体" w:cs="Times New Roman"/>
          <w:b w:val="0"/>
          <w:bCs w:val="0"/>
          <w:i w:val="0"/>
          <w:iCs w:val="0"/>
          <w:color w:val="000000" w:themeColor="text1"/>
          <w:spacing w:val="0"/>
          <w:kern w:val="21"/>
          <w:sz w:val="24"/>
          <w:szCs w:val="24"/>
          <w:highlight w:val="none"/>
          <w:u w:val="none"/>
          <w:lang w:val="en-US" w:eastAsia="zh-CN"/>
          <w14:textFill>
            <w14:solidFill>
              <w14:schemeClr w14:val="tx1"/>
            </w14:solidFill>
          </w14:textFill>
        </w:rPr>
        <w:t>待宰圈每批次容纳数量约</w:t>
      </w:r>
      <w:r>
        <w:rPr>
          <w:rFonts w:hint="eastAsia" w:ascii="Times New Roman" w:hAnsi="Times New Roman" w:eastAsia="宋体" w:cs="Times New Roman"/>
          <w:b w:val="0"/>
          <w:bCs w:val="0"/>
          <w:i w:val="0"/>
          <w:iCs w:val="0"/>
          <w:color w:val="000000" w:themeColor="text1"/>
          <w:spacing w:val="0"/>
          <w:kern w:val="21"/>
          <w:sz w:val="24"/>
          <w:szCs w:val="24"/>
          <w:highlight w:val="none"/>
          <w:u w:val="none"/>
          <w:lang w:val="en-US" w:eastAsia="zh-CN"/>
          <w14:textFill>
            <w14:solidFill>
              <w14:schemeClr w14:val="tx1"/>
            </w14:solidFill>
          </w14:textFill>
        </w:rPr>
        <w:t>6</w:t>
      </w:r>
      <w:r>
        <w:rPr>
          <w:rFonts w:hint="default" w:ascii="Times New Roman" w:hAnsi="Times New Roman" w:eastAsia="宋体" w:cs="Times New Roman"/>
          <w:b w:val="0"/>
          <w:bCs w:val="0"/>
          <w:i w:val="0"/>
          <w:iCs w:val="0"/>
          <w:color w:val="000000" w:themeColor="text1"/>
          <w:spacing w:val="0"/>
          <w:kern w:val="21"/>
          <w:sz w:val="24"/>
          <w:szCs w:val="24"/>
          <w:highlight w:val="none"/>
          <w:u w:val="none"/>
          <w:lang w:val="en-US" w:eastAsia="zh-CN"/>
          <w14:textFill>
            <w14:solidFill>
              <w14:schemeClr w14:val="tx1"/>
            </w14:solidFill>
          </w14:textFill>
        </w:rPr>
        <w:t>50头，</w:t>
      </w:r>
      <w:r>
        <w:rPr>
          <w:rFonts w:hint="default" w:ascii="Times New Roman" w:hAnsi="Times New Roman" w:eastAsia="宋体" w:cs="Times New Roman"/>
          <w:b w:val="0"/>
          <w:bCs w:val="0"/>
          <w:i w:val="0"/>
          <w:iCs w:val="0"/>
          <w:color w:val="000000" w:themeColor="text1"/>
          <w:spacing w:val="0"/>
          <w:kern w:val="21"/>
          <w:sz w:val="24"/>
          <w:szCs w:val="24"/>
          <w:highlight w:val="none"/>
          <w:u w:val="none"/>
          <w:lang w:eastAsia="zh-CN"/>
          <w14:textFill>
            <w14:solidFill>
              <w14:schemeClr w14:val="tx1"/>
            </w14:solidFill>
          </w14:textFill>
        </w:rPr>
        <w:t>静养时间</w:t>
      </w:r>
      <w:r>
        <w:rPr>
          <w:rFonts w:hint="default" w:ascii="Times New Roman" w:hAnsi="Times New Roman" w:eastAsia="宋体" w:cs="Times New Roman"/>
          <w:b w:val="0"/>
          <w:bCs w:val="0"/>
          <w:i w:val="0"/>
          <w:iCs w:val="0"/>
          <w:color w:val="000000" w:themeColor="text1"/>
          <w:spacing w:val="0"/>
          <w:kern w:val="21"/>
          <w:sz w:val="24"/>
          <w:szCs w:val="24"/>
          <w:highlight w:val="none"/>
          <w:u w:val="none"/>
          <w:lang w:val="en-US" w:eastAsia="zh-CN"/>
          <w14:textFill>
            <w14:solidFill>
              <w14:schemeClr w14:val="tx1"/>
            </w14:solidFill>
          </w14:textFill>
        </w:rPr>
        <w:t>取24h</w:t>
      </w:r>
      <w:r>
        <w:rPr>
          <w:rFonts w:hint="default" w:ascii="Times New Roman" w:hAnsi="Times New Roman" w:eastAsia="宋体" w:cs="Times New Roman"/>
          <w:b w:val="0"/>
          <w:bCs w:val="0"/>
          <w:i w:val="0"/>
          <w:iCs w:val="0"/>
          <w:color w:val="000000" w:themeColor="text1"/>
          <w:spacing w:val="0"/>
          <w:kern w:val="21"/>
          <w:sz w:val="24"/>
          <w:szCs w:val="24"/>
          <w:highlight w:val="none"/>
          <w:u w:val="none"/>
          <w14:textFill>
            <w14:solidFill>
              <w14:schemeClr w14:val="tx1"/>
            </w14:solidFill>
          </w14:textFill>
        </w:rPr>
        <w:t>。</w:t>
      </w:r>
      <w:r>
        <w:rPr>
          <w:rFonts w:hint="default" w:ascii="Times New Roman" w:hAnsi="Times New Roman" w:eastAsia="宋体" w:cs="Times New Roman"/>
          <w:color w:val="000000" w:themeColor="text1"/>
          <w:spacing w:val="0"/>
          <w:sz w:val="24"/>
          <w:szCs w:val="24"/>
          <w14:textFill>
            <w14:solidFill>
              <w14:schemeClr w14:val="tx1"/>
            </w14:solidFill>
          </w14:textFill>
        </w:rPr>
        <w:t>计算可得</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：废气恶臭源强NH</w:t>
      </w:r>
      <w:r>
        <w:rPr>
          <w:rFonts w:hint="default" w:ascii="Times New Roman" w:hAnsi="Times New Roman" w:eastAsia="宋体" w:cs="Times New Roman"/>
          <w:color w:val="000000" w:themeColor="text1"/>
          <w:spacing w:val="0"/>
          <w:sz w:val="24"/>
          <w:szCs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为</w:t>
      </w:r>
      <w:r>
        <w:rPr>
          <w:rFonts w:hint="eastAsia"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0.1625</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kg/h</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，H</w:t>
      </w:r>
      <w:r>
        <w:rPr>
          <w:rFonts w:hint="default" w:ascii="Times New Roman" w:hAnsi="Times New Roman" w:eastAsia="宋体" w:cs="Times New Roman"/>
          <w:bCs/>
          <w:color w:val="000000" w:themeColor="text1"/>
          <w:spacing w:val="0"/>
          <w:sz w:val="24"/>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S</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约</w:t>
      </w:r>
      <w:r>
        <w:rPr>
          <w:rFonts w:hint="eastAsia"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0.0244</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kg/h。</w:t>
      </w:r>
    </w:p>
    <w:p>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jc w:val="both"/>
        <w:textAlignment w:val="auto"/>
        <w:rPr>
          <w:rFonts w:hint="default" w:ascii="Times New Roman" w:hAnsi="Times New Roman" w:eastAsia="宋体" w:cs="Times New Roman"/>
          <w:color w:val="000000" w:themeColor="text1"/>
          <w:kern w:val="2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kern w:val="21"/>
          <w:sz w:val="24"/>
          <w:szCs w:val="24"/>
          <w:lang w:val="en-US" w:eastAsia="zh-CN"/>
          <w14:textFill>
            <w14:solidFill>
              <w14:schemeClr w14:val="tx1"/>
            </w14:solidFill>
          </w14:textFill>
        </w:rPr>
        <w:t>根据《环境臭气评价方法的新探讨》（重庆环境科学，1996年第10期）中提出的方法：通过臭气强度分级确定臭气污染源源强（不受处理规模、处理工艺、周边环境的影响），将臭气的强度分为6个等级。臭气强度等级表示方法见表3.6-7</w:t>
      </w:r>
      <w:r>
        <w:rPr>
          <w:rFonts w:hint="eastAsia" w:ascii="Times New Roman" w:hAnsi="Times New Roman" w:eastAsia="宋体" w:cs="Times New Roman"/>
          <w:color w:val="000000" w:themeColor="text1"/>
          <w:kern w:val="21"/>
          <w:sz w:val="24"/>
          <w:szCs w:val="24"/>
          <w:lang w:val="en-US" w:eastAsia="zh-CN"/>
          <w14:textFill>
            <w14:solidFill>
              <w14:schemeClr w14:val="tx1"/>
            </w14:solidFill>
          </w14:textFill>
        </w:rPr>
        <w:t>。</w:t>
      </w:r>
    </w:p>
    <w:p>
      <w:pPr>
        <w:pStyle w:val="20"/>
        <w:keepNext w:val="0"/>
        <w:keepLines w:val="0"/>
        <w:pageBreakBefore w:val="0"/>
        <w:widowControl w:val="0"/>
        <w:kinsoku/>
        <w:wordWrap/>
        <w:overflowPunct/>
        <w:topLinePunct w:val="0"/>
        <w:autoSpaceDE/>
        <w:autoSpaceDN/>
        <w:bidi w:val="0"/>
        <w:adjustRightInd/>
        <w:snapToGrid/>
        <w:spacing w:line="240" w:lineRule="auto"/>
        <w:ind w:left="210"/>
        <w:jc w:val="center"/>
        <w:textAlignment w:val="auto"/>
        <w:rPr>
          <w:rFonts w:hint="default" w:ascii="Times New Roman" w:hAnsi="Times New Roman" w:eastAsia="宋体" w:cs="Times New Roman"/>
          <w:b/>
          <w:bCs/>
          <w:smallCap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bCs/>
          <w:smallCaps w:val="0"/>
          <w:color w:val="000000" w:themeColor="text1"/>
          <w:kern w:val="0"/>
          <w:sz w:val="21"/>
          <w:szCs w:val="21"/>
          <w:lang w:val="en-US" w:eastAsia="zh-CN"/>
          <w14:textFill>
            <w14:solidFill>
              <w14:schemeClr w14:val="tx1"/>
            </w14:solidFill>
          </w14:textFill>
        </w:rPr>
        <w:t>表3.6-7  臭气强度表示方法</w:t>
      </w:r>
    </w:p>
    <w:tbl>
      <w:tblPr>
        <w:tblStyle w:val="25"/>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49"/>
        <w:gridCol w:w="755"/>
        <w:gridCol w:w="2182"/>
        <w:gridCol w:w="1925"/>
        <w:gridCol w:w="1328"/>
        <w:gridCol w:w="1048"/>
        <w:gridCol w:w="11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04"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t>级别</w:t>
            </w:r>
          </w:p>
        </w:tc>
        <w:tc>
          <w:tcPr>
            <w:tcW w:w="4395" w:type="pct"/>
            <w:gridSpan w:val="6"/>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t>臭气强度/级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04" w:type="pct"/>
            <w:vMerge w:val="restar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t>表示方法</w:t>
            </w:r>
          </w:p>
        </w:tc>
        <w:tc>
          <w:tcPr>
            <w:tcW w:w="39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t>0</w:t>
            </w:r>
          </w:p>
        </w:tc>
        <w:tc>
          <w:tcPr>
            <w:tcW w:w="114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t>1</w:t>
            </w:r>
          </w:p>
        </w:tc>
        <w:tc>
          <w:tcPr>
            <w:tcW w:w="10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t>2</w:t>
            </w:r>
          </w:p>
        </w:tc>
        <w:tc>
          <w:tcPr>
            <w:tcW w:w="698"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t>3</w:t>
            </w:r>
          </w:p>
        </w:tc>
        <w:tc>
          <w:tcPr>
            <w:tcW w:w="551"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t>4</w:t>
            </w:r>
          </w:p>
        </w:tc>
        <w:tc>
          <w:tcPr>
            <w:tcW w:w="58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04"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pPr>
          </w:p>
        </w:tc>
        <w:tc>
          <w:tcPr>
            <w:tcW w:w="39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t>无臭</w:t>
            </w:r>
          </w:p>
        </w:tc>
        <w:tc>
          <w:tcPr>
            <w:tcW w:w="114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t>勉强感觉臭味存在（嗅觉阈值）</w:t>
            </w:r>
          </w:p>
        </w:tc>
        <w:tc>
          <w:tcPr>
            <w:tcW w:w="10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t>确认臭味存在（认知阈值）</w:t>
            </w:r>
          </w:p>
        </w:tc>
        <w:tc>
          <w:tcPr>
            <w:tcW w:w="698"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t>极易感觉臭味存在</w:t>
            </w:r>
          </w:p>
        </w:tc>
        <w:tc>
          <w:tcPr>
            <w:tcW w:w="551"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t>臭气明显存在</w:t>
            </w:r>
          </w:p>
        </w:tc>
        <w:tc>
          <w:tcPr>
            <w:tcW w:w="58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val="0"/>
                <w:smallCaps w:val="0"/>
                <w:color w:val="000000" w:themeColor="text1"/>
                <w:kern w:val="0"/>
                <w:sz w:val="21"/>
                <w:szCs w:val="21"/>
                <w:lang w:val="en-US" w:eastAsia="zh-CN"/>
                <w14:textFill>
                  <w14:solidFill>
                    <w14:schemeClr w14:val="tx1"/>
                  </w14:solidFill>
                </w14:textFill>
              </w:rPr>
              <w:t>臭气强烈存在</w:t>
            </w:r>
          </w:p>
        </w:tc>
      </w:tr>
    </w:tbl>
    <w:p>
      <w:pPr>
        <w:keepNext w:val="0"/>
        <w:keepLines w:val="0"/>
        <w:pageBreakBefore w:val="0"/>
        <w:wordWrap/>
        <w:overflowPunct/>
        <w:topLinePunct w:val="0"/>
        <w:autoSpaceDE w:val="0"/>
        <w:autoSpaceDN w:val="0"/>
        <w:bidi w:val="0"/>
        <w:spacing w:line="360" w:lineRule="auto"/>
        <w:ind w:firstLine="480" w:firstLineChars="200"/>
        <w:jc w:val="both"/>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smallCaps w:val="0"/>
          <w:snapToGrid w:val="0"/>
          <w:color w:val="000000" w:themeColor="text1"/>
          <w:kern w:val="2"/>
          <w:sz w:val="24"/>
          <w:szCs w:val="24"/>
          <w:lang w:val="en-US" w:eastAsia="zh-CN" w:bidi="ar-SA"/>
          <w14:textFill>
            <w14:solidFill>
              <w14:schemeClr w14:val="tx1"/>
            </w14:solidFill>
          </w14:textFill>
        </w:rPr>
        <w:t>对照国外研究，恶臭污染物质量浓度与臭气强度对照表见表3.6-8。</w:t>
      </w:r>
    </w:p>
    <w:p>
      <w:pPr>
        <w:keepNext w:val="0"/>
        <w:keepLines w:val="0"/>
        <w:pageBreakBefore w:val="0"/>
        <w:widowControl w:val="0"/>
        <w:tabs>
          <w:tab w:val="left" w:pos="7770"/>
        </w:tabs>
        <w:kinsoku/>
        <w:wordWrap/>
        <w:overflowPunct/>
        <w:topLinePunct w:val="0"/>
        <w:autoSpaceDE w:val="0"/>
        <w:autoSpaceDN w:val="0"/>
        <w:bidi w:val="0"/>
        <w:adjustRightInd/>
        <w:snapToGrid/>
        <w:spacing w:line="360" w:lineRule="auto"/>
        <w:contextualSpacing/>
        <w:jc w:val="center"/>
        <w:textAlignment w:val="auto"/>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t>表3.6-8  恶臭污染物质量浓度与臭气强度的对照（摘录）</w:t>
      </w:r>
    </w:p>
    <w:p>
      <w:pPr>
        <w:autoSpaceDE w:val="0"/>
        <w:autoSpaceDN w:val="0"/>
        <w:adjustRightInd w:val="0"/>
        <w:spacing w:line="240" w:lineRule="auto"/>
        <w:ind w:left="0" w:leftChars="0" w:firstLine="0" w:firstLineChars="0"/>
        <w:contextualSpacing/>
        <w:jc w:val="center"/>
        <w:rPr>
          <w:rFonts w:hint="default" w:ascii="Times New Roman" w:hAnsi="Times New Roman" w:eastAsia="宋体" w:cs="Times New Roman"/>
          <w:b/>
          <w:bCs/>
          <w:color w:val="0000FF"/>
          <w:kern w:val="2"/>
          <w:sz w:val="24"/>
          <w:szCs w:val="24"/>
          <w:lang w:val="en-US" w:eastAsia="zh-CN" w:bidi="ar-SA"/>
        </w:rPr>
      </w:pPr>
      <w:r>
        <w:rPr>
          <w:rFonts w:hint="default" w:ascii="Times New Roman" w:hAnsi="Times New Roman" w:cs="Times New Roman"/>
          <w:color w:val="0000FF"/>
        </w:rPr>
        <w:drawing>
          <wp:inline distT="0" distB="0" distL="114300" distR="114300">
            <wp:extent cx="5391150" cy="1967865"/>
            <wp:effectExtent l="0" t="0" r="0" b="13335"/>
            <wp:docPr id="3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1"/>
                    <pic:cNvPicPr>
                      <a:picLocks noChangeAspect="1"/>
                    </pic:cNvPicPr>
                  </pic:nvPicPr>
                  <pic:blipFill>
                    <a:blip r:embed="rId41"/>
                    <a:stretch>
                      <a:fillRect/>
                    </a:stretch>
                  </pic:blipFill>
                  <pic:spPr>
                    <a:xfrm>
                      <a:off x="0" y="0"/>
                      <a:ext cx="5391150" cy="19678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对照上表可知，本项目待宰圈臭气强度为4级，根据《臭气强度与臭气浓度间的定量关系研究》（耿静等，城市环境与城市生态，2014），臭气浓度和臭气强度关系式为：</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Y=0.5893lnX-0.7877</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其中，Y为臭气强度，X为臭气浓度。</w:t>
      </w:r>
    </w:p>
    <w:p>
      <w:pPr>
        <w:keepNext w:val="0"/>
        <w:keepLines w:val="0"/>
        <w:pageBreakBefore w:val="0"/>
        <w:widowControl w:val="0"/>
        <w:kinsoku/>
        <w:wordWrap/>
        <w:overflowPunct/>
        <w:topLinePunct w:val="0"/>
        <w:autoSpaceDE w:val="0"/>
        <w:autoSpaceDN w:val="0"/>
        <w:bidi w:val="0"/>
        <w:adjustRightInd/>
        <w:snapToGrid/>
        <w:spacing w:line="360" w:lineRule="auto"/>
        <w:ind w:leftChars="0" w:firstLine="480" w:firstLineChars="200"/>
        <w:jc w:val="both"/>
        <w:textAlignment w:val="auto"/>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经计算，臭气强度为4级时，臭气浓度为3376。</w:t>
      </w:r>
    </w:p>
    <w:p>
      <w:pPr>
        <w:keepNext w:val="0"/>
        <w:keepLines w:val="0"/>
        <w:pageBreakBefore w:val="0"/>
        <w:widowControl w:val="0"/>
        <w:kinsoku/>
        <w:wordWrap/>
        <w:overflowPunct/>
        <w:topLinePunct w:val="0"/>
        <w:autoSpaceDE w:val="0"/>
        <w:autoSpaceDN w:val="0"/>
        <w:bidi w:val="0"/>
        <w:adjustRightInd/>
        <w:snapToGrid/>
        <w:spacing w:line="360" w:lineRule="auto"/>
        <w:ind w:leftChars="0" w:firstLine="480" w:firstLineChars="200"/>
        <w:jc w:val="both"/>
        <w:textAlignment w:val="auto"/>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待宰圈全封闭设置，定期喷洒生物除臭剂，除臭效率50%，恶臭气体集中收集经活性炭吸附后，由15m高排气筒排放，风机风量3000m</w:t>
      </w:r>
      <w:r>
        <w:rPr>
          <w:rFonts w:hint="default" w:ascii="Times New Roman" w:hAnsi="Times New Roman" w:eastAsia="宋体" w:cs="Times New Roman"/>
          <w:color w:val="000000" w:themeColor="text1"/>
          <w:kern w:val="2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/h，收集率约80%左右，净化效率70%。</w:t>
      </w:r>
      <w:r>
        <w:rPr>
          <w:rFonts w:hint="default" w:ascii="Times New Roman" w:hAnsi="Times New Roman" w:cs="Times New Roman"/>
          <w:color w:val="000000" w:themeColor="text1"/>
          <w:sz w:val="24"/>
          <w:szCs w:val="24"/>
          <w:highlight w:val="none"/>
          <w14:textFill>
            <w14:solidFill>
              <w14:schemeClr w14:val="tx1"/>
            </w14:solidFill>
          </w14:textFill>
        </w:rPr>
        <w:t>待宰</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圈</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恶臭</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有组织</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排放量为NH</w:t>
      </w:r>
      <w:r>
        <w:rPr>
          <w:rFonts w:hint="default" w:ascii="Times New Roman" w:hAnsi="Times New Roman" w:eastAsia="宋体" w:cs="Times New Roman"/>
          <w:color w:val="000000" w:themeColor="text1"/>
          <w:spacing w:val="0"/>
          <w:sz w:val="24"/>
          <w:szCs w:val="24"/>
          <w:highlight w:val="none"/>
          <w:vertAlign w:val="subscript"/>
          <w14:textFill>
            <w14:solidFill>
              <w14:schemeClr w14:val="tx1"/>
            </w14:solidFill>
          </w14:textFill>
        </w:rPr>
        <w:t>3</w:t>
      </w:r>
      <w:r>
        <w:rPr>
          <w:rFonts w:hint="eastAsia"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0.0195</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kg/h</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，H</w:t>
      </w:r>
      <w:r>
        <w:rPr>
          <w:rFonts w:hint="default" w:ascii="Times New Roman" w:hAnsi="Times New Roman" w:eastAsia="宋体" w:cs="Times New Roman"/>
          <w:bCs/>
          <w:color w:val="000000" w:themeColor="text1"/>
          <w:spacing w:val="0"/>
          <w:sz w:val="24"/>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S</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约</w:t>
      </w:r>
      <w:r>
        <w:rPr>
          <w:rFonts w:hint="eastAsia"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0.0029</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kg/h</w:t>
      </w:r>
      <w:r>
        <w:rPr>
          <w:rFonts w:hint="default" w:ascii="Times New Roman" w:hAnsi="Times New Roman" w:eastAsia="宋体" w:cs="Times New Roman"/>
          <w:b w:val="0"/>
          <w:bCs w:val="0"/>
          <w:i w:val="0"/>
          <w:iCs w:val="0"/>
          <w:color w:val="000000" w:themeColor="text1"/>
          <w:spacing w:val="0"/>
          <w:kern w:val="21"/>
          <w:sz w:val="24"/>
          <w:szCs w:val="24"/>
          <w:highlight w:val="none"/>
          <w:u w:val="none"/>
          <w:lang w:eastAsia="zh-CN"/>
          <w14:textFill>
            <w14:solidFill>
              <w14:schemeClr w14:val="tx1"/>
            </w14:solidFill>
          </w14:textFill>
        </w:rPr>
        <w:t>，</w:t>
      </w:r>
      <w:r>
        <w:rPr>
          <w:rFonts w:hint="default" w:ascii="Times New Roman" w:hAnsi="Times New Roman" w:eastAsia="宋体" w:cs="Times New Roman"/>
          <w:b w:val="0"/>
          <w:bCs w:val="0"/>
          <w:i w:val="0"/>
          <w:iCs w:val="0"/>
          <w:color w:val="000000" w:themeColor="text1"/>
          <w:spacing w:val="0"/>
          <w:kern w:val="21"/>
          <w:sz w:val="24"/>
          <w:szCs w:val="24"/>
          <w:highlight w:val="none"/>
          <w:u w:val="none"/>
          <w:lang w:val="en-US" w:eastAsia="zh-CN"/>
          <w14:textFill>
            <w14:solidFill>
              <w14:schemeClr w14:val="tx1"/>
            </w14:solidFill>
          </w14:textFill>
        </w:rPr>
        <w:t>臭气浓度405（无量纲）</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无组织排放量为</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NH</w:t>
      </w:r>
      <w:r>
        <w:rPr>
          <w:rFonts w:hint="default" w:ascii="Times New Roman" w:hAnsi="Times New Roman" w:eastAsia="宋体" w:cs="Times New Roman"/>
          <w:color w:val="000000" w:themeColor="text1"/>
          <w:spacing w:val="0"/>
          <w:sz w:val="24"/>
          <w:szCs w:val="24"/>
          <w:highlight w:val="none"/>
          <w:vertAlign w:val="subscript"/>
          <w14:textFill>
            <w14:solidFill>
              <w14:schemeClr w14:val="tx1"/>
            </w14:solidFill>
          </w14:textFill>
        </w:rPr>
        <w:t>3</w:t>
      </w:r>
      <w:r>
        <w:rPr>
          <w:rFonts w:hint="eastAsia"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0.01625</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kg/h</w:t>
      </w:r>
      <w:r>
        <w:rPr>
          <w:rFonts w:hint="default" w:ascii="Times New Roman" w:hAnsi="Times New Roman" w:eastAsia="宋体" w:cs="Times New Roman"/>
          <w:color w:val="000000" w:themeColor="text1"/>
          <w:spacing w:val="0"/>
          <w:sz w:val="24"/>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H</w:t>
      </w:r>
      <w:r>
        <w:rPr>
          <w:rFonts w:hint="default" w:ascii="Times New Roman" w:hAnsi="Times New Roman" w:eastAsia="宋体" w:cs="Times New Roman"/>
          <w:bCs/>
          <w:color w:val="000000" w:themeColor="text1"/>
          <w:spacing w:val="0"/>
          <w:sz w:val="24"/>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S</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约</w:t>
      </w:r>
      <w:r>
        <w:rPr>
          <w:rFonts w:hint="eastAsia"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0.00244</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kg/h</w:t>
      </w:r>
      <w:r>
        <w:rPr>
          <w:rFonts w:hint="default" w:ascii="Times New Roman" w:hAnsi="Times New Roman" w:eastAsia="宋体" w:cs="Times New Roman"/>
          <w:color w:val="000000" w:themeColor="text1"/>
          <w:spacing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臭气浓度</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338（无量纲），</w:t>
      </w: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类比</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《重庆腾驰食品有限公司生猪屠宰扩建项目（一阶段）竣工环境保护</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验收监测报告</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2020年10月</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）可知，</w:t>
      </w: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厂界臭气浓度＜10（无量纲）。</w:t>
      </w:r>
    </w:p>
    <w:p>
      <w:pPr>
        <w:keepNext w:val="0"/>
        <w:keepLines w:val="0"/>
        <w:pageBreakBefore w:val="0"/>
        <w:wordWrap/>
        <w:overflowPunct/>
        <w:topLinePunct w:val="0"/>
        <w:bidi w:val="0"/>
        <w:spacing w:line="360" w:lineRule="auto"/>
        <w:ind w:firstLine="480" w:firstLineChars="200"/>
        <w:jc w:val="both"/>
        <w:rPr>
          <w:rFonts w:hint="default" w:ascii="Times New Roman" w:hAnsi="Times New Roman" w:eastAsia="宋体" w:cs="Times New Roman"/>
          <w:color w:val="000000" w:themeColor="text1"/>
          <w:spacing w:val="0"/>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instrText xml:space="preserve"> = 2 \* GB3 \* MERGEFORMAT </w:instrTex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fldChar w:fldCharType="separate"/>
      </w:r>
      <w:r>
        <w:rPr>
          <w:rFonts w:hint="default" w:ascii="Times New Roman" w:hAnsi="Times New Roman" w:cs="Times New Roman"/>
          <w:color w:val="000000" w:themeColor="text1"/>
          <w:sz w:val="24"/>
          <w:szCs w:val="24"/>
          <w:highlight w:val="none"/>
          <w14:textFill>
            <w14:solidFill>
              <w14:schemeClr w14:val="tx1"/>
            </w14:solidFill>
          </w14:textFill>
        </w:rPr>
        <w:t>②</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屠宰</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加工</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车间恶臭</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000000" w:themeColor="text1"/>
          <w:spacing w:val="0"/>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屠宰加工车间内许多作业都要是用热水，空气湿度很高，工作场所大，空气流动量相当大，各种牲畜的湿皮、血、胃内容物的臭气混杂在一起，产生刺鼻的腥臭味，如果有血、骨或脂肪残留而不及时处理，便会迅速腐烂，腥臭味更为严重，本项目设置专门岗位和人员进行监管，定时冲刷处理，并在产生较大异味工序屠宰烫毛、脱毛工序、开膛摘除内脏工序采用</w:t>
      </w: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风机集中收集+活性炭吸附净化后，由15m高排气筒排放，风机风量3000m</w:t>
      </w:r>
      <w:r>
        <w:rPr>
          <w:rFonts w:hint="default" w:ascii="Times New Roman" w:hAnsi="Times New Roman" w:eastAsia="宋体" w:cs="Times New Roman"/>
          <w:color w:val="000000" w:themeColor="text1"/>
          <w:kern w:val="2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/h，收集率约80%左右，净化效率70%。</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根据《重庆腾驰食品有限公司生猪屠宰扩建项目（一阶段）竣工环境保护</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验收监测报告</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2020年10月</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）可知，重庆腾驰食品有限公司对其屠宰车间采取的废气处理设施为采用负压收集的措施后通过活性炭吸附装置，净化后的废气用过</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15m高排气筒排入环境。本项目对屠宰车间废气采取的废气治理措施与</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重庆腾驰食品有限公司</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采取的废气治理措施相同，本项目屠宰车间有组织废气源强采用</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《重庆腾驰食品有限公司生猪屠宰扩建项目（一阶段）竣工环境保护</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验收监测报告</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2020年10月</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）中屠宰车间排气筒实际验收监测值取最大值，</w:t>
      </w: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该项目验收监测工况为76%，生猪屠宰线有组织氨排放速率0.0043kg/h，有组织硫化氢产生速率0.0002kg/h，臭气浓度1303（无量纲）。</w:t>
      </w:r>
    </w:p>
    <w:p>
      <w:pPr>
        <w:keepNext w:val="0"/>
        <w:keepLines w:val="0"/>
        <w:pageBreakBefore w:val="0"/>
        <w:widowControl w:val="0"/>
        <w:tabs>
          <w:tab w:val="left" w:pos="7770"/>
        </w:tabs>
        <w:kinsoku/>
        <w:wordWrap/>
        <w:overflowPunct/>
        <w:topLinePunct w:val="0"/>
        <w:autoSpaceDE w:val="0"/>
        <w:autoSpaceDN w:val="0"/>
        <w:bidi w:val="0"/>
        <w:adjustRightInd/>
        <w:snapToGrid/>
        <w:spacing w:line="360" w:lineRule="auto"/>
        <w:ind w:firstLine="422" w:firstLineChars="200"/>
        <w:contextualSpacing/>
        <w:jc w:val="center"/>
        <w:textAlignment w:val="auto"/>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表3.6-9   本项目与参考项目可类比分析表</w:t>
      </w:r>
    </w:p>
    <w:tbl>
      <w:tblPr>
        <w:tblStyle w:val="25"/>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5"/>
        <w:gridCol w:w="3332"/>
        <w:gridCol w:w="3114"/>
        <w:gridCol w:w="1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 w:type="pct"/>
            <w:tcBorders>
              <w:top w:val="single" w:color="auto" w:sz="12" w:space="0"/>
              <w:left w:val="nil"/>
              <w:bottom w:val="single" w:color="auto" w:sz="6" w:space="0"/>
              <w:right w:val="single" w:color="auto" w:sz="6"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t>对比项目</w:t>
            </w:r>
          </w:p>
        </w:tc>
        <w:tc>
          <w:tcPr>
            <w:tcW w:w="1752" w:type="pct"/>
            <w:tcBorders>
              <w:top w:val="single" w:color="auto" w:sz="12" w:space="0"/>
              <w:left w:val="single" w:color="auto" w:sz="6" w:space="0"/>
              <w:bottom w:val="single" w:color="auto" w:sz="6" w:space="0"/>
              <w:right w:val="single" w:color="auto" w:sz="6"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重庆腾驰食品有限公司</w:t>
            </w:r>
          </w:p>
        </w:tc>
        <w:tc>
          <w:tcPr>
            <w:tcW w:w="1637" w:type="pct"/>
            <w:tcBorders>
              <w:top w:val="single" w:color="auto" w:sz="12" w:space="0"/>
              <w:left w:val="single" w:color="auto" w:sz="6" w:space="0"/>
              <w:bottom w:val="single" w:color="auto" w:sz="6" w:space="0"/>
              <w:right w:val="single" w:color="auto" w:sz="6"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t>本项目</w:t>
            </w:r>
          </w:p>
        </w:tc>
        <w:tc>
          <w:tcPr>
            <w:tcW w:w="665" w:type="pct"/>
            <w:tcBorders>
              <w:top w:val="single" w:color="auto" w:sz="12" w:space="0"/>
              <w:left w:val="single" w:color="auto" w:sz="6" w:space="0"/>
              <w:bottom w:val="single" w:color="auto" w:sz="6" w:space="0"/>
              <w:right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t>比对结果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 w:type="pct"/>
            <w:tcBorders>
              <w:top w:val="single" w:color="auto" w:sz="6" w:space="0"/>
              <w:left w:val="nil"/>
              <w:bottom w:val="single" w:color="auto" w:sz="6" w:space="0"/>
              <w:right w:val="single" w:color="auto" w:sz="6"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t>屠宰规格</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t>（</w:t>
            </w:r>
            <w:r>
              <w:rPr>
                <w:rFonts w:hint="eastAsia" w:ascii="Times New Roman" w:hAnsi="Times New Roman" w:eastAsia="宋体" w:cs="Times New Roman"/>
                <w:color w:val="000000" w:themeColor="text1"/>
                <w:spacing w:val="0"/>
                <w:sz w:val="21"/>
                <w:szCs w:val="21"/>
                <w:highlight w:val="none"/>
                <w:vertAlign w:val="baseline"/>
                <w:lang w:val="en-US" w:eastAsia="zh-CN"/>
                <w14:textFill>
                  <w14:solidFill>
                    <w14:schemeClr w14:val="tx1"/>
                  </w14:solidFill>
                </w14:textFill>
              </w:rPr>
              <w:t>一阶段</w:t>
            </w:r>
            <w:r>
              <w:rPr>
                <w:rFonts w:hint="eastAsia"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t>）</w:t>
            </w:r>
          </w:p>
        </w:tc>
        <w:tc>
          <w:tcPr>
            <w:tcW w:w="1752"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t>年屠宰</w:t>
            </w:r>
            <w:r>
              <w:rPr>
                <w:rFonts w:hint="default" w:ascii="Times New Roman" w:hAnsi="Times New Roman" w:eastAsia="宋体" w:cs="Times New Roman"/>
                <w:color w:val="000000" w:themeColor="text1"/>
                <w:spacing w:val="0"/>
                <w:sz w:val="21"/>
                <w:szCs w:val="21"/>
                <w:highlight w:val="none"/>
                <w:vertAlign w:val="baseline"/>
                <w:lang w:val="en-US" w:eastAsia="zh-CN"/>
                <w14:textFill>
                  <w14:solidFill>
                    <w14:schemeClr w14:val="tx1"/>
                  </w14:solidFill>
                </w14:textFill>
              </w:rPr>
              <w:t>45万头</w:t>
            </w:r>
          </w:p>
        </w:tc>
        <w:tc>
          <w:tcPr>
            <w:tcW w:w="1637"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t>年屠宰</w:t>
            </w:r>
            <w:r>
              <w:rPr>
                <w:rFonts w:hint="default" w:ascii="Times New Roman" w:hAnsi="Times New Roman" w:eastAsia="宋体" w:cs="Times New Roman"/>
                <w:color w:val="000000" w:themeColor="text1"/>
                <w:spacing w:val="0"/>
                <w:sz w:val="21"/>
                <w:szCs w:val="21"/>
                <w:highlight w:val="none"/>
                <w:vertAlign w:val="baseline"/>
                <w:lang w:val="en-US" w:eastAsia="zh-CN"/>
                <w14:textFill>
                  <w14:solidFill>
                    <w14:schemeClr w14:val="tx1"/>
                  </w14:solidFill>
                </w14:textFill>
              </w:rPr>
              <w:t>16万头</w:t>
            </w:r>
          </w:p>
        </w:tc>
        <w:tc>
          <w:tcPr>
            <w:tcW w:w="665" w:type="pct"/>
            <w:tcBorders>
              <w:top w:val="single" w:color="auto" w:sz="6" w:space="0"/>
              <w:left w:val="single" w:color="auto" w:sz="6" w:space="0"/>
              <w:bottom w:val="single" w:color="auto" w:sz="6" w:space="0"/>
              <w:right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t>可类比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 w:type="pct"/>
            <w:tcBorders>
              <w:top w:val="single" w:color="auto" w:sz="6" w:space="0"/>
              <w:left w:val="nil"/>
              <w:bottom w:val="single" w:color="auto" w:sz="6" w:space="0"/>
              <w:right w:val="single" w:color="auto" w:sz="6"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t>工艺</w:t>
            </w:r>
          </w:p>
        </w:tc>
        <w:tc>
          <w:tcPr>
            <w:tcW w:w="1752"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t>现代化屠宰工艺，自动化高，不涉及手工屠宰，主要工艺：宰前检疫、冲洗、放血、清洗、烫毛、修刮、分割、劈半等</w:t>
            </w:r>
          </w:p>
        </w:tc>
        <w:tc>
          <w:tcPr>
            <w:tcW w:w="1637"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t>现代化屠宰工艺，自动化高，不涉及手工屠宰，主要工艺：宰前检疫、冲洗、放血、清洗、烫毛、修刮、分割、劈半等</w:t>
            </w:r>
          </w:p>
        </w:tc>
        <w:tc>
          <w:tcPr>
            <w:tcW w:w="665" w:type="pct"/>
            <w:tcBorders>
              <w:top w:val="single" w:color="auto" w:sz="6" w:space="0"/>
              <w:left w:val="single" w:color="auto" w:sz="6" w:space="0"/>
              <w:bottom w:val="single" w:color="auto" w:sz="6" w:space="0"/>
              <w:right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t>可类比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 w:type="pct"/>
            <w:tcBorders>
              <w:top w:val="single" w:color="auto" w:sz="6" w:space="0"/>
              <w:left w:val="nil"/>
              <w:bottom w:val="single" w:color="auto" w:sz="12" w:space="0"/>
              <w:right w:val="single" w:color="auto" w:sz="6"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t>废气处理措施</w:t>
            </w:r>
          </w:p>
        </w:tc>
        <w:tc>
          <w:tcPr>
            <w:tcW w:w="1752" w:type="pct"/>
            <w:tcBorders>
              <w:top w:val="single" w:color="auto" w:sz="6" w:space="0"/>
              <w:left w:val="single" w:color="auto" w:sz="6" w:space="0"/>
              <w:bottom w:val="single" w:color="auto" w:sz="12" w:space="0"/>
              <w:right w:val="single" w:color="auto" w:sz="6"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vertAlign w:val="baseline"/>
                <w:lang w:val="en-US" w:eastAsia="zh-CN"/>
                <w14:textFill>
                  <w14:solidFill>
                    <w14:schemeClr w14:val="tx1"/>
                  </w14:solidFill>
                </w14:textFill>
              </w:rPr>
              <w:t>活性炭吸附+15m高排气筒</w:t>
            </w:r>
          </w:p>
        </w:tc>
        <w:tc>
          <w:tcPr>
            <w:tcW w:w="1637" w:type="pct"/>
            <w:tcBorders>
              <w:top w:val="single" w:color="auto" w:sz="6" w:space="0"/>
              <w:left w:val="single" w:color="auto" w:sz="6" w:space="0"/>
              <w:bottom w:val="single" w:color="auto" w:sz="12" w:space="0"/>
              <w:right w:val="single" w:color="auto" w:sz="6"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vertAlign w:val="baseline"/>
                <w:lang w:val="en-US" w:eastAsia="zh-CN"/>
                <w14:textFill>
                  <w14:solidFill>
                    <w14:schemeClr w14:val="tx1"/>
                  </w14:solidFill>
                </w14:textFill>
              </w:rPr>
              <w:t>活性炭吸附+15m高排气筒</w:t>
            </w:r>
          </w:p>
        </w:tc>
        <w:tc>
          <w:tcPr>
            <w:tcW w:w="665" w:type="pct"/>
            <w:tcBorders>
              <w:top w:val="single" w:color="auto" w:sz="6" w:space="0"/>
              <w:left w:val="single" w:color="auto" w:sz="6" w:space="0"/>
              <w:bottom w:val="single" w:color="auto" w:sz="12" w:space="0"/>
              <w:right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4"/>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vertAlign w:val="baseline"/>
                <w:lang w:eastAsia="zh-CN"/>
                <w14:textFill>
                  <w14:solidFill>
                    <w14:schemeClr w14:val="tx1"/>
                  </w14:solidFill>
                </w14:textFill>
              </w:rPr>
              <w:t>可类比</w:t>
            </w:r>
          </w:p>
        </w:tc>
      </w:tr>
    </w:tbl>
    <w:p>
      <w:pPr>
        <w:keepNext w:val="0"/>
        <w:keepLines w:val="0"/>
        <w:pageBreakBefore w:val="0"/>
        <w:wordWrap/>
        <w:overflowPunct/>
        <w:topLinePunct w:val="0"/>
        <w:bidi w:val="0"/>
        <w:spacing w:line="360" w:lineRule="auto"/>
        <w:ind w:left="0" w:right="0" w:firstLine="480" w:firstLineChars="200"/>
        <w:jc w:val="both"/>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采用</w:t>
      </w: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风机集中收集+活性炭吸附净化</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的方式，风量</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3000</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m</w:t>
      </w:r>
      <w:r>
        <w:rPr>
          <w:rFonts w:hint="default" w:ascii="Times New Roman" w:hAnsi="Times New Roman" w:eastAsia="宋体" w:cs="Times New Roman"/>
          <w:color w:val="000000" w:themeColor="text1"/>
          <w:spacing w:val="0"/>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/h，</w:t>
      </w: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收集率约80%左右，净化效率70%。</w:t>
      </w: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通过折算可知，</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屠宰车间</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有组织恶臭气体</w:t>
      </w:r>
      <w:r>
        <w:rPr>
          <w:rFonts w:hint="default" w:ascii="Times New Roman" w:hAnsi="Times New Roman" w:eastAsia="宋体" w:cs="Times New Roman"/>
          <w:color w:val="000000" w:themeColor="text1"/>
          <w:spacing w:val="0"/>
          <w:sz w:val="24"/>
          <w:szCs w:val="24"/>
          <w:highlight w:val="none"/>
          <w:lang w:eastAsia="zh-CN"/>
          <w14:textFill>
            <w14:solidFill>
              <w14:schemeClr w14:val="tx1"/>
            </w14:solidFill>
          </w14:textFill>
        </w:rPr>
        <w:t>产生</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量为NH</w:t>
      </w:r>
      <w:r>
        <w:rPr>
          <w:rFonts w:hint="default" w:ascii="Times New Roman" w:hAnsi="Times New Roman" w:eastAsia="宋体" w:cs="Times New Roman"/>
          <w:color w:val="000000" w:themeColor="text1"/>
          <w:spacing w:val="0"/>
          <w:sz w:val="24"/>
          <w:szCs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0.0083</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kg/h</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，H</w:t>
      </w:r>
      <w:r>
        <w:rPr>
          <w:rFonts w:hint="default" w:ascii="Times New Roman" w:hAnsi="Times New Roman" w:eastAsia="宋体" w:cs="Times New Roman"/>
          <w:bCs/>
          <w:color w:val="000000" w:themeColor="text1"/>
          <w:spacing w:val="0"/>
          <w:sz w:val="24"/>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S</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约0.00</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04</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kg/h</w:t>
      </w:r>
      <w:r>
        <w:rPr>
          <w:rFonts w:hint="default" w:ascii="Times New Roman" w:hAnsi="Times New Roman" w:eastAsia="宋体" w:cs="Times New Roman"/>
          <w:color w:val="000000" w:themeColor="text1"/>
          <w:spacing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2538（无量纲）。则</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屠宰车间</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有组织恶臭气体排放量为NH</w:t>
      </w:r>
      <w:r>
        <w:rPr>
          <w:rFonts w:hint="default" w:ascii="Times New Roman" w:hAnsi="Times New Roman" w:eastAsia="宋体" w:cs="Times New Roman"/>
          <w:color w:val="000000" w:themeColor="text1"/>
          <w:spacing w:val="0"/>
          <w:sz w:val="24"/>
          <w:szCs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0.002</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kg/h</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，H</w:t>
      </w:r>
      <w:r>
        <w:rPr>
          <w:rFonts w:hint="default" w:ascii="Times New Roman" w:hAnsi="Times New Roman" w:eastAsia="宋体" w:cs="Times New Roman"/>
          <w:bCs/>
          <w:color w:val="000000" w:themeColor="text1"/>
          <w:spacing w:val="0"/>
          <w:sz w:val="24"/>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S</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约0.00</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01</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kg/h</w:t>
      </w:r>
      <w:r>
        <w:rPr>
          <w:rFonts w:hint="default" w:ascii="Times New Roman" w:hAnsi="Times New Roman" w:eastAsia="宋体" w:cs="Times New Roman"/>
          <w:color w:val="000000" w:themeColor="text1"/>
          <w:spacing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臭气浓度</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609（无量纲），</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无组织恶臭气体排放量为NH</w:t>
      </w:r>
      <w:r>
        <w:rPr>
          <w:rFonts w:hint="default" w:ascii="Times New Roman" w:hAnsi="Times New Roman" w:eastAsia="宋体" w:cs="Times New Roman"/>
          <w:color w:val="000000" w:themeColor="text1"/>
          <w:spacing w:val="0"/>
          <w:sz w:val="24"/>
          <w:szCs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0.0017</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kg/h</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，H</w:t>
      </w:r>
      <w:r>
        <w:rPr>
          <w:rFonts w:hint="default" w:ascii="Times New Roman" w:hAnsi="Times New Roman" w:eastAsia="宋体" w:cs="Times New Roman"/>
          <w:bCs/>
          <w:color w:val="000000" w:themeColor="text1"/>
          <w:spacing w:val="0"/>
          <w:sz w:val="24"/>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S</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约</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0.00008</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kg/h</w:t>
      </w:r>
      <w:r>
        <w:rPr>
          <w:rFonts w:hint="default" w:ascii="Times New Roman" w:hAnsi="Times New Roman" w:eastAsia="宋体" w:cs="Times New Roman"/>
          <w:color w:val="000000" w:themeColor="text1"/>
          <w:spacing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臭气浓度</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508（无量纲），</w:t>
      </w: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类比</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《重庆腾驰食品有限公司生猪屠宰扩建项目（一阶段）竣工环境保护</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验收监测报告</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2020年10月</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）可知，</w:t>
      </w: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厂界臭气浓度＜10（无量纲）。</w:t>
      </w:r>
    </w:p>
    <w:p>
      <w:pPr>
        <w:keepNext w:val="0"/>
        <w:keepLines w:val="0"/>
        <w:pageBreakBefore w:val="0"/>
        <w:wordWrap/>
        <w:overflowPunct/>
        <w:topLinePunct w:val="0"/>
        <w:bidi w:val="0"/>
        <w:spacing w:line="360" w:lineRule="auto"/>
        <w:ind w:left="0" w:right="0" w:firstLine="480" w:firstLineChars="200"/>
        <w:jc w:val="both"/>
        <w:rPr>
          <w:rFonts w:hint="default" w:ascii="Times New Roman" w:hAnsi="Times New Roman" w:eastAsia="宋体" w:cs="Times New Roman"/>
          <w:color w:val="000000" w:themeColor="text1"/>
          <w:spacing w:val="0"/>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instrText xml:space="preserve"> = 3 \* GB3 \* MERGEFORMAT </w:instrTex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fldChar w:fldCharType="separate"/>
      </w:r>
      <w:r>
        <w:rPr>
          <w:rFonts w:hint="default" w:ascii="Times New Roman" w:hAnsi="Times New Roman" w:cs="Times New Roman"/>
          <w:color w:val="000000" w:themeColor="text1"/>
          <w:sz w:val="24"/>
          <w:szCs w:val="24"/>
          <w:highlight w:val="none"/>
          <w14:textFill>
            <w14:solidFill>
              <w14:schemeClr w14:val="tx1"/>
            </w14:solidFill>
          </w14:textFill>
        </w:rPr>
        <w:t>③</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污水处理站恶臭</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本项目污水处理站恶臭气体主要来自</w:t>
      </w: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各池体</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产生氨、H</w:t>
      </w:r>
      <w:r>
        <w:rPr>
          <w:rFonts w:hint="default" w:ascii="Times New Roman" w:hAnsi="Times New Roman" w:eastAsia="宋体" w:cs="Times New Roman"/>
          <w:bCs/>
          <w:color w:val="000000" w:themeColor="text1"/>
          <w:spacing w:val="0"/>
          <w:sz w:val="24"/>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S等具有臭味的气体。项目对污水处理站产生的污泥及时清理；加强污水处理站周边卫生，定时清扫、冲刷，同时加强厂区绿化，种植高大乔木隔离带，减轻臭味厂区外扩散。污水处理站的恶臭产生源强较大，</w:t>
      </w:r>
      <w:r>
        <w:rPr>
          <w:rFonts w:hint="eastAsia"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本项目</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污水处理站封闭设置，沉淀池和调节池密闭收集气体，为地下式结构，其他池体为地上式结构，经密闭管道负压收集经活性炭吸附后</w:t>
      </w: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，由15m高排气筒排放，收集率约90%左右，恶臭气体净化率不低于70%</w:t>
      </w:r>
      <w:r>
        <w:rPr>
          <w:rFonts w:hint="eastAsia"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风机风量</w:t>
      </w: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3000</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m</w:t>
      </w:r>
      <w:r>
        <w:rPr>
          <w:rFonts w:hint="default" w:ascii="Times New Roman" w:hAnsi="Times New Roman" w:eastAsia="宋体" w:cs="Times New Roman"/>
          <w:bCs/>
          <w:color w:val="000000" w:themeColor="text1"/>
          <w:spacing w:val="0"/>
          <w:sz w:val="24"/>
          <w:szCs w:val="24"/>
          <w:highlight w:val="none"/>
          <w:vertAlign w:val="superscript"/>
          <w14:textFill>
            <w14:solidFill>
              <w14:schemeClr w14:val="tx1"/>
            </w14:solidFill>
          </w14:textFill>
        </w:rPr>
        <w:t>3</w:t>
      </w:r>
      <w:r>
        <w:rPr>
          <w:rFonts w:hint="default" w:ascii="Times New Roman" w:hAnsi="Times New Roman" w:eastAsia="宋体" w:cs="Times New Roman"/>
          <w:bCs/>
          <w:color w:val="000000" w:themeColor="text1"/>
          <w:spacing w:val="0"/>
          <w:sz w:val="24"/>
          <w:szCs w:val="24"/>
          <w:highlight w:val="none"/>
          <w14:textFill>
            <w14:solidFill>
              <w14:schemeClr w14:val="tx1"/>
            </w14:solidFill>
          </w14:textFill>
        </w:rPr>
        <w:t>/h。</w:t>
      </w: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污水处理站年运行340天，每天运行24小时。</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000000" w:themeColor="text1"/>
          <w:spacing w:val="0"/>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本项目污水处理站恶臭污染物源强</w:t>
      </w:r>
      <w:r>
        <w:rPr>
          <w:rFonts w:hint="default" w:ascii="Times New Roman" w:hAnsi="Times New Roman" w:eastAsia="宋体" w:cs="Times New Roman"/>
          <w:color w:val="000000" w:themeColor="text1"/>
          <w:spacing w:val="0"/>
          <w:kern w:val="0"/>
          <w:sz w:val="24"/>
          <w:szCs w:val="24"/>
          <w:highlight w:val="none"/>
          <w14:textFill>
            <w14:solidFill>
              <w14:schemeClr w14:val="tx1"/>
            </w14:solidFill>
          </w14:textFill>
        </w:rPr>
        <w:t>根据美国EPA对城市污水处理厂恶臭污染物产生情况的研究，每去除1g的BOD</w:t>
      </w:r>
      <w:r>
        <w:rPr>
          <w:rFonts w:hint="default" w:ascii="Times New Roman" w:hAnsi="Times New Roman" w:eastAsia="宋体" w:cs="Times New Roman"/>
          <w:color w:val="000000" w:themeColor="text1"/>
          <w:spacing w:val="0"/>
          <w:kern w:val="0"/>
          <w:sz w:val="24"/>
          <w:szCs w:val="24"/>
          <w:highlight w:val="none"/>
          <w:vertAlign w:val="subscript"/>
          <w14:textFill>
            <w14:solidFill>
              <w14:schemeClr w14:val="tx1"/>
            </w14:solidFill>
          </w14:textFill>
        </w:rPr>
        <w:t>5</w:t>
      </w:r>
      <w:r>
        <w:rPr>
          <w:rFonts w:hint="default" w:ascii="Times New Roman" w:hAnsi="Times New Roman" w:eastAsia="宋体" w:cs="Times New Roman"/>
          <w:color w:val="000000" w:themeColor="text1"/>
          <w:spacing w:val="0"/>
          <w:kern w:val="0"/>
          <w:sz w:val="24"/>
          <w:szCs w:val="24"/>
          <w:highlight w:val="none"/>
          <w14:textFill>
            <w14:solidFill>
              <w14:schemeClr w14:val="tx1"/>
            </w14:solidFill>
          </w14:textFill>
        </w:rPr>
        <w:t>，可产生0.0031g的NH</w:t>
      </w:r>
      <w:r>
        <w:rPr>
          <w:rFonts w:hint="default" w:ascii="Times New Roman" w:hAnsi="Times New Roman" w:eastAsia="宋体" w:cs="Times New Roman"/>
          <w:color w:val="000000" w:themeColor="text1"/>
          <w:spacing w:val="0"/>
          <w:kern w:val="0"/>
          <w:sz w:val="24"/>
          <w:szCs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pacing w:val="0"/>
          <w:kern w:val="0"/>
          <w:sz w:val="24"/>
          <w:szCs w:val="24"/>
          <w:highlight w:val="none"/>
          <w14:textFill>
            <w14:solidFill>
              <w14:schemeClr w14:val="tx1"/>
            </w14:solidFill>
          </w14:textFill>
        </w:rPr>
        <w:t>、0.00012g的H</w:t>
      </w:r>
      <w:r>
        <w:rPr>
          <w:rFonts w:hint="default" w:ascii="Times New Roman" w:hAnsi="Times New Roman" w:eastAsia="宋体" w:cs="Times New Roman"/>
          <w:color w:val="000000" w:themeColor="text1"/>
          <w:spacing w:val="0"/>
          <w:kern w:val="0"/>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pacing w:val="0"/>
          <w:kern w:val="0"/>
          <w:sz w:val="24"/>
          <w:szCs w:val="24"/>
          <w:highlight w:val="none"/>
          <w14:textFill>
            <w14:solidFill>
              <w14:schemeClr w14:val="tx1"/>
            </w14:solidFill>
          </w14:textFill>
        </w:rPr>
        <w:t>S，根据进出水浓度、设计规模可计算出NH</w:t>
      </w:r>
      <w:r>
        <w:rPr>
          <w:rFonts w:hint="default" w:ascii="Times New Roman" w:hAnsi="Times New Roman" w:eastAsia="宋体" w:cs="Times New Roman"/>
          <w:color w:val="000000" w:themeColor="text1"/>
          <w:spacing w:val="0"/>
          <w:kern w:val="0"/>
          <w:sz w:val="24"/>
          <w:szCs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pacing w:val="0"/>
          <w:kern w:val="0"/>
          <w:sz w:val="24"/>
          <w:szCs w:val="24"/>
          <w:highlight w:val="none"/>
          <w14:textFill>
            <w14:solidFill>
              <w14:schemeClr w14:val="tx1"/>
            </w14:solidFill>
          </w14:textFill>
        </w:rPr>
        <w:t>和H</w:t>
      </w:r>
      <w:r>
        <w:rPr>
          <w:rFonts w:hint="default" w:ascii="Times New Roman" w:hAnsi="Times New Roman" w:eastAsia="宋体" w:cs="Times New Roman"/>
          <w:color w:val="000000" w:themeColor="text1"/>
          <w:spacing w:val="0"/>
          <w:kern w:val="0"/>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pacing w:val="0"/>
          <w:kern w:val="0"/>
          <w:sz w:val="24"/>
          <w:szCs w:val="24"/>
          <w:highlight w:val="none"/>
          <w14:textFill>
            <w14:solidFill>
              <w14:schemeClr w14:val="tx1"/>
            </w14:solidFill>
          </w14:textFill>
        </w:rPr>
        <w:t>S的量。</w:t>
      </w:r>
    </w:p>
    <w:p>
      <w:pPr>
        <w:keepNext w:val="0"/>
        <w:keepLines w:val="0"/>
        <w:pageBreakBefore w:val="0"/>
        <w:wordWrap/>
        <w:overflowPunct/>
        <w:topLinePunct w:val="0"/>
        <w:bidi w:val="0"/>
        <w:spacing w:line="360" w:lineRule="auto"/>
        <w:ind w:left="0" w:right="0" w:firstLine="480" w:firstLineChars="200"/>
        <w:jc w:val="both"/>
        <w:rPr>
          <w:rFonts w:hint="default" w:ascii="Times New Roman" w:hAnsi="Times New Roman" w:eastAsia="宋体" w:cs="Times New Roman"/>
          <w:color w:val="000000" w:themeColor="text1"/>
          <w:spacing w:val="0"/>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0"/>
          <w:kern w:val="0"/>
          <w:sz w:val="24"/>
          <w:szCs w:val="24"/>
          <w:highlight w:val="none"/>
          <w14:textFill>
            <w14:solidFill>
              <w14:schemeClr w14:val="tx1"/>
            </w14:solidFill>
          </w14:textFill>
        </w:rPr>
        <w:t>本项目污水处理站BOD</w:t>
      </w:r>
      <w:r>
        <w:rPr>
          <w:rFonts w:hint="default" w:ascii="Times New Roman" w:hAnsi="Times New Roman" w:eastAsia="宋体" w:cs="Times New Roman"/>
          <w:color w:val="000000" w:themeColor="text1"/>
          <w:spacing w:val="0"/>
          <w:kern w:val="0"/>
          <w:sz w:val="24"/>
          <w:szCs w:val="24"/>
          <w:highlight w:val="none"/>
          <w:vertAlign w:val="subscript"/>
          <w14:textFill>
            <w14:solidFill>
              <w14:schemeClr w14:val="tx1"/>
            </w14:solidFill>
          </w14:textFill>
        </w:rPr>
        <w:t>5</w:t>
      </w:r>
      <w:r>
        <w:rPr>
          <w:rFonts w:hint="default" w:ascii="Times New Roman" w:hAnsi="Times New Roman" w:eastAsia="宋体" w:cs="Times New Roman"/>
          <w:color w:val="000000" w:themeColor="text1"/>
          <w:spacing w:val="0"/>
          <w:kern w:val="0"/>
          <w:sz w:val="24"/>
          <w:szCs w:val="24"/>
          <w:highlight w:val="none"/>
          <w14:textFill>
            <w14:solidFill>
              <w14:schemeClr w14:val="tx1"/>
            </w14:solidFill>
          </w14:textFill>
        </w:rPr>
        <w:t>处理量为</w:t>
      </w:r>
      <w:r>
        <w:rPr>
          <w:rFonts w:hint="default" w:ascii="Times New Roman" w:hAnsi="Times New Roman" w:eastAsia="宋体" w:cs="Times New Roman"/>
          <w:color w:val="000000" w:themeColor="text1"/>
          <w:spacing w:val="0"/>
          <w:kern w:val="0"/>
          <w:sz w:val="24"/>
          <w:szCs w:val="24"/>
          <w:highlight w:val="none"/>
          <w:lang w:val="en-US" w:eastAsia="zh-CN"/>
          <w14:textFill>
            <w14:solidFill>
              <w14:schemeClr w14:val="tx1"/>
            </w14:solidFill>
          </w14:textFill>
        </w:rPr>
        <w:t>11.99</w:t>
      </w:r>
      <w:r>
        <w:rPr>
          <w:rFonts w:hint="default" w:ascii="Times New Roman" w:hAnsi="Times New Roman" w:eastAsia="宋体" w:cs="Times New Roman"/>
          <w:color w:val="000000" w:themeColor="text1"/>
          <w:spacing w:val="0"/>
          <w:kern w:val="0"/>
          <w:sz w:val="24"/>
          <w:szCs w:val="24"/>
          <w:highlight w:val="none"/>
          <w14:textFill>
            <w14:solidFill>
              <w14:schemeClr w14:val="tx1"/>
            </w14:solidFill>
          </w14:textFill>
        </w:rPr>
        <w:t>t/a，则NH3产生量为</w:t>
      </w:r>
      <w:r>
        <w:rPr>
          <w:rFonts w:hint="default" w:ascii="Times New Roman" w:hAnsi="Times New Roman" w:eastAsia="宋体" w:cs="Times New Roman"/>
          <w:color w:val="000000" w:themeColor="text1"/>
          <w:spacing w:val="0"/>
          <w:kern w:val="0"/>
          <w:sz w:val="24"/>
          <w:szCs w:val="24"/>
          <w:highlight w:val="none"/>
          <w:lang w:val="en-US" w:eastAsia="zh-CN"/>
          <w14:textFill>
            <w14:solidFill>
              <w14:schemeClr w14:val="tx1"/>
            </w14:solidFill>
          </w14:textFill>
        </w:rPr>
        <w:t>0.037</w:t>
      </w:r>
      <w:r>
        <w:rPr>
          <w:rFonts w:hint="default" w:ascii="Times New Roman" w:hAnsi="Times New Roman" w:eastAsia="宋体" w:cs="Times New Roman"/>
          <w:color w:val="000000" w:themeColor="text1"/>
          <w:spacing w:val="0"/>
          <w:kern w:val="0"/>
          <w:sz w:val="24"/>
          <w:szCs w:val="24"/>
          <w:highlight w:val="none"/>
          <w14:textFill>
            <w14:solidFill>
              <w14:schemeClr w14:val="tx1"/>
            </w14:solidFill>
          </w14:textFill>
        </w:rPr>
        <w:t>t/a，H</w:t>
      </w:r>
      <w:r>
        <w:rPr>
          <w:rFonts w:hint="default" w:ascii="Times New Roman" w:hAnsi="Times New Roman" w:eastAsia="宋体" w:cs="Times New Roman"/>
          <w:color w:val="000000" w:themeColor="text1"/>
          <w:spacing w:val="0"/>
          <w:kern w:val="0"/>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pacing w:val="0"/>
          <w:kern w:val="0"/>
          <w:sz w:val="24"/>
          <w:szCs w:val="24"/>
          <w:highlight w:val="none"/>
          <w14:textFill>
            <w14:solidFill>
              <w14:schemeClr w14:val="tx1"/>
            </w14:solidFill>
          </w14:textFill>
        </w:rPr>
        <w:t>S产生量为</w:t>
      </w:r>
      <w:r>
        <w:rPr>
          <w:rFonts w:hint="default" w:ascii="Times New Roman" w:hAnsi="Times New Roman" w:eastAsia="宋体" w:cs="Times New Roman"/>
          <w:color w:val="000000" w:themeColor="text1"/>
          <w:spacing w:val="0"/>
          <w:kern w:val="0"/>
          <w:sz w:val="24"/>
          <w:szCs w:val="24"/>
          <w:highlight w:val="none"/>
          <w:lang w:val="en-US" w:eastAsia="zh-CN"/>
          <w14:textFill>
            <w14:solidFill>
              <w14:schemeClr w14:val="tx1"/>
            </w14:solidFill>
          </w14:textFill>
        </w:rPr>
        <w:t>0.0014</w:t>
      </w:r>
      <w:r>
        <w:rPr>
          <w:rFonts w:hint="default" w:ascii="Times New Roman" w:hAnsi="Times New Roman" w:eastAsia="宋体" w:cs="Times New Roman"/>
          <w:color w:val="000000" w:themeColor="text1"/>
          <w:spacing w:val="0"/>
          <w:kern w:val="0"/>
          <w:sz w:val="24"/>
          <w:szCs w:val="24"/>
          <w:highlight w:val="none"/>
          <w14:textFill>
            <w14:solidFill>
              <w14:schemeClr w14:val="tx1"/>
            </w14:solidFill>
          </w14:textFill>
        </w:rPr>
        <w:t>t/a。另根据</w:t>
      </w:r>
      <w:r>
        <w:rPr>
          <w:rFonts w:hint="default" w:ascii="Times New Roman" w:hAnsi="Times New Roman" w:eastAsia="宋体" w:cs="Times New Roman"/>
          <w:color w:val="000000" w:themeColor="text1"/>
          <w:spacing w:val="0"/>
          <w:sz w:val="24"/>
          <w:szCs w:val="24"/>
          <w:highlight w:val="none"/>
          <w:lang w:eastAsia="zh-CN"/>
          <w14:textFill>
            <w14:solidFill>
              <w14:schemeClr w14:val="tx1"/>
            </w14:solidFill>
          </w14:textFill>
        </w:rPr>
        <w:t>表</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3.6-7、3.6-8可知，臭气强度为4级，臭气浓度为3376（无量纲）</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本项目污水处理站封闭设置，沉淀池和调节池密闭收集气体，为地下式结构，其他池体为地上式结构，经密闭管道负压收集经活性炭吸附后，由15m高排气筒排放，收集率约90%左右，恶臭气体净化率不低于70%。</w:t>
      </w:r>
      <w:r>
        <w:rPr>
          <w:rFonts w:hint="default" w:ascii="Times New Roman" w:hAnsi="Times New Roman" w:cs="Times New Roman"/>
          <w:bCs/>
          <w:color w:val="000000" w:themeColor="text1"/>
          <w:kern w:val="0"/>
          <w:sz w:val="24"/>
          <w:highlight w:val="none"/>
          <w14:textFill>
            <w14:solidFill>
              <w14:schemeClr w14:val="tx1"/>
            </w14:solidFill>
          </w14:textFill>
        </w:rPr>
        <w:t>经计算，有组织NH</w:t>
      </w:r>
      <w:r>
        <w:rPr>
          <w:rFonts w:hint="default" w:ascii="Times New Roman" w:hAnsi="Times New Roman" w:cs="Times New Roman"/>
          <w:bCs/>
          <w:color w:val="000000" w:themeColor="text1"/>
          <w:kern w:val="0"/>
          <w:sz w:val="24"/>
          <w:highlight w:val="none"/>
          <w:vertAlign w:val="subscript"/>
          <w14:textFill>
            <w14:solidFill>
              <w14:schemeClr w14:val="tx1"/>
            </w14:solidFill>
          </w14:textFill>
        </w:rPr>
        <w:t>3</w:t>
      </w:r>
      <w:r>
        <w:rPr>
          <w:rFonts w:hint="default" w:ascii="Times New Roman" w:hAnsi="Times New Roman" w:cs="Times New Roman"/>
          <w:bCs/>
          <w:color w:val="000000" w:themeColor="text1"/>
          <w:kern w:val="0"/>
          <w:sz w:val="24"/>
          <w:highlight w:val="none"/>
          <w14:textFill>
            <w14:solidFill>
              <w14:schemeClr w14:val="tx1"/>
            </w14:solidFill>
          </w14:textFill>
        </w:rPr>
        <w:t>产生速率为</w:t>
      </w:r>
      <w:r>
        <w:rPr>
          <w:rFonts w:hint="default" w:ascii="Times New Roman" w:hAnsi="Times New Roman" w:cs="Times New Roman"/>
          <w:bCs/>
          <w:color w:val="000000" w:themeColor="text1"/>
          <w:kern w:val="0"/>
          <w:sz w:val="24"/>
          <w:highlight w:val="none"/>
          <w:lang w:val="en-US" w:eastAsia="zh-CN"/>
          <w14:textFill>
            <w14:solidFill>
              <w14:schemeClr w14:val="tx1"/>
            </w14:solidFill>
          </w14:textFill>
        </w:rPr>
        <w:t>0.0082</w:t>
      </w:r>
      <w:r>
        <w:rPr>
          <w:rFonts w:hint="default" w:ascii="Times New Roman" w:hAnsi="Times New Roman" w:cs="Times New Roman"/>
          <w:bCs/>
          <w:color w:val="000000" w:themeColor="text1"/>
          <w:kern w:val="0"/>
          <w:sz w:val="24"/>
          <w:highlight w:val="none"/>
          <w14:textFill>
            <w14:solidFill>
              <w14:schemeClr w14:val="tx1"/>
            </w14:solidFill>
          </w14:textFill>
        </w:rPr>
        <w:t>kg/h，产生量为</w:t>
      </w:r>
      <w:r>
        <w:rPr>
          <w:rFonts w:hint="default" w:ascii="Times New Roman" w:hAnsi="Times New Roman" w:cs="Times New Roman"/>
          <w:bCs/>
          <w:color w:val="000000" w:themeColor="text1"/>
          <w:kern w:val="0"/>
          <w:sz w:val="24"/>
          <w:highlight w:val="none"/>
          <w:lang w:val="en-US" w:eastAsia="zh-CN"/>
          <w14:textFill>
            <w14:solidFill>
              <w14:schemeClr w14:val="tx1"/>
            </w14:solidFill>
          </w14:textFill>
        </w:rPr>
        <w:t>0.0333</w:t>
      </w:r>
      <w:r>
        <w:rPr>
          <w:rFonts w:hint="default" w:ascii="Times New Roman" w:hAnsi="Times New Roman" w:cs="Times New Roman"/>
          <w:bCs/>
          <w:color w:val="000000" w:themeColor="text1"/>
          <w:kern w:val="0"/>
          <w:sz w:val="24"/>
          <w:highlight w:val="none"/>
          <w14:textFill>
            <w14:solidFill>
              <w14:schemeClr w14:val="tx1"/>
            </w14:solidFill>
          </w14:textFill>
        </w:rPr>
        <w:t>t/a，产生浓度为</w:t>
      </w:r>
      <w:r>
        <w:rPr>
          <w:rFonts w:hint="default" w:ascii="Times New Roman" w:hAnsi="Times New Roman" w:cs="Times New Roman"/>
          <w:bCs/>
          <w:color w:val="000000" w:themeColor="text1"/>
          <w:kern w:val="0"/>
          <w:sz w:val="24"/>
          <w:highlight w:val="none"/>
          <w:lang w:val="en-US" w:eastAsia="zh-CN"/>
          <w14:textFill>
            <w14:solidFill>
              <w14:schemeClr w14:val="tx1"/>
            </w14:solidFill>
          </w14:textFill>
        </w:rPr>
        <w:t>2.72</w:t>
      </w:r>
      <w:r>
        <w:rPr>
          <w:rFonts w:hint="default" w:ascii="Times New Roman" w:hAnsi="Times New Roman" w:cs="Times New Roman"/>
          <w:bCs/>
          <w:color w:val="000000" w:themeColor="text1"/>
          <w:kern w:val="0"/>
          <w:sz w:val="24"/>
          <w:highlight w:val="none"/>
          <w14:textFill>
            <w14:solidFill>
              <w14:schemeClr w14:val="tx1"/>
            </w14:solidFill>
          </w14:textFill>
        </w:rPr>
        <w:t>mg/m</w:t>
      </w:r>
      <w:r>
        <w:rPr>
          <w:rFonts w:hint="default" w:ascii="Times New Roman" w:hAnsi="Times New Roman" w:cs="Times New Roman"/>
          <w:bCs/>
          <w:color w:val="000000" w:themeColor="text1"/>
          <w:kern w:val="0"/>
          <w:sz w:val="24"/>
          <w:highlight w:val="none"/>
          <w:vertAlign w:val="superscript"/>
          <w14:textFill>
            <w14:solidFill>
              <w14:schemeClr w14:val="tx1"/>
            </w14:solidFill>
          </w14:textFill>
        </w:rPr>
        <w:t>3</w:t>
      </w:r>
      <w:r>
        <w:rPr>
          <w:rFonts w:hint="default" w:ascii="Times New Roman" w:hAnsi="Times New Roman" w:cs="Times New Roman"/>
          <w:bCs/>
          <w:color w:val="000000" w:themeColor="text1"/>
          <w:kern w:val="0"/>
          <w:sz w:val="24"/>
          <w:highlight w:val="none"/>
          <w14:textFill>
            <w14:solidFill>
              <w14:schemeClr w14:val="tx1"/>
            </w14:solidFill>
          </w14:textFill>
        </w:rPr>
        <w:t>，有组织H</w:t>
      </w:r>
      <w:r>
        <w:rPr>
          <w:rFonts w:hint="default" w:ascii="Times New Roman" w:hAnsi="Times New Roman" w:cs="Times New Roman"/>
          <w:bCs/>
          <w:color w:val="000000" w:themeColor="text1"/>
          <w:kern w:val="0"/>
          <w:sz w:val="24"/>
          <w:highlight w:val="none"/>
          <w:vertAlign w:val="subscript"/>
          <w14:textFill>
            <w14:solidFill>
              <w14:schemeClr w14:val="tx1"/>
            </w14:solidFill>
          </w14:textFill>
        </w:rPr>
        <w:t>2</w:t>
      </w:r>
      <w:r>
        <w:rPr>
          <w:rFonts w:hint="default" w:ascii="Times New Roman" w:hAnsi="Times New Roman" w:cs="Times New Roman"/>
          <w:bCs/>
          <w:color w:val="000000" w:themeColor="text1"/>
          <w:kern w:val="0"/>
          <w:sz w:val="24"/>
          <w:highlight w:val="none"/>
          <w14:textFill>
            <w14:solidFill>
              <w14:schemeClr w14:val="tx1"/>
            </w14:solidFill>
          </w14:textFill>
        </w:rPr>
        <w:t>S产生速率为</w:t>
      </w:r>
      <w:r>
        <w:rPr>
          <w:rFonts w:hint="default" w:ascii="Times New Roman" w:hAnsi="Times New Roman" w:cs="Times New Roman"/>
          <w:bCs/>
          <w:color w:val="000000" w:themeColor="text1"/>
          <w:kern w:val="0"/>
          <w:sz w:val="24"/>
          <w:highlight w:val="none"/>
          <w:lang w:val="en-US" w:eastAsia="zh-CN"/>
          <w14:textFill>
            <w14:solidFill>
              <w14:schemeClr w14:val="tx1"/>
            </w14:solidFill>
          </w14:textFill>
        </w:rPr>
        <w:t>0.0003</w:t>
      </w:r>
      <w:r>
        <w:rPr>
          <w:rFonts w:hint="default" w:ascii="Times New Roman" w:hAnsi="Times New Roman" w:cs="Times New Roman"/>
          <w:bCs/>
          <w:color w:val="000000" w:themeColor="text1"/>
          <w:kern w:val="0"/>
          <w:sz w:val="24"/>
          <w:highlight w:val="none"/>
          <w14:textFill>
            <w14:solidFill>
              <w14:schemeClr w14:val="tx1"/>
            </w14:solidFill>
          </w14:textFill>
        </w:rPr>
        <w:t>kg/h，产生量为</w:t>
      </w:r>
      <w:r>
        <w:rPr>
          <w:rFonts w:hint="default" w:ascii="Times New Roman" w:hAnsi="Times New Roman" w:cs="Times New Roman"/>
          <w:bCs/>
          <w:color w:val="000000" w:themeColor="text1"/>
          <w:kern w:val="0"/>
          <w:sz w:val="24"/>
          <w:highlight w:val="none"/>
          <w:lang w:val="en-US" w:eastAsia="zh-CN"/>
          <w14:textFill>
            <w14:solidFill>
              <w14:schemeClr w14:val="tx1"/>
            </w14:solidFill>
          </w14:textFill>
        </w:rPr>
        <w:t>0.00126</w:t>
      </w:r>
      <w:r>
        <w:rPr>
          <w:rFonts w:hint="default" w:ascii="Times New Roman" w:hAnsi="Times New Roman" w:cs="Times New Roman"/>
          <w:bCs/>
          <w:color w:val="000000" w:themeColor="text1"/>
          <w:kern w:val="0"/>
          <w:sz w:val="24"/>
          <w:highlight w:val="none"/>
          <w14:textFill>
            <w14:solidFill>
              <w14:schemeClr w14:val="tx1"/>
            </w14:solidFill>
          </w14:textFill>
        </w:rPr>
        <w:t>t/a，产生浓度为</w:t>
      </w:r>
      <w:r>
        <w:rPr>
          <w:rFonts w:hint="default" w:ascii="Times New Roman" w:hAnsi="Times New Roman" w:cs="Times New Roman"/>
          <w:bCs/>
          <w:color w:val="000000" w:themeColor="text1"/>
          <w:kern w:val="0"/>
          <w:sz w:val="24"/>
          <w:highlight w:val="none"/>
          <w:lang w:val="en-US" w:eastAsia="zh-CN"/>
          <w14:textFill>
            <w14:solidFill>
              <w14:schemeClr w14:val="tx1"/>
            </w14:solidFill>
          </w14:textFill>
        </w:rPr>
        <w:t>0.103</w:t>
      </w:r>
      <w:r>
        <w:rPr>
          <w:rFonts w:hint="default" w:ascii="Times New Roman" w:hAnsi="Times New Roman" w:cs="Times New Roman"/>
          <w:bCs/>
          <w:color w:val="000000" w:themeColor="text1"/>
          <w:kern w:val="0"/>
          <w:sz w:val="24"/>
          <w:highlight w:val="none"/>
          <w14:textFill>
            <w14:solidFill>
              <w14:schemeClr w14:val="tx1"/>
            </w14:solidFill>
          </w14:textFill>
        </w:rPr>
        <w:t>mg/m</w:t>
      </w:r>
      <w:r>
        <w:rPr>
          <w:rFonts w:hint="default" w:ascii="Times New Roman" w:hAnsi="Times New Roman" w:cs="Times New Roman"/>
          <w:bCs/>
          <w:color w:val="000000" w:themeColor="text1"/>
          <w:kern w:val="0"/>
          <w:sz w:val="24"/>
          <w:highlight w:val="none"/>
          <w:vertAlign w:val="superscript"/>
          <w14:textFill>
            <w14:solidFill>
              <w14:schemeClr w14:val="tx1"/>
            </w14:solidFill>
          </w14:textFill>
        </w:rPr>
        <w:t>3</w:t>
      </w:r>
      <w:r>
        <w:rPr>
          <w:rFonts w:hint="default" w:ascii="Times New Roman" w:hAnsi="Times New Roman" w:cs="Times New Roman"/>
          <w:bCs/>
          <w:color w:val="000000" w:themeColor="text1"/>
          <w:kern w:val="0"/>
          <w:sz w:val="24"/>
          <w:highlight w:val="none"/>
          <w14:textFill>
            <w14:solidFill>
              <w14:schemeClr w14:val="tx1"/>
            </w14:solidFill>
          </w14:textFill>
        </w:rPr>
        <w:t>，有组织臭气浓度为</w:t>
      </w: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3038</w:t>
      </w:r>
      <w:r>
        <w:rPr>
          <w:rFonts w:hint="default" w:ascii="Times New Roman" w:hAnsi="Times New Roman" w:cs="Times New Roman"/>
          <w:bCs/>
          <w:color w:val="000000" w:themeColor="text1"/>
          <w:kern w:val="0"/>
          <w:sz w:val="24"/>
          <w:highlight w:val="none"/>
          <w14:textFill>
            <w14:solidFill>
              <w14:schemeClr w14:val="tx1"/>
            </w14:solidFill>
          </w14:textFill>
        </w:rPr>
        <w:t>（无量纲）。经活性炭吸附净化后NH</w:t>
      </w:r>
      <w:r>
        <w:rPr>
          <w:rFonts w:hint="default" w:ascii="Times New Roman" w:hAnsi="Times New Roman" w:cs="Times New Roman"/>
          <w:bCs/>
          <w:color w:val="000000" w:themeColor="text1"/>
          <w:kern w:val="0"/>
          <w:sz w:val="24"/>
          <w:highlight w:val="none"/>
          <w:vertAlign w:val="subscript"/>
          <w14:textFill>
            <w14:solidFill>
              <w14:schemeClr w14:val="tx1"/>
            </w14:solidFill>
          </w14:textFill>
        </w:rPr>
        <w:t>3</w:t>
      </w:r>
      <w:r>
        <w:rPr>
          <w:rFonts w:hint="default" w:ascii="Times New Roman" w:hAnsi="Times New Roman" w:cs="Times New Roman"/>
          <w:bCs/>
          <w:color w:val="000000" w:themeColor="text1"/>
          <w:kern w:val="0"/>
          <w:sz w:val="24"/>
          <w:highlight w:val="none"/>
          <w14:textFill>
            <w14:solidFill>
              <w14:schemeClr w14:val="tx1"/>
            </w14:solidFill>
          </w14:textFill>
        </w:rPr>
        <w:t>排放速率为</w:t>
      </w:r>
      <w:r>
        <w:rPr>
          <w:rFonts w:hint="default" w:ascii="Times New Roman" w:hAnsi="Times New Roman" w:cs="Times New Roman"/>
          <w:bCs/>
          <w:color w:val="000000" w:themeColor="text1"/>
          <w:kern w:val="0"/>
          <w:sz w:val="24"/>
          <w:highlight w:val="none"/>
          <w:lang w:val="en-US" w:eastAsia="zh-CN"/>
          <w14:textFill>
            <w14:solidFill>
              <w14:schemeClr w14:val="tx1"/>
            </w14:solidFill>
          </w14:textFill>
        </w:rPr>
        <w:t>0.0025</w:t>
      </w:r>
      <w:r>
        <w:rPr>
          <w:rFonts w:hint="default" w:ascii="Times New Roman" w:hAnsi="Times New Roman" w:cs="Times New Roman"/>
          <w:bCs/>
          <w:color w:val="000000" w:themeColor="text1"/>
          <w:kern w:val="0"/>
          <w:sz w:val="24"/>
          <w:highlight w:val="none"/>
          <w14:textFill>
            <w14:solidFill>
              <w14:schemeClr w14:val="tx1"/>
            </w14:solidFill>
          </w14:textFill>
        </w:rPr>
        <w:t>kg/h，排放量为</w:t>
      </w:r>
      <w:r>
        <w:rPr>
          <w:rFonts w:hint="default" w:ascii="Times New Roman" w:hAnsi="Times New Roman" w:cs="Times New Roman"/>
          <w:bCs/>
          <w:color w:val="000000" w:themeColor="text1"/>
          <w:kern w:val="0"/>
          <w:sz w:val="24"/>
          <w:highlight w:val="none"/>
          <w:lang w:val="en-US" w:eastAsia="zh-CN"/>
          <w14:textFill>
            <w14:solidFill>
              <w14:schemeClr w14:val="tx1"/>
            </w14:solidFill>
          </w14:textFill>
        </w:rPr>
        <w:t>0.0102</w:t>
      </w:r>
      <w:r>
        <w:rPr>
          <w:rFonts w:hint="default" w:ascii="Times New Roman" w:hAnsi="Times New Roman" w:cs="Times New Roman"/>
          <w:bCs/>
          <w:color w:val="000000" w:themeColor="text1"/>
          <w:kern w:val="0"/>
          <w:sz w:val="24"/>
          <w:highlight w:val="none"/>
          <w14:textFill>
            <w14:solidFill>
              <w14:schemeClr w14:val="tx1"/>
            </w14:solidFill>
          </w14:textFill>
        </w:rPr>
        <w:t>t/a，排放浓度为</w:t>
      </w:r>
      <w:r>
        <w:rPr>
          <w:rFonts w:hint="default" w:ascii="Times New Roman" w:hAnsi="Times New Roman" w:cs="Times New Roman"/>
          <w:bCs/>
          <w:color w:val="000000" w:themeColor="text1"/>
          <w:kern w:val="0"/>
          <w:sz w:val="24"/>
          <w:highlight w:val="none"/>
          <w:lang w:val="en-US" w:eastAsia="zh-CN"/>
          <w14:textFill>
            <w14:solidFill>
              <w14:schemeClr w14:val="tx1"/>
            </w14:solidFill>
          </w14:textFill>
        </w:rPr>
        <w:t>0.83</w:t>
      </w:r>
      <w:r>
        <w:rPr>
          <w:rFonts w:hint="default" w:ascii="Times New Roman" w:hAnsi="Times New Roman" w:cs="Times New Roman"/>
          <w:bCs/>
          <w:color w:val="000000" w:themeColor="text1"/>
          <w:kern w:val="0"/>
          <w:sz w:val="24"/>
          <w:highlight w:val="none"/>
          <w14:textFill>
            <w14:solidFill>
              <w14:schemeClr w14:val="tx1"/>
            </w14:solidFill>
          </w14:textFill>
        </w:rPr>
        <w:t>mg/m</w:t>
      </w:r>
      <w:r>
        <w:rPr>
          <w:rFonts w:hint="default" w:ascii="Times New Roman" w:hAnsi="Times New Roman" w:cs="Times New Roman"/>
          <w:bCs/>
          <w:color w:val="000000" w:themeColor="text1"/>
          <w:kern w:val="0"/>
          <w:sz w:val="24"/>
          <w:highlight w:val="none"/>
          <w:vertAlign w:val="superscript"/>
          <w14:textFill>
            <w14:solidFill>
              <w14:schemeClr w14:val="tx1"/>
            </w14:solidFill>
          </w14:textFill>
        </w:rPr>
        <w:t>3</w:t>
      </w:r>
      <w:r>
        <w:rPr>
          <w:rFonts w:hint="default" w:ascii="Times New Roman" w:hAnsi="Times New Roman" w:cs="Times New Roman"/>
          <w:bCs/>
          <w:color w:val="000000" w:themeColor="text1"/>
          <w:kern w:val="0"/>
          <w:sz w:val="24"/>
          <w:highlight w:val="none"/>
          <w14:textFill>
            <w14:solidFill>
              <w14:schemeClr w14:val="tx1"/>
            </w14:solidFill>
          </w14:textFill>
        </w:rPr>
        <w:t>，H</w:t>
      </w:r>
      <w:r>
        <w:rPr>
          <w:rFonts w:hint="default" w:ascii="Times New Roman" w:hAnsi="Times New Roman" w:cs="Times New Roman"/>
          <w:bCs/>
          <w:color w:val="000000" w:themeColor="text1"/>
          <w:kern w:val="0"/>
          <w:sz w:val="24"/>
          <w:highlight w:val="none"/>
          <w:vertAlign w:val="subscript"/>
          <w14:textFill>
            <w14:solidFill>
              <w14:schemeClr w14:val="tx1"/>
            </w14:solidFill>
          </w14:textFill>
        </w:rPr>
        <w:t>2</w:t>
      </w:r>
      <w:r>
        <w:rPr>
          <w:rFonts w:hint="default" w:ascii="Times New Roman" w:hAnsi="Times New Roman" w:cs="Times New Roman"/>
          <w:bCs/>
          <w:color w:val="000000" w:themeColor="text1"/>
          <w:kern w:val="0"/>
          <w:sz w:val="24"/>
          <w:highlight w:val="none"/>
          <w14:textFill>
            <w14:solidFill>
              <w14:schemeClr w14:val="tx1"/>
            </w14:solidFill>
          </w14:textFill>
        </w:rPr>
        <w:t>S排放速率为</w:t>
      </w:r>
      <w:r>
        <w:rPr>
          <w:rFonts w:hint="default" w:ascii="Times New Roman" w:hAnsi="Times New Roman" w:cs="Times New Roman"/>
          <w:bCs/>
          <w:color w:val="000000" w:themeColor="text1"/>
          <w:kern w:val="0"/>
          <w:sz w:val="24"/>
          <w:highlight w:val="none"/>
          <w:lang w:val="en-US" w:eastAsia="zh-CN"/>
          <w14:textFill>
            <w14:solidFill>
              <w14:schemeClr w14:val="tx1"/>
            </w14:solidFill>
          </w14:textFill>
        </w:rPr>
        <w:t>0.00009</w:t>
      </w:r>
      <w:r>
        <w:rPr>
          <w:rFonts w:hint="default" w:ascii="Times New Roman" w:hAnsi="Times New Roman" w:cs="Times New Roman"/>
          <w:bCs/>
          <w:color w:val="000000" w:themeColor="text1"/>
          <w:kern w:val="0"/>
          <w:sz w:val="24"/>
          <w:highlight w:val="none"/>
          <w14:textFill>
            <w14:solidFill>
              <w14:schemeClr w14:val="tx1"/>
            </w14:solidFill>
          </w14:textFill>
        </w:rPr>
        <w:t>kg/h，排放量为</w:t>
      </w:r>
      <w:r>
        <w:rPr>
          <w:rFonts w:hint="default" w:ascii="Times New Roman" w:hAnsi="Times New Roman" w:cs="Times New Roman"/>
          <w:bCs/>
          <w:color w:val="000000" w:themeColor="text1"/>
          <w:kern w:val="0"/>
          <w:sz w:val="24"/>
          <w:highlight w:val="none"/>
          <w:lang w:val="en-US" w:eastAsia="zh-CN"/>
          <w14:textFill>
            <w14:solidFill>
              <w14:schemeClr w14:val="tx1"/>
            </w14:solidFill>
          </w14:textFill>
        </w:rPr>
        <w:t>0.000022</w:t>
      </w:r>
      <w:r>
        <w:rPr>
          <w:rFonts w:hint="default" w:ascii="Times New Roman" w:hAnsi="Times New Roman" w:cs="Times New Roman"/>
          <w:bCs/>
          <w:color w:val="000000" w:themeColor="text1"/>
          <w:kern w:val="0"/>
          <w:sz w:val="24"/>
          <w:highlight w:val="none"/>
          <w14:textFill>
            <w14:solidFill>
              <w14:schemeClr w14:val="tx1"/>
            </w14:solidFill>
          </w14:textFill>
        </w:rPr>
        <w:t>t/a，排放浓度为</w:t>
      </w:r>
      <w:r>
        <w:rPr>
          <w:rFonts w:hint="default" w:ascii="Times New Roman" w:hAnsi="Times New Roman" w:cs="Times New Roman"/>
          <w:bCs/>
          <w:color w:val="000000" w:themeColor="text1"/>
          <w:kern w:val="0"/>
          <w:sz w:val="24"/>
          <w:highlight w:val="none"/>
          <w:lang w:val="en-US" w:eastAsia="zh-CN"/>
          <w14:textFill>
            <w14:solidFill>
              <w14:schemeClr w14:val="tx1"/>
            </w14:solidFill>
          </w14:textFill>
        </w:rPr>
        <w:t>0.0018</w:t>
      </w:r>
      <w:r>
        <w:rPr>
          <w:rFonts w:hint="default" w:ascii="Times New Roman" w:hAnsi="Times New Roman" w:cs="Times New Roman"/>
          <w:bCs/>
          <w:color w:val="000000" w:themeColor="text1"/>
          <w:kern w:val="0"/>
          <w:sz w:val="24"/>
          <w:highlight w:val="none"/>
          <w14:textFill>
            <w14:solidFill>
              <w14:schemeClr w14:val="tx1"/>
            </w14:solidFill>
          </w14:textFill>
        </w:rPr>
        <w:t>mg/m</w:t>
      </w:r>
      <w:r>
        <w:rPr>
          <w:rFonts w:hint="default" w:ascii="Times New Roman" w:hAnsi="Times New Roman" w:cs="Times New Roman"/>
          <w:bCs/>
          <w:color w:val="000000" w:themeColor="text1"/>
          <w:kern w:val="0"/>
          <w:sz w:val="24"/>
          <w:highlight w:val="none"/>
          <w:vertAlign w:val="superscript"/>
          <w14:textFill>
            <w14:solidFill>
              <w14:schemeClr w14:val="tx1"/>
            </w14:solidFill>
          </w14:textFill>
        </w:rPr>
        <w:t>3</w:t>
      </w:r>
      <w:r>
        <w:rPr>
          <w:rFonts w:hint="default" w:ascii="Times New Roman" w:hAnsi="Times New Roman" w:cs="Times New Roman"/>
          <w:bCs/>
          <w:color w:val="000000" w:themeColor="text1"/>
          <w:kern w:val="0"/>
          <w:sz w:val="24"/>
          <w:highlight w:val="none"/>
          <w14:textFill>
            <w14:solidFill>
              <w14:schemeClr w14:val="tx1"/>
            </w14:solidFill>
          </w14:textFill>
        </w:rPr>
        <w:t>，臭气浓度为</w:t>
      </w: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911</w:t>
      </w:r>
      <w:r>
        <w:rPr>
          <w:rFonts w:hint="default" w:ascii="Times New Roman" w:hAnsi="Times New Roman" w:cs="Times New Roman"/>
          <w:bCs/>
          <w:color w:val="000000" w:themeColor="text1"/>
          <w:kern w:val="0"/>
          <w:sz w:val="24"/>
          <w:highlight w:val="none"/>
          <w14:textFill>
            <w14:solidFill>
              <w14:schemeClr w14:val="tx1"/>
            </w14:solidFill>
          </w14:textFill>
        </w:rPr>
        <w:t>（无量纲）。无组织NH</w:t>
      </w:r>
      <w:r>
        <w:rPr>
          <w:rFonts w:hint="default" w:ascii="Times New Roman" w:hAnsi="Times New Roman" w:cs="Times New Roman"/>
          <w:bCs/>
          <w:color w:val="000000" w:themeColor="text1"/>
          <w:kern w:val="0"/>
          <w:sz w:val="24"/>
          <w:highlight w:val="none"/>
          <w:vertAlign w:val="subscript"/>
          <w14:textFill>
            <w14:solidFill>
              <w14:schemeClr w14:val="tx1"/>
            </w14:solidFill>
          </w14:textFill>
        </w:rPr>
        <w:t>3</w:t>
      </w:r>
      <w:r>
        <w:rPr>
          <w:rFonts w:hint="default" w:ascii="Times New Roman" w:hAnsi="Times New Roman" w:cs="Times New Roman"/>
          <w:bCs/>
          <w:color w:val="000000" w:themeColor="text1"/>
          <w:kern w:val="0"/>
          <w:sz w:val="24"/>
          <w:highlight w:val="none"/>
          <w14:textFill>
            <w14:solidFill>
              <w14:schemeClr w14:val="tx1"/>
            </w14:solidFill>
          </w14:textFill>
        </w:rPr>
        <w:t>排放速率为</w:t>
      </w:r>
      <w:r>
        <w:rPr>
          <w:rFonts w:hint="default" w:ascii="Times New Roman" w:hAnsi="Times New Roman" w:cs="Times New Roman"/>
          <w:bCs/>
          <w:color w:val="000000" w:themeColor="text1"/>
          <w:kern w:val="0"/>
          <w:sz w:val="24"/>
          <w:highlight w:val="none"/>
          <w:lang w:val="en-US" w:eastAsia="zh-CN"/>
          <w14:textFill>
            <w14:solidFill>
              <w14:schemeClr w14:val="tx1"/>
            </w14:solidFill>
          </w14:textFill>
        </w:rPr>
        <w:t>0.0009</w:t>
      </w:r>
      <w:r>
        <w:rPr>
          <w:rFonts w:hint="default" w:ascii="Times New Roman" w:hAnsi="Times New Roman" w:cs="Times New Roman"/>
          <w:bCs/>
          <w:color w:val="000000" w:themeColor="text1"/>
          <w:kern w:val="0"/>
          <w:sz w:val="24"/>
          <w:highlight w:val="none"/>
          <w14:textFill>
            <w14:solidFill>
              <w14:schemeClr w14:val="tx1"/>
            </w14:solidFill>
          </w14:textFill>
        </w:rPr>
        <w:t>kg/h，排放量为</w:t>
      </w:r>
      <w:r>
        <w:rPr>
          <w:rFonts w:hint="default" w:ascii="Times New Roman" w:hAnsi="Times New Roman" w:cs="Times New Roman"/>
          <w:bCs/>
          <w:color w:val="000000" w:themeColor="text1"/>
          <w:kern w:val="0"/>
          <w:sz w:val="24"/>
          <w:highlight w:val="none"/>
          <w:lang w:val="en-US" w:eastAsia="zh-CN"/>
          <w14:textFill>
            <w14:solidFill>
              <w14:schemeClr w14:val="tx1"/>
            </w14:solidFill>
          </w14:textFill>
        </w:rPr>
        <w:t>0.0037</w:t>
      </w:r>
      <w:r>
        <w:rPr>
          <w:rFonts w:hint="default" w:ascii="Times New Roman" w:hAnsi="Times New Roman" w:cs="Times New Roman"/>
          <w:bCs/>
          <w:color w:val="000000" w:themeColor="text1"/>
          <w:kern w:val="0"/>
          <w:sz w:val="24"/>
          <w:highlight w:val="none"/>
          <w14:textFill>
            <w14:solidFill>
              <w14:schemeClr w14:val="tx1"/>
            </w14:solidFill>
          </w14:textFill>
        </w:rPr>
        <w:t>t/a，H</w:t>
      </w:r>
      <w:r>
        <w:rPr>
          <w:rFonts w:hint="default" w:ascii="Times New Roman" w:hAnsi="Times New Roman" w:cs="Times New Roman"/>
          <w:bCs/>
          <w:color w:val="000000" w:themeColor="text1"/>
          <w:kern w:val="0"/>
          <w:sz w:val="24"/>
          <w:highlight w:val="none"/>
          <w:vertAlign w:val="subscript"/>
          <w14:textFill>
            <w14:solidFill>
              <w14:schemeClr w14:val="tx1"/>
            </w14:solidFill>
          </w14:textFill>
        </w:rPr>
        <w:t>2</w:t>
      </w:r>
      <w:r>
        <w:rPr>
          <w:rFonts w:hint="default" w:ascii="Times New Roman" w:hAnsi="Times New Roman" w:cs="Times New Roman"/>
          <w:bCs/>
          <w:color w:val="000000" w:themeColor="text1"/>
          <w:kern w:val="0"/>
          <w:sz w:val="24"/>
          <w:highlight w:val="none"/>
          <w14:textFill>
            <w14:solidFill>
              <w14:schemeClr w14:val="tx1"/>
            </w14:solidFill>
          </w14:textFill>
        </w:rPr>
        <w:t>S排放速率为</w:t>
      </w:r>
      <w:r>
        <w:rPr>
          <w:rFonts w:hint="default" w:ascii="Times New Roman" w:hAnsi="Times New Roman" w:cs="Times New Roman"/>
          <w:bCs/>
          <w:color w:val="000000" w:themeColor="text1"/>
          <w:kern w:val="0"/>
          <w:sz w:val="24"/>
          <w:highlight w:val="none"/>
          <w:lang w:val="en-US" w:eastAsia="zh-CN"/>
          <w14:textFill>
            <w14:solidFill>
              <w14:schemeClr w14:val="tx1"/>
            </w14:solidFill>
          </w14:textFill>
        </w:rPr>
        <w:t>0.00003</w:t>
      </w:r>
      <w:r>
        <w:rPr>
          <w:rFonts w:hint="default" w:ascii="Times New Roman" w:hAnsi="Times New Roman" w:cs="Times New Roman"/>
          <w:bCs/>
          <w:color w:val="000000" w:themeColor="text1"/>
          <w:kern w:val="0"/>
          <w:sz w:val="24"/>
          <w:highlight w:val="none"/>
          <w14:textFill>
            <w14:solidFill>
              <w14:schemeClr w14:val="tx1"/>
            </w14:solidFill>
          </w14:textFill>
        </w:rPr>
        <w:t>kg/h，排放量为</w:t>
      </w:r>
      <w:r>
        <w:rPr>
          <w:rFonts w:hint="default" w:ascii="Times New Roman" w:hAnsi="Times New Roman" w:cs="Times New Roman"/>
          <w:bCs/>
          <w:color w:val="000000" w:themeColor="text1"/>
          <w:kern w:val="0"/>
          <w:sz w:val="24"/>
          <w:highlight w:val="none"/>
          <w:lang w:val="en-US" w:eastAsia="zh-CN"/>
          <w14:textFill>
            <w14:solidFill>
              <w14:schemeClr w14:val="tx1"/>
            </w14:solidFill>
          </w14:textFill>
        </w:rPr>
        <w:t>0.00014</w:t>
      </w:r>
      <w:r>
        <w:rPr>
          <w:rFonts w:hint="default" w:ascii="Times New Roman" w:hAnsi="Times New Roman" w:cs="Times New Roman"/>
          <w:bCs/>
          <w:color w:val="000000" w:themeColor="text1"/>
          <w:kern w:val="0"/>
          <w:sz w:val="24"/>
          <w:highlight w:val="none"/>
          <w14:textFill>
            <w14:solidFill>
              <w14:schemeClr w14:val="tx1"/>
            </w14:solidFill>
          </w14:textFill>
        </w:rPr>
        <w:t>t/a，臭气浓度</w:t>
      </w:r>
      <w:r>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t>338</w:t>
      </w:r>
      <w:r>
        <w:rPr>
          <w:rFonts w:hint="default" w:ascii="Times New Roman" w:hAnsi="Times New Roman" w:cs="Times New Roman"/>
          <w:bCs/>
          <w:color w:val="000000" w:themeColor="text1"/>
          <w:kern w:val="0"/>
          <w:sz w:val="24"/>
          <w:highlight w:val="none"/>
          <w14:textFill>
            <w14:solidFill>
              <w14:schemeClr w14:val="tx1"/>
            </w14:solidFill>
          </w14:textFill>
        </w:rPr>
        <w:t>（无量纲）。</w:t>
      </w: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类比</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《重庆腾驰食品有限公司生猪屠宰扩建项目（一阶段）竣工环境保护</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验收监测报告</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2020年10月</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）可知，</w:t>
      </w: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厂界臭气浓度＜10（无量纲）。</w:t>
      </w:r>
    </w:p>
    <w:p>
      <w:pPr>
        <w:keepNext w:val="0"/>
        <w:keepLines w:val="0"/>
        <w:pageBreakBefore w:val="0"/>
        <w:wordWrap/>
        <w:overflowPunct/>
        <w:topLinePunct w:val="0"/>
        <w:bidi w:val="0"/>
        <w:spacing w:line="360" w:lineRule="auto"/>
        <w:ind w:left="0" w:right="0" w:firstLine="480" w:firstLineChars="200"/>
        <w:jc w:val="both"/>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④固废暂存间废气</w:t>
      </w:r>
    </w:p>
    <w:p>
      <w:pPr>
        <w:keepNext w:val="0"/>
        <w:keepLines w:val="0"/>
        <w:pageBreakBefore w:val="0"/>
        <w:wordWrap/>
        <w:overflowPunct/>
        <w:topLinePunct w:val="0"/>
        <w:bidi w:val="0"/>
        <w:spacing w:line="360" w:lineRule="auto"/>
        <w:ind w:left="0" w:right="0" w:firstLine="480" w:firstLineChars="200"/>
        <w:jc w:val="both"/>
        <w:rPr>
          <w:rFonts w:hint="default" w:ascii="Times New Roman" w:hAnsi="Times New Roman" w:eastAsia="宋体" w:cs="Times New Roman"/>
          <w:color w:val="000000" w:themeColor="text1"/>
          <w:sz w:val="24"/>
          <w:szCs w:val="24"/>
          <w:highlight w:val="magenta"/>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本项目固废暂存间存储猪毛、筋膜、脂肪、油污、</w:t>
      </w:r>
      <w:r>
        <w:rPr>
          <w:rFonts w:hint="default" w:ascii="Times New Roman" w:hAnsi="Times New Roman" w:eastAsia="宋体" w:cs="Times New Roman"/>
          <w:color w:val="000000" w:themeColor="text1"/>
          <w:sz w:val="24"/>
          <w:szCs w:val="24"/>
          <w:highlight w:val="none"/>
          <w14:textFill>
            <w14:solidFill>
              <w14:schemeClr w14:val="tx1"/>
            </w14:solidFill>
          </w14:textFill>
        </w:rPr>
        <w:t>筋腱、血管、淋巴</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废油脂及落地油；恶臭除臭器的饱和活性炭；精加工产生的料渣；化制间产生的油脂和残渣</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等</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。恶臭物质主要来自于存储固废产生的臭气。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项目产生恶臭物质的固废尽量做到日产日清，</w:t>
      </w:r>
      <w:r>
        <w:rPr>
          <w:rFonts w:hint="default" w:ascii="Times New Roman" w:hAnsi="Times New Roman" w:eastAsia="宋体" w:cs="Times New Roman"/>
          <w:color w:val="000000" w:themeColor="text1"/>
          <w:spacing w:val="0"/>
          <w:sz w:val="24"/>
          <w:szCs w:val="24"/>
          <w:highlight w:val="none"/>
          <w:lang w:eastAsia="zh-CN"/>
          <w14:textFill>
            <w14:solidFill>
              <w14:schemeClr w14:val="tx1"/>
            </w14:solidFill>
          </w14:textFill>
        </w:rPr>
        <w:t>对照表</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，臭气强度为3级，对照表3</w:t>
      </w:r>
      <w:r>
        <w:rPr>
          <w:rFonts w:hint="eastAsia"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.6-8</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可知，氨产生浓度为1.516mg/m</w:t>
      </w:r>
      <w:r>
        <w:rPr>
          <w:rFonts w:hint="default" w:ascii="Times New Roman" w:hAnsi="Times New Roman" w:eastAsia="宋体" w:cs="Times New Roman"/>
          <w:color w:val="000000" w:themeColor="text1"/>
          <w:spacing w:val="0"/>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，硫化氢浓度为0.0911mg/m</w:t>
      </w:r>
      <w:r>
        <w:rPr>
          <w:rFonts w:hint="default" w:ascii="Times New Roman" w:hAnsi="Times New Roman" w:eastAsia="宋体" w:cs="Times New Roman"/>
          <w:color w:val="000000" w:themeColor="text1"/>
          <w:spacing w:val="0"/>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固废暂存间建筑面积较小，车间风机换气量为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3000m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/h，</w:t>
      </w:r>
      <w:r>
        <w:rPr>
          <w:rFonts w:hint="default" w:ascii="Times New Roman" w:hAnsi="Times New Roman" w:eastAsia="宋体" w:cs="Times New Roman"/>
          <w:color w:val="000000" w:themeColor="text1"/>
          <w:sz w:val="24"/>
          <w:szCs w:val="24"/>
          <w:highlight w:val="none"/>
          <w14:textFill>
            <w14:solidFill>
              <w14:schemeClr w14:val="tx1"/>
            </w14:solidFill>
          </w14:textFill>
        </w:rPr>
        <w:t>采用计算公式反推，本项目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固废暂存间</w:t>
      </w:r>
      <w:r>
        <w:rPr>
          <w:rFonts w:hint="default" w:ascii="Times New Roman" w:hAnsi="Times New Roman" w:eastAsia="宋体" w:cs="Times New Roman"/>
          <w:color w:val="000000" w:themeColor="text1"/>
          <w:sz w:val="24"/>
          <w:szCs w:val="24"/>
          <w:highlight w:val="none"/>
          <w14:textFill>
            <w14:solidFill>
              <w14:schemeClr w14:val="tx1"/>
            </w14:solidFill>
          </w14:textFill>
        </w:rPr>
        <w:t>NH</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和H</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S的</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产生</w:t>
      </w:r>
      <w:r>
        <w:rPr>
          <w:rFonts w:hint="default" w:ascii="Times New Roman" w:hAnsi="Times New Roman" w:eastAsia="宋体" w:cs="Times New Roman"/>
          <w:color w:val="000000" w:themeColor="text1"/>
          <w:sz w:val="24"/>
          <w:szCs w:val="24"/>
          <w:highlight w:val="none"/>
          <w14:textFill>
            <w14:solidFill>
              <w14:schemeClr w14:val="tx1"/>
            </w14:solidFill>
          </w14:textFill>
        </w:rPr>
        <w:t>速率分别为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0.002</w:t>
      </w:r>
      <w:r>
        <w:rPr>
          <w:rFonts w:hint="default" w:ascii="Times New Roman" w:hAnsi="Times New Roman" w:eastAsia="宋体" w:cs="Times New Roman"/>
          <w:color w:val="000000" w:themeColor="text1"/>
          <w:sz w:val="24"/>
          <w:szCs w:val="24"/>
          <w:highlight w:val="none"/>
          <w14:textFill>
            <w14:solidFill>
              <w14:schemeClr w14:val="tx1"/>
            </w14:solidFill>
          </w14:textFill>
        </w:rPr>
        <w:t>kg/h、0.00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01</w:t>
      </w:r>
      <w:r>
        <w:rPr>
          <w:rFonts w:hint="default" w:ascii="Times New Roman" w:hAnsi="Times New Roman" w:eastAsia="宋体" w:cs="Times New Roman"/>
          <w:color w:val="000000" w:themeColor="text1"/>
          <w:sz w:val="24"/>
          <w:szCs w:val="24"/>
          <w:highlight w:val="none"/>
          <w14:textFill>
            <w14:solidFill>
              <w14:schemeClr w14:val="tx1"/>
            </w14:solidFill>
          </w14:textFill>
        </w:rPr>
        <w:t>kg/h</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，臭气浓度</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1445（无量纲）</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pPr>
        <w:keepNext w:val="0"/>
        <w:keepLines w:val="0"/>
        <w:pageBreakBefore w:val="0"/>
        <w:wordWrap/>
        <w:overflowPunct/>
        <w:topLinePunct w:val="0"/>
        <w:bidi w:val="0"/>
        <w:spacing w:line="360" w:lineRule="auto"/>
        <w:ind w:left="0" w:right="0" w:firstLine="480" w:firstLineChars="200"/>
        <w:jc w:val="both"/>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项目固废暂存间定期喷洒生物除臭剂，增加换气次数，生物除臭剂除臭效率</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50%，即</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无组织</w:t>
      </w:r>
      <w:r>
        <w:rPr>
          <w:rFonts w:hint="default" w:ascii="Times New Roman" w:hAnsi="Times New Roman" w:eastAsia="宋体" w:cs="Times New Roman"/>
          <w:color w:val="000000" w:themeColor="text1"/>
          <w:sz w:val="24"/>
          <w:szCs w:val="24"/>
          <w:highlight w:val="none"/>
          <w14:textFill>
            <w14:solidFill>
              <w14:schemeClr w14:val="tx1"/>
            </w14:solidFill>
          </w14:textFill>
        </w:rPr>
        <w:t>恶臭</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排放速率</w:t>
      </w:r>
      <w:r>
        <w:rPr>
          <w:rFonts w:hint="default" w:ascii="Times New Roman" w:hAnsi="Times New Roman" w:eastAsia="宋体" w:cs="Times New Roman"/>
          <w:color w:val="000000" w:themeColor="text1"/>
          <w:sz w:val="24"/>
          <w:szCs w:val="24"/>
          <w:highlight w:val="none"/>
          <w14:textFill>
            <w14:solidFill>
              <w14:schemeClr w14:val="tx1"/>
            </w14:solidFill>
          </w14:textFill>
        </w:rPr>
        <w:t>为NH</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0.0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01</w:t>
      </w:r>
      <w:r>
        <w:rPr>
          <w:rFonts w:hint="default" w:ascii="Times New Roman" w:hAnsi="Times New Roman" w:eastAsia="宋体" w:cs="Times New Roman"/>
          <w:color w:val="000000" w:themeColor="text1"/>
          <w:sz w:val="24"/>
          <w:szCs w:val="24"/>
          <w:highlight w:val="none"/>
          <w14:textFill>
            <w14:solidFill>
              <w14:schemeClr w14:val="tx1"/>
            </w14:solidFill>
          </w14:textFill>
        </w:rPr>
        <w:t>kg/h</w:t>
      </w:r>
      <w:r>
        <w:rPr>
          <w:rFonts w:hint="default" w:ascii="Times New Roman" w:hAnsi="Times New Roman" w:eastAsia="宋体" w:cs="Times New Roman"/>
          <w:bCs/>
          <w:color w:val="000000" w:themeColor="text1"/>
          <w:spacing w:val="6"/>
          <w:sz w:val="24"/>
          <w:szCs w:val="24"/>
          <w:highlight w:val="none"/>
          <w14:textFill>
            <w14:solidFill>
              <w14:schemeClr w14:val="tx1"/>
            </w14:solidFill>
          </w14:textFill>
        </w:rPr>
        <w:t>，H</w:t>
      </w:r>
      <w:r>
        <w:rPr>
          <w:rFonts w:hint="default" w:ascii="Times New Roman" w:hAnsi="Times New Roman" w:eastAsia="宋体" w:cs="Times New Roman"/>
          <w:bCs/>
          <w:color w:val="000000" w:themeColor="text1"/>
          <w:spacing w:val="6"/>
          <w:sz w:val="24"/>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pacing w:val="6"/>
          <w:sz w:val="24"/>
          <w:szCs w:val="24"/>
          <w:highlight w:val="none"/>
          <w14:textFill>
            <w14:solidFill>
              <w14:schemeClr w14:val="tx1"/>
            </w14:solidFill>
          </w14:textFill>
        </w:rPr>
        <w:t>S</w:t>
      </w:r>
      <w:r>
        <w:rPr>
          <w:rFonts w:hint="default" w:ascii="Times New Roman" w:hAnsi="Times New Roman" w:eastAsia="宋体" w:cs="Times New Roman"/>
          <w:color w:val="000000" w:themeColor="text1"/>
          <w:sz w:val="24"/>
          <w:szCs w:val="24"/>
          <w:highlight w:val="none"/>
          <w14:textFill>
            <w14:solidFill>
              <w14:schemeClr w14:val="tx1"/>
            </w14:solidFill>
          </w14:textFill>
        </w:rPr>
        <w:t>约0.00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005</w:t>
      </w:r>
      <w:r>
        <w:rPr>
          <w:rFonts w:hint="default" w:ascii="Times New Roman" w:hAnsi="Times New Roman" w:eastAsia="宋体" w:cs="Times New Roman"/>
          <w:color w:val="000000" w:themeColor="text1"/>
          <w:sz w:val="24"/>
          <w:szCs w:val="24"/>
          <w:highlight w:val="none"/>
          <w14:textFill>
            <w14:solidFill>
              <w14:schemeClr w14:val="tx1"/>
            </w14:solidFill>
          </w14:textFill>
        </w:rPr>
        <w:t>kg/h</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，臭气浓度</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723（无量纲），</w:t>
      </w: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类比</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《重庆腾驰食品有限公司生猪屠宰扩建项目（一阶段）竣工环境保护</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验收监测报告</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2020年10月</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）可知，</w:t>
      </w:r>
      <w:r>
        <w:rPr>
          <w:rFonts w:hint="default" w:ascii="Times New Roman" w:hAnsi="Times New Roman" w:eastAsia="宋体" w:cs="Times New Roman"/>
          <w:color w:val="000000" w:themeColor="text1"/>
          <w:kern w:val="21"/>
          <w:sz w:val="24"/>
          <w:szCs w:val="24"/>
          <w:highlight w:val="none"/>
          <w:lang w:val="en-US" w:eastAsia="zh-CN"/>
          <w14:textFill>
            <w14:solidFill>
              <w14:schemeClr w14:val="tx1"/>
            </w14:solidFill>
          </w14:textFill>
        </w:rPr>
        <w:t>厂界臭气浓度＜10（无量纲）。</w:t>
      </w:r>
    </w:p>
    <w:p>
      <w:pPr>
        <w:keepNext w:val="0"/>
        <w:keepLines w:val="0"/>
        <w:pageBreakBefore w:val="0"/>
        <w:wordWrap/>
        <w:overflowPunct/>
        <w:topLinePunct w:val="0"/>
        <w:bidi w:val="0"/>
        <w:spacing w:line="360" w:lineRule="auto"/>
        <w:ind w:left="0" w:right="0" w:firstLine="488" w:firstLineChars="200"/>
        <w:jc w:val="both"/>
        <w:rPr>
          <w:rFonts w:hint="default" w:ascii="Times New Roman" w:hAnsi="Times New Roman" w:eastAsia="宋体" w:cs="Times New Roman"/>
          <w:spacing w:val="2"/>
          <w:sz w:val="24"/>
          <w:szCs w:val="24"/>
          <w:highlight w:val="none"/>
          <w:lang w:val="en-US" w:eastAsia="zh-CN"/>
        </w:rPr>
      </w:pPr>
      <w:r>
        <w:rPr>
          <w:rFonts w:hint="default" w:ascii="Times New Roman" w:hAnsi="Times New Roman" w:eastAsia="宋体" w:cs="Times New Roman"/>
          <w:spacing w:val="2"/>
          <w:sz w:val="24"/>
          <w:szCs w:val="24"/>
          <w:highlight w:val="none"/>
          <w:lang w:val="en-US" w:eastAsia="zh-CN"/>
        </w:rPr>
        <w:t>⑤锅炉烟气</w:t>
      </w:r>
    </w:p>
    <w:p>
      <w:pPr>
        <w:keepNext w:val="0"/>
        <w:keepLines w:val="0"/>
        <w:pageBreakBefore w:val="0"/>
        <w:wordWrap/>
        <w:overflowPunct/>
        <w:topLinePunct w:val="0"/>
        <w:bidi w:val="0"/>
        <w:adjustRightInd/>
        <w:snapToGrid/>
        <w:spacing w:line="360" w:lineRule="auto"/>
        <w:ind w:left="0" w:right="0" w:firstLine="480" w:firstLineChars="200"/>
        <w:jc w:val="both"/>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color w:val="auto"/>
          <w:spacing w:val="0"/>
          <w:kern w:val="0"/>
          <w:sz w:val="24"/>
          <w:szCs w:val="24"/>
          <w:highlight w:val="none"/>
          <w:lang w:val="en-US" w:eastAsia="zh-CN" w:bidi="ar-SA"/>
        </w:rPr>
        <w:t>本项目生产热源由1台1t/h燃油蒸汽锅炉供应，燃料采用轻质柴油。由上述计算可知本项目燃油消耗量为36t/a</w:t>
      </w:r>
      <w:r>
        <w:rPr>
          <w:rFonts w:hint="default" w:ascii="Times New Roman" w:hAnsi="Times New Roman" w:eastAsia="宋体" w:cs="Times New Roman"/>
          <w:color w:val="auto"/>
          <w:sz w:val="24"/>
          <w:szCs w:val="20"/>
          <w:highlight w:val="none"/>
          <w:vertAlign w:val="baseline"/>
          <w:lang w:eastAsia="zh-CN"/>
        </w:rPr>
        <w:t>。</w:t>
      </w:r>
    </w:p>
    <w:p>
      <w:pPr>
        <w:keepNext w:val="0"/>
        <w:keepLines w:val="0"/>
        <w:pageBreakBefore w:val="0"/>
        <w:wordWrap/>
        <w:overflowPunct/>
        <w:topLinePunct w:val="0"/>
        <w:bidi w:val="0"/>
        <w:adjustRightInd/>
        <w:snapToGrid/>
        <w:spacing w:line="360" w:lineRule="auto"/>
        <w:ind w:left="0" w:right="0" w:firstLine="480" w:firstLineChars="200"/>
        <w:jc w:val="both"/>
        <w:rPr>
          <w:rFonts w:hint="default" w:ascii="Times New Roman" w:hAnsi="Times New Roman" w:cs="Times New Roman"/>
          <w:lang w:val="en-US" w:eastAsia="zh-CN"/>
        </w:rPr>
      </w:pPr>
      <w:r>
        <w:rPr>
          <w:rFonts w:hint="default" w:ascii="Times New Roman" w:hAnsi="Times New Roman" w:eastAsia="宋体" w:cs="Times New Roman"/>
          <w:color w:val="auto"/>
          <w:spacing w:val="0"/>
          <w:kern w:val="0"/>
          <w:sz w:val="24"/>
          <w:szCs w:val="24"/>
          <w:lang w:val="en-US" w:eastAsia="zh-CN" w:bidi="ar-SA"/>
        </w:rPr>
        <w:t>根据检测数据可知，</w:t>
      </w:r>
      <w:r>
        <w:rPr>
          <w:rFonts w:hint="default" w:ascii="Times New Roman" w:hAnsi="Times New Roman" w:cs="Times New Roman"/>
          <w:color w:val="auto"/>
          <w:sz w:val="24"/>
          <w:szCs w:val="24"/>
          <w:highlight w:val="none"/>
          <w:lang w:val="en-US" w:eastAsia="zh-CN"/>
        </w:rPr>
        <w:t>本项目烟气量2153Nm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/h。</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2" w:firstLineChars="200"/>
        <w:jc w:val="center"/>
        <w:textAlignment w:val="auto"/>
        <w:rPr>
          <w:rFonts w:hint="default" w:ascii="Times New Roman" w:hAnsi="Times New Roman" w:cs="Times New Roman"/>
          <w:lang w:val="en-US" w:eastAsia="zh-CN"/>
        </w:rPr>
      </w:pPr>
      <w:r>
        <w:rPr>
          <w:rFonts w:hint="default" w:ascii="Times New Roman" w:hAnsi="Times New Roman" w:eastAsia="宋体" w:cs="Times New Roman"/>
          <w:b/>
          <w:bCs/>
          <w:color w:val="auto"/>
          <w:sz w:val="21"/>
          <w:szCs w:val="21"/>
        </w:rPr>
        <w:t>表3</w:t>
      </w:r>
      <w:r>
        <w:rPr>
          <w:rFonts w:hint="default" w:ascii="Times New Roman" w:hAnsi="Times New Roman" w:eastAsia="宋体" w:cs="Times New Roman"/>
          <w:b/>
          <w:bCs/>
          <w:color w:val="auto"/>
          <w:sz w:val="21"/>
          <w:szCs w:val="21"/>
          <w:lang w:val="en-US" w:eastAsia="zh-CN"/>
        </w:rPr>
        <w:t>.6</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10</w:t>
      </w:r>
      <w:r>
        <w:rPr>
          <w:rFonts w:hint="default" w:ascii="Times New Roman" w:hAnsi="Times New Roman" w:eastAsia="宋体" w:cs="Times New Roman"/>
          <w:b/>
          <w:bCs/>
          <w:color w:val="auto"/>
          <w:sz w:val="21"/>
          <w:szCs w:val="21"/>
        </w:rPr>
        <w:t xml:space="preserve">  本项目</w:t>
      </w:r>
      <w:r>
        <w:rPr>
          <w:rFonts w:hint="default" w:ascii="Times New Roman" w:hAnsi="Times New Roman" w:eastAsia="宋体" w:cs="Times New Roman"/>
          <w:b/>
          <w:bCs/>
          <w:color w:val="auto"/>
          <w:sz w:val="21"/>
          <w:szCs w:val="21"/>
          <w:lang w:val="en-US" w:eastAsia="zh-CN"/>
        </w:rPr>
        <w:t>锅炉燃料消耗情况一览表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2"/>
        <w:gridCol w:w="3320"/>
        <w:gridCol w:w="1441"/>
        <w:gridCol w:w="1029"/>
        <w:gridCol w:w="1466"/>
        <w:gridCol w:w="1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1" w:type="pct"/>
            <w:tcBorders>
              <w:top w:val="single" w:color="auto" w:sz="12" w:space="0"/>
              <w:left w:val="nil"/>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序号</w:t>
            </w:r>
          </w:p>
        </w:tc>
        <w:tc>
          <w:tcPr>
            <w:tcW w:w="1746" w:type="pct"/>
            <w:tcBorders>
              <w:top w:val="single" w:color="auto" w:sz="12"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锅炉</w:t>
            </w:r>
          </w:p>
        </w:tc>
        <w:tc>
          <w:tcPr>
            <w:tcW w:w="758" w:type="pct"/>
            <w:tcBorders>
              <w:top w:val="single" w:color="auto" w:sz="12"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运行时间h</w:t>
            </w:r>
          </w:p>
        </w:tc>
        <w:tc>
          <w:tcPr>
            <w:tcW w:w="541" w:type="pct"/>
            <w:tcBorders>
              <w:top w:val="single" w:color="auto" w:sz="12"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燃料量t</w:t>
            </w:r>
          </w:p>
        </w:tc>
        <w:tc>
          <w:tcPr>
            <w:tcW w:w="771" w:type="pct"/>
            <w:tcBorders>
              <w:top w:val="single" w:color="auto" w:sz="12"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烟气量</w:t>
            </w:r>
            <w:r>
              <w:rPr>
                <w:rFonts w:hint="default" w:ascii="Times New Roman" w:hAnsi="Times New Roman" w:eastAsia="宋体" w:cs="Times New Roman"/>
                <w:color w:val="auto"/>
                <w:sz w:val="21"/>
                <w:szCs w:val="21"/>
                <w:highlight w:val="none"/>
              </w:rPr>
              <w:t>Nm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vertAlign w:val="baseline"/>
                <w:lang w:val="en-US" w:eastAsia="zh-CN"/>
              </w:rPr>
              <w:t>/h</w:t>
            </w:r>
          </w:p>
        </w:tc>
        <w:tc>
          <w:tcPr>
            <w:tcW w:w="1467" w:type="dxa"/>
            <w:tcBorders>
              <w:top w:val="single" w:color="auto" w:sz="12"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烟气量</w:t>
            </w:r>
            <w:r>
              <w:rPr>
                <w:rFonts w:hint="default" w:ascii="Times New Roman" w:hAnsi="Times New Roman" w:eastAsia="宋体" w:cs="Times New Roman"/>
                <w:color w:val="auto"/>
                <w:sz w:val="21"/>
                <w:szCs w:val="21"/>
                <w:highlight w:val="none"/>
              </w:rPr>
              <w:t>Nm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vertAlign w:val="baseline"/>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11" w:type="pct"/>
            <w:tcBorders>
              <w:top w:val="single" w:color="auto" w:sz="6" w:space="0"/>
              <w:left w:val="nil"/>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1746"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1t/h燃油蒸汽锅炉</w:t>
            </w:r>
          </w:p>
        </w:tc>
        <w:tc>
          <w:tcPr>
            <w:tcW w:w="758"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4080</w:t>
            </w:r>
          </w:p>
        </w:tc>
        <w:tc>
          <w:tcPr>
            <w:tcW w:w="541"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36</w:t>
            </w:r>
          </w:p>
        </w:tc>
        <w:tc>
          <w:tcPr>
            <w:tcW w:w="771"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2143</w:t>
            </w:r>
          </w:p>
        </w:tc>
        <w:tc>
          <w:tcPr>
            <w:tcW w:w="1467"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8743440</w:t>
            </w:r>
          </w:p>
        </w:tc>
      </w:tr>
    </w:tbl>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根据《污染源源强核算技术指南  锅炉》（HJ991-2018），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本项目锅炉已建成，</w:t>
      </w:r>
      <w:r>
        <w:rPr>
          <w:rFonts w:hint="default" w:ascii="Times New Roman" w:hAnsi="Times New Roman" w:eastAsia="宋体" w:cs="Times New Roman"/>
          <w:color w:val="000000" w:themeColor="text1"/>
          <w:sz w:val="24"/>
          <w:szCs w:val="24"/>
          <w:highlight w:val="none"/>
          <w14:textFill>
            <w14:solidFill>
              <w14:schemeClr w14:val="tx1"/>
            </w14:solidFill>
          </w14:textFill>
        </w:rPr>
        <w:t>采用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实测</w:t>
      </w:r>
      <w:r>
        <w:rPr>
          <w:rFonts w:hint="default" w:ascii="Times New Roman" w:hAnsi="Times New Roman" w:eastAsia="宋体" w:cs="Times New Roman"/>
          <w:color w:val="000000" w:themeColor="text1"/>
          <w:sz w:val="24"/>
          <w:szCs w:val="24"/>
          <w:highlight w:val="none"/>
          <w14:textFill>
            <w14:solidFill>
              <w14:schemeClr w14:val="tx1"/>
            </w14:solidFill>
          </w14:textFill>
        </w:rPr>
        <w:t>法计算SO</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、NOx</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颗粒物排放量</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pPr>
        <w:bidi w:val="0"/>
        <w:rPr>
          <w:rFonts w:hint="default" w:ascii="Times New Roman" w:hAnsi="Times New Roman" w:eastAsia="宋体" w:cs="Times New Roman"/>
          <w:color w:val="000000" w:themeColor="text1"/>
          <w:sz w:val="24"/>
          <w:szCs w:val="24"/>
          <w:highlight w:val="green"/>
          <w:vertAlign w:val="baseline"/>
          <w:lang w:eastAsia="zh-CN"/>
          <w14:textFill>
            <w14:solidFill>
              <w14:schemeClr w14:val="tx1"/>
            </w14:solidFill>
          </w14:textFill>
        </w:rPr>
      </w:pPr>
      <w:bookmarkStart w:id="196" w:name="_Toc10720"/>
      <w:bookmarkStart w:id="197" w:name="_Toc14595"/>
      <w:bookmarkStart w:id="198" w:name="_Toc22039"/>
      <w:r>
        <w:rPr>
          <w:rFonts w:hint="default" w:ascii="Times New Roman" w:hAnsi="Times New Roman" w:eastAsia="宋体" w:cs="Times New Roman"/>
          <w:color w:val="000000" w:themeColor="text1"/>
          <w:sz w:val="24"/>
          <w:szCs w:val="24"/>
          <w:highlight w:val="none"/>
          <w14:textFill>
            <w14:solidFill>
              <w14:schemeClr w14:val="tx1"/>
            </w14:solidFill>
          </w14:textFill>
        </w:rPr>
        <w:t>颗粒物</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SO</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NOx排放量</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p>
    <w:p>
      <w:pPr>
        <w:bidi w:val="0"/>
        <w:rPr>
          <w:rFonts w:hint="default" w:ascii="Times New Roman" w:hAnsi="Times New Roman" w:cs="Times New Roman"/>
        </w:rPr>
      </w:pPr>
      <w:r>
        <w:rPr>
          <w:rFonts w:hint="default" w:ascii="Times New Roman" w:hAnsi="Times New Roman" w:cs="Times New Roman"/>
        </w:rPr>
        <w:drawing>
          <wp:inline distT="0" distB="0" distL="114300" distR="114300">
            <wp:extent cx="4687570" cy="1909445"/>
            <wp:effectExtent l="0" t="0" r="17780" b="14605"/>
            <wp:docPr id="5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8"/>
                    <pic:cNvPicPr>
                      <a:picLocks noChangeAspect="1"/>
                    </pic:cNvPicPr>
                  </pic:nvPicPr>
                  <pic:blipFill>
                    <a:blip r:embed="rId42"/>
                    <a:stretch>
                      <a:fillRect/>
                    </a:stretch>
                  </pic:blipFill>
                  <pic:spPr>
                    <a:xfrm>
                      <a:off x="0" y="0"/>
                      <a:ext cx="4687570" cy="1909445"/>
                    </a:xfrm>
                    <a:prstGeom prst="rect">
                      <a:avLst/>
                    </a:prstGeom>
                    <a:noFill/>
                    <a:ln>
                      <a:noFill/>
                    </a:ln>
                  </pic:spPr>
                </pic:pic>
              </a:graphicData>
            </a:graphic>
          </wp:inline>
        </w:drawing>
      </w:r>
    </w:p>
    <w:bookmarkEnd w:id="196"/>
    <w:bookmarkEnd w:id="197"/>
    <w:bookmarkEnd w:id="198"/>
    <w:p>
      <w:pPr>
        <w:keepNext w:val="0"/>
        <w:keepLines w:val="0"/>
        <w:suppressLineNumbers w:val="0"/>
        <w:spacing w:before="0" w:beforeAutospacing="0" w:after="0" w:afterAutospacing="0" w:line="360" w:lineRule="auto"/>
        <w:ind w:left="0" w:right="0" w:firstLine="480" w:firstLineChars="200"/>
        <w:jc w:val="both"/>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第一次监测：颗粒物小时排放质量浓度为10.7mg/m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，二氧化硫小时排放质量浓度为38mg/m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，氮氧化物小时排放质量浓度为107mg/m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，标干烟气排放量为</w:t>
      </w:r>
      <w:r>
        <w:rPr>
          <w:rFonts w:hint="eastAsia" w:ascii="Times New Roman" w:hAnsi="Times New Roman" w:eastAsia="宋体" w:cs="Times New Roman"/>
          <w:color w:val="000000" w:themeColor="text1"/>
          <w:sz w:val="24"/>
          <w:szCs w:val="24"/>
          <w:highlight w:val="yellow"/>
          <w:lang w:val="en-US" w:eastAsia="zh-CN"/>
          <w14:textFill>
            <w14:solidFill>
              <w14:schemeClr w14:val="tx1"/>
            </w14:solidFill>
          </w14:textFill>
        </w:rPr>
        <w:t>216</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Nm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/h；第二次监测：颗粒物小时排放质量浓度为10.6mg/m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，二氧化硫小时排放质量浓度为32mg/m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，氮氧化物小时排放质量浓度为109mg/m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，标干烟气排放量为</w:t>
      </w:r>
      <w:r>
        <w:rPr>
          <w:rFonts w:hint="eastAsia" w:ascii="Times New Roman" w:hAnsi="Times New Roman" w:eastAsia="宋体" w:cs="Times New Roman"/>
          <w:color w:val="000000" w:themeColor="text1"/>
          <w:sz w:val="24"/>
          <w:szCs w:val="24"/>
          <w:highlight w:val="yellow"/>
          <w:lang w:val="en-US" w:eastAsia="zh-CN"/>
          <w14:textFill>
            <w14:solidFill>
              <w14:schemeClr w14:val="tx1"/>
            </w14:solidFill>
          </w14:textFill>
        </w:rPr>
        <w:t>237</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Nm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/h；第三次监测：颗粒物小时排放质量浓度为9.7mg/m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，二氧化硫小时排放质量浓度为31mg/m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，氮氧化物小时排放质量浓度为101mg/m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，标干烟气排放量为</w:t>
      </w:r>
      <w:r>
        <w:rPr>
          <w:rFonts w:hint="eastAsia" w:ascii="Times New Roman" w:hAnsi="Times New Roman" w:eastAsia="宋体" w:cs="Times New Roman"/>
          <w:color w:val="000000" w:themeColor="text1"/>
          <w:sz w:val="24"/>
          <w:szCs w:val="24"/>
          <w:highlight w:val="yellow"/>
          <w:lang w:val="en-US" w:eastAsia="zh-CN"/>
          <w14:textFill>
            <w14:solidFill>
              <w14:schemeClr w14:val="tx1"/>
            </w14:solidFill>
          </w14:textFill>
        </w:rPr>
        <w:t>228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Nm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/h。有效监测数据数量为3，运行小时数为4080h。</w:t>
      </w:r>
    </w:p>
    <w:p>
      <w:pPr>
        <w:keepNext w:val="0"/>
        <w:keepLines w:val="0"/>
        <w:suppressLineNumbers w:val="0"/>
        <w:spacing w:before="0" w:beforeAutospacing="0" w:after="0" w:afterAutospacing="0" w:line="360" w:lineRule="auto"/>
        <w:ind w:left="0" w:right="0" w:firstLine="480" w:firstLineChars="200"/>
        <w:textAlignment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000000" w:themeColor="text1"/>
          <w:sz w:val="24"/>
          <w:szCs w:val="24"/>
          <w:highlight w:val="none"/>
          <w14:textFill>
            <w14:solidFill>
              <w14:schemeClr w14:val="tx1"/>
            </w14:solidFill>
          </w14:textFill>
        </w:rPr>
        <w:t>经计算，颗粒物</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排放量</w:t>
      </w:r>
      <w:r>
        <w:rPr>
          <w:rFonts w:hint="default" w:ascii="Times New Roman" w:hAnsi="Times New Roman" w:eastAsia="宋体" w:cs="Times New Roman"/>
          <w:color w:val="000000" w:themeColor="text1"/>
          <w:sz w:val="24"/>
          <w:szCs w:val="24"/>
          <w:highlight w:val="none"/>
          <w14:textFill>
            <w14:solidFill>
              <w14:schemeClr w14:val="tx1"/>
            </w14:solidFill>
          </w14:textFill>
        </w:rPr>
        <w:t>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0.0</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SO</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排放量</w:t>
      </w:r>
      <w:r>
        <w:rPr>
          <w:rFonts w:hint="default" w:ascii="Times New Roman" w:hAnsi="Times New Roman" w:eastAsia="宋体" w:cs="Times New Roman"/>
          <w:color w:val="000000" w:themeColor="text1"/>
          <w:sz w:val="24"/>
          <w:szCs w:val="24"/>
          <w:highlight w:val="none"/>
          <w14:textFill>
            <w14:solidFill>
              <w14:schemeClr w14:val="tx1"/>
            </w14:solidFill>
          </w14:textFill>
        </w:rPr>
        <w:t>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0.031</w:t>
      </w:r>
      <w:r>
        <w:rPr>
          <w:rFonts w:hint="default" w:ascii="Times New Roman" w:hAnsi="Times New Roman" w:eastAsia="宋体" w:cs="Times New Roman"/>
          <w:color w:val="000000" w:themeColor="text1"/>
          <w:sz w:val="24"/>
          <w:szCs w:val="24"/>
          <w:highlight w:val="none"/>
          <w14:textFill>
            <w14:solidFill>
              <w14:schemeClr w14:val="tx1"/>
            </w14:solidFill>
          </w14:textFill>
        </w:rPr>
        <w:t>t</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NOx</w:t>
      </w:r>
      <w:r>
        <w:rPr>
          <w:rFonts w:hint="default" w:ascii="Times New Roman" w:hAnsi="Times New Roman" w:eastAsia="宋体" w:cs="Times New Roman"/>
          <w:color w:val="auto"/>
          <w:sz w:val="24"/>
          <w:szCs w:val="24"/>
          <w:highlight w:val="none"/>
          <w:lang w:val="en-US" w:eastAsia="zh-CN"/>
        </w:rPr>
        <w:t>排放量</w:t>
      </w:r>
      <w:r>
        <w:rPr>
          <w:rFonts w:hint="default" w:ascii="Times New Roman" w:hAnsi="Times New Roman" w:eastAsia="宋体" w:cs="Times New Roman"/>
          <w:color w:val="auto"/>
          <w:sz w:val="24"/>
          <w:szCs w:val="24"/>
          <w:highlight w:val="none"/>
        </w:rPr>
        <w:t>为</w:t>
      </w:r>
      <w:r>
        <w:rPr>
          <w:rFonts w:hint="eastAsia" w:ascii="Times New Roman" w:hAnsi="Times New Roman" w:eastAsia="宋体" w:cs="Times New Roman"/>
          <w:color w:val="auto"/>
          <w:sz w:val="24"/>
          <w:szCs w:val="24"/>
          <w:highlight w:val="none"/>
          <w:lang w:val="en-US" w:eastAsia="zh-CN"/>
        </w:rPr>
        <w:t>0.098</w:t>
      </w:r>
      <w:r>
        <w:rPr>
          <w:rFonts w:hint="default" w:ascii="Times New Roman" w:hAnsi="Times New Roman" w:eastAsia="宋体" w:cs="Times New Roman"/>
          <w:color w:val="auto"/>
          <w:sz w:val="24"/>
          <w:szCs w:val="24"/>
          <w:highlight w:val="none"/>
        </w:rPr>
        <w:t>t/a</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表3</w:t>
      </w:r>
      <w:r>
        <w:rPr>
          <w:rFonts w:hint="default" w:ascii="Times New Roman" w:hAnsi="Times New Roman" w:eastAsia="宋体" w:cs="Times New Roman"/>
          <w:b/>
          <w:bCs/>
          <w:color w:val="auto"/>
          <w:sz w:val="21"/>
          <w:szCs w:val="21"/>
          <w:lang w:val="en-US" w:eastAsia="zh-CN"/>
        </w:rPr>
        <w:t>.6</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11</w:t>
      </w:r>
      <w:r>
        <w:rPr>
          <w:rFonts w:hint="default" w:ascii="Times New Roman" w:hAnsi="Times New Roman" w:eastAsia="宋体" w:cs="Times New Roman"/>
          <w:b/>
          <w:bCs/>
          <w:color w:val="auto"/>
          <w:sz w:val="21"/>
          <w:szCs w:val="21"/>
        </w:rPr>
        <w:t xml:space="preserve">  本项目</w:t>
      </w:r>
      <w:r>
        <w:rPr>
          <w:rFonts w:hint="default" w:ascii="Times New Roman" w:hAnsi="Times New Roman" w:eastAsia="宋体" w:cs="Times New Roman"/>
          <w:b/>
          <w:bCs/>
          <w:color w:val="auto"/>
          <w:sz w:val="21"/>
          <w:szCs w:val="21"/>
          <w:lang w:val="en-US" w:eastAsia="zh-CN"/>
        </w:rPr>
        <w:t>锅炉污染物排放情况一览表</w:t>
      </w:r>
    </w:p>
    <w:tbl>
      <w:tblPr>
        <w:tblStyle w:val="24"/>
        <w:tblW w:w="4996"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0"/>
        <w:gridCol w:w="696"/>
        <w:gridCol w:w="519"/>
        <w:gridCol w:w="896"/>
        <w:gridCol w:w="905"/>
        <w:gridCol w:w="777"/>
        <w:gridCol w:w="514"/>
        <w:gridCol w:w="679"/>
        <w:gridCol w:w="533"/>
        <w:gridCol w:w="896"/>
        <w:gridCol w:w="875"/>
        <w:gridCol w:w="767"/>
        <w:gridCol w:w="71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83" w:hRule="atLeast"/>
          <w:jc w:val="center"/>
        </w:trPr>
        <w:tc>
          <w:tcPr>
            <w:tcW w:w="383"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排放源</w:t>
            </w:r>
          </w:p>
        </w:tc>
        <w:tc>
          <w:tcPr>
            <w:tcW w:w="366"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污染物</w:t>
            </w:r>
          </w:p>
        </w:tc>
        <w:tc>
          <w:tcPr>
            <w:tcW w:w="1628" w:type="pct"/>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污染物产生</w:t>
            </w:r>
          </w:p>
        </w:tc>
        <w:tc>
          <w:tcPr>
            <w:tcW w:w="627"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治理措施</w:t>
            </w:r>
          </w:p>
        </w:tc>
        <w:tc>
          <w:tcPr>
            <w:tcW w:w="1615" w:type="pct"/>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污染物排放</w:t>
            </w:r>
          </w:p>
        </w:tc>
        <w:tc>
          <w:tcPr>
            <w:tcW w:w="378"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排放时间/h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p>
        </w:tc>
        <w:tc>
          <w:tcPr>
            <w:tcW w:w="36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p>
        </w:tc>
        <w:tc>
          <w:tcPr>
            <w:tcW w:w="27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核算方法</w:t>
            </w:r>
          </w:p>
        </w:tc>
        <w:tc>
          <w:tcPr>
            <w:tcW w:w="47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产生量t/a</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产生浓度mg/m</w:t>
            </w:r>
            <w:r>
              <w:rPr>
                <w:rFonts w:hint="default" w:ascii="Times New Roman" w:hAnsi="Times New Roman" w:cs="Times New Roman"/>
                <w:color w:val="auto"/>
                <w:kern w:val="0"/>
                <w:sz w:val="21"/>
                <w:szCs w:val="21"/>
                <w:highlight w:val="none"/>
                <w:vertAlign w:val="superscript"/>
              </w:rPr>
              <w:t>3</w:t>
            </w:r>
          </w:p>
        </w:tc>
        <w:tc>
          <w:tcPr>
            <w:tcW w:w="40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排放速率kg/h</w:t>
            </w:r>
          </w:p>
        </w:tc>
        <w:tc>
          <w:tcPr>
            <w:tcW w:w="27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工艺</w:t>
            </w:r>
          </w:p>
        </w:tc>
        <w:tc>
          <w:tcPr>
            <w:tcW w:w="35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效率%</w:t>
            </w:r>
          </w:p>
        </w:tc>
        <w:tc>
          <w:tcPr>
            <w:tcW w:w="28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核算方法</w:t>
            </w:r>
          </w:p>
        </w:tc>
        <w:tc>
          <w:tcPr>
            <w:tcW w:w="47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排放量t/a</w:t>
            </w:r>
          </w:p>
        </w:tc>
        <w:tc>
          <w:tcPr>
            <w:tcW w:w="4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浓度mg/m</w:t>
            </w:r>
            <w:r>
              <w:rPr>
                <w:rFonts w:hint="default" w:ascii="Times New Roman" w:hAnsi="Times New Roman" w:cs="Times New Roman"/>
                <w:color w:val="auto"/>
                <w:kern w:val="0"/>
                <w:sz w:val="21"/>
                <w:szCs w:val="21"/>
                <w:highlight w:val="none"/>
                <w:vertAlign w:val="superscript"/>
              </w:rPr>
              <w:t>3</w:t>
            </w:r>
          </w:p>
        </w:tc>
        <w:tc>
          <w:tcPr>
            <w:tcW w:w="40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排放速率kg/h</w:t>
            </w:r>
          </w:p>
        </w:tc>
        <w:tc>
          <w:tcPr>
            <w:tcW w:w="37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kern w:val="0"/>
                <w:sz w:val="21"/>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72" w:hRule="atLeast"/>
          <w:jc w:val="center"/>
        </w:trPr>
        <w:tc>
          <w:tcPr>
            <w:tcW w:w="383"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
                <w:bCs/>
                <w:color w:val="auto"/>
                <w:sz w:val="21"/>
                <w:szCs w:val="21"/>
                <w:highlight w:val="none"/>
              </w:rPr>
            </w:pPr>
            <w:r>
              <w:rPr>
                <w:rFonts w:hint="eastAsia" w:ascii="Times New Roman" w:hAnsi="Times New Roman" w:cs="Times New Roman"/>
                <w:b w:val="0"/>
                <w:bCs w:val="0"/>
                <w:color w:val="auto"/>
                <w:sz w:val="21"/>
                <w:szCs w:val="21"/>
                <w:highlight w:val="none"/>
                <w:lang w:val="en-US" w:eastAsia="zh-CN"/>
              </w:rPr>
              <w:t>1t/h燃油蒸汽锅炉</w:t>
            </w:r>
          </w:p>
        </w:tc>
        <w:tc>
          <w:tcPr>
            <w:tcW w:w="3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27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val="en-US" w:eastAsia="zh-CN"/>
              </w:rPr>
              <w:t>实测法</w:t>
            </w:r>
          </w:p>
        </w:tc>
        <w:tc>
          <w:tcPr>
            <w:tcW w:w="47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t>0.01</w:t>
            </w:r>
          </w:p>
        </w:tc>
        <w:tc>
          <w:tcPr>
            <w:tcW w:w="905"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Cs/>
                <w:color w:val="auto"/>
                <w:spacing w:val="0"/>
                <w:kern w:val="2"/>
                <w:sz w:val="21"/>
                <w:szCs w:val="21"/>
                <w:highlight w:val="none"/>
                <w:lang w:val="en-US" w:eastAsia="zh-CN"/>
              </w:rPr>
              <w:t>10.7</w:t>
            </w:r>
          </w:p>
        </w:tc>
        <w:tc>
          <w:tcPr>
            <w:tcW w:w="40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t>0.002</w:t>
            </w:r>
          </w:p>
        </w:tc>
        <w:tc>
          <w:tcPr>
            <w:tcW w:w="27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35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280"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实测法</w:t>
            </w:r>
          </w:p>
        </w:tc>
        <w:tc>
          <w:tcPr>
            <w:tcW w:w="47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t>0.01</w:t>
            </w:r>
          </w:p>
        </w:tc>
        <w:tc>
          <w:tcPr>
            <w:tcW w:w="875"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bCs/>
                <w:color w:val="auto"/>
                <w:spacing w:val="0"/>
                <w:kern w:val="2"/>
                <w:sz w:val="21"/>
                <w:szCs w:val="21"/>
                <w:highlight w:val="none"/>
                <w:lang w:val="en-US" w:eastAsia="zh-CN"/>
              </w:rPr>
              <w:t>10.7</w:t>
            </w:r>
          </w:p>
        </w:tc>
        <w:tc>
          <w:tcPr>
            <w:tcW w:w="40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t>0.002</w:t>
            </w:r>
          </w:p>
        </w:tc>
        <w:tc>
          <w:tcPr>
            <w:tcW w:w="378"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4080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p>
        </w:tc>
        <w:tc>
          <w:tcPr>
            <w:tcW w:w="3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27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kern w:val="0"/>
                <w:sz w:val="21"/>
                <w:szCs w:val="21"/>
                <w:highlight w:val="none"/>
              </w:rPr>
            </w:pPr>
          </w:p>
        </w:tc>
        <w:tc>
          <w:tcPr>
            <w:tcW w:w="47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kern w:val="0"/>
                <w:sz w:val="21"/>
                <w:szCs w:val="21"/>
                <w:highlight w:val="none"/>
                <w:lang w:val="en-US"/>
              </w:rPr>
            </w:pPr>
            <w:r>
              <w:rPr>
                <w:rFonts w:hint="eastAsia" w:ascii="Times New Roman" w:hAnsi="Times New Roman" w:cs="Times New Roman"/>
                <w:color w:val="auto"/>
                <w:sz w:val="21"/>
                <w:szCs w:val="21"/>
                <w:highlight w:val="none"/>
                <w:lang w:val="en-US" w:eastAsia="zh-CN"/>
              </w:rPr>
              <w:t>0.031</w:t>
            </w:r>
          </w:p>
        </w:tc>
        <w:tc>
          <w:tcPr>
            <w:tcW w:w="905"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bCs/>
                <w:color w:val="auto"/>
                <w:spacing w:val="0"/>
                <w:kern w:val="2"/>
                <w:sz w:val="21"/>
                <w:szCs w:val="21"/>
                <w:highlight w:val="none"/>
                <w:lang w:val="en-US" w:eastAsia="zh-CN"/>
              </w:rPr>
              <w:t>38</w:t>
            </w:r>
          </w:p>
        </w:tc>
        <w:tc>
          <w:tcPr>
            <w:tcW w:w="40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0.008</w:t>
            </w:r>
          </w:p>
        </w:tc>
        <w:tc>
          <w:tcPr>
            <w:tcW w:w="27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5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28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p>
        </w:tc>
        <w:tc>
          <w:tcPr>
            <w:tcW w:w="47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kern w:val="0"/>
                <w:sz w:val="21"/>
                <w:szCs w:val="21"/>
                <w:highlight w:val="none"/>
                <w:lang w:val="en-US"/>
              </w:rPr>
            </w:pPr>
            <w:r>
              <w:rPr>
                <w:rFonts w:hint="eastAsia" w:ascii="Times New Roman" w:hAnsi="Times New Roman" w:cs="Times New Roman"/>
                <w:color w:val="auto"/>
                <w:sz w:val="21"/>
                <w:szCs w:val="21"/>
                <w:highlight w:val="none"/>
                <w:lang w:val="en-US" w:eastAsia="zh-CN"/>
              </w:rPr>
              <w:t>0.031</w:t>
            </w:r>
          </w:p>
        </w:tc>
        <w:tc>
          <w:tcPr>
            <w:tcW w:w="875"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cs="Times New Roman"/>
                <w:color w:val="auto"/>
                <w:kern w:val="0"/>
                <w:sz w:val="21"/>
                <w:szCs w:val="21"/>
                <w:highlight w:val="none"/>
                <w:lang w:val="en-US"/>
              </w:rPr>
            </w:pPr>
            <w:r>
              <w:rPr>
                <w:rFonts w:hint="eastAsia" w:ascii="Times New Roman" w:hAnsi="Times New Roman" w:eastAsia="宋体" w:cs="Times New Roman"/>
                <w:bCs/>
                <w:color w:val="auto"/>
                <w:spacing w:val="0"/>
                <w:kern w:val="2"/>
                <w:sz w:val="21"/>
                <w:szCs w:val="21"/>
                <w:highlight w:val="none"/>
                <w:lang w:val="en-US" w:eastAsia="zh-CN"/>
              </w:rPr>
              <w:t>38</w:t>
            </w:r>
          </w:p>
        </w:tc>
        <w:tc>
          <w:tcPr>
            <w:tcW w:w="40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0.008</w:t>
            </w:r>
          </w:p>
        </w:tc>
        <w:tc>
          <w:tcPr>
            <w:tcW w:w="37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kern w:val="0"/>
                <w:sz w:val="18"/>
                <w:szCs w:val="18"/>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p>
        </w:tc>
        <w:tc>
          <w:tcPr>
            <w:tcW w:w="3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X</w:t>
            </w:r>
          </w:p>
        </w:tc>
        <w:tc>
          <w:tcPr>
            <w:tcW w:w="27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kern w:val="0"/>
                <w:sz w:val="21"/>
                <w:szCs w:val="21"/>
                <w:highlight w:val="none"/>
              </w:rPr>
            </w:pPr>
          </w:p>
        </w:tc>
        <w:tc>
          <w:tcPr>
            <w:tcW w:w="47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kern w:val="0"/>
                <w:sz w:val="21"/>
                <w:szCs w:val="21"/>
                <w:highlight w:val="none"/>
                <w:lang w:val="en-US"/>
              </w:rPr>
            </w:pPr>
            <w:r>
              <w:rPr>
                <w:rFonts w:hint="eastAsia" w:ascii="Times New Roman" w:hAnsi="Times New Roman" w:cs="Times New Roman"/>
                <w:bCs/>
                <w:color w:val="auto"/>
                <w:sz w:val="21"/>
                <w:szCs w:val="21"/>
                <w:highlight w:val="none"/>
                <w:lang w:val="en-US" w:eastAsia="zh-CN"/>
              </w:rPr>
              <w:t>0.14</w:t>
            </w:r>
          </w:p>
        </w:tc>
        <w:tc>
          <w:tcPr>
            <w:tcW w:w="476"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i w:val="0"/>
                <w:iCs w:val="0"/>
                <w:snapToGrid w:val="0"/>
                <w:color w:val="000000"/>
                <w:kern w:val="0"/>
                <w:sz w:val="21"/>
                <w:szCs w:val="21"/>
                <w:u w:val="none"/>
                <w:lang w:val="en-US" w:eastAsia="zh-CN" w:bidi="ar"/>
              </w:rPr>
              <w:t>155.7</w:t>
            </w:r>
          </w:p>
        </w:tc>
        <w:tc>
          <w:tcPr>
            <w:tcW w:w="40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bCs/>
                <w:color w:val="auto"/>
                <w:sz w:val="21"/>
                <w:szCs w:val="21"/>
                <w:highlight w:val="none"/>
                <w:lang w:val="en-US" w:eastAsia="zh-CN"/>
              </w:rPr>
              <w:t>0.326</w:t>
            </w:r>
          </w:p>
        </w:tc>
        <w:tc>
          <w:tcPr>
            <w:tcW w:w="27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低氮燃烧器</w:t>
            </w:r>
          </w:p>
        </w:tc>
        <w:tc>
          <w:tcPr>
            <w:tcW w:w="35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30</w:t>
            </w:r>
          </w:p>
        </w:tc>
        <w:tc>
          <w:tcPr>
            <w:tcW w:w="28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rPr>
            </w:pPr>
          </w:p>
        </w:tc>
        <w:tc>
          <w:tcPr>
            <w:tcW w:w="47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kern w:val="0"/>
                <w:sz w:val="21"/>
                <w:szCs w:val="21"/>
                <w:highlight w:val="none"/>
                <w:lang w:val="en-US"/>
              </w:rPr>
            </w:pPr>
            <w:r>
              <w:rPr>
                <w:rFonts w:hint="eastAsia" w:ascii="Times New Roman" w:hAnsi="Times New Roman" w:cs="Times New Roman"/>
                <w:bCs/>
                <w:color w:val="auto"/>
                <w:sz w:val="21"/>
                <w:szCs w:val="21"/>
                <w:highlight w:val="none"/>
                <w:lang w:val="en-US" w:eastAsia="zh-CN"/>
              </w:rPr>
              <w:t>0.098</w:t>
            </w:r>
          </w:p>
        </w:tc>
        <w:tc>
          <w:tcPr>
            <w:tcW w:w="875"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cs="Times New Roman"/>
                <w:color w:val="auto"/>
                <w:kern w:val="0"/>
                <w:sz w:val="21"/>
                <w:szCs w:val="21"/>
                <w:highlight w:val="none"/>
                <w:lang w:val="en-US"/>
              </w:rPr>
            </w:pPr>
            <w:r>
              <w:rPr>
                <w:rFonts w:hint="eastAsia" w:ascii="Times New Roman" w:hAnsi="Times New Roman" w:eastAsia="宋体" w:cs="Times New Roman"/>
                <w:bCs/>
                <w:color w:val="auto"/>
                <w:spacing w:val="0"/>
                <w:kern w:val="2"/>
                <w:sz w:val="21"/>
                <w:szCs w:val="21"/>
                <w:highlight w:val="none"/>
                <w:lang w:val="en-US" w:eastAsia="zh-CN"/>
              </w:rPr>
              <w:t>109</w:t>
            </w:r>
          </w:p>
        </w:tc>
        <w:tc>
          <w:tcPr>
            <w:tcW w:w="40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bCs/>
                <w:color w:val="auto"/>
                <w:sz w:val="21"/>
                <w:szCs w:val="21"/>
                <w:highlight w:val="none"/>
                <w:lang w:val="en-US" w:eastAsia="zh-CN"/>
              </w:rPr>
              <w:t>0.024</w:t>
            </w:r>
          </w:p>
        </w:tc>
        <w:tc>
          <w:tcPr>
            <w:tcW w:w="37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color w:val="auto"/>
                <w:kern w:val="0"/>
                <w:sz w:val="18"/>
                <w:szCs w:val="18"/>
                <w:highlight w:val="none"/>
              </w:rPr>
            </w:pPr>
          </w:p>
        </w:tc>
      </w:tr>
    </w:tbl>
    <w:p>
      <w:pPr>
        <w:keepNext w:val="0"/>
        <w:keepLines w:val="0"/>
        <w:pageBreakBefore w:val="0"/>
        <w:widowControl/>
        <w:wordWrap/>
        <w:overflowPunct/>
        <w:topLinePunct w:val="0"/>
        <w:bidi w:val="0"/>
        <w:spacing w:line="360" w:lineRule="auto"/>
        <w:ind w:left="0" w:right="0"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⑥柴油储罐呼吸废气</w:t>
      </w:r>
    </w:p>
    <w:p>
      <w:pPr>
        <w:keepNext w:val="0"/>
        <w:keepLines w:val="0"/>
        <w:pageBreakBefore w:val="0"/>
        <w:widowControl/>
        <w:wordWrap/>
        <w:overflowPunct/>
        <w:topLinePunct w:val="0"/>
        <w:bidi w:val="0"/>
        <w:spacing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a.小呼吸损耗</w:t>
      </w:r>
    </w:p>
    <w:p>
      <w:pPr>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储油罐在没有收发物料作业的情况下，随着外界气温、压力在一天内的升降周期变化，厂内气体空间温度、物料蒸发速度、蒸发浓度和蒸汽压力也随之变化。这种排出物料蒸汽和吸入空气的过程造成的油气损失，叫小呼吸损失。</w:t>
      </w:r>
    </w:p>
    <w:p>
      <w:pPr>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lang w:val="en-US" w:eastAsia="zh-CN" w:bidi="ar-SA"/>
        </w:rPr>
        <w:t>根据美国《工业污染源调查与研究》第</w:t>
      </w:r>
      <w:r>
        <w:rPr>
          <w:rFonts w:hint="default" w:ascii="Times New Roman" w:hAnsi="Times New Roman" w:eastAsia="宋体" w:cs="Times New Roman"/>
          <w:color w:val="auto"/>
          <w:sz w:val="24"/>
          <w:szCs w:val="24"/>
        </w:rPr>
        <w:t>二辑计算，储罐小呼吸</w:t>
      </w:r>
      <w:r>
        <w:rPr>
          <w:rFonts w:hint="default" w:ascii="Times New Roman" w:hAnsi="Times New Roman" w:eastAsia="宋体" w:cs="Times New Roman"/>
          <w:color w:val="auto"/>
          <w:sz w:val="24"/>
          <w:szCs w:val="24"/>
          <w:lang w:val="en-US" w:eastAsia="zh-CN"/>
        </w:rPr>
        <w:t>非甲烷总烃</w:t>
      </w:r>
      <w:r>
        <w:rPr>
          <w:rFonts w:hint="default" w:ascii="Times New Roman" w:hAnsi="Times New Roman" w:eastAsia="宋体" w:cs="Times New Roman"/>
          <w:color w:val="auto"/>
          <w:sz w:val="24"/>
          <w:szCs w:val="24"/>
        </w:rPr>
        <w:t>排放量（储存状态）：</w:t>
      </w:r>
    </w:p>
    <w:p>
      <w:pPr>
        <w:pStyle w:val="53"/>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28"/>
          <w:sz w:val="24"/>
          <w:szCs w:val="24"/>
          <w:lang w:val="en-US" w:eastAsia="zh-CN"/>
        </w:rPr>
        <w:t xml:space="preserve">    </w:t>
      </w:r>
      <w:r>
        <w:rPr>
          <w:rFonts w:hint="default" w:ascii="Times New Roman" w:hAnsi="Times New Roman" w:eastAsia="宋体" w:cs="Times New Roman"/>
          <w:color w:val="auto"/>
          <w:position w:val="-28"/>
          <w:sz w:val="24"/>
          <w:szCs w:val="24"/>
        </w:rPr>
        <w:object>
          <v:shape id="_x0000_i1029" o:spt="75" type="#_x0000_t75" style="height:33.3pt;width:316.05pt;" o:ole="t" filled="f" o:preferrelative="t" stroked="f" coordsize="21600,21600">
            <v:path/>
            <v:fill on="f" focussize="0,0"/>
            <v:stroke on="f"/>
            <v:imagedata r:id="rId44" o:title=""/>
            <o:lock v:ext="edit" aspectratio="t"/>
            <w10:wrap type="none"/>
            <w10:anchorlock/>
          </v:shape>
          <o:OLEObject Type="Embed" ProgID="Equation.3" ShapeID="_x0000_i1029" DrawAspect="Content" ObjectID="_1468075729" r:id="rId43">
            <o:LockedField>false</o:LockedField>
          </o:OLEObject>
        </w:object>
      </w:r>
    </w:p>
    <w:p>
      <w:pPr>
        <w:pStyle w:val="53"/>
        <w:keepNext w:val="0"/>
        <w:keepLines w:val="0"/>
        <w:pageBreakBefore w:val="0"/>
        <w:widowControl/>
        <w:tabs>
          <w:tab w:val="left" w:pos="900"/>
        </w:tabs>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w:t>
      </w:r>
      <w:r>
        <w:rPr>
          <w:rFonts w:hint="default" w:ascii="Times New Roman" w:hAnsi="Times New Roman" w:eastAsia="宋体" w:cs="Times New Roman"/>
          <w:i/>
          <w:color w:val="auto"/>
          <w:sz w:val="24"/>
          <w:szCs w:val="24"/>
        </w:rPr>
        <w:t>L</w:t>
      </w:r>
      <w:r>
        <w:rPr>
          <w:rFonts w:hint="default" w:ascii="Times New Roman" w:hAnsi="Times New Roman" w:eastAsia="宋体" w:cs="Times New Roman"/>
          <w:color w:val="auto"/>
          <w:sz w:val="24"/>
          <w:szCs w:val="24"/>
          <w:vertAlign w:val="subscript"/>
        </w:rPr>
        <w:t>B</w:t>
      </w:r>
      <w:r>
        <w:rPr>
          <w:rFonts w:hint="default" w:ascii="Times New Roman" w:hAnsi="Times New Roman" w:eastAsia="宋体" w:cs="Times New Roman"/>
          <w:color w:val="auto"/>
          <w:sz w:val="24"/>
          <w:szCs w:val="24"/>
        </w:rPr>
        <w:t>—储罐</w:t>
      </w:r>
      <w:r>
        <w:rPr>
          <w:rFonts w:hint="default" w:ascii="Times New Roman" w:hAnsi="Times New Roman" w:eastAsia="宋体" w:cs="Times New Roman"/>
          <w:color w:val="auto"/>
          <w:sz w:val="24"/>
          <w:szCs w:val="24"/>
          <w:lang w:eastAsia="zh-CN"/>
        </w:rPr>
        <w:t>小</w:t>
      </w:r>
      <w:r>
        <w:rPr>
          <w:rFonts w:hint="default" w:ascii="Times New Roman" w:hAnsi="Times New Roman" w:eastAsia="宋体" w:cs="Times New Roman"/>
          <w:color w:val="auto"/>
          <w:sz w:val="24"/>
          <w:szCs w:val="24"/>
        </w:rPr>
        <w:t>呼吸排放量（</w:t>
      </w:r>
      <w:r>
        <w:rPr>
          <w:rFonts w:hint="default" w:ascii="Times New Roman" w:hAnsi="Times New Roman" w:eastAsia="宋体" w:cs="Times New Roman"/>
          <w:color w:val="auto"/>
          <w:sz w:val="24"/>
          <w:szCs w:val="24"/>
          <w:lang w:eastAsia="zh-CN"/>
        </w:rPr>
        <w:t>k</w:t>
      </w:r>
      <w:r>
        <w:rPr>
          <w:rFonts w:hint="default" w:ascii="Times New Roman" w:hAnsi="Times New Roman" w:eastAsia="宋体" w:cs="Times New Roman"/>
          <w:color w:val="auto"/>
          <w:sz w:val="24"/>
          <w:szCs w:val="24"/>
        </w:rPr>
        <w:t>g/a）；</w:t>
      </w:r>
    </w:p>
    <w:p>
      <w:pPr>
        <w:pStyle w:val="53"/>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i/>
          <w:color w:val="auto"/>
          <w:sz w:val="24"/>
          <w:szCs w:val="24"/>
        </w:rPr>
        <w:t>M</w:t>
      </w:r>
      <w:r>
        <w:rPr>
          <w:rFonts w:hint="default" w:ascii="Times New Roman" w:hAnsi="Times New Roman" w:eastAsia="宋体" w:cs="Times New Roman"/>
          <w:color w:val="auto"/>
          <w:sz w:val="24"/>
          <w:szCs w:val="24"/>
        </w:rPr>
        <w:t>—储罐内蒸气的分子量；</w:t>
      </w:r>
      <w:r>
        <w:rPr>
          <w:rFonts w:hint="default" w:ascii="Times New Roman" w:hAnsi="Times New Roman" w:eastAsia="宋体" w:cs="Times New Roman"/>
          <w:color w:val="auto"/>
          <w:sz w:val="24"/>
          <w:szCs w:val="24"/>
          <w:lang w:eastAsia="zh-CN"/>
        </w:rPr>
        <w:t>（柴油分子量在</w:t>
      </w:r>
      <w:r>
        <w:rPr>
          <w:rFonts w:hint="default" w:ascii="Times New Roman" w:hAnsi="Times New Roman" w:eastAsia="宋体" w:cs="Times New Roman"/>
          <w:color w:val="auto"/>
          <w:sz w:val="24"/>
          <w:szCs w:val="24"/>
          <w:lang w:val="en-US" w:eastAsia="zh-CN"/>
        </w:rPr>
        <w:t>148~170之间，本项目参考取值160</w:t>
      </w:r>
      <w:r>
        <w:rPr>
          <w:rFonts w:hint="default" w:ascii="Times New Roman" w:hAnsi="Times New Roman" w:eastAsia="宋体" w:cs="Times New Roman"/>
          <w:color w:val="auto"/>
          <w:sz w:val="24"/>
          <w:szCs w:val="24"/>
          <w:lang w:eastAsia="zh-CN"/>
        </w:rPr>
        <w:t>）</w:t>
      </w:r>
    </w:p>
    <w:p>
      <w:pPr>
        <w:pStyle w:val="53"/>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i/>
          <w:color w:val="auto"/>
          <w:sz w:val="24"/>
          <w:szCs w:val="24"/>
        </w:rPr>
        <w:t>P</w:t>
      </w:r>
      <w:r>
        <w:rPr>
          <w:rFonts w:hint="default" w:ascii="Times New Roman" w:hAnsi="Times New Roman" w:eastAsia="宋体" w:cs="Times New Roman"/>
          <w:color w:val="auto"/>
          <w:sz w:val="24"/>
          <w:szCs w:val="24"/>
        </w:rPr>
        <w:t>—在大量液体状态下，真实的蒸气压力（Pa）；</w:t>
      </w:r>
      <w:r>
        <w:rPr>
          <w:rFonts w:hint="default" w:ascii="Times New Roman" w:hAnsi="Times New Roman" w:eastAsia="宋体" w:cs="Times New Roman"/>
          <w:color w:val="auto"/>
          <w:sz w:val="24"/>
          <w:szCs w:val="24"/>
          <w:lang w:eastAsia="zh-CN"/>
        </w:rPr>
        <w:t>（本项目取值</w:t>
      </w:r>
      <w:r>
        <w:rPr>
          <w:rFonts w:hint="default" w:ascii="Times New Roman" w:hAnsi="Times New Roman" w:eastAsia="宋体" w:cs="Times New Roman"/>
          <w:color w:val="auto"/>
          <w:sz w:val="24"/>
          <w:szCs w:val="24"/>
          <w:lang w:val="en-US" w:eastAsia="zh-CN"/>
        </w:rPr>
        <w:t>200</w:t>
      </w:r>
      <w:r>
        <w:rPr>
          <w:rFonts w:hint="default" w:ascii="Times New Roman" w:hAnsi="Times New Roman" w:eastAsia="宋体" w:cs="Times New Roman"/>
          <w:color w:val="auto"/>
          <w:sz w:val="24"/>
          <w:szCs w:val="24"/>
          <w:lang w:eastAsia="zh-CN"/>
        </w:rPr>
        <w:t>）</w:t>
      </w:r>
    </w:p>
    <w:p>
      <w:pPr>
        <w:pStyle w:val="53"/>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i/>
          <w:color w:val="auto"/>
          <w:sz w:val="24"/>
          <w:szCs w:val="24"/>
        </w:rPr>
        <w:t>D</w:t>
      </w:r>
      <w:r>
        <w:rPr>
          <w:rFonts w:hint="default" w:ascii="Times New Roman" w:hAnsi="Times New Roman" w:eastAsia="宋体" w:cs="Times New Roman"/>
          <w:color w:val="auto"/>
          <w:sz w:val="24"/>
          <w:szCs w:val="24"/>
        </w:rPr>
        <w:t>—罐的直径（m）；</w:t>
      </w:r>
      <w:r>
        <w:rPr>
          <w:rFonts w:hint="default" w:ascii="Times New Roman" w:hAnsi="Times New Roman" w:eastAsia="宋体" w:cs="Times New Roman"/>
          <w:color w:val="auto"/>
          <w:sz w:val="24"/>
          <w:szCs w:val="24"/>
          <w:lang w:eastAsia="zh-CN"/>
        </w:rPr>
        <w:t>（本项目储罐的直径为</w:t>
      </w:r>
      <w:r>
        <w:rPr>
          <w:rFonts w:hint="default" w:ascii="Times New Roman" w:hAnsi="Times New Roman" w:eastAsia="宋体" w:cs="Times New Roman"/>
          <w:color w:val="auto"/>
          <w:sz w:val="24"/>
          <w:szCs w:val="24"/>
          <w:lang w:val="en-US" w:eastAsia="zh-CN"/>
        </w:rPr>
        <w:t>1.5</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lang w:eastAsia="zh-CN"/>
        </w:rPr>
        <w:t>）</w:t>
      </w:r>
    </w:p>
    <w:p>
      <w:pPr>
        <w:pStyle w:val="53"/>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i/>
          <w:color w:val="auto"/>
          <w:sz w:val="24"/>
          <w:szCs w:val="24"/>
        </w:rPr>
        <w:t>H</w:t>
      </w:r>
      <w:r>
        <w:rPr>
          <w:rFonts w:hint="default" w:ascii="Times New Roman" w:hAnsi="Times New Roman" w:eastAsia="宋体" w:cs="Times New Roman"/>
          <w:color w:val="auto"/>
          <w:sz w:val="24"/>
          <w:szCs w:val="24"/>
        </w:rPr>
        <w:t>—平均蒸气空间高度（m）；</w:t>
      </w:r>
      <w:r>
        <w:rPr>
          <w:rFonts w:hint="default" w:ascii="Times New Roman" w:hAnsi="Times New Roman" w:eastAsia="宋体" w:cs="Times New Roman"/>
          <w:color w:val="auto"/>
          <w:sz w:val="24"/>
          <w:szCs w:val="24"/>
          <w:lang w:eastAsia="zh-CN"/>
        </w:rPr>
        <w:t>（本项目</w:t>
      </w:r>
      <w:r>
        <w:rPr>
          <w:rFonts w:hint="default" w:ascii="Times New Roman" w:hAnsi="Times New Roman" w:eastAsia="宋体" w:cs="Times New Roman"/>
          <w:color w:val="auto"/>
          <w:sz w:val="24"/>
          <w:szCs w:val="24"/>
          <w:lang w:val="en-US" w:eastAsia="zh-CN"/>
        </w:rPr>
        <w:t>H取值为0.4m</w:t>
      </w:r>
      <w:r>
        <w:rPr>
          <w:rFonts w:hint="default" w:ascii="Times New Roman" w:hAnsi="Times New Roman" w:eastAsia="宋体" w:cs="Times New Roman"/>
          <w:color w:val="auto"/>
          <w:sz w:val="24"/>
          <w:szCs w:val="24"/>
          <w:lang w:eastAsia="zh-CN"/>
        </w:rPr>
        <w:t>）</w:t>
      </w:r>
    </w:p>
    <w:p>
      <w:pPr>
        <w:pStyle w:val="53"/>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△T—一天之内的平均温度差（℃）；</w:t>
      </w:r>
      <w:r>
        <w:rPr>
          <w:rFonts w:hint="default" w:ascii="Times New Roman" w:hAnsi="Times New Roman" w:eastAsia="宋体" w:cs="Times New Roman"/>
          <w:color w:val="auto"/>
          <w:sz w:val="24"/>
          <w:szCs w:val="24"/>
          <w:lang w:eastAsia="zh-CN"/>
        </w:rPr>
        <w:t>（本项目</w:t>
      </w:r>
      <w:r>
        <w:rPr>
          <w:rFonts w:hint="default" w:ascii="Times New Roman" w:hAnsi="Times New Roman" w:eastAsia="宋体" w:cs="Times New Roman"/>
          <w:color w:val="auto"/>
          <w:sz w:val="24"/>
          <w:szCs w:val="24"/>
        </w:rPr>
        <w:t>△T</w:t>
      </w:r>
      <w:r>
        <w:rPr>
          <w:rFonts w:hint="default" w:ascii="Times New Roman" w:hAnsi="Times New Roman" w:eastAsia="宋体" w:cs="Times New Roman"/>
          <w:color w:val="auto"/>
          <w:sz w:val="24"/>
          <w:szCs w:val="24"/>
          <w:lang w:val="en-US" w:eastAsia="zh-CN"/>
        </w:rPr>
        <w:t>取值为10</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w:t>
      </w:r>
    </w:p>
    <w:p>
      <w:pPr>
        <w:pStyle w:val="53"/>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i/>
          <w:color w:val="auto"/>
          <w:sz w:val="24"/>
          <w:szCs w:val="24"/>
        </w:rPr>
        <w:t>F</w:t>
      </w:r>
      <w:r>
        <w:rPr>
          <w:rFonts w:hint="default" w:ascii="Times New Roman" w:hAnsi="Times New Roman" w:eastAsia="宋体" w:cs="Times New Roman"/>
          <w:color w:val="auto"/>
          <w:sz w:val="24"/>
          <w:szCs w:val="24"/>
          <w:vertAlign w:val="subscript"/>
        </w:rPr>
        <w:t>P</w:t>
      </w:r>
      <w:r>
        <w:rPr>
          <w:rFonts w:hint="default" w:ascii="Times New Roman" w:hAnsi="Times New Roman" w:eastAsia="宋体" w:cs="Times New Roman"/>
          <w:color w:val="auto"/>
          <w:sz w:val="24"/>
          <w:szCs w:val="24"/>
        </w:rPr>
        <w:t>—涂层因子（无量纲），根据油漆状况取值在1～1.5之间；</w:t>
      </w:r>
    </w:p>
    <w:p>
      <w:pPr>
        <w:pStyle w:val="53"/>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i/>
          <w:color w:val="auto"/>
          <w:sz w:val="24"/>
          <w:szCs w:val="24"/>
        </w:rPr>
        <w:t>C</w:t>
      </w:r>
      <w:r>
        <w:rPr>
          <w:rFonts w:hint="default" w:ascii="Times New Roman" w:hAnsi="Times New Roman" w:eastAsia="宋体" w:cs="Times New Roman"/>
          <w:color w:val="auto"/>
          <w:sz w:val="24"/>
          <w:szCs w:val="24"/>
        </w:rPr>
        <w:t>—用于小直径罐的调节因子（无量纲）；对于直径在0～9m之间的罐体，</w:t>
      </w:r>
      <w:r>
        <w:rPr>
          <w:rFonts w:hint="default" w:ascii="Times New Roman" w:hAnsi="Times New Roman" w:eastAsia="宋体" w:cs="Times New Roman"/>
          <w:color w:val="auto"/>
          <w:position w:val="-10"/>
          <w:sz w:val="24"/>
          <w:szCs w:val="24"/>
        </w:rPr>
        <w:object>
          <v:shape id="_x0000_i1030" o:spt="75" type="#_x0000_t75" style="height:19.3pt;width:120.25pt;" o:ole="t" filled="f" o:preferrelative="t" stroked="f" coordsize="21600,21600">
            <v:path/>
            <v:fill on="f" focussize="0,0"/>
            <v:stroke on="f"/>
            <v:imagedata r:id="rId46" o:title=""/>
            <o:lock v:ext="edit" aspectratio="t"/>
            <w10:wrap type="none"/>
            <w10:anchorlock/>
          </v:shape>
          <o:OLEObject Type="Embed" ProgID="Equation.3" ShapeID="_x0000_i1030" DrawAspect="Content" ObjectID="_1468075730" r:id="rId45">
            <o:LockedField>false</o:LockedField>
          </o:OLEObject>
        </w:object>
      </w:r>
      <w:r>
        <w:rPr>
          <w:rFonts w:hint="default" w:ascii="Times New Roman" w:hAnsi="Times New Roman" w:eastAsia="宋体" w:cs="Times New Roman"/>
          <w:color w:val="auto"/>
          <w:sz w:val="24"/>
          <w:szCs w:val="24"/>
        </w:rPr>
        <w:t>；罐径大于9m的C=1；</w:t>
      </w:r>
      <w:r>
        <w:rPr>
          <w:rFonts w:hint="default" w:ascii="Times New Roman" w:hAnsi="Times New Roman" w:eastAsia="宋体" w:cs="Times New Roman"/>
          <w:color w:val="auto"/>
          <w:sz w:val="24"/>
          <w:szCs w:val="24"/>
          <w:lang w:eastAsia="zh-CN"/>
        </w:rPr>
        <w:t>（经计算，本项目</w:t>
      </w:r>
      <w:r>
        <w:rPr>
          <w:rFonts w:hint="default" w:ascii="Times New Roman" w:hAnsi="Times New Roman" w:eastAsia="宋体" w:cs="Times New Roman"/>
          <w:color w:val="auto"/>
          <w:sz w:val="24"/>
          <w:szCs w:val="24"/>
          <w:highlight w:val="none"/>
          <w:lang w:val="en-US" w:eastAsia="zh-CN"/>
        </w:rPr>
        <w:t>C取</w:t>
      </w:r>
      <w:r>
        <w:rPr>
          <w:rFonts w:hint="eastAsia" w:ascii="Times New Roman" w:hAnsi="Times New Roman" w:eastAsia="宋体" w:cs="Times New Roman"/>
          <w:color w:val="auto"/>
          <w:sz w:val="24"/>
          <w:szCs w:val="24"/>
          <w:highlight w:val="none"/>
          <w:lang w:val="en-US" w:eastAsia="zh-CN"/>
        </w:rPr>
        <w:t>0.32</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i/>
          <w:color w:val="auto"/>
          <w:sz w:val="24"/>
          <w:szCs w:val="24"/>
        </w:rPr>
        <w:t>K</w:t>
      </w:r>
      <w:r>
        <w:rPr>
          <w:rFonts w:hint="default" w:ascii="Times New Roman" w:hAnsi="Times New Roman" w:eastAsia="宋体" w:cs="Times New Roman"/>
          <w:color w:val="auto"/>
          <w:sz w:val="24"/>
          <w:szCs w:val="24"/>
          <w:vertAlign w:val="subscript"/>
        </w:rPr>
        <w:t>C</w:t>
      </w:r>
      <w:r>
        <w:rPr>
          <w:rFonts w:hint="default" w:ascii="Times New Roman" w:hAnsi="Times New Roman" w:eastAsia="宋体" w:cs="Times New Roman"/>
          <w:color w:val="auto"/>
          <w:sz w:val="24"/>
          <w:szCs w:val="24"/>
        </w:rPr>
        <w:t>—产品因子（石油原油取0</w:t>
      </w:r>
      <w:r>
        <w:rPr>
          <w:rFonts w:hint="default" w:ascii="Times New Roman" w:hAnsi="Times New Roman" w:eastAsia="宋体" w:cs="Times New Roman"/>
          <w:color w:val="auto"/>
          <w:sz w:val="24"/>
          <w:szCs w:val="24"/>
          <w:vertAlign w:val="subscript"/>
        </w:rPr>
        <w:t>.</w:t>
      </w:r>
      <w:r>
        <w:rPr>
          <w:rFonts w:hint="default" w:ascii="Times New Roman" w:hAnsi="Times New Roman" w:eastAsia="宋体" w:cs="Times New Roman"/>
          <w:color w:val="auto"/>
          <w:sz w:val="24"/>
          <w:szCs w:val="24"/>
        </w:rPr>
        <w:t>65，其他的有机液体取1.0）；</w:t>
      </w:r>
    </w:p>
    <w:p>
      <w:pPr>
        <w:pStyle w:val="53"/>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i/>
          <w:color w:val="auto"/>
          <w:sz w:val="24"/>
          <w:szCs w:val="24"/>
        </w:rPr>
        <w:t>η</w:t>
      </w:r>
      <w:r>
        <w:rPr>
          <w:rFonts w:hint="default" w:ascii="Times New Roman" w:hAnsi="Times New Roman" w:eastAsia="宋体" w:cs="Times New Roman"/>
          <w:color w:val="auto"/>
          <w:sz w:val="24"/>
          <w:szCs w:val="24"/>
          <w:vertAlign w:val="subscript"/>
        </w:rPr>
        <w:t>1</w:t>
      </w:r>
      <w:r>
        <w:rPr>
          <w:rFonts w:hint="default" w:ascii="Times New Roman" w:hAnsi="Times New Roman" w:eastAsia="宋体" w:cs="Times New Roman"/>
          <w:color w:val="auto"/>
          <w:sz w:val="24"/>
          <w:szCs w:val="24"/>
        </w:rPr>
        <w:t>—内浮顶储罐取0.05，</w:t>
      </w:r>
      <w:r>
        <w:rPr>
          <w:rFonts w:hint="default" w:ascii="Times New Roman" w:hAnsi="Times New Roman" w:eastAsia="宋体" w:cs="Times New Roman"/>
          <w:color w:val="auto"/>
          <w:sz w:val="24"/>
          <w:szCs w:val="24"/>
          <w:lang w:eastAsia="zh-CN"/>
        </w:rPr>
        <w:t>卧式</w:t>
      </w:r>
      <w:r>
        <w:rPr>
          <w:rFonts w:hint="default" w:ascii="Times New Roman" w:hAnsi="Times New Roman" w:eastAsia="宋体" w:cs="Times New Roman"/>
          <w:color w:val="auto"/>
          <w:sz w:val="24"/>
          <w:szCs w:val="24"/>
        </w:rPr>
        <w:t>罐1</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本项目取1</w:t>
      </w:r>
      <w:r>
        <w:rPr>
          <w:rFonts w:hint="default" w:ascii="Times New Roman" w:hAnsi="Times New Roman" w:eastAsia="宋体" w:cs="Times New Roman"/>
          <w:color w:val="auto"/>
          <w:sz w:val="24"/>
          <w:szCs w:val="24"/>
          <w:lang w:eastAsia="zh-CN"/>
        </w:rPr>
        <w:t>；</w:t>
      </w:r>
    </w:p>
    <w:p>
      <w:pPr>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i/>
          <w:color w:val="auto"/>
          <w:sz w:val="24"/>
          <w:szCs w:val="24"/>
        </w:rPr>
        <w:t>η</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—设置呼吸阀取0.7，不设呼吸阀取1</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highlight w:val="none"/>
          <w:lang w:val="en-US" w:eastAsia="zh-CN"/>
        </w:rPr>
        <w:t>本项目取1。</w:t>
      </w:r>
    </w:p>
    <w:p>
      <w:pPr>
        <w:pStyle w:val="6"/>
        <w:keepNext w:val="0"/>
        <w:keepLines w:val="0"/>
        <w:pageBreakBefore w:val="0"/>
        <w:widowControl/>
        <w:kinsoku/>
        <w:wordWrap/>
        <w:overflowPunct/>
        <w:topLinePunct w:val="0"/>
        <w:autoSpaceDE/>
        <w:autoSpaceDN/>
        <w:bidi w:val="0"/>
        <w:adjustRightInd/>
        <w:snapToGrid/>
        <w:spacing w:after="0" w:line="360" w:lineRule="auto"/>
        <w:ind w:left="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经计算本项目柴油储罐小呼吸排放量L</w:t>
      </w:r>
      <w:r>
        <w:rPr>
          <w:rFonts w:hint="default" w:ascii="Times New Roman" w:hAnsi="Times New Roman" w:eastAsia="宋体" w:cs="Times New Roman"/>
          <w:color w:val="auto"/>
          <w:sz w:val="24"/>
          <w:szCs w:val="24"/>
          <w:vertAlign w:val="subscript"/>
          <w:lang w:val="en-US" w:eastAsia="zh-CN"/>
        </w:rPr>
        <w:t>B</w:t>
      </w:r>
      <w:r>
        <w:rPr>
          <w:rFonts w:hint="default" w:ascii="Times New Roman" w:hAnsi="Times New Roman" w:eastAsia="宋体" w:cs="Times New Roman"/>
          <w:color w:val="auto"/>
          <w:sz w:val="24"/>
          <w:szCs w:val="24"/>
          <w:lang w:val="en-US" w:eastAsia="zh-CN"/>
        </w:rPr>
        <w:t>为</w:t>
      </w:r>
      <w:r>
        <w:rPr>
          <w:rFonts w:hint="eastAsia" w:ascii="Times New Roman" w:hAnsi="Times New Roman" w:eastAsia="宋体" w:cs="Times New Roman"/>
          <w:color w:val="auto"/>
          <w:sz w:val="24"/>
          <w:szCs w:val="24"/>
          <w:highlight w:val="none"/>
          <w:lang w:val="en-US" w:eastAsia="zh-CN"/>
        </w:rPr>
        <w:t>0.686</w:t>
      </w:r>
      <w:r>
        <w:rPr>
          <w:rFonts w:hint="default" w:ascii="Times New Roman" w:hAnsi="Times New Roman" w:eastAsia="宋体" w:cs="Times New Roman"/>
          <w:color w:val="auto"/>
          <w:sz w:val="24"/>
          <w:szCs w:val="24"/>
          <w:highlight w:val="none"/>
          <w:lang w:val="en-US" w:eastAsia="zh-CN"/>
        </w:rPr>
        <w:t>kg/a，0.00</w:t>
      </w:r>
      <w:r>
        <w:rPr>
          <w:rFonts w:hint="eastAsia" w:ascii="Times New Roman" w:hAnsi="Times New Roman" w:eastAsia="宋体" w:cs="Times New Roman"/>
          <w:color w:val="auto"/>
          <w:sz w:val="24"/>
          <w:szCs w:val="24"/>
          <w:highlight w:val="none"/>
          <w:lang w:val="en-US" w:eastAsia="zh-CN"/>
        </w:rPr>
        <w:t>07</w:t>
      </w:r>
      <w:r>
        <w:rPr>
          <w:rFonts w:hint="default" w:ascii="Times New Roman" w:hAnsi="Times New Roman" w:eastAsia="宋体" w:cs="Times New Roman"/>
          <w:color w:val="auto"/>
          <w:sz w:val="24"/>
          <w:szCs w:val="24"/>
          <w:highlight w:val="none"/>
          <w:lang w:val="en-US" w:eastAsia="zh-CN"/>
        </w:rPr>
        <w:t>t/a，0.0</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kg/h</w:t>
      </w:r>
      <w:r>
        <w:rPr>
          <w:rFonts w:hint="default" w:ascii="Times New Roman" w:hAnsi="Times New Roman" w:eastAsia="宋体" w:cs="Times New Roman"/>
          <w:color w:val="auto"/>
          <w:sz w:val="24"/>
          <w:szCs w:val="24"/>
          <w:lang w:val="en-US" w:eastAsia="zh-CN"/>
        </w:rPr>
        <w:t>。</w:t>
      </w:r>
    </w:p>
    <w:p>
      <w:pPr>
        <w:keepNext w:val="0"/>
        <w:keepLines w:val="0"/>
        <w:pageBreakBefore w:val="0"/>
        <w:widowControl/>
        <w:wordWrap/>
        <w:overflowPunct/>
        <w:topLinePunct w:val="0"/>
        <w:bidi w:val="0"/>
        <w:spacing w:line="360" w:lineRule="auto"/>
        <w:ind w:left="0" w:right="0"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b.大呼吸损耗</w:t>
      </w:r>
    </w:p>
    <w:p>
      <w:pPr>
        <w:pStyle w:val="53"/>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lang w:val="en-US" w:eastAsia="zh-CN"/>
        </w:rPr>
        <w:t>大呼吸是指储罐进发料的时的呼吸。储罐进料时，由于物料面逐渐升高，气体空间逐渐减小，罐内压力增大，当压力超过呼吸阀控制压力时，一定浓度的物料蒸气开始从呼吸</w:t>
      </w:r>
      <w:r>
        <w:rPr>
          <w:rFonts w:hint="default" w:ascii="Times New Roman" w:hAnsi="Times New Roman" w:eastAsia="宋体" w:cs="Times New Roman"/>
          <w:color w:val="auto"/>
          <w:sz w:val="24"/>
          <w:szCs w:val="24"/>
          <w:highlight w:val="none"/>
          <w:lang w:val="en-US" w:eastAsia="zh-CN"/>
        </w:rPr>
        <w:t>阀呼出，直到储罐进料停止，所呼出的物料蒸气造成物料蒸发的损失。储罐向外发料时，由于物料面不断降低，气体空间逐渐增大，罐内压力减小，当压力小于呼吸阀控制真空度时，储罐开始吸入新鲜空气，由于油面上方空间物料蒸气没有达到饱和，促使物料蒸发加速，使其重新达到饱和，罐内压力再次上升，造成部分蒸气从呼吸阀呼出。</w:t>
      </w:r>
    </w:p>
    <w:p>
      <w:pPr>
        <w:pStyle w:val="53"/>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本项目在用输油泵将柴油转移到储油罐内时，运输车辆油罐不下车，在装卸区将输油软管插入油罐中经输油泵打入储油罐，可有效避免有机废气的挥发。</w:t>
      </w:r>
    </w:p>
    <w:p>
      <w:pPr>
        <w:pStyle w:val="53"/>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2"/>
          <w:sz w:val="24"/>
          <w:szCs w:val="24"/>
          <w:highlight w:val="none"/>
          <w:lang w:val="en-US" w:eastAsia="zh-CN" w:bidi="ar-SA"/>
        </w:rPr>
        <w:t>根据美国《工业污染源调查与研究》第</w:t>
      </w:r>
      <w:r>
        <w:rPr>
          <w:rFonts w:hint="default" w:ascii="Times New Roman" w:hAnsi="Times New Roman" w:eastAsia="宋体" w:cs="Times New Roman"/>
          <w:color w:val="auto"/>
          <w:sz w:val="24"/>
          <w:szCs w:val="24"/>
          <w:highlight w:val="none"/>
        </w:rPr>
        <w:t>二辑计算，储罐工作</w:t>
      </w:r>
      <w:r>
        <w:rPr>
          <w:rFonts w:hint="default" w:ascii="Times New Roman" w:hAnsi="Times New Roman" w:eastAsia="宋体" w:cs="Times New Roman"/>
          <w:color w:val="auto"/>
          <w:sz w:val="24"/>
          <w:szCs w:val="24"/>
          <w:highlight w:val="none"/>
          <w:lang w:val="en-US" w:eastAsia="zh-CN"/>
        </w:rPr>
        <w:t>非甲烷总烃</w:t>
      </w:r>
      <w:r>
        <w:rPr>
          <w:rFonts w:hint="default" w:ascii="Times New Roman" w:hAnsi="Times New Roman" w:eastAsia="宋体" w:cs="Times New Roman"/>
          <w:color w:val="auto"/>
          <w:sz w:val="24"/>
          <w:szCs w:val="24"/>
          <w:highlight w:val="none"/>
        </w:rPr>
        <w:t>排放量（大呼吸）：</w:t>
      </w:r>
    </w:p>
    <w:p>
      <w:pPr>
        <w:pStyle w:val="53"/>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position w:val="-12"/>
          <w:sz w:val="24"/>
          <w:szCs w:val="24"/>
          <w:highlight w:val="none"/>
        </w:rPr>
        <w:object>
          <v:shape id="_x0000_i1031" o:spt="75" type="#_x0000_t75" style="height:19.3pt;width:201.15pt;" o:ole="t" filled="f" o:preferrelative="t" stroked="f" coordsize="21600,21600">
            <v:path/>
            <v:fill on="f" focussize="0,0"/>
            <v:stroke on="f"/>
            <v:imagedata r:id="rId48" o:title=""/>
            <o:lock v:ext="edit" aspectratio="t"/>
            <w10:wrap type="none"/>
            <w10:anchorlock/>
          </v:shape>
          <o:OLEObject Type="Embed" ProgID="Equation.3" ShapeID="_x0000_i1031" DrawAspect="Content" ObjectID="_1468075731" r:id="rId47">
            <o:LockedField>false</o:LockedField>
          </o:OLEObject>
        </w:object>
      </w:r>
    </w:p>
    <w:p>
      <w:pPr>
        <w:keepNext w:val="0"/>
        <w:keepLines w:val="0"/>
        <w:pageBreakBefore w:val="0"/>
        <w:widowControl/>
        <w:wordWrap/>
        <w:overflowPunct/>
        <w:topLinePunct w:val="0"/>
        <w:bidi w:val="0"/>
        <w:spacing w:line="360" w:lineRule="auto"/>
        <w:ind w:left="0" w:right="0" w:firstLine="480" w:firstLineChars="20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式中：L</w:t>
      </w:r>
      <w:r>
        <w:rPr>
          <w:rFonts w:hint="default" w:ascii="Times New Roman" w:hAnsi="Times New Roman" w:eastAsia="宋体" w:cs="Times New Roman"/>
          <w:color w:val="auto"/>
          <w:sz w:val="24"/>
          <w:szCs w:val="24"/>
          <w:highlight w:val="none"/>
          <w:vertAlign w:val="subscript"/>
        </w:rPr>
        <w:t>W</w:t>
      </w:r>
      <w:r>
        <w:rPr>
          <w:rFonts w:hint="default" w:ascii="Times New Roman" w:hAnsi="Times New Roman" w:eastAsia="宋体" w:cs="Times New Roman"/>
          <w:color w:val="auto"/>
          <w:sz w:val="24"/>
          <w:szCs w:val="24"/>
          <w:highlight w:val="none"/>
        </w:rPr>
        <w:t>—储罐的工作损失（kg/</w:t>
      </w:r>
      <w:r>
        <w:rPr>
          <w:rFonts w:hint="default"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color w:val="auto"/>
          <w:sz w:val="24"/>
          <w:szCs w:val="24"/>
          <w:highlight w:val="none"/>
        </w:rPr>
        <w:t>）</w:t>
      </w:r>
    </w:p>
    <w:p>
      <w:pPr>
        <w:pStyle w:val="53"/>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K</w:t>
      </w:r>
      <w:r>
        <w:rPr>
          <w:rFonts w:hint="default" w:ascii="Times New Roman" w:hAnsi="Times New Roman" w:eastAsia="宋体" w:cs="Times New Roman"/>
          <w:color w:val="auto"/>
          <w:sz w:val="24"/>
          <w:szCs w:val="24"/>
          <w:highlight w:val="none"/>
          <w:vertAlign w:val="subscript"/>
        </w:rPr>
        <w:t>N</w:t>
      </w:r>
      <w:r>
        <w:rPr>
          <w:rFonts w:hint="default" w:ascii="Times New Roman" w:hAnsi="Times New Roman" w:eastAsia="宋体" w:cs="Times New Roman"/>
          <w:color w:val="auto"/>
          <w:sz w:val="24"/>
          <w:szCs w:val="24"/>
          <w:highlight w:val="none"/>
        </w:rPr>
        <w:t>—周转因子（无量纲），取值按年周转次数（K=年投入量/罐容量）确定</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K≤36，K</w:t>
      </w:r>
      <w:r>
        <w:rPr>
          <w:rFonts w:hint="default" w:ascii="Times New Roman" w:hAnsi="Times New Roman" w:eastAsia="宋体" w:cs="Times New Roman"/>
          <w:color w:val="auto"/>
          <w:sz w:val="24"/>
          <w:szCs w:val="24"/>
          <w:highlight w:val="none"/>
          <w:vertAlign w:val="subscript"/>
          <w:lang w:val="en-US" w:eastAsia="zh-CN"/>
        </w:rPr>
        <w:t>N</w:t>
      </w:r>
      <w:r>
        <w:rPr>
          <w:rFonts w:hint="default" w:ascii="Times New Roman" w:hAnsi="Times New Roman" w:eastAsia="宋体" w:cs="Times New Roman"/>
          <w:color w:val="auto"/>
          <w:sz w:val="24"/>
          <w:szCs w:val="24"/>
          <w:highlight w:val="none"/>
          <w:lang w:val="en-US" w:eastAsia="zh-CN"/>
        </w:rPr>
        <w:t>=1；36＜K≤220，K</w:t>
      </w:r>
      <w:r>
        <w:rPr>
          <w:rFonts w:hint="default" w:ascii="Times New Roman" w:hAnsi="Times New Roman" w:eastAsia="宋体" w:cs="Times New Roman"/>
          <w:color w:val="auto"/>
          <w:sz w:val="24"/>
          <w:szCs w:val="24"/>
          <w:highlight w:val="none"/>
          <w:vertAlign w:val="subscript"/>
          <w:lang w:val="en-US" w:eastAsia="zh-CN"/>
        </w:rPr>
        <w:t>N</w:t>
      </w:r>
      <w:r>
        <w:rPr>
          <w:rFonts w:hint="default" w:ascii="Times New Roman" w:hAnsi="Times New Roman" w:eastAsia="宋体" w:cs="Times New Roman"/>
          <w:color w:val="auto"/>
          <w:sz w:val="24"/>
          <w:szCs w:val="24"/>
          <w:highlight w:val="none"/>
          <w:lang w:val="en-US" w:eastAsia="zh-CN"/>
        </w:rPr>
        <w:t>=11.467×K</w:t>
      </w:r>
      <w:r>
        <w:rPr>
          <w:rFonts w:hint="default" w:ascii="Times New Roman" w:hAnsi="Times New Roman" w:eastAsia="宋体" w:cs="Times New Roman"/>
          <w:color w:val="auto"/>
          <w:sz w:val="24"/>
          <w:szCs w:val="24"/>
          <w:highlight w:val="none"/>
          <w:vertAlign w:val="superscript"/>
          <w:lang w:val="en-US" w:eastAsia="zh-CN"/>
        </w:rPr>
        <w:t>-0.7026</w:t>
      </w:r>
      <w:r>
        <w:rPr>
          <w:rFonts w:hint="default" w:ascii="Times New Roman" w:hAnsi="Times New Roman" w:eastAsia="宋体" w:cs="Times New Roman"/>
          <w:color w:val="auto"/>
          <w:sz w:val="24"/>
          <w:szCs w:val="24"/>
          <w:highlight w:val="none"/>
          <w:vertAlign w:val="baseline"/>
          <w:lang w:val="en-US" w:eastAsia="zh-CN"/>
        </w:rPr>
        <w:t>；K&gt;200，</w:t>
      </w:r>
      <w:r>
        <w:rPr>
          <w:rFonts w:hint="default" w:ascii="Times New Roman" w:hAnsi="Times New Roman" w:eastAsia="宋体" w:cs="Times New Roman"/>
          <w:color w:val="auto"/>
          <w:sz w:val="24"/>
          <w:szCs w:val="24"/>
          <w:highlight w:val="none"/>
          <w:lang w:val="en-US" w:eastAsia="zh-CN"/>
        </w:rPr>
        <w:t>K</w:t>
      </w:r>
      <w:r>
        <w:rPr>
          <w:rFonts w:hint="default" w:ascii="Times New Roman" w:hAnsi="Times New Roman" w:eastAsia="宋体" w:cs="Times New Roman"/>
          <w:color w:val="auto"/>
          <w:sz w:val="24"/>
          <w:szCs w:val="24"/>
          <w:highlight w:val="none"/>
          <w:vertAlign w:val="subscript"/>
          <w:lang w:val="en-US" w:eastAsia="zh-CN"/>
        </w:rPr>
        <w:t>N</w:t>
      </w:r>
      <w:r>
        <w:rPr>
          <w:rFonts w:hint="default" w:ascii="Times New Roman" w:hAnsi="Times New Roman" w:eastAsia="宋体" w:cs="Times New Roman"/>
          <w:color w:val="auto"/>
          <w:sz w:val="24"/>
          <w:szCs w:val="24"/>
          <w:highlight w:val="none"/>
          <w:lang w:val="en-US" w:eastAsia="zh-CN"/>
        </w:rPr>
        <w:t>=0.26</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（本项目年用柴油</w:t>
      </w:r>
      <w:r>
        <w:rPr>
          <w:rFonts w:hint="default" w:ascii="Times New Roman" w:hAnsi="Times New Roman" w:eastAsia="宋体" w:cs="Times New Roman"/>
          <w:color w:val="auto"/>
          <w:sz w:val="24"/>
          <w:szCs w:val="24"/>
          <w:highlight w:val="none"/>
          <w:lang w:val="en-US" w:eastAsia="zh-CN"/>
        </w:rPr>
        <w:t>36m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，本项目柴油储罐为1.5</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，最大存在量1.</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，K取30，经计算本项目K</w:t>
      </w:r>
      <w:r>
        <w:rPr>
          <w:rFonts w:hint="default" w:ascii="Times New Roman" w:hAnsi="Times New Roman" w:eastAsia="宋体" w:cs="Times New Roman"/>
          <w:color w:val="auto"/>
          <w:sz w:val="24"/>
          <w:szCs w:val="24"/>
          <w:highlight w:val="none"/>
          <w:vertAlign w:val="subscript"/>
          <w:lang w:val="en-US" w:eastAsia="zh-CN"/>
        </w:rPr>
        <w:t>N</w:t>
      </w:r>
      <w:r>
        <w:rPr>
          <w:rFonts w:hint="default" w:ascii="Times New Roman" w:hAnsi="Times New Roman" w:eastAsia="宋体" w:cs="Times New Roman"/>
          <w:color w:val="auto"/>
          <w:sz w:val="24"/>
          <w:szCs w:val="24"/>
          <w:highlight w:val="none"/>
          <w:vertAlign w:val="baseline"/>
          <w:lang w:val="en-US" w:eastAsia="zh-CN"/>
        </w:rPr>
        <w:t>=1</w:t>
      </w:r>
      <w:r>
        <w:rPr>
          <w:rFonts w:hint="default" w:ascii="Times New Roman" w:hAnsi="Times New Roman" w:eastAsia="宋体" w:cs="Times New Roman"/>
          <w:color w:val="auto"/>
          <w:sz w:val="24"/>
          <w:szCs w:val="24"/>
          <w:highlight w:val="none"/>
          <w:lang w:eastAsia="zh-CN"/>
        </w:rPr>
        <w:t>）</w:t>
      </w:r>
    </w:p>
    <w:p>
      <w:pPr>
        <w:pStyle w:val="53"/>
        <w:keepNext w:val="0"/>
        <w:keepLines w:val="0"/>
        <w:pageBreakBefore w:val="0"/>
        <w:widowControl/>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其他同上储罐小呼吸排放量中参数说明。</w:t>
      </w:r>
    </w:p>
    <w:p>
      <w:pPr>
        <w:pStyle w:val="29"/>
        <w:keepNext w:val="0"/>
        <w:keepLines w:val="0"/>
        <w:pageBreakBefore w:val="0"/>
        <w:widowControl/>
        <w:numPr>
          <w:ilvl w:val="0"/>
          <w:numId w:val="0"/>
        </w:numPr>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SA"/>
        </w:rPr>
        <w:t>经计算本项目柴油储罐大呼吸</w:t>
      </w:r>
      <w:r>
        <w:rPr>
          <w:rFonts w:hint="default" w:ascii="Times New Roman" w:hAnsi="Times New Roman" w:eastAsia="宋体" w:cs="Times New Roman"/>
          <w:color w:val="auto"/>
          <w:sz w:val="24"/>
          <w:szCs w:val="24"/>
          <w:highlight w:val="none"/>
          <w:lang w:val="en-US" w:eastAsia="zh-CN"/>
        </w:rPr>
        <w:t>非甲烷总烃</w:t>
      </w:r>
      <w:r>
        <w:rPr>
          <w:rFonts w:hint="default" w:ascii="Times New Roman" w:hAnsi="Times New Roman" w:eastAsia="宋体" w:cs="Times New Roman"/>
          <w:color w:val="auto"/>
          <w:kern w:val="0"/>
          <w:sz w:val="24"/>
          <w:szCs w:val="24"/>
          <w:highlight w:val="none"/>
          <w:lang w:val="en-US" w:eastAsia="zh-CN" w:bidi="ar-SA"/>
        </w:rPr>
        <w:t>排放量为0.0</w:t>
      </w:r>
      <w:r>
        <w:rPr>
          <w:rFonts w:hint="eastAsia" w:ascii="Times New Roman" w:hAnsi="Times New Roman" w:eastAsia="宋体" w:cs="Times New Roman"/>
          <w:color w:val="auto"/>
          <w:kern w:val="0"/>
          <w:sz w:val="24"/>
          <w:szCs w:val="24"/>
          <w:highlight w:val="none"/>
          <w:lang w:val="en-US" w:eastAsia="zh-CN" w:bidi="ar-SA"/>
        </w:rPr>
        <w:t>134</w:t>
      </w:r>
      <w:r>
        <w:rPr>
          <w:rFonts w:hint="default" w:ascii="Times New Roman" w:hAnsi="Times New Roman" w:eastAsia="宋体" w:cs="Times New Roman"/>
          <w:color w:val="auto"/>
          <w:sz w:val="24"/>
          <w:szCs w:val="24"/>
          <w:highlight w:val="none"/>
        </w:rPr>
        <w:t>kg/</w:t>
      </w:r>
      <w:r>
        <w:rPr>
          <w:rFonts w:hint="default"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color w:val="auto"/>
          <w:sz w:val="24"/>
          <w:szCs w:val="24"/>
          <w:highlight w:val="none"/>
          <w:vertAlign w:val="baseline"/>
          <w:lang w:eastAsia="zh-CN"/>
        </w:rPr>
        <w:t>（</w:t>
      </w:r>
      <w:r>
        <w:rPr>
          <w:rFonts w:hint="default" w:ascii="Times New Roman" w:hAnsi="Times New Roman" w:eastAsia="宋体" w:cs="Times New Roman"/>
          <w:color w:val="auto"/>
          <w:sz w:val="24"/>
          <w:szCs w:val="24"/>
          <w:highlight w:val="none"/>
          <w:vertAlign w:val="baseline"/>
          <w:lang w:val="en-US" w:eastAsia="zh-CN"/>
        </w:rPr>
        <w:t>0.0000</w:t>
      </w:r>
      <w:r>
        <w:rPr>
          <w:rFonts w:hint="eastAsia" w:ascii="Times New Roman" w:hAnsi="Times New Roman" w:eastAsia="宋体" w:cs="Times New Roman"/>
          <w:color w:val="auto"/>
          <w:sz w:val="24"/>
          <w:szCs w:val="24"/>
          <w:highlight w:val="none"/>
          <w:vertAlign w:val="baseline"/>
          <w:lang w:val="en-US" w:eastAsia="zh-CN"/>
        </w:rPr>
        <w:t>1</w:t>
      </w:r>
      <w:r>
        <w:rPr>
          <w:rFonts w:hint="default" w:ascii="Times New Roman" w:hAnsi="Times New Roman" w:eastAsia="宋体" w:cs="Times New Roman"/>
          <w:color w:val="auto"/>
          <w:sz w:val="24"/>
          <w:szCs w:val="24"/>
          <w:highlight w:val="none"/>
          <w:vertAlign w:val="baseline"/>
          <w:lang w:val="en-US" w:eastAsia="zh-CN"/>
        </w:rPr>
        <w:t>t/a</w:t>
      </w:r>
      <w:r>
        <w:rPr>
          <w:rFonts w:hint="default" w:ascii="Times New Roman" w:hAnsi="Times New Roman" w:eastAsia="宋体" w:cs="Times New Roman"/>
          <w:color w:val="auto"/>
          <w:sz w:val="24"/>
          <w:szCs w:val="24"/>
          <w:highlight w:val="none"/>
          <w:vertAlign w:val="baseline"/>
          <w:lang w:eastAsia="zh-CN"/>
        </w:rPr>
        <w:t>），</w:t>
      </w:r>
      <w:r>
        <w:rPr>
          <w:rFonts w:hint="default" w:ascii="Times New Roman" w:hAnsi="Times New Roman" w:eastAsia="宋体" w:cs="Times New Roman"/>
          <w:color w:val="auto"/>
          <w:sz w:val="24"/>
          <w:szCs w:val="24"/>
          <w:highlight w:val="none"/>
          <w:vertAlign w:val="baseline"/>
          <w:lang w:val="en-US" w:eastAsia="zh-CN"/>
        </w:rPr>
        <w:t>每次卸油时间为0.5h，一年卸油30次，本项目储罐采用卧式罐，罐顶设气相平衡管相关设施1套，减少罐车进料大呼吸无组织排放非甲烷总烃90%以上</w:t>
      </w:r>
      <w:r>
        <w:rPr>
          <w:rFonts w:hint="default" w:ascii="Times New Roman" w:hAnsi="Times New Roman" w:eastAsia="宋体" w:cs="Times New Roman"/>
          <w:color w:val="auto"/>
          <w:sz w:val="24"/>
          <w:szCs w:val="24"/>
          <w:highlight w:val="none"/>
          <w:lang w:val="en-US" w:eastAsia="zh-CN"/>
        </w:rPr>
        <w:t>，则柴油装车操作过程的大呼吸非甲烷总烃排放量为0.00000</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t/a，0.000</w:t>
      </w:r>
      <w:r>
        <w:rPr>
          <w:rFonts w:hint="eastAsia"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eastAsia="zh-CN"/>
        </w:rPr>
        <w:t>kg/h。柴油储罐大小呼吸非甲烷总烃排放量为0.0013</w:t>
      </w:r>
      <w:r>
        <w:rPr>
          <w:rFonts w:hint="eastAsia" w:ascii="Times New Roman" w:hAnsi="Times New Roman" w:eastAsia="宋体" w:cs="Times New Roman"/>
          <w:color w:val="auto"/>
          <w:sz w:val="24"/>
          <w:szCs w:val="24"/>
          <w:highlight w:val="none"/>
          <w:lang w:val="en-US" w:eastAsia="zh-CN"/>
        </w:rPr>
        <w:t>01</w:t>
      </w:r>
      <w:r>
        <w:rPr>
          <w:rFonts w:hint="default" w:ascii="Times New Roman" w:hAnsi="Times New Roman" w:eastAsia="宋体" w:cs="Times New Roman"/>
          <w:color w:val="auto"/>
          <w:sz w:val="24"/>
          <w:szCs w:val="24"/>
          <w:highlight w:val="none"/>
          <w:lang w:val="en-US" w:eastAsia="zh-CN"/>
        </w:rPr>
        <w:t>t/a。</w:t>
      </w:r>
    </w:p>
    <w:p>
      <w:pPr>
        <w:pStyle w:val="29"/>
        <w:keepNext w:val="0"/>
        <w:keepLines w:val="0"/>
        <w:pageBreakBefore w:val="0"/>
        <w:widowControl/>
        <w:numPr>
          <w:ilvl w:val="0"/>
          <w:numId w:val="0"/>
        </w:numPr>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lang w:val="en-US" w:eastAsia="zh-CN"/>
        </w:rPr>
        <w:sectPr>
          <w:headerReference r:id="rId10" w:type="default"/>
          <w:pgSz w:w="11906" w:h="16839"/>
          <w:pgMar w:top="1203" w:right="1306" w:bottom="1156" w:left="1304" w:header="962" w:footer="992" w:gutter="0"/>
          <w:pgBorders>
            <w:top w:val="none" w:sz="0" w:space="0"/>
            <w:left w:val="none" w:sz="0" w:space="0"/>
            <w:bottom w:val="none" w:sz="0" w:space="0"/>
            <w:right w:val="none" w:sz="0" w:space="0"/>
          </w:pgBorders>
          <w:pgNumType w:fmt="decimal"/>
          <w:cols w:space="720" w:num="1"/>
        </w:sectPr>
      </w:pPr>
      <w:r>
        <w:rPr>
          <w:rFonts w:hint="default" w:ascii="Times New Roman" w:hAnsi="Times New Roman" w:eastAsia="宋体" w:cs="Times New Roman"/>
          <w:color w:val="auto"/>
          <w:sz w:val="24"/>
          <w:szCs w:val="24"/>
          <w:highlight w:val="none"/>
          <w:lang w:val="en-US" w:eastAsia="zh-CN"/>
        </w:rPr>
        <w:t>本工程废气产生量、污染物浓度及采取治理措施后污染物排放情况见表3-6-12。</w:t>
      </w:r>
    </w:p>
    <w:p>
      <w:pPr>
        <w:pStyle w:val="48"/>
        <w:keepNext w:val="0"/>
        <w:keepLines w:val="0"/>
        <w:pageBreakBefore w:val="0"/>
        <w:widowControl w:val="0"/>
        <w:kinsoku/>
        <w:wordWrap/>
        <w:overflowPunct/>
        <w:topLinePunct w:val="0"/>
        <w:autoSpaceDE/>
        <w:autoSpaceDN/>
        <w:bidi w:val="0"/>
        <w:adjustRightInd/>
        <w:snapToGrid/>
        <w:spacing w:line="240" w:lineRule="auto"/>
        <w:ind w:firstLine="0"/>
        <w:textAlignment w:val="auto"/>
        <w:rPr>
          <w:rFonts w:hint="eastAsia" w:ascii="Times New Roman" w:hAnsi="Times New Roman" w:eastAsia="宋体" w:cs="Times New Roman"/>
          <w:b/>
          <w:color w:val="auto"/>
          <w:kern w:val="21"/>
          <w:sz w:val="21"/>
          <w:szCs w:val="21"/>
          <w:highlight w:val="none"/>
          <w:u w:val="none"/>
          <w:lang w:eastAsia="zh-CN"/>
        </w:rPr>
      </w:pPr>
      <w:r>
        <w:rPr>
          <w:rFonts w:hint="default" w:ascii="Times New Roman" w:hAnsi="Times New Roman" w:eastAsia="宋体" w:cs="Times New Roman"/>
          <w:b/>
          <w:color w:val="auto"/>
          <w:kern w:val="21"/>
          <w:sz w:val="21"/>
          <w:szCs w:val="21"/>
          <w:highlight w:val="none"/>
          <w:u w:val="none"/>
        </w:rPr>
        <w:t>表3</w:t>
      </w:r>
      <w:r>
        <w:rPr>
          <w:rFonts w:hint="eastAsia" w:ascii="Times New Roman" w:hAnsi="Times New Roman" w:eastAsia="宋体" w:cs="Times New Roman"/>
          <w:b/>
          <w:color w:val="auto"/>
          <w:kern w:val="21"/>
          <w:sz w:val="21"/>
          <w:szCs w:val="21"/>
          <w:highlight w:val="none"/>
          <w:u w:val="none"/>
          <w:lang w:val="en-US" w:eastAsia="zh-CN"/>
        </w:rPr>
        <w:t>-</w:t>
      </w:r>
      <w:r>
        <w:rPr>
          <w:rFonts w:hint="default" w:ascii="Times New Roman" w:hAnsi="Times New Roman" w:eastAsia="宋体" w:cs="Times New Roman"/>
          <w:b/>
          <w:color w:val="auto"/>
          <w:kern w:val="21"/>
          <w:sz w:val="21"/>
          <w:szCs w:val="21"/>
          <w:highlight w:val="none"/>
          <w:u w:val="none"/>
          <w:lang w:val="en-US" w:eastAsia="zh-CN"/>
        </w:rPr>
        <w:t xml:space="preserve">6-12  </w:t>
      </w:r>
      <w:r>
        <w:rPr>
          <w:rFonts w:hint="default" w:ascii="Times New Roman" w:hAnsi="Times New Roman" w:eastAsia="宋体" w:cs="Times New Roman"/>
          <w:b/>
          <w:color w:val="auto"/>
          <w:kern w:val="21"/>
          <w:sz w:val="21"/>
          <w:szCs w:val="21"/>
          <w:highlight w:val="none"/>
          <w:u w:val="none"/>
        </w:rPr>
        <w:t>大气污染源源强核算结果及相关参数一览表</w:t>
      </w:r>
    </w:p>
    <w:tbl>
      <w:tblPr>
        <w:tblStyle w:val="24"/>
        <w:tblW w:w="1432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58"/>
        <w:gridCol w:w="615"/>
        <w:gridCol w:w="1092"/>
        <w:gridCol w:w="870"/>
        <w:gridCol w:w="800"/>
        <w:gridCol w:w="41"/>
        <w:gridCol w:w="812"/>
        <w:gridCol w:w="870"/>
        <w:gridCol w:w="1623"/>
        <w:gridCol w:w="660"/>
        <w:gridCol w:w="894"/>
        <w:gridCol w:w="870"/>
        <w:gridCol w:w="771"/>
        <w:gridCol w:w="809"/>
        <w:gridCol w:w="800"/>
        <w:gridCol w:w="823"/>
        <w:gridCol w:w="122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jc w:val="center"/>
        </w:trPr>
        <w:tc>
          <w:tcPr>
            <w:tcW w:w="758"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bCs/>
                <w:color w:val="auto"/>
                <w:spacing w:val="0"/>
                <w:sz w:val="21"/>
                <w:szCs w:val="21"/>
                <w:lang w:val="en-US" w:eastAsia="zh-CN"/>
              </w:rPr>
              <w:t>工序</w:t>
            </w:r>
          </w:p>
        </w:tc>
        <w:tc>
          <w:tcPr>
            <w:tcW w:w="615"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污染</w:t>
            </w:r>
          </w:p>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源</w:t>
            </w:r>
          </w:p>
        </w:tc>
        <w:tc>
          <w:tcPr>
            <w:tcW w:w="1092"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污染物</w:t>
            </w:r>
          </w:p>
        </w:tc>
        <w:tc>
          <w:tcPr>
            <w:tcW w:w="3393" w:type="dxa"/>
            <w:gridSpan w:val="5"/>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污染物产生情况</w:t>
            </w:r>
          </w:p>
        </w:tc>
        <w:tc>
          <w:tcPr>
            <w:tcW w:w="3177" w:type="dxa"/>
            <w:gridSpan w:val="3"/>
            <w:noWrap w:val="0"/>
            <w:vAlign w:val="center"/>
          </w:tcPr>
          <w:p>
            <w:pPr>
              <w:pStyle w:val="22"/>
              <w:widowControl w:val="0"/>
              <w:adjustRightInd w:val="0"/>
              <w:snapToGrid w:val="0"/>
              <w:spacing w:beforeAutospacing="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污染防治措施</w:t>
            </w:r>
          </w:p>
        </w:tc>
        <w:tc>
          <w:tcPr>
            <w:tcW w:w="4073" w:type="dxa"/>
            <w:gridSpan w:val="5"/>
            <w:noWrap w:val="0"/>
            <w:vAlign w:val="center"/>
          </w:tcPr>
          <w:p>
            <w:pPr>
              <w:pStyle w:val="22"/>
              <w:widowControl w:val="0"/>
              <w:adjustRightInd w:val="0"/>
              <w:snapToGrid w:val="0"/>
              <w:spacing w:beforeAutospacing="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污染物排放情况</w:t>
            </w:r>
          </w:p>
        </w:tc>
        <w:tc>
          <w:tcPr>
            <w:tcW w:w="122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排放时间h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30" w:hRule="atLeast"/>
          <w:jc w:val="center"/>
        </w:trPr>
        <w:tc>
          <w:tcPr>
            <w:tcW w:w="758" w:type="dxa"/>
            <w:vMerge w:val="continue"/>
            <w:noWrap w:val="0"/>
            <w:vAlign w:val="center"/>
          </w:tcPr>
          <w:p>
            <w:pPr>
              <w:adjustRightInd w:val="0"/>
              <w:snapToGrid w:val="0"/>
              <w:jc w:val="center"/>
              <w:rPr>
                <w:rFonts w:hint="default" w:ascii="Times New Roman" w:hAnsi="Times New Roman" w:eastAsia="宋体" w:cs="Times New Roman"/>
                <w:color w:val="auto"/>
                <w:spacing w:val="0"/>
                <w:sz w:val="21"/>
                <w:szCs w:val="21"/>
              </w:rPr>
            </w:pPr>
          </w:p>
        </w:tc>
        <w:tc>
          <w:tcPr>
            <w:tcW w:w="615" w:type="dxa"/>
            <w:vMerge w:val="continue"/>
            <w:noWrap w:val="0"/>
            <w:vAlign w:val="center"/>
          </w:tcPr>
          <w:p>
            <w:pPr>
              <w:adjustRightInd w:val="0"/>
              <w:snapToGrid w:val="0"/>
              <w:jc w:val="center"/>
              <w:rPr>
                <w:rFonts w:hint="default" w:ascii="Times New Roman" w:hAnsi="Times New Roman" w:eastAsia="宋体" w:cs="Times New Roman"/>
                <w:color w:val="auto"/>
                <w:spacing w:val="0"/>
                <w:sz w:val="21"/>
                <w:szCs w:val="21"/>
              </w:rPr>
            </w:pPr>
          </w:p>
        </w:tc>
        <w:tc>
          <w:tcPr>
            <w:tcW w:w="1092" w:type="dxa"/>
            <w:vMerge w:val="continue"/>
            <w:noWrap w:val="0"/>
            <w:vAlign w:val="center"/>
          </w:tcPr>
          <w:p>
            <w:pPr>
              <w:adjustRightInd w:val="0"/>
              <w:snapToGrid w:val="0"/>
              <w:jc w:val="center"/>
              <w:rPr>
                <w:rFonts w:hint="default" w:ascii="Times New Roman" w:hAnsi="Times New Roman" w:eastAsia="宋体" w:cs="Times New Roman"/>
                <w:color w:val="auto"/>
                <w:spacing w:val="0"/>
                <w:sz w:val="21"/>
                <w:szCs w:val="21"/>
              </w:rPr>
            </w:pPr>
          </w:p>
        </w:tc>
        <w:tc>
          <w:tcPr>
            <w:tcW w:w="870" w:type="dxa"/>
            <w:noWrap w:val="0"/>
            <w:vAlign w:val="center"/>
          </w:tcPr>
          <w:p>
            <w:pPr>
              <w:pStyle w:val="22"/>
              <w:widowControl w:val="0"/>
              <w:adjustRightInd w:val="0"/>
              <w:snapToGrid w:val="0"/>
              <w:spacing w:beforeAutospacing="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核算方法</w:t>
            </w:r>
          </w:p>
        </w:tc>
        <w:tc>
          <w:tcPr>
            <w:tcW w:w="800" w:type="dxa"/>
            <w:noWrap w:val="0"/>
            <w:vAlign w:val="center"/>
          </w:tcPr>
          <w:p>
            <w:pPr>
              <w:pStyle w:val="22"/>
              <w:widowControl w:val="0"/>
              <w:adjustRightInd w:val="0"/>
              <w:snapToGrid w:val="0"/>
              <w:spacing w:beforeAutospacing="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烟气量</w:t>
            </w:r>
            <w:r>
              <w:rPr>
                <w:rFonts w:hint="default" w:ascii="Times New Roman" w:hAnsi="Times New Roman" w:eastAsia="宋体" w:cs="Times New Roman"/>
                <w:color w:val="auto"/>
                <w:spacing w:val="0"/>
                <w:sz w:val="21"/>
                <w:szCs w:val="21"/>
              </w:rPr>
              <w:t>N</w:t>
            </w:r>
            <w:r>
              <w:rPr>
                <w:rFonts w:hint="default" w:ascii="Times New Roman" w:hAnsi="Times New Roman" w:eastAsia="宋体" w:cs="Times New Roman"/>
                <w:bCs/>
                <w:color w:val="auto"/>
                <w:spacing w:val="0"/>
                <w:sz w:val="21"/>
                <w:szCs w:val="21"/>
              </w:rPr>
              <w:t>m</w:t>
            </w:r>
            <w:r>
              <w:rPr>
                <w:rFonts w:hint="default" w:ascii="Times New Roman" w:hAnsi="Times New Roman" w:eastAsia="宋体" w:cs="Times New Roman"/>
                <w:bCs/>
                <w:color w:val="auto"/>
                <w:spacing w:val="0"/>
                <w:sz w:val="21"/>
                <w:szCs w:val="21"/>
                <w:vertAlign w:val="superscript"/>
              </w:rPr>
              <w:t>3</w:t>
            </w:r>
            <w:r>
              <w:rPr>
                <w:rFonts w:hint="default" w:ascii="Times New Roman" w:hAnsi="Times New Roman" w:eastAsia="宋体" w:cs="Times New Roman"/>
                <w:bCs/>
                <w:color w:val="auto"/>
                <w:spacing w:val="0"/>
                <w:sz w:val="21"/>
                <w:szCs w:val="21"/>
              </w:rPr>
              <w:t>/h</w:t>
            </w:r>
          </w:p>
        </w:tc>
        <w:tc>
          <w:tcPr>
            <w:tcW w:w="853"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bCs/>
                <w:color w:val="auto"/>
                <w:spacing w:val="0"/>
                <w:sz w:val="21"/>
                <w:szCs w:val="21"/>
              </w:rPr>
              <w:t>产生</w:t>
            </w:r>
            <w:r>
              <w:rPr>
                <w:rFonts w:hint="default" w:ascii="Times New Roman" w:hAnsi="Times New Roman" w:eastAsia="宋体" w:cs="Times New Roman"/>
                <w:bCs/>
                <w:color w:val="auto"/>
                <w:spacing w:val="0"/>
                <w:sz w:val="21"/>
                <w:szCs w:val="21"/>
                <w:lang w:val="en-US" w:eastAsia="zh-CN"/>
              </w:rPr>
              <w:t>速率</w:t>
            </w:r>
          </w:p>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de-DE"/>
              </w:rPr>
            </w:pPr>
            <w:r>
              <w:rPr>
                <w:rFonts w:hint="default" w:ascii="Times New Roman" w:hAnsi="Times New Roman" w:eastAsia="宋体" w:cs="Times New Roman"/>
                <w:color w:val="auto"/>
                <w:spacing w:val="0"/>
                <w:sz w:val="21"/>
                <w:szCs w:val="21"/>
                <w:lang w:val="de-DE"/>
              </w:rPr>
              <w:t>kg/h</w:t>
            </w:r>
          </w:p>
        </w:tc>
        <w:tc>
          <w:tcPr>
            <w:tcW w:w="87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产生浓度</w:t>
            </w:r>
          </w:p>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mg/m</w:t>
            </w:r>
            <w:r>
              <w:rPr>
                <w:rFonts w:hint="default" w:ascii="Times New Roman" w:hAnsi="Times New Roman" w:eastAsia="宋体" w:cs="Times New Roman"/>
                <w:bCs/>
                <w:color w:val="auto"/>
                <w:spacing w:val="0"/>
                <w:sz w:val="21"/>
                <w:szCs w:val="21"/>
                <w:vertAlign w:val="superscript"/>
              </w:rPr>
              <w:t>3</w:t>
            </w:r>
          </w:p>
        </w:tc>
        <w:tc>
          <w:tcPr>
            <w:tcW w:w="1623" w:type="dxa"/>
            <w:noWrap w:val="0"/>
            <w:vAlign w:val="center"/>
          </w:tcPr>
          <w:p>
            <w:pPr>
              <w:pStyle w:val="22"/>
              <w:widowControl w:val="0"/>
              <w:adjustRightInd w:val="0"/>
              <w:snapToGrid w:val="0"/>
              <w:spacing w:beforeAutospacing="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工艺</w:t>
            </w:r>
          </w:p>
        </w:tc>
        <w:tc>
          <w:tcPr>
            <w:tcW w:w="66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bCs/>
                <w:color w:val="auto"/>
                <w:spacing w:val="0"/>
                <w:sz w:val="21"/>
                <w:szCs w:val="21"/>
                <w:lang w:val="en-US" w:eastAsia="zh-CN"/>
              </w:rPr>
              <w:t>收集效率</w:t>
            </w:r>
          </w:p>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bCs/>
                <w:color w:val="auto"/>
                <w:spacing w:val="0"/>
                <w:sz w:val="21"/>
                <w:szCs w:val="21"/>
                <w:lang w:val="en-US" w:eastAsia="zh-CN"/>
              </w:rPr>
              <w:t>%</w:t>
            </w:r>
          </w:p>
        </w:tc>
        <w:tc>
          <w:tcPr>
            <w:tcW w:w="894"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lang w:val="en-US" w:eastAsia="zh-CN"/>
              </w:rPr>
              <w:t>处理</w:t>
            </w:r>
            <w:r>
              <w:rPr>
                <w:rFonts w:hint="default" w:ascii="Times New Roman" w:hAnsi="Times New Roman" w:eastAsia="宋体" w:cs="Times New Roman"/>
                <w:bCs/>
                <w:color w:val="auto"/>
                <w:spacing w:val="0"/>
                <w:sz w:val="21"/>
                <w:szCs w:val="21"/>
              </w:rPr>
              <w:t>效率</w:t>
            </w:r>
          </w:p>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0"/>
                <w:sz w:val="21"/>
                <w:szCs w:val="21"/>
                <w:lang w:val="en-US" w:eastAsia="zh-CN" w:bidi="ar-SA"/>
              </w:rPr>
            </w:pPr>
            <w:r>
              <w:rPr>
                <w:rFonts w:hint="default" w:ascii="Times New Roman" w:hAnsi="Times New Roman" w:eastAsia="宋体" w:cs="Times New Roman"/>
                <w:bCs/>
                <w:color w:val="auto"/>
                <w:spacing w:val="0"/>
                <w:sz w:val="21"/>
                <w:szCs w:val="21"/>
              </w:rPr>
              <w:t>%</w:t>
            </w:r>
          </w:p>
        </w:tc>
        <w:tc>
          <w:tcPr>
            <w:tcW w:w="87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bCs/>
                <w:color w:val="auto"/>
                <w:spacing w:val="0"/>
                <w:sz w:val="21"/>
                <w:szCs w:val="21"/>
              </w:rPr>
              <w:t>核算方法</w:t>
            </w:r>
          </w:p>
        </w:tc>
        <w:tc>
          <w:tcPr>
            <w:tcW w:w="771"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bCs/>
                <w:color w:val="auto"/>
                <w:spacing w:val="0"/>
                <w:sz w:val="21"/>
                <w:szCs w:val="21"/>
              </w:rPr>
              <w:t>烟气量</w:t>
            </w:r>
            <w:r>
              <w:rPr>
                <w:rFonts w:hint="default" w:ascii="Times New Roman" w:hAnsi="Times New Roman" w:eastAsia="宋体" w:cs="Times New Roman"/>
                <w:color w:val="auto"/>
                <w:spacing w:val="0"/>
                <w:sz w:val="21"/>
                <w:szCs w:val="21"/>
              </w:rPr>
              <w:t>N</w:t>
            </w:r>
            <w:r>
              <w:rPr>
                <w:rFonts w:hint="default" w:ascii="Times New Roman" w:hAnsi="Times New Roman" w:eastAsia="宋体" w:cs="Times New Roman"/>
                <w:bCs/>
                <w:color w:val="auto"/>
                <w:spacing w:val="0"/>
                <w:sz w:val="21"/>
                <w:szCs w:val="21"/>
              </w:rPr>
              <w:t>m</w:t>
            </w:r>
            <w:r>
              <w:rPr>
                <w:rFonts w:hint="default" w:ascii="Times New Roman" w:hAnsi="Times New Roman" w:eastAsia="宋体" w:cs="Times New Roman"/>
                <w:bCs/>
                <w:color w:val="auto"/>
                <w:spacing w:val="0"/>
                <w:sz w:val="21"/>
                <w:szCs w:val="21"/>
                <w:vertAlign w:val="superscript"/>
              </w:rPr>
              <w:t>3</w:t>
            </w:r>
            <w:r>
              <w:rPr>
                <w:rFonts w:hint="default" w:ascii="Times New Roman" w:hAnsi="Times New Roman" w:eastAsia="宋体" w:cs="Times New Roman"/>
                <w:bCs/>
                <w:color w:val="auto"/>
                <w:spacing w:val="0"/>
                <w:sz w:val="21"/>
                <w:szCs w:val="21"/>
              </w:rPr>
              <w:t>/h</w:t>
            </w:r>
          </w:p>
        </w:tc>
        <w:tc>
          <w:tcPr>
            <w:tcW w:w="809"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highlight w:val="none"/>
                <w:lang w:eastAsia="zh-CN"/>
              </w:rPr>
            </w:pPr>
            <w:r>
              <w:rPr>
                <w:rFonts w:hint="default" w:ascii="Times New Roman" w:hAnsi="Times New Roman" w:eastAsia="宋体" w:cs="Times New Roman"/>
                <w:bCs/>
                <w:color w:val="auto"/>
                <w:spacing w:val="0"/>
                <w:sz w:val="21"/>
                <w:szCs w:val="21"/>
                <w:highlight w:val="none"/>
              </w:rPr>
              <w:t>排放</w:t>
            </w:r>
            <w:r>
              <w:rPr>
                <w:rFonts w:hint="default" w:ascii="Times New Roman" w:hAnsi="Times New Roman" w:eastAsia="宋体" w:cs="Times New Roman"/>
                <w:bCs/>
                <w:color w:val="auto"/>
                <w:spacing w:val="0"/>
                <w:sz w:val="21"/>
                <w:szCs w:val="21"/>
                <w:highlight w:val="none"/>
                <w:lang w:val="en-US" w:eastAsia="zh-CN"/>
              </w:rPr>
              <w:t>速率</w:t>
            </w:r>
          </w:p>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highlight w:val="none"/>
                <w:lang w:val="de-DE"/>
              </w:rPr>
            </w:pPr>
            <w:r>
              <w:rPr>
                <w:rFonts w:hint="default" w:ascii="Times New Roman" w:hAnsi="Times New Roman" w:eastAsia="宋体" w:cs="Times New Roman"/>
                <w:color w:val="auto"/>
                <w:spacing w:val="0"/>
                <w:sz w:val="21"/>
                <w:szCs w:val="21"/>
                <w:highlight w:val="none"/>
                <w:lang w:val="de-DE"/>
              </w:rPr>
              <w:t>kg/h</w:t>
            </w:r>
          </w:p>
        </w:tc>
        <w:tc>
          <w:tcPr>
            <w:tcW w:w="80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排放</w:t>
            </w:r>
          </w:p>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浓度</w:t>
            </w:r>
          </w:p>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mg/m</w:t>
            </w:r>
            <w:r>
              <w:rPr>
                <w:rFonts w:hint="default" w:ascii="Times New Roman" w:hAnsi="Times New Roman" w:eastAsia="宋体" w:cs="Times New Roman"/>
                <w:bCs/>
                <w:color w:val="auto"/>
                <w:spacing w:val="0"/>
                <w:sz w:val="21"/>
                <w:szCs w:val="21"/>
                <w:highlight w:val="none"/>
                <w:vertAlign w:val="superscript"/>
              </w:rPr>
              <w:t>3</w:t>
            </w:r>
          </w:p>
        </w:tc>
        <w:tc>
          <w:tcPr>
            <w:tcW w:w="823"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排放量</w:t>
            </w:r>
          </w:p>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color w:val="auto"/>
                <w:spacing w:val="0"/>
                <w:sz w:val="21"/>
                <w:szCs w:val="21"/>
                <w:highlight w:val="none"/>
                <w:lang w:val="en-US" w:eastAsia="zh-CN"/>
              </w:rPr>
              <w:t>t/a</w:t>
            </w:r>
          </w:p>
        </w:tc>
        <w:tc>
          <w:tcPr>
            <w:tcW w:w="1220" w:type="dxa"/>
            <w:vMerge w:val="continue"/>
            <w:noWrap w:val="0"/>
            <w:vAlign w:val="center"/>
          </w:tcPr>
          <w:p>
            <w:pPr>
              <w:adjustRightInd w:val="0"/>
              <w:snapToGrid w:val="0"/>
              <w:jc w:val="center"/>
              <w:rPr>
                <w:rFonts w:hint="default" w:ascii="Times New Roman" w:hAnsi="Times New Roman" w:eastAsia="宋体" w:cs="Times New Roman"/>
                <w:color w:val="auto"/>
                <w:spacing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758"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锅炉房</w:t>
            </w:r>
          </w:p>
        </w:tc>
        <w:tc>
          <w:tcPr>
            <w:tcW w:w="615"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eastAsia" w:ascii="Times New Roman" w:hAnsi="Times New Roman" w:eastAsia="宋体" w:cs="Times New Roman"/>
                <w:bCs/>
                <w:color w:val="auto"/>
                <w:spacing w:val="0"/>
                <w:sz w:val="21"/>
                <w:szCs w:val="21"/>
                <w:lang w:val="en-US" w:eastAsia="zh-CN"/>
              </w:rPr>
              <w:t>DA001</w:t>
            </w:r>
          </w:p>
        </w:tc>
        <w:tc>
          <w:tcPr>
            <w:tcW w:w="1092" w:type="dxa"/>
            <w:noWrap w:val="0"/>
            <w:vAlign w:val="center"/>
          </w:tcPr>
          <w:p>
            <w:pPr>
              <w:adjustRightInd w:val="0"/>
              <w:snapToGrid w:val="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bCs/>
                <w:color w:val="auto"/>
                <w:spacing w:val="0"/>
                <w:sz w:val="21"/>
                <w:szCs w:val="21"/>
              </w:rPr>
              <w:t>SO</w:t>
            </w:r>
            <w:r>
              <w:rPr>
                <w:rFonts w:hint="default" w:ascii="Times New Roman" w:hAnsi="Times New Roman" w:eastAsia="宋体" w:cs="Times New Roman"/>
                <w:bCs/>
                <w:color w:val="auto"/>
                <w:spacing w:val="0"/>
                <w:sz w:val="21"/>
                <w:szCs w:val="21"/>
                <w:vertAlign w:val="subscript"/>
              </w:rPr>
              <w:t>2</w:t>
            </w:r>
          </w:p>
        </w:tc>
        <w:tc>
          <w:tcPr>
            <w:tcW w:w="870" w:type="dxa"/>
            <w:vMerge w:val="restart"/>
            <w:noWrap w:val="0"/>
            <w:vAlign w:val="center"/>
          </w:tcPr>
          <w:p>
            <w:pPr>
              <w:jc w:val="center"/>
              <w:rPr>
                <w:rFonts w:hint="default" w:ascii="Times New Roman" w:hAnsi="Times New Roman" w:eastAsia="宋体" w:cs="Times New Roman"/>
                <w:color w:val="auto"/>
                <w:spacing w:val="0"/>
                <w:sz w:val="21"/>
                <w:szCs w:val="21"/>
                <w:lang w:val="en-US"/>
              </w:rPr>
            </w:pPr>
            <w:r>
              <w:rPr>
                <w:rFonts w:hint="default" w:ascii="Times New Roman" w:hAnsi="Times New Roman" w:eastAsia="宋体" w:cs="Times New Roman"/>
                <w:bCs/>
                <w:color w:val="auto"/>
                <w:spacing w:val="0"/>
                <w:sz w:val="21"/>
                <w:szCs w:val="21"/>
                <w:lang w:val="en-US" w:eastAsia="zh-CN"/>
              </w:rPr>
              <w:t>实测法</w:t>
            </w:r>
          </w:p>
        </w:tc>
        <w:tc>
          <w:tcPr>
            <w:tcW w:w="80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2153</w:t>
            </w:r>
          </w:p>
        </w:tc>
        <w:tc>
          <w:tcPr>
            <w:tcW w:w="853"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r>
              <w:rPr>
                <w:rFonts w:hint="eastAsia" w:ascii="Times New Roman" w:hAnsi="Times New Roman" w:eastAsia="宋体" w:cs="Times New Roman"/>
                <w:bCs/>
                <w:color w:val="auto"/>
                <w:spacing w:val="0"/>
                <w:kern w:val="2"/>
                <w:sz w:val="21"/>
                <w:szCs w:val="21"/>
                <w:highlight w:val="none"/>
                <w:lang w:val="en-US" w:eastAsia="zh-CN"/>
              </w:rPr>
              <w:t>0.008</w:t>
            </w:r>
          </w:p>
        </w:tc>
        <w:tc>
          <w:tcPr>
            <w:tcW w:w="87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r>
              <w:rPr>
                <w:rFonts w:hint="eastAsia" w:ascii="Times New Roman" w:hAnsi="Times New Roman" w:cs="Times New Roman"/>
                <w:color w:val="auto"/>
                <w:sz w:val="21"/>
                <w:szCs w:val="21"/>
                <w:highlight w:val="none"/>
                <w:lang w:val="en-US" w:eastAsia="zh-CN"/>
              </w:rPr>
              <w:t>38</w:t>
            </w:r>
          </w:p>
        </w:tc>
        <w:tc>
          <w:tcPr>
            <w:tcW w:w="1623"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rPr>
            </w:pPr>
            <w:r>
              <w:rPr>
                <w:rFonts w:hint="default" w:ascii="Times New Roman" w:hAnsi="Times New Roman" w:eastAsia="宋体" w:cs="Times New Roman"/>
                <w:bCs/>
                <w:color w:val="auto"/>
                <w:spacing w:val="0"/>
                <w:kern w:val="2"/>
                <w:sz w:val="21"/>
                <w:szCs w:val="21"/>
                <w:highlight w:val="none"/>
                <w:lang w:eastAsia="zh-CN"/>
              </w:rPr>
              <w:t>低氮燃烧</w:t>
            </w:r>
            <w:r>
              <w:rPr>
                <w:rFonts w:hint="default" w:ascii="Times New Roman" w:hAnsi="Times New Roman" w:eastAsia="宋体" w:cs="Times New Roman"/>
                <w:bCs/>
                <w:color w:val="auto"/>
                <w:spacing w:val="0"/>
                <w:kern w:val="2"/>
                <w:sz w:val="21"/>
                <w:szCs w:val="21"/>
                <w:highlight w:val="none"/>
                <w:lang w:val="en-US" w:eastAsia="zh-CN"/>
              </w:rPr>
              <w:t>+12m</w:t>
            </w:r>
            <w:r>
              <w:rPr>
                <w:rFonts w:hint="default" w:ascii="Times New Roman" w:hAnsi="Times New Roman" w:eastAsia="宋体" w:cs="Times New Roman"/>
                <w:bCs/>
                <w:color w:val="auto"/>
                <w:spacing w:val="0"/>
                <w:kern w:val="2"/>
                <w:sz w:val="21"/>
                <w:szCs w:val="21"/>
                <w:highlight w:val="none"/>
              </w:rPr>
              <w:t>高烟囱排放</w:t>
            </w:r>
          </w:p>
        </w:tc>
        <w:tc>
          <w:tcPr>
            <w:tcW w:w="66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r>
              <w:rPr>
                <w:rFonts w:hint="default" w:ascii="Times New Roman" w:hAnsi="Times New Roman" w:eastAsia="宋体" w:cs="Times New Roman"/>
                <w:bCs/>
                <w:color w:val="auto"/>
                <w:spacing w:val="0"/>
                <w:kern w:val="2"/>
                <w:sz w:val="21"/>
                <w:szCs w:val="21"/>
                <w:highlight w:val="none"/>
                <w:lang w:val="en-US" w:eastAsia="zh-CN"/>
              </w:rPr>
              <w:t>100</w:t>
            </w:r>
          </w:p>
        </w:tc>
        <w:tc>
          <w:tcPr>
            <w:tcW w:w="894" w:type="dxa"/>
            <w:tcBorders>
              <w:bottom w:val="single" w:color="auto" w:sz="4" w:space="0"/>
            </w:tcBorders>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kern w:val="2"/>
                <w:sz w:val="21"/>
                <w:szCs w:val="21"/>
                <w:highlight w:val="none"/>
                <w:lang w:val="en-US" w:eastAsia="zh-CN"/>
              </w:rPr>
              <w:t>/</w:t>
            </w:r>
          </w:p>
        </w:tc>
        <w:tc>
          <w:tcPr>
            <w:tcW w:w="870" w:type="dxa"/>
            <w:vMerge w:val="restart"/>
            <w:noWrap w:val="0"/>
            <w:vAlign w:val="center"/>
          </w:tcPr>
          <w:p>
            <w:pPr>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实测法</w:t>
            </w:r>
          </w:p>
        </w:tc>
        <w:tc>
          <w:tcPr>
            <w:tcW w:w="771"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2153</w:t>
            </w:r>
          </w:p>
        </w:tc>
        <w:tc>
          <w:tcPr>
            <w:tcW w:w="809"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highlight w:val="none"/>
              </w:rPr>
            </w:pPr>
            <w:r>
              <w:rPr>
                <w:rFonts w:hint="eastAsia" w:ascii="Times New Roman" w:hAnsi="Times New Roman" w:cs="Times New Roman"/>
                <w:color w:val="auto"/>
                <w:sz w:val="21"/>
                <w:szCs w:val="21"/>
                <w:highlight w:val="none"/>
                <w:lang w:val="en-US" w:eastAsia="zh-CN"/>
              </w:rPr>
              <w:t>0.008</w:t>
            </w:r>
          </w:p>
        </w:tc>
        <w:tc>
          <w:tcPr>
            <w:tcW w:w="80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highlight w:val="none"/>
                <w:lang w:val="en-US"/>
              </w:rPr>
            </w:pPr>
            <w:r>
              <w:rPr>
                <w:rFonts w:hint="eastAsia" w:ascii="Times New Roman" w:hAnsi="Times New Roman" w:eastAsia="宋体" w:cs="Times New Roman"/>
                <w:bCs/>
                <w:color w:val="auto"/>
                <w:spacing w:val="0"/>
                <w:kern w:val="2"/>
                <w:sz w:val="21"/>
                <w:szCs w:val="21"/>
                <w:highlight w:val="none"/>
                <w:lang w:val="en-US" w:eastAsia="zh-CN"/>
              </w:rPr>
              <w:t>380</w:t>
            </w:r>
          </w:p>
        </w:tc>
        <w:tc>
          <w:tcPr>
            <w:tcW w:w="823"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r>
              <w:rPr>
                <w:rFonts w:hint="eastAsia" w:ascii="Times New Roman" w:hAnsi="Times New Roman" w:eastAsia="宋体" w:cs="Times New Roman"/>
                <w:bCs/>
                <w:color w:val="auto"/>
                <w:spacing w:val="0"/>
                <w:kern w:val="2"/>
                <w:sz w:val="21"/>
                <w:szCs w:val="21"/>
                <w:highlight w:val="none"/>
                <w:lang w:val="en-US" w:eastAsia="zh-CN"/>
              </w:rPr>
              <w:t>0.031</w:t>
            </w:r>
          </w:p>
        </w:tc>
        <w:tc>
          <w:tcPr>
            <w:tcW w:w="1220" w:type="dxa"/>
            <w:vMerge w:val="restart"/>
            <w:noWrap w:val="0"/>
            <w:vAlign w:val="center"/>
          </w:tcPr>
          <w:p>
            <w:pPr>
              <w:pStyle w:val="22"/>
              <w:widowControl w:val="0"/>
              <w:adjustRightInd w:val="0"/>
              <w:snapToGrid w:val="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4080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1" w:hRule="atLeast"/>
          <w:jc w:val="center"/>
        </w:trPr>
        <w:tc>
          <w:tcPr>
            <w:tcW w:w="758"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1092"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NOx</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800" w:type="dxa"/>
            <w:vMerge w:val="continue"/>
            <w:noWrap w:val="0"/>
            <w:vAlign w:val="center"/>
          </w:tcPr>
          <w:p>
            <w:pPr>
              <w:jc w:val="center"/>
              <w:rPr>
                <w:rFonts w:hint="default" w:ascii="Times New Roman" w:hAnsi="Times New Roman" w:eastAsia="宋体" w:cs="Times New Roman"/>
                <w:bCs/>
                <w:color w:val="auto"/>
                <w:spacing w:val="0"/>
                <w:sz w:val="21"/>
                <w:szCs w:val="21"/>
                <w:highlight w:val="none"/>
              </w:rPr>
            </w:pPr>
          </w:p>
        </w:tc>
        <w:tc>
          <w:tcPr>
            <w:tcW w:w="853"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r>
              <w:rPr>
                <w:rFonts w:hint="default" w:ascii="Times New Roman" w:hAnsi="Times New Roman" w:eastAsia="宋体" w:cs="Times New Roman"/>
                <w:bCs/>
                <w:color w:val="auto"/>
                <w:spacing w:val="0"/>
                <w:kern w:val="2"/>
                <w:sz w:val="21"/>
                <w:szCs w:val="21"/>
                <w:highlight w:val="none"/>
                <w:lang w:val="en-US" w:eastAsia="zh-CN"/>
              </w:rPr>
              <w:t>0.326</w:t>
            </w:r>
          </w:p>
        </w:tc>
        <w:tc>
          <w:tcPr>
            <w:tcW w:w="87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155.7</w:t>
            </w:r>
          </w:p>
        </w:tc>
        <w:tc>
          <w:tcPr>
            <w:tcW w:w="1623"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rPr>
            </w:pPr>
          </w:p>
        </w:tc>
        <w:tc>
          <w:tcPr>
            <w:tcW w:w="66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p>
        </w:tc>
        <w:tc>
          <w:tcPr>
            <w:tcW w:w="894" w:type="dxa"/>
            <w:tcBorders>
              <w:top w:val="single" w:color="auto" w:sz="4" w:space="0"/>
              <w:bottom w:val="single" w:color="auto" w:sz="4" w:space="0"/>
            </w:tcBorders>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kern w:val="2"/>
                <w:sz w:val="21"/>
                <w:szCs w:val="21"/>
                <w:highlight w:val="none"/>
                <w:lang w:val="en-US" w:eastAsia="zh-CN"/>
              </w:rPr>
              <w:t>30</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rPr>
            </w:pPr>
          </w:p>
        </w:tc>
        <w:tc>
          <w:tcPr>
            <w:tcW w:w="771"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rPr>
            </w:pPr>
          </w:p>
        </w:tc>
        <w:tc>
          <w:tcPr>
            <w:tcW w:w="809"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rPr>
            </w:pPr>
            <w:r>
              <w:rPr>
                <w:rFonts w:hint="eastAsia" w:ascii="Times New Roman" w:hAnsi="Times New Roman" w:eastAsia="宋体" w:cs="Times New Roman"/>
                <w:bCs/>
                <w:color w:val="auto"/>
                <w:spacing w:val="0"/>
                <w:kern w:val="2"/>
                <w:sz w:val="21"/>
                <w:szCs w:val="21"/>
                <w:highlight w:val="none"/>
                <w:lang w:val="en-US" w:eastAsia="zh-CN"/>
              </w:rPr>
              <w:t>0.024</w:t>
            </w:r>
          </w:p>
        </w:tc>
        <w:tc>
          <w:tcPr>
            <w:tcW w:w="80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rPr>
            </w:pPr>
            <w:r>
              <w:rPr>
                <w:rFonts w:hint="eastAsia" w:ascii="Times New Roman" w:hAnsi="Times New Roman" w:eastAsia="宋体" w:cs="Times New Roman"/>
                <w:bCs/>
                <w:color w:val="auto"/>
                <w:spacing w:val="0"/>
                <w:kern w:val="2"/>
                <w:sz w:val="21"/>
                <w:szCs w:val="21"/>
                <w:highlight w:val="none"/>
                <w:lang w:val="en-US" w:eastAsia="zh-CN"/>
              </w:rPr>
              <w:t>109</w:t>
            </w:r>
          </w:p>
        </w:tc>
        <w:tc>
          <w:tcPr>
            <w:tcW w:w="823"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r>
              <w:rPr>
                <w:rFonts w:hint="eastAsia" w:ascii="Times New Roman" w:hAnsi="Times New Roman" w:eastAsia="宋体" w:cs="Times New Roman"/>
                <w:bCs/>
                <w:color w:val="auto"/>
                <w:spacing w:val="0"/>
                <w:kern w:val="2"/>
                <w:sz w:val="21"/>
                <w:szCs w:val="21"/>
                <w:highlight w:val="none"/>
                <w:lang w:val="en-US" w:eastAsia="zh-CN"/>
              </w:rPr>
              <w:t>0.098</w:t>
            </w:r>
          </w:p>
        </w:tc>
        <w:tc>
          <w:tcPr>
            <w:tcW w:w="1220" w:type="dxa"/>
            <w:vMerge w:val="continue"/>
            <w:noWrap w:val="0"/>
            <w:vAlign w:val="center"/>
          </w:tcPr>
          <w:p>
            <w:pPr>
              <w:pStyle w:val="22"/>
              <w:widowControl w:val="0"/>
              <w:adjustRightInd w:val="0"/>
              <w:snapToGrid w:val="0"/>
              <w:jc w:val="center"/>
              <w:rPr>
                <w:rFonts w:hint="default" w:ascii="Times New Roman" w:hAnsi="Times New Roman" w:eastAsia="宋体" w:cs="Times New Roman"/>
                <w:color w:val="auto"/>
                <w:spacing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3" w:hRule="atLeast"/>
          <w:jc w:val="center"/>
        </w:trPr>
        <w:tc>
          <w:tcPr>
            <w:tcW w:w="758"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1092"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颗粒物</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80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highlight w:val="none"/>
              </w:rPr>
            </w:pPr>
          </w:p>
        </w:tc>
        <w:tc>
          <w:tcPr>
            <w:tcW w:w="853"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r>
              <w:rPr>
                <w:rFonts w:hint="eastAsia" w:ascii="Times New Roman" w:hAnsi="Times New Roman" w:eastAsia="宋体" w:cs="Times New Roman"/>
                <w:bCs/>
                <w:color w:val="auto"/>
                <w:spacing w:val="0"/>
                <w:kern w:val="2"/>
                <w:sz w:val="21"/>
                <w:szCs w:val="21"/>
                <w:highlight w:val="none"/>
                <w:lang w:val="en-US" w:eastAsia="zh-CN"/>
              </w:rPr>
              <w:t>0.002</w:t>
            </w:r>
          </w:p>
        </w:tc>
        <w:tc>
          <w:tcPr>
            <w:tcW w:w="87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r>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t>10.7</w:t>
            </w:r>
          </w:p>
        </w:tc>
        <w:tc>
          <w:tcPr>
            <w:tcW w:w="1623"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rPr>
            </w:pPr>
          </w:p>
        </w:tc>
        <w:tc>
          <w:tcPr>
            <w:tcW w:w="66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p>
        </w:tc>
        <w:tc>
          <w:tcPr>
            <w:tcW w:w="894" w:type="dxa"/>
            <w:tcBorders>
              <w:top w:val="single" w:color="auto" w:sz="4" w:space="0"/>
            </w:tcBorders>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kern w:val="2"/>
                <w:sz w:val="21"/>
                <w:szCs w:val="21"/>
                <w:highlight w:val="none"/>
                <w:lang w:val="en-US" w:eastAsia="zh-CN"/>
              </w:rPr>
              <w:t>/</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rPr>
            </w:pPr>
          </w:p>
        </w:tc>
        <w:tc>
          <w:tcPr>
            <w:tcW w:w="771"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rPr>
            </w:pPr>
          </w:p>
        </w:tc>
        <w:tc>
          <w:tcPr>
            <w:tcW w:w="809"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highlight w:val="none"/>
                <w:lang w:val="en-US"/>
              </w:rPr>
            </w:pPr>
            <w:r>
              <w:rPr>
                <w:rFonts w:hint="eastAsia" w:ascii="Times New Roman" w:hAnsi="Times New Roman" w:eastAsia="宋体" w:cs="Times New Roman"/>
                <w:bCs/>
                <w:color w:val="auto"/>
                <w:spacing w:val="0"/>
                <w:kern w:val="2"/>
                <w:sz w:val="21"/>
                <w:szCs w:val="21"/>
                <w:highlight w:val="none"/>
                <w:lang w:val="en-US" w:eastAsia="zh-CN"/>
              </w:rPr>
              <w:t>0.002</w:t>
            </w:r>
          </w:p>
        </w:tc>
        <w:tc>
          <w:tcPr>
            <w:tcW w:w="80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highlight w:val="none"/>
                <w:lang w:val="en-US"/>
              </w:rPr>
            </w:pPr>
            <w:r>
              <w:rPr>
                <w:rFonts w:hint="eastAsia" w:ascii="Times New Roman" w:hAnsi="Times New Roman" w:eastAsia="宋体" w:cs="Times New Roman"/>
                <w:bCs/>
                <w:color w:val="auto"/>
                <w:spacing w:val="0"/>
                <w:kern w:val="2"/>
                <w:sz w:val="21"/>
                <w:szCs w:val="21"/>
                <w:highlight w:val="none"/>
                <w:lang w:val="en-US" w:eastAsia="zh-CN"/>
              </w:rPr>
              <w:t>10.7</w:t>
            </w:r>
          </w:p>
        </w:tc>
        <w:tc>
          <w:tcPr>
            <w:tcW w:w="823"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r>
              <w:rPr>
                <w:rFonts w:hint="eastAsia" w:ascii="Times New Roman" w:hAnsi="Times New Roman" w:eastAsia="宋体" w:cs="Times New Roman"/>
                <w:bCs/>
                <w:color w:val="auto"/>
                <w:spacing w:val="0"/>
                <w:kern w:val="2"/>
                <w:sz w:val="21"/>
                <w:szCs w:val="21"/>
                <w:highlight w:val="none"/>
                <w:lang w:val="en-US" w:eastAsia="zh-CN"/>
              </w:rPr>
              <w:t>0.01</w:t>
            </w:r>
          </w:p>
        </w:tc>
        <w:tc>
          <w:tcPr>
            <w:tcW w:w="122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65" w:hRule="atLeast"/>
          <w:jc w:val="center"/>
        </w:trPr>
        <w:tc>
          <w:tcPr>
            <w:tcW w:w="758"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lang w:eastAsia="zh-CN"/>
              </w:rPr>
              <w:t>待宰</w:t>
            </w:r>
            <w:r>
              <w:rPr>
                <w:rFonts w:hint="default" w:ascii="Times New Roman" w:hAnsi="Times New Roman" w:eastAsia="宋体" w:cs="Times New Roman"/>
                <w:bCs/>
                <w:color w:val="auto"/>
                <w:spacing w:val="0"/>
                <w:sz w:val="21"/>
                <w:szCs w:val="21"/>
                <w:lang w:val="en-US" w:eastAsia="zh-CN"/>
              </w:rPr>
              <w:t>圈</w:t>
            </w:r>
          </w:p>
        </w:tc>
        <w:tc>
          <w:tcPr>
            <w:tcW w:w="615"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eastAsia" w:ascii="Times New Roman" w:hAnsi="Times New Roman" w:eastAsia="宋体" w:cs="Times New Roman"/>
                <w:bCs/>
                <w:color w:val="auto"/>
                <w:spacing w:val="0"/>
                <w:sz w:val="21"/>
                <w:szCs w:val="21"/>
                <w:lang w:val="en-US" w:eastAsia="zh-CN"/>
              </w:rPr>
              <w:t>DA002</w:t>
            </w:r>
          </w:p>
        </w:tc>
        <w:tc>
          <w:tcPr>
            <w:tcW w:w="1092" w:type="dxa"/>
            <w:noWrap w:val="0"/>
            <w:vAlign w:val="center"/>
          </w:tcPr>
          <w:p>
            <w:pPr>
              <w:pStyle w:val="22"/>
              <w:widowControl w:val="0"/>
              <w:adjustRightInd w:val="0"/>
              <w:snapToGrid w:val="0"/>
              <w:spacing w:beforeAutospacing="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NH</w:t>
            </w:r>
            <w:r>
              <w:rPr>
                <w:rFonts w:hint="default" w:ascii="Times New Roman" w:hAnsi="Times New Roman" w:eastAsia="宋体" w:cs="Times New Roman"/>
                <w:bCs/>
                <w:color w:val="auto"/>
                <w:spacing w:val="0"/>
                <w:sz w:val="21"/>
                <w:szCs w:val="21"/>
                <w:vertAlign w:val="subscript"/>
              </w:rPr>
              <w:t>3</w:t>
            </w:r>
          </w:p>
        </w:tc>
        <w:tc>
          <w:tcPr>
            <w:tcW w:w="870" w:type="dxa"/>
            <w:vMerge w:val="restart"/>
            <w:noWrap w:val="0"/>
            <w:vAlign w:val="center"/>
          </w:tcPr>
          <w:p>
            <w:pPr>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产排污系数法</w:t>
            </w:r>
          </w:p>
        </w:tc>
        <w:tc>
          <w:tcPr>
            <w:tcW w:w="80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bCs/>
                <w:color w:val="auto"/>
                <w:spacing w:val="0"/>
                <w:sz w:val="21"/>
                <w:szCs w:val="21"/>
                <w:lang w:val="en-US" w:eastAsia="zh-CN"/>
              </w:rPr>
              <w:t>3000</w:t>
            </w:r>
          </w:p>
        </w:tc>
        <w:tc>
          <w:tcPr>
            <w:tcW w:w="853"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0.1625</w:t>
            </w:r>
          </w:p>
        </w:tc>
        <w:tc>
          <w:tcPr>
            <w:tcW w:w="87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yellow"/>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54.1</w:t>
            </w:r>
            <w:r>
              <w:rPr>
                <w:rFonts w:hint="eastAsia" w:ascii="Times New Roman" w:hAnsi="Times New Roman" w:eastAsia="宋体" w:cs="Times New Roman"/>
                <w:i w:val="0"/>
                <w:iCs w:val="0"/>
                <w:snapToGrid w:val="0"/>
                <w:color w:val="000000"/>
                <w:kern w:val="0"/>
                <w:sz w:val="21"/>
                <w:szCs w:val="21"/>
                <w:u w:val="none"/>
                <w:lang w:val="en-US" w:eastAsia="zh-CN" w:bidi="ar"/>
              </w:rPr>
              <w:t>7</w:t>
            </w:r>
          </w:p>
        </w:tc>
        <w:tc>
          <w:tcPr>
            <w:tcW w:w="1623"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eastAsia="zh-CN"/>
              </w:rPr>
            </w:pPr>
            <w:r>
              <w:rPr>
                <w:rFonts w:hint="default" w:ascii="Times New Roman" w:hAnsi="Times New Roman" w:eastAsia="宋体" w:cs="Times New Roman"/>
                <w:color w:val="auto"/>
                <w:spacing w:val="0"/>
                <w:sz w:val="21"/>
                <w:szCs w:val="21"/>
                <w:lang w:val="en-US" w:eastAsia="zh-CN"/>
              </w:rPr>
              <w:t>及时清扫并定期喷洒除臭剂+</w:t>
            </w:r>
            <w:r>
              <w:rPr>
                <w:rFonts w:hint="default" w:ascii="Times New Roman" w:hAnsi="Times New Roman" w:eastAsia="宋体" w:cs="Times New Roman"/>
                <w:color w:val="auto"/>
                <w:spacing w:val="0"/>
                <w:sz w:val="21"/>
                <w:szCs w:val="21"/>
              </w:rPr>
              <w:t>废气</w:t>
            </w:r>
            <w:r>
              <w:rPr>
                <w:rFonts w:hint="default" w:ascii="Times New Roman" w:hAnsi="Times New Roman" w:eastAsia="宋体" w:cs="Times New Roman"/>
                <w:color w:val="auto"/>
                <w:spacing w:val="0"/>
                <w:sz w:val="21"/>
                <w:szCs w:val="21"/>
                <w:lang w:val="en-US" w:eastAsia="zh-CN"/>
              </w:rPr>
              <w:t>负压</w:t>
            </w:r>
            <w:r>
              <w:rPr>
                <w:rFonts w:hint="default" w:ascii="Times New Roman" w:hAnsi="Times New Roman" w:eastAsia="宋体" w:cs="Times New Roman"/>
                <w:color w:val="auto"/>
                <w:spacing w:val="0"/>
                <w:sz w:val="21"/>
                <w:szCs w:val="21"/>
              </w:rPr>
              <w:t>收集</w:t>
            </w:r>
            <w:r>
              <w:rPr>
                <w:rFonts w:hint="default" w:ascii="Times New Roman" w:hAnsi="Times New Roman" w:eastAsia="宋体" w:cs="Times New Roman"/>
                <w:color w:val="auto"/>
                <w:spacing w:val="0"/>
                <w:sz w:val="21"/>
                <w:szCs w:val="21"/>
                <w:lang w:val="en-US" w:eastAsia="zh-CN"/>
              </w:rPr>
              <w:t>+活性炭吸附装置+</w:t>
            </w:r>
            <w:r>
              <w:rPr>
                <w:rFonts w:hint="default" w:ascii="Times New Roman" w:hAnsi="Times New Roman" w:eastAsia="宋体" w:cs="Times New Roman"/>
                <w:color w:val="auto"/>
                <w:spacing w:val="0"/>
                <w:kern w:val="2"/>
                <w:sz w:val="21"/>
                <w:szCs w:val="21"/>
              </w:rPr>
              <w:t>15m高排气筒</w:t>
            </w:r>
          </w:p>
        </w:tc>
        <w:tc>
          <w:tcPr>
            <w:tcW w:w="66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rPr>
            </w:pPr>
            <w:r>
              <w:rPr>
                <w:rFonts w:hint="default" w:ascii="Times New Roman" w:hAnsi="Times New Roman" w:eastAsia="宋体" w:cs="Times New Roman"/>
                <w:bCs/>
                <w:color w:val="auto"/>
                <w:spacing w:val="0"/>
                <w:kern w:val="2"/>
                <w:sz w:val="21"/>
                <w:szCs w:val="21"/>
                <w:lang w:val="en-US" w:eastAsia="zh-CN"/>
              </w:rPr>
              <w:t>80</w:t>
            </w:r>
          </w:p>
        </w:tc>
        <w:tc>
          <w:tcPr>
            <w:tcW w:w="894"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bidi="ar-SA"/>
              </w:rPr>
            </w:pPr>
            <w:r>
              <w:rPr>
                <w:rFonts w:hint="default" w:ascii="Times New Roman" w:hAnsi="Times New Roman" w:eastAsia="宋体" w:cs="Times New Roman"/>
                <w:bCs/>
                <w:color w:val="auto"/>
                <w:spacing w:val="0"/>
                <w:kern w:val="2"/>
                <w:sz w:val="21"/>
                <w:szCs w:val="21"/>
                <w:lang w:eastAsia="zh-CN"/>
              </w:rPr>
              <w:t>除臭剂效率</w:t>
            </w:r>
            <w:r>
              <w:rPr>
                <w:rFonts w:hint="default" w:ascii="Times New Roman" w:hAnsi="Times New Roman" w:eastAsia="宋体" w:cs="Times New Roman"/>
                <w:bCs/>
                <w:color w:val="auto"/>
                <w:spacing w:val="0"/>
                <w:kern w:val="2"/>
                <w:sz w:val="21"/>
                <w:szCs w:val="21"/>
                <w:lang w:val="en-US" w:eastAsia="zh-CN"/>
              </w:rPr>
              <w:t>50%+活性炭效率70%</w:t>
            </w:r>
          </w:p>
        </w:tc>
        <w:tc>
          <w:tcPr>
            <w:tcW w:w="870" w:type="dxa"/>
            <w:vMerge w:val="restart"/>
            <w:noWrap w:val="0"/>
            <w:vAlign w:val="center"/>
          </w:tcPr>
          <w:p>
            <w:pPr>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物料衡算法</w:t>
            </w:r>
          </w:p>
        </w:tc>
        <w:tc>
          <w:tcPr>
            <w:tcW w:w="771"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rPr>
            </w:pPr>
            <w:r>
              <w:rPr>
                <w:rFonts w:hint="default" w:ascii="Times New Roman" w:hAnsi="Times New Roman" w:eastAsia="宋体" w:cs="Times New Roman"/>
                <w:bCs/>
                <w:color w:val="auto"/>
                <w:spacing w:val="0"/>
                <w:sz w:val="21"/>
                <w:szCs w:val="21"/>
                <w:lang w:val="en-US" w:eastAsia="zh-CN"/>
              </w:rPr>
              <w:t>3000</w:t>
            </w:r>
          </w:p>
        </w:tc>
        <w:tc>
          <w:tcPr>
            <w:tcW w:w="809"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0.0195</w:t>
            </w:r>
          </w:p>
        </w:tc>
        <w:tc>
          <w:tcPr>
            <w:tcW w:w="8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yellow"/>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6.5</w:t>
            </w:r>
          </w:p>
        </w:tc>
        <w:tc>
          <w:tcPr>
            <w:tcW w:w="82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yellow"/>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0.079</w:t>
            </w:r>
            <w:r>
              <w:rPr>
                <w:rFonts w:hint="eastAsia" w:ascii="Times New Roman" w:hAnsi="Times New Roman" w:eastAsia="宋体" w:cs="Times New Roman"/>
                <w:i w:val="0"/>
                <w:iCs w:val="0"/>
                <w:snapToGrid w:val="0"/>
                <w:color w:val="000000"/>
                <w:kern w:val="0"/>
                <w:sz w:val="21"/>
                <w:szCs w:val="21"/>
                <w:u w:val="none"/>
                <w:lang w:val="en-US" w:eastAsia="zh-CN" w:bidi="ar"/>
              </w:rPr>
              <w:t>6</w:t>
            </w:r>
          </w:p>
        </w:tc>
        <w:tc>
          <w:tcPr>
            <w:tcW w:w="122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bCs/>
                <w:color w:val="auto"/>
                <w:spacing w:val="0"/>
                <w:sz w:val="21"/>
                <w:szCs w:val="21"/>
                <w:lang w:val="en-US" w:eastAsia="zh-CN"/>
              </w:rPr>
              <w:t>4080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45" w:hRule="atLeast"/>
          <w:jc w:val="center"/>
        </w:trPr>
        <w:tc>
          <w:tcPr>
            <w:tcW w:w="758"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1092"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H</w:t>
            </w:r>
            <w:r>
              <w:rPr>
                <w:rFonts w:hint="default" w:ascii="Times New Roman" w:hAnsi="Times New Roman" w:eastAsia="宋体" w:cs="Times New Roman"/>
                <w:bCs/>
                <w:color w:val="auto"/>
                <w:spacing w:val="0"/>
                <w:sz w:val="21"/>
                <w:szCs w:val="21"/>
                <w:vertAlign w:val="subscript"/>
              </w:rPr>
              <w:t>2</w:t>
            </w:r>
            <w:r>
              <w:rPr>
                <w:rFonts w:hint="default" w:ascii="Times New Roman" w:hAnsi="Times New Roman" w:eastAsia="宋体" w:cs="Times New Roman"/>
                <w:bCs/>
                <w:color w:val="auto"/>
                <w:spacing w:val="0"/>
                <w:sz w:val="21"/>
                <w:szCs w:val="21"/>
              </w:rPr>
              <w:t>S</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80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853"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0.0244</w:t>
            </w:r>
          </w:p>
        </w:tc>
        <w:tc>
          <w:tcPr>
            <w:tcW w:w="87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yellow"/>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8.13</w:t>
            </w:r>
          </w:p>
        </w:tc>
        <w:tc>
          <w:tcPr>
            <w:tcW w:w="1623"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p>
        </w:tc>
        <w:tc>
          <w:tcPr>
            <w:tcW w:w="66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rPr>
            </w:pPr>
          </w:p>
        </w:tc>
        <w:tc>
          <w:tcPr>
            <w:tcW w:w="894"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bidi="ar-SA"/>
              </w:rPr>
            </w:pP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p>
        </w:tc>
        <w:tc>
          <w:tcPr>
            <w:tcW w:w="771"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p>
        </w:tc>
        <w:tc>
          <w:tcPr>
            <w:tcW w:w="809"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0.0029</w:t>
            </w:r>
          </w:p>
        </w:tc>
        <w:tc>
          <w:tcPr>
            <w:tcW w:w="8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yellow"/>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0.9</w:t>
            </w:r>
            <w:r>
              <w:rPr>
                <w:rFonts w:hint="eastAsia" w:ascii="Times New Roman" w:hAnsi="Times New Roman" w:eastAsia="宋体" w:cs="Times New Roman"/>
                <w:i w:val="0"/>
                <w:iCs w:val="0"/>
                <w:snapToGrid w:val="0"/>
                <w:color w:val="000000"/>
                <w:kern w:val="0"/>
                <w:sz w:val="21"/>
                <w:szCs w:val="21"/>
                <w:u w:val="none"/>
                <w:lang w:val="en-US" w:eastAsia="zh-CN" w:bidi="ar"/>
              </w:rPr>
              <w:t>7</w:t>
            </w:r>
          </w:p>
        </w:tc>
        <w:tc>
          <w:tcPr>
            <w:tcW w:w="82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yellow"/>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0.0118</w:t>
            </w:r>
          </w:p>
        </w:tc>
        <w:tc>
          <w:tcPr>
            <w:tcW w:w="122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45" w:hRule="atLeast"/>
          <w:jc w:val="center"/>
        </w:trPr>
        <w:tc>
          <w:tcPr>
            <w:tcW w:w="758"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1092"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eastAsia="zh-CN"/>
              </w:rPr>
            </w:pPr>
            <w:r>
              <w:rPr>
                <w:rFonts w:hint="default" w:ascii="Times New Roman" w:hAnsi="Times New Roman" w:eastAsia="宋体" w:cs="Times New Roman"/>
                <w:bCs/>
                <w:color w:val="auto"/>
                <w:spacing w:val="0"/>
                <w:sz w:val="21"/>
                <w:szCs w:val="21"/>
                <w:lang w:eastAsia="zh-CN"/>
              </w:rPr>
              <w:t>臭气浓度</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80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1723" w:type="dxa"/>
            <w:gridSpan w:val="3"/>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3376（无量纲）</w:t>
            </w:r>
          </w:p>
        </w:tc>
        <w:tc>
          <w:tcPr>
            <w:tcW w:w="1623"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p>
        </w:tc>
        <w:tc>
          <w:tcPr>
            <w:tcW w:w="66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rPr>
            </w:pPr>
          </w:p>
        </w:tc>
        <w:tc>
          <w:tcPr>
            <w:tcW w:w="894"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bidi="ar-SA"/>
              </w:rPr>
            </w:pP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p>
        </w:tc>
        <w:tc>
          <w:tcPr>
            <w:tcW w:w="771"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p>
        </w:tc>
        <w:tc>
          <w:tcPr>
            <w:tcW w:w="2432" w:type="dxa"/>
            <w:gridSpan w:val="3"/>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405（无量纲）</w:t>
            </w:r>
          </w:p>
        </w:tc>
        <w:tc>
          <w:tcPr>
            <w:tcW w:w="122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95" w:hRule="atLeast"/>
          <w:jc w:val="center"/>
        </w:trPr>
        <w:tc>
          <w:tcPr>
            <w:tcW w:w="758"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bCs/>
                <w:color w:val="auto"/>
                <w:spacing w:val="0"/>
                <w:sz w:val="21"/>
                <w:szCs w:val="21"/>
              </w:rPr>
              <w:t>屠宰</w:t>
            </w:r>
            <w:r>
              <w:rPr>
                <w:rFonts w:hint="default" w:ascii="Times New Roman" w:hAnsi="Times New Roman" w:eastAsia="宋体" w:cs="Times New Roman"/>
                <w:bCs/>
                <w:color w:val="auto"/>
                <w:spacing w:val="0"/>
                <w:sz w:val="21"/>
                <w:szCs w:val="21"/>
                <w:lang w:val="en-US" w:eastAsia="zh-CN"/>
              </w:rPr>
              <w:t>加工</w:t>
            </w:r>
            <w:r>
              <w:rPr>
                <w:rFonts w:hint="default" w:ascii="Times New Roman" w:hAnsi="Times New Roman" w:eastAsia="宋体" w:cs="Times New Roman"/>
                <w:bCs/>
                <w:color w:val="auto"/>
                <w:spacing w:val="0"/>
                <w:sz w:val="21"/>
                <w:szCs w:val="21"/>
              </w:rPr>
              <w:t>车间</w:t>
            </w:r>
          </w:p>
        </w:tc>
        <w:tc>
          <w:tcPr>
            <w:tcW w:w="615"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eastAsia" w:ascii="Times New Roman" w:hAnsi="Times New Roman" w:eastAsia="宋体" w:cs="Times New Roman"/>
                <w:bCs/>
                <w:color w:val="auto"/>
                <w:spacing w:val="0"/>
                <w:sz w:val="21"/>
                <w:szCs w:val="21"/>
                <w:lang w:val="en-US" w:eastAsia="zh-CN"/>
              </w:rPr>
              <w:t>DA003</w:t>
            </w:r>
          </w:p>
        </w:tc>
        <w:tc>
          <w:tcPr>
            <w:tcW w:w="1092" w:type="dxa"/>
            <w:noWrap w:val="0"/>
            <w:vAlign w:val="center"/>
          </w:tcPr>
          <w:p>
            <w:pPr>
              <w:pStyle w:val="22"/>
              <w:widowControl w:val="0"/>
              <w:adjustRightInd w:val="0"/>
              <w:snapToGrid w:val="0"/>
              <w:spacing w:beforeAutospacing="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NH</w:t>
            </w:r>
            <w:r>
              <w:rPr>
                <w:rFonts w:hint="default" w:ascii="Times New Roman" w:hAnsi="Times New Roman" w:eastAsia="宋体" w:cs="Times New Roman"/>
                <w:bCs/>
                <w:color w:val="auto"/>
                <w:spacing w:val="0"/>
                <w:sz w:val="21"/>
                <w:szCs w:val="21"/>
                <w:vertAlign w:val="subscript"/>
              </w:rPr>
              <w:t>3</w:t>
            </w:r>
          </w:p>
        </w:tc>
        <w:tc>
          <w:tcPr>
            <w:tcW w:w="87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r>
              <w:rPr>
                <w:rFonts w:hint="default" w:ascii="Times New Roman" w:hAnsi="Times New Roman" w:eastAsia="宋体" w:cs="Times New Roman"/>
                <w:bCs/>
                <w:color w:val="auto"/>
                <w:spacing w:val="0"/>
                <w:kern w:val="2"/>
                <w:sz w:val="21"/>
                <w:szCs w:val="21"/>
              </w:rPr>
              <w:t>类比法</w:t>
            </w:r>
          </w:p>
        </w:tc>
        <w:tc>
          <w:tcPr>
            <w:tcW w:w="80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3000</w:t>
            </w:r>
          </w:p>
        </w:tc>
        <w:tc>
          <w:tcPr>
            <w:tcW w:w="853"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rPr>
            </w:pPr>
            <w:r>
              <w:rPr>
                <w:rFonts w:hint="default" w:ascii="Times New Roman" w:hAnsi="Times New Roman" w:eastAsia="宋体" w:cs="Times New Roman"/>
                <w:bCs/>
                <w:color w:val="auto"/>
                <w:spacing w:val="0"/>
                <w:kern w:val="2"/>
                <w:sz w:val="21"/>
                <w:szCs w:val="21"/>
                <w:lang w:val="en-US" w:eastAsia="zh-CN"/>
              </w:rPr>
              <w:t>0.0083</w:t>
            </w:r>
          </w:p>
        </w:tc>
        <w:tc>
          <w:tcPr>
            <w:tcW w:w="870" w:type="dxa"/>
            <w:noWrap w:val="0"/>
            <w:vAlign w:val="center"/>
          </w:tcPr>
          <w:p>
            <w:pPr>
              <w:keepNext w:val="0"/>
              <w:keepLines w:val="0"/>
              <w:widowControl/>
              <w:suppressLineNumbers w:val="0"/>
              <w:jc w:val="center"/>
              <w:textAlignment w:val="center"/>
              <w:rPr>
                <w:rFonts w:hint="default" w:ascii="Times New Roman" w:hAnsi="Times New Roman" w:eastAsia="宋体" w:cs="Times New Roman"/>
                <w:bCs/>
                <w:color w:val="auto"/>
                <w:spacing w:val="0"/>
                <w:kern w:val="2"/>
                <w:sz w:val="21"/>
                <w:szCs w:val="21"/>
                <w:highlight w:val="yellow"/>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2.05</w:t>
            </w:r>
          </w:p>
        </w:tc>
        <w:tc>
          <w:tcPr>
            <w:tcW w:w="1623"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eastAsia="zh-CN"/>
              </w:rPr>
            </w:pPr>
            <w:r>
              <w:rPr>
                <w:rFonts w:hint="default" w:ascii="Times New Roman" w:hAnsi="Times New Roman" w:eastAsia="宋体" w:cs="Times New Roman"/>
                <w:color w:val="auto"/>
                <w:spacing w:val="0"/>
                <w:sz w:val="21"/>
                <w:szCs w:val="21"/>
              </w:rPr>
              <w:t>废气</w:t>
            </w:r>
            <w:r>
              <w:rPr>
                <w:rFonts w:hint="default" w:ascii="Times New Roman" w:hAnsi="Times New Roman" w:eastAsia="宋体" w:cs="Times New Roman"/>
                <w:color w:val="auto"/>
                <w:spacing w:val="0"/>
                <w:sz w:val="21"/>
                <w:szCs w:val="21"/>
                <w:lang w:val="en-US" w:eastAsia="zh-CN"/>
              </w:rPr>
              <w:t>负压</w:t>
            </w:r>
            <w:r>
              <w:rPr>
                <w:rFonts w:hint="default" w:ascii="Times New Roman" w:hAnsi="Times New Roman" w:eastAsia="宋体" w:cs="Times New Roman"/>
                <w:color w:val="auto"/>
                <w:spacing w:val="0"/>
                <w:sz w:val="21"/>
                <w:szCs w:val="21"/>
              </w:rPr>
              <w:t>收集</w:t>
            </w:r>
            <w:r>
              <w:rPr>
                <w:rFonts w:hint="default" w:ascii="Times New Roman" w:hAnsi="Times New Roman" w:eastAsia="宋体" w:cs="Times New Roman"/>
                <w:color w:val="auto"/>
                <w:spacing w:val="0"/>
                <w:sz w:val="21"/>
                <w:szCs w:val="21"/>
                <w:lang w:val="en-US" w:eastAsia="zh-CN"/>
              </w:rPr>
              <w:t>+活性炭吸附装置+</w:t>
            </w:r>
            <w:r>
              <w:rPr>
                <w:rFonts w:hint="default" w:ascii="Times New Roman" w:hAnsi="Times New Roman" w:eastAsia="宋体" w:cs="Times New Roman"/>
                <w:color w:val="auto"/>
                <w:spacing w:val="0"/>
                <w:kern w:val="2"/>
                <w:sz w:val="21"/>
                <w:szCs w:val="21"/>
              </w:rPr>
              <w:t>15m高排气筒</w:t>
            </w:r>
          </w:p>
        </w:tc>
        <w:tc>
          <w:tcPr>
            <w:tcW w:w="66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rPr>
            </w:pPr>
            <w:r>
              <w:rPr>
                <w:rFonts w:hint="default" w:ascii="Times New Roman" w:hAnsi="Times New Roman" w:eastAsia="宋体" w:cs="Times New Roman"/>
                <w:bCs/>
                <w:color w:val="auto"/>
                <w:spacing w:val="0"/>
                <w:kern w:val="2"/>
                <w:sz w:val="21"/>
                <w:szCs w:val="21"/>
                <w:lang w:val="en-US" w:eastAsia="zh-CN"/>
              </w:rPr>
              <w:t>80</w:t>
            </w:r>
          </w:p>
        </w:tc>
        <w:tc>
          <w:tcPr>
            <w:tcW w:w="894"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bidi="ar-SA"/>
              </w:rPr>
            </w:pPr>
            <w:r>
              <w:rPr>
                <w:rFonts w:hint="default" w:ascii="Times New Roman" w:hAnsi="Times New Roman" w:eastAsia="宋体" w:cs="Times New Roman"/>
                <w:bCs/>
                <w:color w:val="auto"/>
                <w:spacing w:val="0"/>
                <w:kern w:val="2"/>
                <w:sz w:val="21"/>
                <w:szCs w:val="21"/>
                <w:lang w:val="en-US" w:eastAsia="zh-CN"/>
              </w:rPr>
              <w:t>70</w:t>
            </w:r>
          </w:p>
        </w:tc>
        <w:tc>
          <w:tcPr>
            <w:tcW w:w="87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rPr>
            </w:pPr>
            <w:r>
              <w:rPr>
                <w:rFonts w:hint="default" w:ascii="Times New Roman" w:hAnsi="Times New Roman" w:eastAsia="宋体" w:cs="Times New Roman"/>
                <w:color w:val="auto"/>
                <w:spacing w:val="0"/>
                <w:sz w:val="21"/>
                <w:szCs w:val="21"/>
              </w:rPr>
              <w:t>物料衡算法</w:t>
            </w:r>
          </w:p>
        </w:tc>
        <w:tc>
          <w:tcPr>
            <w:tcW w:w="771"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rPr>
            </w:pPr>
            <w:r>
              <w:rPr>
                <w:rFonts w:hint="default" w:ascii="Times New Roman" w:hAnsi="Times New Roman" w:eastAsia="宋体" w:cs="Times New Roman"/>
                <w:bCs/>
                <w:color w:val="auto"/>
                <w:spacing w:val="0"/>
                <w:kern w:val="2"/>
                <w:sz w:val="21"/>
                <w:szCs w:val="21"/>
                <w:lang w:val="en-US" w:eastAsia="zh-CN"/>
              </w:rPr>
              <w:t>3000</w:t>
            </w:r>
          </w:p>
        </w:tc>
        <w:tc>
          <w:tcPr>
            <w:tcW w:w="809"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r>
              <w:rPr>
                <w:rFonts w:hint="default" w:ascii="Times New Roman" w:hAnsi="Times New Roman" w:eastAsia="宋体" w:cs="Times New Roman"/>
                <w:bCs/>
                <w:color w:val="auto"/>
                <w:spacing w:val="0"/>
                <w:kern w:val="2"/>
                <w:sz w:val="21"/>
                <w:szCs w:val="21"/>
                <w:highlight w:val="none"/>
                <w:lang w:val="en-US" w:eastAsia="zh-CN"/>
              </w:rPr>
              <w:t>0.002</w:t>
            </w:r>
          </w:p>
        </w:tc>
        <w:tc>
          <w:tcPr>
            <w:tcW w:w="8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bCs/>
                <w:color w:val="auto"/>
                <w:spacing w:val="0"/>
                <w:kern w:val="2"/>
                <w:sz w:val="21"/>
                <w:szCs w:val="21"/>
                <w:highlight w:val="yellow"/>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0.6</w:t>
            </w:r>
            <w:r>
              <w:rPr>
                <w:rFonts w:hint="eastAsia" w:ascii="Times New Roman" w:hAnsi="Times New Roman" w:eastAsia="宋体" w:cs="Times New Roman"/>
                <w:i w:val="0"/>
                <w:iCs w:val="0"/>
                <w:snapToGrid w:val="0"/>
                <w:color w:val="000000"/>
                <w:kern w:val="0"/>
                <w:sz w:val="21"/>
                <w:szCs w:val="21"/>
                <w:u w:val="none"/>
                <w:lang w:val="en-US" w:eastAsia="zh-CN" w:bidi="ar"/>
              </w:rPr>
              <w:t>7</w:t>
            </w:r>
          </w:p>
        </w:tc>
        <w:tc>
          <w:tcPr>
            <w:tcW w:w="823" w:type="dxa"/>
            <w:noWrap w:val="0"/>
            <w:vAlign w:val="center"/>
          </w:tcPr>
          <w:p>
            <w:pPr>
              <w:keepNext w:val="0"/>
              <w:keepLines w:val="0"/>
              <w:widowControl/>
              <w:suppressLineNumbers w:val="0"/>
              <w:jc w:val="center"/>
              <w:textAlignment w:val="center"/>
              <w:rPr>
                <w:rFonts w:hint="default" w:ascii="Times New Roman" w:hAnsi="Times New Roman" w:eastAsia="宋体" w:cs="Times New Roman"/>
                <w:bCs/>
                <w:color w:val="auto"/>
                <w:spacing w:val="0"/>
                <w:kern w:val="2"/>
                <w:sz w:val="21"/>
                <w:szCs w:val="21"/>
                <w:highlight w:val="yellow"/>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0.0054</w:t>
            </w:r>
          </w:p>
        </w:tc>
        <w:tc>
          <w:tcPr>
            <w:tcW w:w="122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eastAsia" w:ascii="Times New Roman" w:hAnsi="Times New Roman" w:eastAsia="宋体" w:cs="Times New Roman"/>
                <w:bCs/>
                <w:color w:val="auto"/>
                <w:spacing w:val="0"/>
                <w:sz w:val="21"/>
                <w:szCs w:val="21"/>
                <w:lang w:val="en-US" w:eastAsia="zh-CN"/>
              </w:rPr>
              <w:t>2720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95" w:hRule="atLeast"/>
          <w:jc w:val="center"/>
        </w:trPr>
        <w:tc>
          <w:tcPr>
            <w:tcW w:w="758"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p>
        </w:tc>
        <w:tc>
          <w:tcPr>
            <w:tcW w:w="1092" w:type="dxa"/>
            <w:noWrap w:val="0"/>
            <w:vAlign w:val="center"/>
          </w:tcPr>
          <w:p>
            <w:pPr>
              <w:pStyle w:val="22"/>
              <w:widowControl w:val="0"/>
              <w:adjustRightInd w:val="0"/>
              <w:snapToGrid w:val="0"/>
              <w:spacing w:beforeAutospacing="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H</w:t>
            </w:r>
            <w:r>
              <w:rPr>
                <w:rFonts w:hint="default" w:ascii="Times New Roman" w:hAnsi="Times New Roman" w:eastAsia="宋体" w:cs="Times New Roman"/>
                <w:bCs/>
                <w:color w:val="auto"/>
                <w:spacing w:val="0"/>
                <w:sz w:val="21"/>
                <w:szCs w:val="21"/>
                <w:vertAlign w:val="subscript"/>
              </w:rPr>
              <w:t>2</w:t>
            </w:r>
            <w:r>
              <w:rPr>
                <w:rFonts w:hint="default" w:ascii="Times New Roman" w:hAnsi="Times New Roman" w:eastAsia="宋体" w:cs="Times New Roman"/>
                <w:bCs/>
                <w:color w:val="auto"/>
                <w:spacing w:val="0"/>
                <w:sz w:val="21"/>
                <w:szCs w:val="21"/>
              </w:rPr>
              <w:t>S</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p>
        </w:tc>
        <w:tc>
          <w:tcPr>
            <w:tcW w:w="80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p>
        </w:tc>
        <w:tc>
          <w:tcPr>
            <w:tcW w:w="853"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rPr>
            </w:pPr>
            <w:r>
              <w:rPr>
                <w:rFonts w:hint="default" w:ascii="Times New Roman" w:hAnsi="Times New Roman" w:eastAsia="宋体" w:cs="Times New Roman"/>
                <w:bCs/>
                <w:color w:val="auto"/>
                <w:spacing w:val="0"/>
                <w:kern w:val="2"/>
                <w:sz w:val="21"/>
                <w:szCs w:val="21"/>
                <w:lang w:val="en-US" w:eastAsia="zh-CN"/>
              </w:rPr>
              <w:t>0.0004</w:t>
            </w:r>
          </w:p>
        </w:tc>
        <w:tc>
          <w:tcPr>
            <w:tcW w:w="870" w:type="dxa"/>
            <w:noWrap w:val="0"/>
            <w:vAlign w:val="center"/>
          </w:tcPr>
          <w:p>
            <w:pPr>
              <w:keepNext w:val="0"/>
              <w:keepLines w:val="0"/>
              <w:widowControl/>
              <w:suppressLineNumbers w:val="0"/>
              <w:jc w:val="center"/>
              <w:textAlignment w:val="center"/>
              <w:rPr>
                <w:rFonts w:hint="default" w:ascii="Times New Roman" w:hAnsi="Times New Roman" w:eastAsia="宋体" w:cs="Times New Roman"/>
                <w:bCs/>
                <w:color w:val="auto"/>
                <w:spacing w:val="0"/>
                <w:kern w:val="2"/>
                <w:sz w:val="21"/>
                <w:szCs w:val="21"/>
                <w:highlight w:val="yellow"/>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0.13</w:t>
            </w:r>
          </w:p>
        </w:tc>
        <w:tc>
          <w:tcPr>
            <w:tcW w:w="1623"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66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rPr>
            </w:pPr>
          </w:p>
        </w:tc>
        <w:tc>
          <w:tcPr>
            <w:tcW w:w="894"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771"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rPr>
            </w:pPr>
          </w:p>
        </w:tc>
        <w:tc>
          <w:tcPr>
            <w:tcW w:w="809"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r>
              <w:rPr>
                <w:rFonts w:hint="default" w:ascii="Times New Roman" w:hAnsi="Times New Roman" w:eastAsia="宋体" w:cs="Times New Roman"/>
                <w:bCs/>
                <w:color w:val="auto"/>
                <w:spacing w:val="0"/>
                <w:kern w:val="2"/>
                <w:sz w:val="21"/>
                <w:szCs w:val="21"/>
                <w:highlight w:val="none"/>
                <w:lang w:val="en-US" w:eastAsia="zh-CN"/>
              </w:rPr>
              <w:t>0.0001</w:t>
            </w:r>
          </w:p>
        </w:tc>
        <w:tc>
          <w:tcPr>
            <w:tcW w:w="8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bCs/>
                <w:color w:val="auto"/>
                <w:spacing w:val="0"/>
                <w:kern w:val="2"/>
                <w:sz w:val="21"/>
                <w:szCs w:val="21"/>
                <w:highlight w:val="yellow"/>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0.03</w:t>
            </w:r>
          </w:p>
        </w:tc>
        <w:tc>
          <w:tcPr>
            <w:tcW w:w="823" w:type="dxa"/>
            <w:noWrap w:val="0"/>
            <w:vAlign w:val="center"/>
          </w:tcPr>
          <w:p>
            <w:pPr>
              <w:keepNext w:val="0"/>
              <w:keepLines w:val="0"/>
              <w:widowControl/>
              <w:suppressLineNumbers w:val="0"/>
              <w:jc w:val="center"/>
              <w:textAlignment w:val="center"/>
              <w:rPr>
                <w:rFonts w:hint="default" w:ascii="Times New Roman" w:hAnsi="Times New Roman" w:eastAsia="宋体" w:cs="Times New Roman"/>
                <w:bCs/>
                <w:color w:val="auto"/>
                <w:spacing w:val="0"/>
                <w:kern w:val="2"/>
                <w:sz w:val="21"/>
                <w:szCs w:val="21"/>
                <w:highlight w:val="yellow"/>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0.000</w:t>
            </w:r>
            <w:r>
              <w:rPr>
                <w:rFonts w:hint="eastAsia" w:ascii="Times New Roman" w:hAnsi="Times New Roman" w:eastAsia="宋体" w:cs="Times New Roman"/>
                <w:i w:val="0"/>
                <w:iCs w:val="0"/>
                <w:snapToGrid w:val="0"/>
                <w:color w:val="000000"/>
                <w:kern w:val="0"/>
                <w:sz w:val="21"/>
                <w:szCs w:val="21"/>
                <w:u w:val="none"/>
                <w:lang w:val="en-US" w:eastAsia="zh-CN" w:bidi="ar"/>
              </w:rPr>
              <w:t>3</w:t>
            </w:r>
          </w:p>
        </w:tc>
        <w:tc>
          <w:tcPr>
            <w:tcW w:w="122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86" w:hRule="atLeast"/>
          <w:jc w:val="center"/>
        </w:trPr>
        <w:tc>
          <w:tcPr>
            <w:tcW w:w="758" w:type="dxa"/>
            <w:vMerge w:val="continue"/>
            <w:noWrap w:val="0"/>
            <w:vAlign w:val="center"/>
          </w:tcPr>
          <w:p>
            <w:pPr>
              <w:adjustRightInd w:val="0"/>
              <w:snapToGrid w:val="0"/>
              <w:jc w:val="center"/>
              <w:rPr>
                <w:rFonts w:hint="default" w:ascii="Times New Roman" w:hAnsi="Times New Roman" w:eastAsia="宋体" w:cs="Times New Roman"/>
                <w:color w:val="auto"/>
                <w:spacing w:val="0"/>
                <w:sz w:val="21"/>
                <w:szCs w:val="21"/>
              </w:rPr>
            </w:pP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0"/>
                <w:sz w:val="21"/>
                <w:szCs w:val="21"/>
                <w:lang w:val="en-US" w:eastAsia="zh-CN" w:bidi="ar-SA"/>
              </w:rPr>
            </w:pPr>
          </w:p>
        </w:tc>
        <w:tc>
          <w:tcPr>
            <w:tcW w:w="1092"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eastAsia="zh-CN"/>
              </w:rPr>
            </w:pPr>
            <w:r>
              <w:rPr>
                <w:rFonts w:hint="default" w:ascii="Times New Roman" w:hAnsi="Times New Roman" w:eastAsia="宋体" w:cs="Times New Roman"/>
                <w:bCs/>
                <w:color w:val="auto"/>
                <w:spacing w:val="0"/>
                <w:sz w:val="21"/>
                <w:szCs w:val="21"/>
                <w:lang w:eastAsia="zh-CN"/>
              </w:rPr>
              <w:t>臭气浓度</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80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1723" w:type="dxa"/>
            <w:gridSpan w:val="3"/>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rPr>
            </w:pPr>
            <w:r>
              <w:rPr>
                <w:rFonts w:hint="default" w:ascii="Times New Roman" w:hAnsi="Times New Roman" w:eastAsia="宋体" w:cs="Times New Roman"/>
                <w:bCs/>
                <w:color w:val="auto"/>
                <w:spacing w:val="0"/>
                <w:kern w:val="2"/>
                <w:sz w:val="21"/>
                <w:szCs w:val="21"/>
                <w:lang w:val="en-US" w:eastAsia="zh-CN"/>
              </w:rPr>
              <w:t>2538</w:t>
            </w:r>
            <w:r>
              <w:rPr>
                <w:rFonts w:hint="default" w:ascii="Times New Roman" w:hAnsi="Times New Roman" w:eastAsia="宋体" w:cs="Times New Roman"/>
                <w:color w:val="auto"/>
                <w:spacing w:val="0"/>
                <w:sz w:val="21"/>
                <w:szCs w:val="21"/>
                <w:lang w:val="en-US" w:eastAsia="zh-CN"/>
              </w:rPr>
              <w:t>（无量纲）</w:t>
            </w:r>
          </w:p>
        </w:tc>
        <w:tc>
          <w:tcPr>
            <w:tcW w:w="1623"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p>
        </w:tc>
        <w:tc>
          <w:tcPr>
            <w:tcW w:w="66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rPr>
            </w:pPr>
          </w:p>
        </w:tc>
        <w:tc>
          <w:tcPr>
            <w:tcW w:w="894"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bidi="ar-SA"/>
              </w:rPr>
            </w:pP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p>
        </w:tc>
        <w:tc>
          <w:tcPr>
            <w:tcW w:w="771"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p>
        </w:tc>
        <w:tc>
          <w:tcPr>
            <w:tcW w:w="2432" w:type="dxa"/>
            <w:gridSpan w:val="3"/>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r>
              <w:rPr>
                <w:rFonts w:hint="default" w:ascii="Times New Roman" w:hAnsi="Times New Roman" w:eastAsia="宋体" w:cs="Times New Roman"/>
                <w:bCs/>
                <w:color w:val="auto"/>
                <w:spacing w:val="0"/>
                <w:kern w:val="2"/>
                <w:sz w:val="21"/>
                <w:szCs w:val="21"/>
                <w:highlight w:val="none"/>
                <w:lang w:val="en-US" w:eastAsia="zh-CN"/>
              </w:rPr>
              <w:t>609</w:t>
            </w:r>
            <w:r>
              <w:rPr>
                <w:rFonts w:hint="default" w:ascii="Times New Roman" w:hAnsi="Times New Roman" w:eastAsia="宋体" w:cs="Times New Roman"/>
                <w:color w:val="auto"/>
                <w:spacing w:val="0"/>
                <w:sz w:val="21"/>
                <w:szCs w:val="21"/>
                <w:highlight w:val="none"/>
                <w:lang w:val="en-US" w:eastAsia="zh-CN"/>
              </w:rPr>
              <w:t>（无量纲）</w:t>
            </w:r>
          </w:p>
        </w:tc>
        <w:tc>
          <w:tcPr>
            <w:tcW w:w="122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758"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bCs/>
                <w:color w:val="auto"/>
                <w:spacing w:val="0"/>
                <w:sz w:val="21"/>
                <w:szCs w:val="21"/>
              </w:rPr>
              <w:t>污水处理站</w:t>
            </w:r>
          </w:p>
        </w:tc>
        <w:tc>
          <w:tcPr>
            <w:tcW w:w="615"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eastAsia" w:ascii="Times New Roman" w:hAnsi="Times New Roman" w:eastAsia="宋体" w:cs="Times New Roman"/>
                <w:bCs/>
                <w:color w:val="auto"/>
                <w:spacing w:val="0"/>
                <w:sz w:val="21"/>
                <w:szCs w:val="21"/>
                <w:lang w:val="en-US" w:eastAsia="zh-CN"/>
              </w:rPr>
              <w:t>DA004</w:t>
            </w:r>
          </w:p>
        </w:tc>
        <w:tc>
          <w:tcPr>
            <w:tcW w:w="1092" w:type="dxa"/>
            <w:noWrap w:val="0"/>
            <w:vAlign w:val="center"/>
          </w:tcPr>
          <w:p>
            <w:pPr>
              <w:pStyle w:val="22"/>
              <w:widowControl w:val="0"/>
              <w:adjustRightInd w:val="0"/>
              <w:snapToGrid w:val="0"/>
              <w:spacing w:beforeAutospacing="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NH</w:t>
            </w:r>
            <w:r>
              <w:rPr>
                <w:rFonts w:hint="default" w:ascii="Times New Roman" w:hAnsi="Times New Roman" w:eastAsia="宋体" w:cs="Times New Roman"/>
                <w:bCs/>
                <w:color w:val="auto"/>
                <w:spacing w:val="0"/>
                <w:sz w:val="21"/>
                <w:szCs w:val="21"/>
                <w:vertAlign w:val="subscript"/>
              </w:rPr>
              <w:t>3</w:t>
            </w:r>
          </w:p>
        </w:tc>
        <w:tc>
          <w:tcPr>
            <w:tcW w:w="87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r>
              <w:rPr>
                <w:rFonts w:hint="default" w:ascii="Times New Roman" w:hAnsi="Times New Roman" w:eastAsia="宋体" w:cs="Times New Roman"/>
                <w:color w:val="auto"/>
                <w:spacing w:val="0"/>
                <w:sz w:val="21"/>
                <w:szCs w:val="21"/>
              </w:rPr>
              <w:t>产排污系数法</w:t>
            </w:r>
          </w:p>
        </w:tc>
        <w:tc>
          <w:tcPr>
            <w:tcW w:w="80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3000</w:t>
            </w:r>
          </w:p>
        </w:tc>
        <w:tc>
          <w:tcPr>
            <w:tcW w:w="853" w:type="dxa"/>
            <w:gridSpan w:val="2"/>
            <w:noWrap w:val="0"/>
            <w:vAlign w:val="center"/>
          </w:tcPr>
          <w:p>
            <w:pPr>
              <w:spacing w:line="360" w:lineRule="exact"/>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0.0082</w:t>
            </w:r>
          </w:p>
        </w:tc>
        <w:tc>
          <w:tcPr>
            <w:tcW w:w="870" w:type="dxa"/>
            <w:noWrap w:val="0"/>
            <w:vAlign w:val="center"/>
          </w:tcPr>
          <w:p>
            <w:pPr>
              <w:spacing w:line="360" w:lineRule="exact"/>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2.72</w:t>
            </w:r>
          </w:p>
        </w:tc>
        <w:tc>
          <w:tcPr>
            <w:tcW w:w="1623"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eastAsia="zh-CN"/>
              </w:rPr>
            </w:pPr>
            <w:r>
              <w:rPr>
                <w:rFonts w:hint="default" w:ascii="Times New Roman" w:hAnsi="Times New Roman" w:eastAsia="宋体" w:cs="Times New Roman"/>
                <w:color w:val="auto"/>
                <w:spacing w:val="0"/>
                <w:sz w:val="21"/>
                <w:szCs w:val="21"/>
                <w:lang w:val="en-US" w:eastAsia="zh-CN"/>
              </w:rPr>
              <w:t>经密闭管道负压收集+活性炭吸附装置+15m高排气</w:t>
            </w:r>
            <w:r>
              <w:rPr>
                <w:rFonts w:hint="default" w:ascii="Times New Roman" w:hAnsi="Times New Roman" w:eastAsia="宋体" w:cs="Times New Roman"/>
                <w:color w:val="auto"/>
                <w:spacing w:val="0"/>
                <w:kern w:val="2"/>
                <w:sz w:val="21"/>
                <w:szCs w:val="21"/>
              </w:rPr>
              <w:t>筒</w:t>
            </w:r>
          </w:p>
        </w:tc>
        <w:tc>
          <w:tcPr>
            <w:tcW w:w="66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rPr>
            </w:pPr>
            <w:r>
              <w:rPr>
                <w:rFonts w:hint="default" w:ascii="Times New Roman" w:hAnsi="Times New Roman" w:eastAsia="宋体" w:cs="Times New Roman"/>
                <w:bCs/>
                <w:color w:val="auto"/>
                <w:spacing w:val="0"/>
                <w:kern w:val="2"/>
                <w:sz w:val="21"/>
                <w:szCs w:val="21"/>
                <w:lang w:val="en-US" w:eastAsia="zh-CN"/>
              </w:rPr>
              <w:t>90</w:t>
            </w:r>
          </w:p>
        </w:tc>
        <w:tc>
          <w:tcPr>
            <w:tcW w:w="894"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bidi="ar-SA"/>
              </w:rPr>
            </w:pPr>
            <w:r>
              <w:rPr>
                <w:rFonts w:hint="default" w:ascii="Times New Roman" w:hAnsi="Times New Roman" w:eastAsia="宋体" w:cs="Times New Roman"/>
                <w:bCs/>
                <w:color w:val="auto"/>
                <w:spacing w:val="0"/>
                <w:kern w:val="2"/>
                <w:sz w:val="21"/>
                <w:szCs w:val="21"/>
                <w:lang w:val="en-US" w:eastAsia="zh-CN"/>
              </w:rPr>
              <w:t>70</w:t>
            </w:r>
          </w:p>
        </w:tc>
        <w:tc>
          <w:tcPr>
            <w:tcW w:w="87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r>
              <w:rPr>
                <w:rFonts w:hint="default" w:ascii="Times New Roman" w:hAnsi="Times New Roman" w:eastAsia="宋体" w:cs="Times New Roman"/>
                <w:color w:val="auto"/>
                <w:spacing w:val="0"/>
                <w:sz w:val="21"/>
                <w:szCs w:val="21"/>
              </w:rPr>
              <w:t>物料衡算法</w:t>
            </w:r>
          </w:p>
        </w:tc>
        <w:tc>
          <w:tcPr>
            <w:tcW w:w="771"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rPr>
            </w:pPr>
            <w:r>
              <w:rPr>
                <w:rFonts w:hint="default" w:ascii="Times New Roman" w:hAnsi="Times New Roman" w:eastAsia="宋体" w:cs="Times New Roman"/>
                <w:color w:val="auto"/>
                <w:spacing w:val="0"/>
                <w:sz w:val="21"/>
                <w:szCs w:val="21"/>
                <w:lang w:val="en-US" w:eastAsia="zh-CN"/>
              </w:rPr>
              <w:t>3000</w:t>
            </w:r>
          </w:p>
        </w:tc>
        <w:tc>
          <w:tcPr>
            <w:tcW w:w="809" w:type="dxa"/>
            <w:noWrap w:val="0"/>
            <w:vAlign w:val="center"/>
          </w:tcPr>
          <w:p>
            <w:pPr>
              <w:spacing w:line="360" w:lineRule="exact"/>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0.0025</w:t>
            </w:r>
          </w:p>
        </w:tc>
        <w:tc>
          <w:tcPr>
            <w:tcW w:w="800" w:type="dxa"/>
            <w:noWrap w:val="0"/>
            <w:vAlign w:val="center"/>
          </w:tcPr>
          <w:p>
            <w:pPr>
              <w:spacing w:line="360" w:lineRule="exact"/>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0.83</w:t>
            </w:r>
          </w:p>
        </w:tc>
        <w:tc>
          <w:tcPr>
            <w:tcW w:w="823" w:type="dxa"/>
            <w:noWrap w:val="0"/>
            <w:vAlign w:val="center"/>
          </w:tcPr>
          <w:p>
            <w:pPr>
              <w:spacing w:line="360" w:lineRule="exact"/>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0.0102</w:t>
            </w:r>
          </w:p>
        </w:tc>
        <w:tc>
          <w:tcPr>
            <w:tcW w:w="122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eastAsia" w:ascii="Times New Roman" w:hAnsi="Times New Roman" w:eastAsia="宋体" w:cs="Times New Roman"/>
                <w:bCs/>
                <w:color w:val="auto"/>
                <w:spacing w:val="0"/>
                <w:sz w:val="21"/>
                <w:szCs w:val="21"/>
                <w:lang w:val="en-US" w:eastAsia="zh-CN"/>
              </w:rPr>
              <w:t>4080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758"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p>
        </w:tc>
        <w:tc>
          <w:tcPr>
            <w:tcW w:w="1092" w:type="dxa"/>
            <w:noWrap w:val="0"/>
            <w:vAlign w:val="center"/>
          </w:tcPr>
          <w:p>
            <w:pPr>
              <w:pStyle w:val="22"/>
              <w:widowControl w:val="0"/>
              <w:adjustRightInd w:val="0"/>
              <w:snapToGrid w:val="0"/>
              <w:spacing w:beforeAutospacing="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H</w:t>
            </w:r>
            <w:r>
              <w:rPr>
                <w:rFonts w:hint="default" w:ascii="Times New Roman" w:hAnsi="Times New Roman" w:eastAsia="宋体" w:cs="Times New Roman"/>
                <w:bCs/>
                <w:color w:val="auto"/>
                <w:spacing w:val="0"/>
                <w:sz w:val="21"/>
                <w:szCs w:val="21"/>
                <w:vertAlign w:val="subscript"/>
              </w:rPr>
              <w:t>2</w:t>
            </w:r>
            <w:r>
              <w:rPr>
                <w:rFonts w:hint="default" w:ascii="Times New Roman" w:hAnsi="Times New Roman" w:eastAsia="宋体" w:cs="Times New Roman"/>
                <w:bCs/>
                <w:color w:val="auto"/>
                <w:spacing w:val="0"/>
                <w:sz w:val="21"/>
                <w:szCs w:val="21"/>
              </w:rPr>
              <w:t>S</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80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853" w:type="dxa"/>
            <w:gridSpan w:val="2"/>
            <w:noWrap w:val="0"/>
            <w:vAlign w:val="center"/>
          </w:tcPr>
          <w:p>
            <w:pPr>
              <w:spacing w:line="360" w:lineRule="exact"/>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0.0003</w:t>
            </w:r>
          </w:p>
        </w:tc>
        <w:tc>
          <w:tcPr>
            <w:tcW w:w="870" w:type="dxa"/>
            <w:noWrap w:val="0"/>
            <w:vAlign w:val="center"/>
          </w:tcPr>
          <w:p>
            <w:pPr>
              <w:spacing w:line="360" w:lineRule="exact"/>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0.103</w:t>
            </w:r>
          </w:p>
        </w:tc>
        <w:tc>
          <w:tcPr>
            <w:tcW w:w="1623"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66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rPr>
            </w:pPr>
          </w:p>
        </w:tc>
        <w:tc>
          <w:tcPr>
            <w:tcW w:w="894"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771"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809" w:type="dxa"/>
            <w:noWrap w:val="0"/>
            <w:vAlign w:val="center"/>
          </w:tcPr>
          <w:p>
            <w:pPr>
              <w:spacing w:line="360" w:lineRule="exact"/>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0.00009</w:t>
            </w:r>
          </w:p>
        </w:tc>
        <w:tc>
          <w:tcPr>
            <w:tcW w:w="800" w:type="dxa"/>
            <w:noWrap w:val="0"/>
            <w:vAlign w:val="center"/>
          </w:tcPr>
          <w:p>
            <w:pPr>
              <w:spacing w:line="360" w:lineRule="exact"/>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0.0018</w:t>
            </w:r>
          </w:p>
        </w:tc>
        <w:tc>
          <w:tcPr>
            <w:tcW w:w="823" w:type="dxa"/>
            <w:noWrap w:val="0"/>
            <w:vAlign w:val="center"/>
          </w:tcPr>
          <w:p>
            <w:pPr>
              <w:spacing w:line="360" w:lineRule="exact"/>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0.000022</w:t>
            </w:r>
          </w:p>
        </w:tc>
        <w:tc>
          <w:tcPr>
            <w:tcW w:w="122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758" w:type="dxa"/>
            <w:vMerge w:val="continue"/>
            <w:noWrap w:val="0"/>
            <w:vAlign w:val="center"/>
          </w:tcPr>
          <w:p>
            <w:pPr>
              <w:adjustRightInd w:val="0"/>
              <w:snapToGrid w:val="0"/>
              <w:jc w:val="center"/>
              <w:rPr>
                <w:rFonts w:hint="default" w:ascii="Times New Roman" w:hAnsi="Times New Roman" w:eastAsia="宋体" w:cs="Times New Roman"/>
                <w:color w:val="auto"/>
                <w:spacing w:val="0"/>
                <w:sz w:val="21"/>
                <w:szCs w:val="21"/>
              </w:rPr>
            </w:pP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0"/>
                <w:sz w:val="21"/>
                <w:szCs w:val="21"/>
                <w:lang w:val="en-US" w:eastAsia="zh-CN" w:bidi="ar-SA"/>
              </w:rPr>
            </w:pPr>
          </w:p>
        </w:tc>
        <w:tc>
          <w:tcPr>
            <w:tcW w:w="1092"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eastAsia="zh-CN"/>
              </w:rPr>
            </w:pPr>
            <w:r>
              <w:rPr>
                <w:rFonts w:hint="default" w:ascii="Times New Roman" w:hAnsi="Times New Roman" w:eastAsia="宋体" w:cs="Times New Roman"/>
                <w:bCs/>
                <w:color w:val="auto"/>
                <w:spacing w:val="0"/>
                <w:sz w:val="21"/>
                <w:szCs w:val="21"/>
                <w:lang w:eastAsia="zh-CN"/>
              </w:rPr>
              <w:t>臭气浓度</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80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1723" w:type="dxa"/>
            <w:gridSpan w:val="3"/>
            <w:noWrap w:val="0"/>
            <w:vAlign w:val="center"/>
          </w:tcPr>
          <w:p>
            <w:pPr>
              <w:spacing w:line="360" w:lineRule="exact"/>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3376（无量纲）</w:t>
            </w:r>
          </w:p>
        </w:tc>
        <w:tc>
          <w:tcPr>
            <w:tcW w:w="1623"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p>
        </w:tc>
        <w:tc>
          <w:tcPr>
            <w:tcW w:w="660" w:type="dxa"/>
            <w:vMerge w:val="continue"/>
            <w:noWrap w:val="0"/>
            <w:vAlign w:val="center"/>
          </w:tcPr>
          <w:p>
            <w:pPr>
              <w:pStyle w:val="22"/>
              <w:widowControl w:val="0"/>
              <w:adjustRightInd w:val="0"/>
              <w:snapToGrid w:val="0"/>
              <w:jc w:val="center"/>
              <w:rPr>
                <w:rFonts w:hint="default" w:ascii="Times New Roman" w:hAnsi="Times New Roman" w:eastAsia="宋体" w:cs="Times New Roman"/>
                <w:bCs/>
                <w:color w:val="auto"/>
                <w:spacing w:val="0"/>
                <w:kern w:val="2"/>
                <w:sz w:val="21"/>
                <w:szCs w:val="21"/>
              </w:rPr>
            </w:pPr>
          </w:p>
        </w:tc>
        <w:tc>
          <w:tcPr>
            <w:tcW w:w="894" w:type="dxa"/>
            <w:vMerge w:val="continue"/>
            <w:noWrap w:val="0"/>
            <w:vAlign w:val="center"/>
          </w:tcPr>
          <w:p>
            <w:pPr>
              <w:pStyle w:val="22"/>
              <w:widowControl w:val="0"/>
              <w:adjustRightInd w:val="0"/>
              <w:snapToGrid w:val="0"/>
              <w:jc w:val="center"/>
              <w:rPr>
                <w:rFonts w:hint="default" w:ascii="Times New Roman" w:hAnsi="Times New Roman" w:eastAsia="宋体" w:cs="Times New Roman"/>
                <w:bCs/>
                <w:color w:val="auto"/>
                <w:spacing w:val="0"/>
                <w:kern w:val="2"/>
                <w:sz w:val="21"/>
                <w:szCs w:val="21"/>
                <w:lang w:val="en-US" w:eastAsia="zh-CN" w:bidi="ar-SA"/>
              </w:rPr>
            </w:pP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p>
        </w:tc>
        <w:tc>
          <w:tcPr>
            <w:tcW w:w="771"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rPr>
            </w:pPr>
          </w:p>
        </w:tc>
        <w:tc>
          <w:tcPr>
            <w:tcW w:w="2432" w:type="dxa"/>
            <w:gridSpan w:val="3"/>
            <w:noWrap w:val="0"/>
            <w:vAlign w:val="center"/>
          </w:tcPr>
          <w:p>
            <w:pPr>
              <w:spacing w:line="360" w:lineRule="exact"/>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912（无量纲）</w:t>
            </w:r>
          </w:p>
        </w:tc>
        <w:tc>
          <w:tcPr>
            <w:tcW w:w="122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758"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cs="Times New Roman"/>
                <w:color w:val="auto"/>
                <w:sz w:val="21"/>
                <w:szCs w:val="21"/>
              </w:rPr>
              <w:t>待宰</w:t>
            </w:r>
            <w:r>
              <w:rPr>
                <w:rFonts w:hint="default" w:ascii="Times New Roman" w:hAnsi="Times New Roman" w:eastAsia="宋体" w:cs="Times New Roman"/>
                <w:color w:val="auto"/>
                <w:spacing w:val="0"/>
                <w:sz w:val="21"/>
                <w:szCs w:val="21"/>
                <w:lang w:val="en-US" w:eastAsia="zh-CN"/>
              </w:rPr>
              <w:t>圈</w:t>
            </w:r>
          </w:p>
        </w:tc>
        <w:tc>
          <w:tcPr>
            <w:tcW w:w="615"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bCs/>
                <w:color w:val="auto"/>
                <w:spacing w:val="0"/>
                <w:sz w:val="21"/>
                <w:szCs w:val="21"/>
                <w:lang w:val="en-US" w:eastAsia="zh-CN"/>
              </w:rPr>
              <w:t>无组织</w:t>
            </w:r>
          </w:p>
        </w:tc>
        <w:tc>
          <w:tcPr>
            <w:tcW w:w="1092" w:type="dxa"/>
            <w:noWrap w:val="0"/>
            <w:vAlign w:val="center"/>
          </w:tcPr>
          <w:p>
            <w:pPr>
              <w:spacing w:line="360" w:lineRule="exact"/>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NH</w:t>
            </w:r>
            <w:r>
              <w:rPr>
                <w:rFonts w:hint="default" w:ascii="Times New Roman" w:hAnsi="Times New Roman" w:eastAsia="宋体" w:cs="Times New Roman"/>
                <w:color w:val="auto"/>
                <w:spacing w:val="0"/>
                <w:sz w:val="21"/>
                <w:szCs w:val="21"/>
                <w:vertAlign w:val="subscript"/>
              </w:rPr>
              <w:t>3</w:t>
            </w:r>
          </w:p>
        </w:tc>
        <w:tc>
          <w:tcPr>
            <w:tcW w:w="870" w:type="dxa"/>
            <w:vMerge w:val="restart"/>
            <w:noWrap w:val="0"/>
            <w:vAlign w:val="center"/>
          </w:tcPr>
          <w:p>
            <w:pPr>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rPr>
              <w:t>产排污系数法</w:t>
            </w:r>
          </w:p>
        </w:tc>
        <w:tc>
          <w:tcPr>
            <w:tcW w:w="80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53"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0.01625</w:t>
            </w:r>
          </w:p>
        </w:tc>
        <w:tc>
          <w:tcPr>
            <w:tcW w:w="87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1623"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及时清扫并定期喷洒除臭剂</w:t>
            </w:r>
          </w:p>
        </w:tc>
        <w:tc>
          <w:tcPr>
            <w:tcW w:w="66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94"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w:t>
            </w:r>
          </w:p>
        </w:tc>
        <w:tc>
          <w:tcPr>
            <w:tcW w:w="87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rPr>
              <w:t>物料衡算法</w:t>
            </w:r>
          </w:p>
        </w:tc>
        <w:tc>
          <w:tcPr>
            <w:tcW w:w="771"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809"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0.01625</w:t>
            </w:r>
          </w:p>
        </w:tc>
        <w:tc>
          <w:tcPr>
            <w:tcW w:w="80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w:t>
            </w:r>
          </w:p>
        </w:tc>
        <w:tc>
          <w:tcPr>
            <w:tcW w:w="823"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bCs/>
                <w:color w:val="auto"/>
                <w:spacing w:val="0"/>
                <w:sz w:val="21"/>
                <w:szCs w:val="21"/>
                <w:highlight w:val="none"/>
                <w:lang w:val="en-US" w:eastAsia="zh-CN"/>
              </w:rPr>
              <w:t>0.0040</w:t>
            </w:r>
          </w:p>
        </w:tc>
        <w:tc>
          <w:tcPr>
            <w:tcW w:w="1220" w:type="dxa"/>
            <w:vMerge w:val="restart"/>
            <w:noWrap w:val="0"/>
            <w:vAlign w:val="center"/>
          </w:tcPr>
          <w:p>
            <w:pPr>
              <w:pStyle w:val="22"/>
              <w:widowControl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bCs/>
                <w:color w:val="auto"/>
                <w:spacing w:val="0"/>
                <w:sz w:val="21"/>
                <w:szCs w:val="21"/>
                <w:lang w:val="en-US" w:eastAsia="zh-CN"/>
              </w:rPr>
              <w:t>4080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758"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1092" w:type="dxa"/>
            <w:noWrap w:val="0"/>
            <w:vAlign w:val="center"/>
          </w:tcPr>
          <w:p>
            <w:pPr>
              <w:spacing w:line="360" w:lineRule="exact"/>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t>
            </w:r>
            <w:r>
              <w:rPr>
                <w:rFonts w:hint="default" w:ascii="Times New Roman" w:hAnsi="Times New Roman" w:eastAsia="宋体" w:cs="Times New Roman"/>
                <w:color w:val="auto"/>
                <w:spacing w:val="0"/>
                <w:sz w:val="21"/>
                <w:szCs w:val="21"/>
                <w:vertAlign w:val="subscript"/>
              </w:rPr>
              <w:t>2</w:t>
            </w:r>
            <w:r>
              <w:rPr>
                <w:rFonts w:hint="default" w:ascii="Times New Roman" w:hAnsi="Times New Roman" w:eastAsia="宋体" w:cs="Times New Roman"/>
                <w:color w:val="auto"/>
                <w:spacing w:val="0"/>
                <w:sz w:val="21"/>
                <w:szCs w:val="21"/>
              </w:rPr>
              <w:t>S</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80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853"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0.00244</w:t>
            </w:r>
          </w:p>
        </w:tc>
        <w:tc>
          <w:tcPr>
            <w:tcW w:w="87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1623"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66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894"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0"/>
                <w:sz w:val="21"/>
                <w:szCs w:val="21"/>
                <w:lang w:val="en-US" w:eastAsia="zh-CN" w:bidi="ar-SA"/>
              </w:rPr>
            </w:pPr>
            <w:r>
              <w:rPr>
                <w:rFonts w:hint="default" w:ascii="Times New Roman" w:hAnsi="Times New Roman" w:eastAsia="宋体" w:cs="Times New Roman"/>
                <w:color w:val="auto"/>
                <w:spacing w:val="0"/>
                <w:sz w:val="21"/>
                <w:szCs w:val="21"/>
                <w:lang w:val="en-US" w:eastAsia="zh-CN"/>
              </w:rPr>
              <w:t>/</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771"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809"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0.00244</w:t>
            </w:r>
          </w:p>
        </w:tc>
        <w:tc>
          <w:tcPr>
            <w:tcW w:w="80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w:t>
            </w:r>
          </w:p>
        </w:tc>
        <w:tc>
          <w:tcPr>
            <w:tcW w:w="823"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bCs/>
                <w:color w:val="auto"/>
                <w:spacing w:val="0"/>
                <w:sz w:val="21"/>
                <w:szCs w:val="21"/>
                <w:highlight w:val="none"/>
                <w:lang w:val="en-US" w:eastAsia="zh-CN"/>
              </w:rPr>
              <w:t>0.0006</w:t>
            </w:r>
          </w:p>
        </w:tc>
        <w:tc>
          <w:tcPr>
            <w:tcW w:w="122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758"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1092" w:type="dxa"/>
            <w:noWrap w:val="0"/>
            <w:vAlign w:val="center"/>
          </w:tcPr>
          <w:p>
            <w:pPr>
              <w:spacing w:line="360" w:lineRule="exact"/>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臭气浓度</w:t>
            </w:r>
          </w:p>
        </w:tc>
        <w:tc>
          <w:tcPr>
            <w:tcW w:w="87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eastAsia="zh-CN"/>
              </w:rPr>
            </w:pPr>
            <w:r>
              <w:rPr>
                <w:rFonts w:hint="default" w:ascii="Times New Roman" w:hAnsi="Times New Roman" w:eastAsia="宋体" w:cs="Times New Roman"/>
                <w:bCs/>
                <w:color w:val="auto"/>
                <w:spacing w:val="0"/>
                <w:sz w:val="21"/>
                <w:szCs w:val="21"/>
                <w:lang w:eastAsia="zh-CN"/>
              </w:rPr>
              <w:t>类比法</w:t>
            </w:r>
          </w:p>
        </w:tc>
        <w:tc>
          <w:tcPr>
            <w:tcW w:w="2523" w:type="dxa"/>
            <w:gridSpan w:val="4"/>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338（无量纲）</w:t>
            </w:r>
          </w:p>
        </w:tc>
        <w:tc>
          <w:tcPr>
            <w:tcW w:w="1623"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66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94"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771"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2432" w:type="dxa"/>
            <w:gridSpan w:val="3"/>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厂界＜10（无量纲）</w:t>
            </w:r>
          </w:p>
        </w:tc>
        <w:tc>
          <w:tcPr>
            <w:tcW w:w="122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758"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屠宰</w:t>
            </w:r>
            <w:r>
              <w:rPr>
                <w:rFonts w:hint="default" w:ascii="Times New Roman" w:hAnsi="Times New Roman" w:eastAsia="宋体" w:cs="Times New Roman"/>
                <w:bCs/>
                <w:color w:val="auto"/>
                <w:spacing w:val="0"/>
                <w:sz w:val="21"/>
                <w:szCs w:val="21"/>
                <w:lang w:val="en-US" w:eastAsia="zh-CN"/>
              </w:rPr>
              <w:t>加工</w:t>
            </w:r>
            <w:r>
              <w:rPr>
                <w:rFonts w:hint="default" w:ascii="Times New Roman" w:hAnsi="Times New Roman" w:eastAsia="宋体" w:cs="Times New Roman"/>
                <w:bCs/>
                <w:color w:val="auto"/>
                <w:spacing w:val="0"/>
                <w:sz w:val="21"/>
                <w:szCs w:val="21"/>
              </w:rPr>
              <w:t>车间</w:t>
            </w: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1092" w:type="dxa"/>
            <w:noWrap w:val="0"/>
            <w:vAlign w:val="center"/>
          </w:tcPr>
          <w:p>
            <w:pPr>
              <w:spacing w:line="360" w:lineRule="exact"/>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NH</w:t>
            </w:r>
            <w:r>
              <w:rPr>
                <w:rFonts w:hint="default" w:ascii="Times New Roman" w:hAnsi="Times New Roman" w:eastAsia="宋体" w:cs="Times New Roman"/>
                <w:color w:val="auto"/>
                <w:spacing w:val="0"/>
                <w:sz w:val="21"/>
                <w:szCs w:val="21"/>
                <w:vertAlign w:val="subscript"/>
              </w:rPr>
              <w:t>3</w:t>
            </w:r>
          </w:p>
        </w:tc>
        <w:tc>
          <w:tcPr>
            <w:tcW w:w="87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kern w:val="2"/>
                <w:sz w:val="21"/>
                <w:szCs w:val="21"/>
              </w:rPr>
              <w:t>类比法</w:t>
            </w:r>
          </w:p>
        </w:tc>
        <w:tc>
          <w:tcPr>
            <w:tcW w:w="80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853"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0.0017</w:t>
            </w:r>
          </w:p>
        </w:tc>
        <w:tc>
          <w:tcPr>
            <w:tcW w:w="87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1623"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定时清扫，增加通风次数</w:t>
            </w:r>
          </w:p>
        </w:tc>
        <w:tc>
          <w:tcPr>
            <w:tcW w:w="66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894"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w:t>
            </w:r>
          </w:p>
        </w:tc>
        <w:tc>
          <w:tcPr>
            <w:tcW w:w="87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rPr>
              <w:t>物料衡算法</w:t>
            </w:r>
          </w:p>
        </w:tc>
        <w:tc>
          <w:tcPr>
            <w:tcW w:w="771"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809"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0.0017</w:t>
            </w:r>
          </w:p>
        </w:tc>
        <w:tc>
          <w:tcPr>
            <w:tcW w:w="80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bCs/>
                <w:color w:val="auto"/>
                <w:spacing w:val="0"/>
                <w:sz w:val="21"/>
                <w:szCs w:val="21"/>
                <w:lang w:val="en-US" w:eastAsia="zh-CN"/>
              </w:rPr>
              <w:t>/</w:t>
            </w:r>
          </w:p>
        </w:tc>
        <w:tc>
          <w:tcPr>
            <w:tcW w:w="823"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0.0004</w:t>
            </w:r>
          </w:p>
        </w:tc>
        <w:tc>
          <w:tcPr>
            <w:tcW w:w="1220" w:type="dxa"/>
            <w:vMerge w:val="restart"/>
            <w:noWrap w:val="0"/>
            <w:vAlign w:val="center"/>
          </w:tcPr>
          <w:p>
            <w:pPr>
              <w:pStyle w:val="22"/>
              <w:widowControl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bCs/>
                <w:color w:val="auto"/>
                <w:spacing w:val="0"/>
                <w:sz w:val="21"/>
                <w:szCs w:val="21"/>
                <w:lang w:val="en-US" w:eastAsia="zh-CN"/>
              </w:rPr>
              <w:t>4080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758"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1092" w:type="dxa"/>
            <w:noWrap w:val="0"/>
            <w:vAlign w:val="center"/>
          </w:tcPr>
          <w:p>
            <w:pPr>
              <w:spacing w:line="360" w:lineRule="exact"/>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t>
            </w:r>
            <w:r>
              <w:rPr>
                <w:rFonts w:hint="default" w:ascii="Times New Roman" w:hAnsi="Times New Roman" w:eastAsia="宋体" w:cs="Times New Roman"/>
                <w:color w:val="auto"/>
                <w:spacing w:val="0"/>
                <w:sz w:val="21"/>
                <w:szCs w:val="21"/>
                <w:vertAlign w:val="subscript"/>
              </w:rPr>
              <w:t>2</w:t>
            </w:r>
            <w:r>
              <w:rPr>
                <w:rFonts w:hint="default" w:ascii="Times New Roman" w:hAnsi="Times New Roman" w:eastAsia="宋体" w:cs="Times New Roman"/>
                <w:color w:val="auto"/>
                <w:spacing w:val="0"/>
                <w:sz w:val="21"/>
                <w:szCs w:val="21"/>
              </w:rPr>
              <w:t>S</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80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853"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0.00008</w:t>
            </w:r>
          </w:p>
        </w:tc>
        <w:tc>
          <w:tcPr>
            <w:tcW w:w="87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1623"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66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894"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771"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809"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0.00008</w:t>
            </w:r>
          </w:p>
        </w:tc>
        <w:tc>
          <w:tcPr>
            <w:tcW w:w="80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bCs/>
                <w:color w:val="auto"/>
                <w:spacing w:val="0"/>
                <w:sz w:val="21"/>
                <w:szCs w:val="21"/>
                <w:lang w:val="en-US" w:eastAsia="zh-CN"/>
              </w:rPr>
              <w:t>/</w:t>
            </w:r>
          </w:p>
        </w:tc>
        <w:tc>
          <w:tcPr>
            <w:tcW w:w="823"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0.00002</w:t>
            </w:r>
          </w:p>
        </w:tc>
        <w:tc>
          <w:tcPr>
            <w:tcW w:w="122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758"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1092" w:type="dxa"/>
            <w:noWrap w:val="0"/>
            <w:vAlign w:val="center"/>
          </w:tcPr>
          <w:p>
            <w:pPr>
              <w:spacing w:line="360" w:lineRule="exact"/>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eastAsia="zh-CN"/>
              </w:rPr>
              <w:t>臭气浓度</w:t>
            </w:r>
          </w:p>
        </w:tc>
        <w:tc>
          <w:tcPr>
            <w:tcW w:w="87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0"/>
                <w:sz w:val="21"/>
                <w:szCs w:val="21"/>
                <w:lang w:val="en-US" w:eastAsia="zh-CN" w:bidi="ar-SA"/>
              </w:rPr>
            </w:pPr>
            <w:r>
              <w:rPr>
                <w:rFonts w:hint="default" w:ascii="Times New Roman" w:hAnsi="Times New Roman" w:eastAsia="宋体" w:cs="Times New Roman"/>
                <w:bCs/>
                <w:color w:val="auto"/>
                <w:spacing w:val="0"/>
                <w:sz w:val="21"/>
                <w:szCs w:val="21"/>
                <w:lang w:eastAsia="zh-CN"/>
              </w:rPr>
              <w:t>类比法</w:t>
            </w:r>
          </w:p>
        </w:tc>
        <w:tc>
          <w:tcPr>
            <w:tcW w:w="2523" w:type="dxa"/>
            <w:gridSpan w:val="4"/>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508无量纲）</w:t>
            </w:r>
          </w:p>
        </w:tc>
        <w:tc>
          <w:tcPr>
            <w:tcW w:w="1623"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66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p>
        </w:tc>
        <w:tc>
          <w:tcPr>
            <w:tcW w:w="894"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771"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p>
        </w:tc>
        <w:tc>
          <w:tcPr>
            <w:tcW w:w="2432" w:type="dxa"/>
            <w:gridSpan w:val="3"/>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厂界＜10（无量纲）</w:t>
            </w:r>
          </w:p>
        </w:tc>
        <w:tc>
          <w:tcPr>
            <w:tcW w:w="122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770" w:hRule="atLeast"/>
          <w:jc w:val="center"/>
        </w:trPr>
        <w:tc>
          <w:tcPr>
            <w:tcW w:w="758"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bCs/>
                <w:color w:val="auto"/>
                <w:spacing w:val="0"/>
                <w:sz w:val="21"/>
                <w:szCs w:val="21"/>
              </w:rPr>
              <w:t>污水处理站</w:t>
            </w: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1092" w:type="dxa"/>
            <w:noWrap w:val="0"/>
            <w:vAlign w:val="center"/>
          </w:tcPr>
          <w:p>
            <w:pPr>
              <w:spacing w:line="360" w:lineRule="exact"/>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NH</w:t>
            </w:r>
            <w:r>
              <w:rPr>
                <w:rFonts w:hint="default" w:ascii="Times New Roman" w:hAnsi="Times New Roman" w:eastAsia="宋体" w:cs="Times New Roman"/>
                <w:color w:val="auto"/>
                <w:spacing w:val="0"/>
                <w:sz w:val="21"/>
                <w:szCs w:val="21"/>
                <w:vertAlign w:val="subscript"/>
              </w:rPr>
              <w:t>3</w:t>
            </w:r>
          </w:p>
        </w:tc>
        <w:tc>
          <w:tcPr>
            <w:tcW w:w="87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rPr>
              <w:t>产排污系数法</w:t>
            </w:r>
          </w:p>
        </w:tc>
        <w:tc>
          <w:tcPr>
            <w:tcW w:w="80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853"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0.0009</w:t>
            </w:r>
          </w:p>
        </w:tc>
        <w:tc>
          <w:tcPr>
            <w:tcW w:w="87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1623"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污水处理站封闭设置，沉淀池和调节池密闭收集气体，为地下式结构</w:t>
            </w:r>
          </w:p>
        </w:tc>
        <w:tc>
          <w:tcPr>
            <w:tcW w:w="66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894"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w:t>
            </w:r>
          </w:p>
        </w:tc>
        <w:tc>
          <w:tcPr>
            <w:tcW w:w="87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rPr>
              <w:t>物料衡算法</w:t>
            </w:r>
          </w:p>
        </w:tc>
        <w:tc>
          <w:tcPr>
            <w:tcW w:w="771"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809"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eastAsia" w:ascii="Times New Roman" w:hAnsi="Times New Roman" w:eastAsia="宋体" w:cs="Times New Roman"/>
                <w:color w:val="auto"/>
                <w:spacing w:val="0"/>
                <w:sz w:val="21"/>
                <w:szCs w:val="21"/>
                <w:lang w:val="en-US" w:eastAsia="zh-CN"/>
              </w:rPr>
              <w:t>0.0009</w:t>
            </w:r>
          </w:p>
        </w:tc>
        <w:tc>
          <w:tcPr>
            <w:tcW w:w="80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bCs/>
                <w:color w:val="auto"/>
                <w:spacing w:val="0"/>
                <w:sz w:val="21"/>
                <w:szCs w:val="21"/>
                <w:lang w:val="en-US" w:eastAsia="zh-CN"/>
              </w:rPr>
              <w:t>/</w:t>
            </w:r>
          </w:p>
        </w:tc>
        <w:tc>
          <w:tcPr>
            <w:tcW w:w="823"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0.0037</w:t>
            </w:r>
          </w:p>
        </w:tc>
        <w:tc>
          <w:tcPr>
            <w:tcW w:w="1220" w:type="dxa"/>
            <w:vMerge w:val="restart"/>
            <w:noWrap w:val="0"/>
            <w:vAlign w:val="center"/>
          </w:tcPr>
          <w:p>
            <w:pPr>
              <w:pStyle w:val="22"/>
              <w:widowControl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auto"/>
                <w:spacing w:val="0"/>
                <w:sz w:val="21"/>
                <w:szCs w:val="21"/>
                <w:lang w:val="en-US" w:eastAsia="zh-CN"/>
              </w:rPr>
            </w:pPr>
            <w:r>
              <w:rPr>
                <w:rFonts w:hint="eastAsia" w:ascii="Times New Roman" w:hAnsi="Times New Roman" w:eastAsia="宋体" w:cs="Times New Roman"/>
                <w:bCs/>
                <w:color w:val="auto"/>
                <w:spacing w:val="0"/>
                <w:sz w:val="21"/>
                <w:szCs w:val="21"/>
                <w:lang w:val="en-US" w:eastAsia="zh-CN"/>
              </w:rPr>
              <w:t>4080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758" w:type="dxa"/>
            <w:vMerge w:val="continue"/>
            <w:noWrap w:val="0"/>
            <w:vAlign w:val="center"/>
          </w:tcPr>
          <w:p>
            <w:pPr>
              <w:adjustRightInd w:val="0"/>
              <w:snapToGrid w:val="0"/>
              <w:jc w:val="center"/>
              <w:rPr>
                <w:rFonts w:hint="default" w:ascii="Times New Roman" w:hAnsi="Times New Roman" w:eastAsia="宋体" w:cs="Times New Roman"/>
                <w:color w:val="auto"/>
                <w:spacing w:val="0"/>
                <w:sz w:val="21"/>
                <w:szCs w:val="21"/>
              </w:rPr>
            </w:pP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1092" w:type="dxa"/>
            <w:noWrap w:val="0"/>
            <w:vAlign w:val="center"/>
          </w:tcPr>
          <w:p>
            <w:pPr>
              <w:spacing w:line="360" w:lineRule="exact"/>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t>
            </w:r>
            <w:r>
              <w:rPr>
                <w:rFonts w:hint="default" w:ascii="Times New Roman" w:hAnsi="Times New Roman" w:eastAsia="宋体" w:cs="Times New Roman"/>
                <w:color w:val="auto"/>
                <w:spacing w:val="0"/>
                <w:sz w:val="21"/>
                <w:szCs w:val="21"/>
                <w:vertAlign w:val="subscript"/>
              </w:rPr>
              <w:t>2</w:t>
            </w:r>
            <w:r>
              <w:rPr>
                <w:rFonts w:hint="default" w:ascii="Times New Roman" w:hAnsi="Times New Roman" w:eastAsia="宋体" w:cs="Times New Roman"/>
                <w:color w:val="auto"/>
                <w:spacing w:val="0"/>
                <w:sz w:val="21"/>
                <w:szCs w:val="21"/>
              </w:rPr>
              <w:t>S</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80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853"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0.00003</w:t>
            </w:r>
          </w:p>
        </w:tc>
        <w:tc>
          <w:tcPr>
            <w:tcW w:w="87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1623"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66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894"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val="en-US" w:eastAsia="zh-CN"/>
              </w:rPr>
              <w:t>/</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771"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w:t>
            </w:r>
          </w:p>
        </w:tc>
        <w:tc>
          <w:tcPr>
            <w:tcW w:w="809"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eastAsia" w:ascii="Times New Roman" w:hAnsi="Times New Roman" w:eastAsia="宋体" w:cs="Times New Roman"/>
                <w:color w:val="auto"/>
                <w:spacing w:val="0"/>
                <w:sz w:val="21"/>
                <w:szCs w:val="21"/>
                <w:lang w:val="en-US" w:eastAsia="zh-CN"/>
              </w:rPr>
              <w:t>0.00003</w:t>
            </w:r>
          </w:p>
        </w:tc>
        <w:tc>
          <w:tcPr>
            <w:tcW w:w="80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bCs/>
                <w:color w:val="auto"/>
                <w:spacing w:val="0"/>
                <w:sz w:val="21"/>
                <w:szCs w:val="21"/>
                <w:lang w:val="en-US" w:eastAsia="zh-CN"/>
              </w:rPr>
              <w:t>/</w:t>
            </w:r>
          </w:p>
        </w:tc>
        <w:tc>
          <w:tcPr>
            <w:tcW w:w="823"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0.00014</w:t>
            </w:r>
          </w:p>
        </w:tc>
        <w:tc>
          <w:tcPr>
            <w:tcW w:w="122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758" w:type="dxa"/>
            <w:vMerge w:val="continue"/>
            <w:noWrap w:val="0"/>
            <w:vAlign w:val="center"/>
          </w:tcPr>
          <w:p>
            <w:pPr>
              <w:adjustRightInd w:val="0"/>
              <w:snapToGrid w:val="0"/>
              <w:jc w:val="center"/>
              <w:rPr>
                <w:rFonts w:hint="default" w:ascii="Times New Roman" w:hAnsi="Times New Roman" w:eastAsia="宋体" w:cs="Times New Roman"/>
                <w:color w:val="auto"/>
                <w:spacing w:val="0"/>
                <w:sz w:val="21"/>
                <w:szCs w:val="21"/>
              </w:rPr>
            </w:pP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1092" w:type="dxa"/>
            <w:noWrap w:val="0"/>
            <w:vAlign w:val="center"/>
          </w:tcPr>
          <w:p>
            <w:pPr>
              <w:spacing w:line="360" w:lineRule="exact"/>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sz w:val="21"/>
                <w:szCs w:val="21"/>
                <w:lang w:eastAsia="zh-CN"/>
              </w:rPr>
              <w:t>臭气浓度</w:t>
            </w:r>
          </w:p>
        </w:tc>
        <w:tc>
          <w:tcPr>
            <w:tcW w:w="87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0"/>
                <w:sz w:val="21"/>
                <w:szCs w:val="21"/>
                <w:lang w:val="en-US" w:eastAsia="zh-CN" w:bidi="ar-SA"/>
              </w:rPr>
            </w:pPr>
            <w:r>
              <w:rPr>
                <w:rFonts w:hint="default" w:ascii="Times New Roman" w:hAnsi="Times New Roman" w:eastAsia="宋体" w:cs="Times New Roman"/>
                <w:bCs/>
                <w:color w:val="auto"/>
                <w:spacing w:val="0"/>
                <w:sz w:val="21"/>
                <w:szCs w:val="21"/>
                <w:lang w:eastAsia="zh-CN"/>
              </w:rPr>
              <w:t>类比法</w:t>
            </w:r>
          </w:p>
        </w:tc>
        <w:tc>
          <w:tcPr>
            <w:tcW w:w="2523" w:type="dxa"/>
            <w:gridSpan w:val="4"/>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338（无量纲）</w:t>
            </w:r>
          </w:p>
        </w:tc>
        <w:tc>
          <w:tcPr>
            <w:tcW w:w="1623"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66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94"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c>
          <w:tcPr>
            <w:tcW w:w="771"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2432" w:type="dxa"/>
            <w:gridSpan w:val="3"/>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厂界＜10（无量纲）</w:t>
            </w:r>
          </w:p>
        </w:tc>
        <w:tc>
          <w:tcPr>
            <w:tcW w:w="122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67" w:hRule="atLeast"/>
          <w:jc w:val="center"/>
        </w:trPr>
        <w:tc>
          <w:tcPr>
            <w:tcW w:w="758"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lang w:eastAsia="zh-CN"/>
              </w:rPr>
            </w:pPr>
            <w:r>
              <w:rPr>
                <w:rFonts w:hint="default" w:ascii="Times New Roman" w:hAnsi="Times New Roman" w:cs="Times New Roman"/>
                <w:color w:val="auto"/>
                <w:sz w:val="21"/>
                <w:szCs w:val="21"/>
                <w:lang w:eastAsia="zh-CN"/>
              </w:rPr>
              <w:t>固废暂存间</w:t>
            </w: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cs="Times New Roman"/>
                <w:color w:val="auto"/>
              </w:rPr>
            </w:pPr>
          </w:p>
        </w:tc>
        <w:tc>
          <w:tcPr>
            <w:tcW w:w="1092" w:type="dxa"/>
            <w:noWrap w:val="0"/>
            <w:vAlign w:val="center"/>
          </w:tcPr>
          <w:p>
            <w:pPr>
              <w:spacing w:line="360" w:lineRule="exact"/>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rPr>
              <w:t>NH</w:t>
            </w:r>
            <w:r>
              <w:rPr>
                <w:rFonts w:hint="default" w:ascii="Times New Roman" w:hAnsi="Times New Roman" w:eastAsia="宋体" w:cs="Times New Roman"/>
                <w:color w:val="auto"/>
                <w:spacing w:val="0"/>
                <w:sz w:val="21"/>
                <w:szCs w:val="21"/>
                <w:vertAlign w:val="subscript"/>
              </w:rPr>
              <w:t>3</w:t>
            </w:r>
          </w:p>
        </w:tc>
        <w:tc>
          <w:tcPr>
            <w:tcW w:w="87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eastAsia="zh-CN"/>
              </w:rPr>
            </w:pPr>
            <w:r>
              <w:rPr>
                <w:rFonts w:hint="default" w:ascii="Times New Roman" w:hAnsi="Times New Roman" w:eastAsia="宋体" w:cs="Times New Roman"/>
                <w:color w:val="auto"/>
                <w:spacing w:val="0"/>
                <w:sz w:val="21"/>
                <w:szCs w:val="21"/>
              </w:rPr>
              <w:t>产排污系数法</w:t>
            </w:r>
          </w:p>
        </w:tc>
        <w:tc>
          <w:tcPr>
            <w:tcW w:w="841"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12"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0.002</w:t>
            </w:r>
          </w:p>
        </w:tc>
        <w:tc>
          <w:tcPr>
            <w:tcW w:w="87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1623"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喷洒生物除臭剂</w:t>
            </w:r>
          </w:p>
        </w:tc>
        <w:tc>
          <w:tcPr>
            <w:tcW w:w="66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94"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50</w:t>
            </w:r>
          </w:p>
        </w:tc>
        <w:tc>
          <w:tcPr>
            <w:tcW w:w="87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物料衡算法</w:t>
            </w:r>
          </w:p>
        </w:tc>
        <w:tc>
          <w:tcPr>
            <w:tcW w:w="771"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09"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0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23"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0.001</w:t>
            </w:r>
          </w:p>
        </w:tc>
        <w:tc>
          <w:tcPr>
            <w:tcW w:w="1220" w:type="dxa"/>
            <w:vMerge w:val="restart"/>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4080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758"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cs="Times New Roman"/>
                <w:color w:val="auto"/>
              </w:rPr>
            </w:pP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cs="Times New Roman"/>
                <w:color w:val="auto"/>
              </w:rPr>
            </w:pPr>
          </w:p>
        </w:tc>
        <w:tc>
          <w:tcPr>
            <w:tcW w:w="1092" w:type="dxa"/>
            <w:noWrap w:val="0"/>
            <w:vAlign w:val="center"/>
          </w:tcPr>
          <w:p>
            <w:pPr>
              <w:spacing w:line="360" w:lineRule="exact"/>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rPr>
              <w:t>H</w:t>
            </w:r>
            <w:r>
              <w:rPr>
                <w:rFonts w:hint="default" w:ascii="Times New Roman" w:hAnsi="Times New Roman" w:eastAsia="宋体" w:cs="Times New Roman"/>
                <w:color w:val="auto"/>
                <w:spacing w:val="0"/>
                <w:sz w:val="21"/>
                <w:szCs w:val="21"/>
                <w:vertAlign w:val="subscript"/>
              </w:rPr>
              <w:t>2</w:t>
            </w:r>
            <w:r>
              <w:rPr>
                <w:rFonts w:hint="default" w:ascii="Times New Roman" w:hAnsi="Times New Roman" w:eastAsia="宋体" w:cs="Times New Roman"/>
                <w:color w:val="auto"/>
                <w:spacing w:val="0"/>
                <w:sz w:val="21"/>
                <w:szCs w:val="21"/>
              </w:rPr>
              <w:t>S</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eastAsia="zh-CN"/>
              </w:rPr>
            </w:pPr>
          </w:p>
        </w:tc>
        <w:tc>
          <w:tcPr>
            <w:tcW w:w="841"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12"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0.0001</w:t>
            </w:r>
          </w:p>
        </w:tc>
        <w:tc>
          <w:tcPr>
            <w:tcW w:w="87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1623"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66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94"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50</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771"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09"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0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23"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0.00005</w:t>
            </w:r>
          </w:p>
        </w:tc>
        <w:tc>
          <w:tcPr>
            <w:tcW w:w="122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67" w:hRule="atLeast"/>
          <w:jc w:val="center"/>
        </w:trPr>
        <w:tc>
          <w:tcPr>
            <w:tcW w:w="758"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cs="Times New Roman"/>
                <w:color w:val="auto"/>
              </w:rPr>
            </w:pP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cs="Times New Roman"/>
                <w:color w:val="auto"/>
              </w:rPr>
            </w:pPr>
          </w:p>
        </w:tc>
        <w:tc>
          <w:tcPr>
            <w:tcW w:w="1092" w:type="dxa"/>
            <w:noWrap w:val="0"/>
            <w:vAlign w:val="center"/>
          </w:tcPr>
          <w:p>
            <w:pPr>
              <w:spacing w:line="360" w:lineRule="exact"/>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臭气浓度</w:t>
            </w:r>
          </w:p>
        </w:tc>
        <w:tc>
          <w:tcPr>
            <w:tcW w:w="87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eastAsia="zh-CN"/>
              </w:rPr>
            </w:pPr>
            <w:r>
              <w:rPr>
                <w:rFonts w:hint="default" w:ascii="Times New Roman" w:hAnsi="Times New Roman" w:eastAsia="宋体" w:cs="Times New Roman"/>
                <w:bCs/>
                <w:color w:val="auto"/>
                <w:spacing w:val="0"/>
                <w:sz w:val="21"/>
                <w:szCs w:val="21"/>
                <w:lang w:eastAsia="zh-CN"/>
              </w:rPr>
              <w:t>类比法</w:t>
            </w:r>
          </w:p>
        </w:tc>
        <w:tc>
          <w:tcPr>
            <w:tcW w:w="2523" w:type="dxa"/>
            <w:gridSpan w:val="4"/>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1445（无量纲）</w:t>
            </w:r>
          </w:p>
        </w:tc>
        <w:tc>
          <w:tcPr>
            <w:tcW w:w="1623"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66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94"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50</w:t>
            </w:r>
          </w:p>
        </w:tc>
        <w:tc>
          <w:tcPr>
            <w:tcW w:w="87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c>
          <w:tcPr>
            <w:tcW w:w="771"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2432" w:type="dxa"/>
            <w:gridSpan w:val="3"/>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厂界＜10（无量纲）</w:t>
            </w:r>
          </w:p>
        </w:tc>
        <w:tc>
          <w:tcPr>
            <w:tcW w:w="1220"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758"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bCs/>
                <w:color w:val="auto"/>
                <w:spacing w:val="0"/>
                <w:sz w:val="21"/>
                <w:szCs w:val="21"/>
                <w:lang w:val="en-US" w:eastAsia="zh-CN"/>
              </w:rPr>
              <w:t>柴油储罐大呼吸</w:t>
            </w: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p>
        </w:tc>
        <w:tc>
          <w:tcPr>
            <w:tcW w:w="1092" w:type="dxa"/>
            <w:noWrap w:val="0"/>
            <w:vAlign w:val="center"/>
          </w:tcPr>
          <w:p>
            <w:pPr>
              <w:spacing w:line="360" w:lineRule="exact"/>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非甲烷总烃</w:t>
            </w:r>
          </w:p>
        </w:tc>
        <w:tc>
          <w:tcPr>
            <w:tcW w:w="87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rPr>
              <w:t>产排污系数法</w:t>
            </w:r>
          </w:p>
        </w:tc>
        <w:tc>
          <w:tcPr>
            <w:tcW w:w="80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53"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0.000</w:t>
            </w:r>
            <w:r>
              <w:rPr>
                <w:rFonts w:hint="eastAsia" w:ascii="Times New Roman" w:hAnsi="Times New Roman" w:eastAsia="宋体" w:cs="Times New Roman"/>
                <w:color w:val="auto"/>
                <w:spacing w:val="0"/>
                <w:sz w:val="21"/>
                <w:szCs w:val="21"/>
                <w:lang w:val="en-US" w:eastAsia="zh-CN"/>
              </w:rPr>
              <w:t>7</w:t>
            </w:r>
          </w:p>
        </w:tc>
        <w:tc>
          <w:tcPr>
            <w:tcW w:w="87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1623"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气相平衡管</w:t>
            </w:r>
          </w:p>
        </w:tc>
        <w:tc>
          <w:tcPr>
            <w:tcW w:w="66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bCs/>
                <w:color w:val="auto"/>
                <w:spacing w:val="0"/>
                <w:sz w:val="21"/>
                <w:szCs w:val="21"/>
                <w:lang w:val="en-US" w:eastAsia="zh-CN"/>
              </w:rPr>
              <w:t>90</w:t>
            </w:r>
          </w:p>
        </w:tc>
        <w:tc>
          <w:tcPr>
            <w:tcW w:w="894"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bidi="ar-SA"/>
              </w:rPr>
            </w:pPr>
            <w:r>
              <w:rPr>
                <w:rFonts w:hint="default" w:ascii="Times New Roman" w:hAnsi="Times New Roman" w:eastAsia="宋体" w:cs="Times New Roman"/>
                <w:bCs/>
                <w:color w:val="auto"/>
                <w:spacing w:val="0"/>
                <w:kern w:val="2"/>
                <w:sz w:val="21"/>
                <w:szCs w:val="21"/>
                <w:lang w:val="en-US" w:eastAsia="zh-CN" w:bidi="ar-SA"/>
              </w:rPr>
              <w:t>/</w:t>
            </w:r>
          </w:p>
        </w:tc>
        <w:tc>
          <w:tcPr>
            <w:tcW w:w="87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rPr>
              <w:t>物料衡算法</w:t>
            </w:r>
          </w:p>
        </w:tc>
        <w:tc>
          <w:tcPr>
            <w:tcW w:w="771"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09" w:type="dxa"/>
            <w:noWrap w:val="0"/>
            <w:vAlign w:val="center"/>
          </w:tcPr>
          <w:p>
            <w:pPr>
              <w:pStyle w:val="22"/>
              <w:widowControl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0.000</w:t>
            </w:r>
            <w:r>
              <w:rPr>
                <w:rFonts w:hint="eastAsia" w:ascii="Times New Roman" w:hAnsi="Times New Roman" w:eastAsia="宋体" w:cs="Times New Roman"/>
                <w:color w:val="auto"/>
                <w:spacing w:val="0"/>
                <w:sz w:val="21"/>
                <w:szCs w:val="21"/>
                <w:lang w:val="en-US" w:eastAsia="zh-CN"/>
              </w:rPr>
              <w:t>7</w:t>
            </w:r>
          </w:p>
        </w:tc>
        <w:tc>
          <w:tcPr>
            <w:tcW w:w="80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23"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0.000001</w:t>
            </w:r>
          </w:p>
        </w:tc>
        <w:tc>
          <w:tcPr>
            <w:tcW w:w="122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eastAsia" w:ascii="Times New Roman" w:hAnsi="Times New Roman" w:eastAsia="宋体" w:cs="Times New Roman"/>
                <w:bCs/>
                <w:color w:val="auto"/>
                <w:spacing w:val="0"/>
                <w:sz w:val="21"/>
                <w:szCs w:val="21"/>
                <w:lang w:val="en-US" w:eastAsia="zh-CN"/>
              </w:rPr>
              <w:t>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758"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bCs/>
                <w:color w:val="auto"/>
                <w:spacing w:val="0"/>
                <w:sz w:val="21"/>
                <w:szCs w:val="21"/>
                <w:lang w:val="en-US" w:eastAsia="zh-CN"/>
              </w:rPr>
              <w:t>柴油储罐小呼吸</w:t>
            </w:r>
          </w:p>
        </w:tc>
        <w:tc>
          <w:tcPr>
            <w:tcW w:w="615" w:type="dxa"/>
            <w:vMerge w:val="continue"/>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p>
        </w:tc>
        <w:tc>
          <w:tcPr>
            <w:tcW w:w="1092" w:type="dxa"/>
            <w:noWrap w:val="0"/>
            <w:vAlign w:val="center"/>
          </w:tcPr>
          <w:p>
            <w:pPr>
              <w:spacing w:line="360" w:lineRule="exact"/>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非甲烷总烃</w:t>
            </w:r>
          </w:p>
        </w:tc>
        <w:tc>
          <w:tcPr>
            <w:tcW w:w="87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rPr>
              <w:t>产排污系数法</w:t>
            </w:r>
          </w:p>
        </w:tc>
        <w:tc>
          <w:tcPr>
            <w:tcW w:w="80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53" w:type="dxa"/>
            <w:gridSpan w:val="2"/>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0.05</w:t>
            </w:r>
          </w:p>
        </w:tc>
        <w:tc>
          <w:tcPr>
            <w:tcW w:w="87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1623"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66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default" w:ascii="Times New Roman" w:hAnsi="Times New Roman" w:eastAsia="宋体" w:cs="Times New Roman"/>
                <w:bCs/>
                <w:color w:val="auto"/>
                <w:spacing w:val="0"/>
                <w:sz w:val="21"/>
                <w:szCs w:val="21"/>
                <w:lang w:val="en-US" w:eastAsia="zh-CN"/>
              </w:rPr>
              <w:t>/</w:t>
            </w:r>
          </w:p>
        </w:tc>
        <w:tc>
          <w:tcPr>
            <w:tcW w:w="894"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lang w:val="en-US" w:eastAsia="zh-CN" w:bidi="ar-SA"/>
              </w:rPr>
            </w:pPr>
            <w:r>
              <w:rPr>
                <w:rFonts w:hint="default" w:ascii="Times New Roman" w:hAnsi="Times New Roman" w:eastAsia="宋体" w:cs="Times New Roman"/>
                <w:bCs/>
                <w:color w:val="auto"/>
                <w:spacing w:val="0"/>
                <w:kern w:val="2"/>
                <w:sz w:val="21"/>
                <w:szCs w:val="21"/>
                <w:lang w:val="en-US" w:eastAsia="zh-CN" w:bidi="ar-SA"/>
              </w:rPr>
              <w:t>/</w:t>
            </w:r>
          </w:p>
        </w:tc>
        <w:tc>
          <w:tcPr>
            <w:tcW w:w="87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rPr>
            </w:pPr>
            <w:r>
              <w:rPr>
                <w:rFonts w:hint="default" w:ascii="Times New Roman" w:hAnsi="Times New Roman" w:eastAsia="宋体" w:cs="Times New Roman"/>
                <w:color w:val="auto"/>
                <w:spacing w:val="0"/>
                <w:sz w:val="21"/>
                <w:szCs w:val="21"/>
              </w:rPr>
              <w:t>物料衡算法</w:t>
            </w:r>
          </w:p>
        </w:tc>
        <w:tc>
          <w:tcPr>
            <w:tcW w:w="771"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09" w:type="dxa"/>
            <w:noWrap w:val="0"/>
            <w:vAlign w:val="center"/>
          </w:tcPr>
          <w:p>
            <w:pPr>
              <w:pStyle w:val="22"/>
              <w:widowControl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0.0</w:t>
            </w:r>
            <w:r>
              <w:rPr>
                <w:rFonts w:hint="eastAsia" w:ascii="Times New Roman" w:hAnsi="Times New Roman" w:eastAsia="宋体" w:cs="Times New Roman"/>
                <w:color w:val="auto"/>
                <w:spacing w:val="0"/>
                <w:sz w:val="21"/>
                <w:szCs w:val="21"/>
                <w:lang w:val="en-US" w:eastAsia="zh-CN"/>
              </w:rPr>
              <w:t>5</w:t>
            </w:r>
          </w:p>
        </w:tc>
        <w:tc>
          <w:tcPr>
            <w:tcW w:w="800"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w:t>
            </w:r>
          </w:p>
        </w:tc>
        <w:tc>
          <w:tcPr>
            <w:tcW w:w="823" w:type="dxa"/>
            <w:noWrap w:val="0"/>
            <w:vAlign w:val="center"/>
          </w:tcPr>
          <w:p>
            <w:pPr>
              <w:widowControl w:val="0"/>
              <w:adjustRightInd w:val="0"/>
              <w:snapToGrid w:val="0"/>
              <w:spacing w:before="0" w:beforeAutospacing="0" w:after="0" w:afterAutospacing="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0.00</w:t>
            </w:r>
            <w:r>
              <w:rPr>
                <w:rFonts w:hint="eastAsia" w:ascii="Times New Roman" w:hAnsi="Times New Roman" w:eastAsia="宋体" w:cs="Times New Roman"/>
                <w:color w:val="auto"/>
                <w:spacing w:val="0"/>
                <w:sz w:val="21"/>
                <w:szCs w:val="21"/>
                <w:lang w:val="en-US" w:eastAsia="zh-CN"/>
              </w:rPr>
              <w:t>07</w:t>
            </w:r>
          </w:p>
        </w:tc>
        <w:tc>
          <w:tcPr>
            <w:tcW w:w="1220" w:type="dxa"/>
            <w:noWrap w:val="0"/>
            <w:vAlign w:val="center"/>
          </w:tcPr>
          <w:p>
            <w:pPr>
              <w:pStyle w:val="22"/>
              <w:widowControl w:val="0"/>
              <w:adjustRightInd w:val="0"/>
              <w:snapToGrid w:val="0"/>
              <w:spacing w:before="0" w:beforeAutospacing="0" w:after="0" w:afterAutospacing="0"/>
              <w:jc w:val="center"/>
              <w:rPr>
                <w:rFonts w:hint="default" w:ascii="Times New Roman" w:hAnsi="Times New Roman" w:eastAsia="宋体" w:cs="Times New Roman"/>
                <w:bCs/>
                <w:color w:val="auto"/>
                <w:spacing w:val="0"/>
                <w:sz w:val="21"/>
                <w:szCs w:val="21"/>
                <w:lang w:val="en-US" w:eastAsia="zh-CN"/>
              </w:rPr>
            </w:pPr>
            <w:r>
              <w:rPr>
                <w:rFonts w:hint="eastAsia" w:ascii="Times New Roman" w:hAnsi="Times New Roman" w:eastAsia="宋体" w:cs="Times New Roman"/>
                <w:bCs/>
                <w:color w:val="auto"/>
                <w:spacing w:val="0"/>
                <w:sz w:val="21"/>
                <w:szCs w:val="21"/>
                <w:lang w:val="en-US" w:eastAsia="zh-CN"/>
              </w:rPr>
              <w:t>15</w:t>
            </w:r>
          </w:p>
        </w:tc>
      </w:tr>
    </w:tbl>
    <w:p>
      <w:pPr>
        <w:pStyle w:val="29"/>
        <w:ind w:left="0" w:leftChars="0" w:firstLine="0" w:firstLineChars="0"/>
        <w:rPr>
          <w:rFonts w:hint="default" w:ascii="Times New Roman" w:hAnsi="Times New Roman" w:cs="Times New Roman"/>
        </w:rPr>
        <w:sectPr>
          <w:pgSz w:w="16839" w:h="11906" w:orient="landscape"/>
          <w:pgMar w:top="1304" w:right="1203" w:bottom="1306" w:left="1156" w:header="962" w:footer="992" w:gutter="0"/>
          <w:pgBorders>
            <w:top w:val="none" w:sz="0" w:space="0"/>
            <w:left w:val="none" w:sz="0" w:space="0"/>
            <w:bottom w:val="none" w:sz="0" w:space="0"/>
            <w:right w:val="none" w:sz="0" w:space="0"/>
          </w:pgBorders>
          <w:pgNumType w:fmt="decimal"/>
          <w:cols w:space="720" w:num="1"/>
        </w:sect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20" w:firstLineChars="200"/>
        <w:jc w:val="both"/>
        <w:textAlignment w:val="baseline"/>
        <w:outlineLvl w:val="3"/>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"3.3.4.2" </w:instrText>
      </w:r>
      <w:r>
        <w:rPr>
          <w:rFonts w:hint="default" w:ascii="Times New Roman" w:hAnsi="Times New Roman" w:cs="Times New Roman"/>
        </w:rPr>
        <w:fldChar w:fldCharType="separate"/>
      </w:r>
      <w:r>
        <w:rPr>
          <w:rFonts w:hint="default" w:ascii="Times New Roman" w:hAnsi="Times New Roman" w:eastAsia="Times New Roman" w:cs="Times New Roman"/>
          <w:b/>
          <w:bCs/>
          <w:spacing w:val="4"/>
          <w:sz w:val="24"/>
          <w:szCs w:val="24"/>
        </w:rPr>
        <w:t>3.</w:t>
      </w:r>
      <w:r>
        <w:rPr>
          <w:rFonts w:hint="default" w:ascii="Times New Roman" w:hAnsi="Times New Roman" w:eastAsia="宋体" w:cs="Times New Roman"/>
          <w:b/>
          <w:bCs/>
          <w:spacing w:val="4"/>
          <w:sz w:val="24"/>
          <w:szCs w:val="24"/>
          <w:lang w:val="en-US" w:eastAsia="zh-CN"/>
        </w:rPr>
        <w:t>6</w:t>
      </w:r>
      <w:r>
        <w:rPr>
          <w:rFonts w:hint="default" w:ascii="Times New Roman" w:hAnsi="Times New Roman" w:eastAsia="Times New Roman" w:cs="Times New Roman"/>
          <w:b/>
          <w:bCs/>
          <w:spacing w:val="4"/>
          <w:sz w:val="24"/>
          <w:szCs w:val="24"/>
        </w:rPr>
        <w:t>.4.2</w:t>
      </w:r>
      <w:r>
        <w:rPr>
          <w:rFonts w:hint="default" w:ascii="Times New Roman" w:hAnsi="Times New Roman" w:eastAsia="Times New Roman" w:cs="Times New Roman"/>
          <w:b/>
          <w:bCs/>
          <w:spacing w:val="4"/>
          <w:sz w:val="24"/>
          <w:szCs w:val="24"/>
        </w:rPr>
        <w:fldChar w:fldCharType="end"/>
      </w:r>
      <w:r>
        <w:rPr>
          <w:rFonts w:hint="default" w:ascii="Times New Roman" w:hAnsi="Times New Roman" w:eastAsia="Times New Roman" w:cs="Times New Roman"/>
          <w:b/>
          <w:bCs/>
          <w:spacing w:val="13"/>
          <w:sz w:val="24"/>
          <w:szCs w:val="24"/>
        </w:rPr>
        <w:t xml:space="preserve">  </w:t>
      </w:r>
      <w:r>
        <w:rPr>
          <w:rFonts w:hint="default" w:ascii="Times New Roman" w:hAnsi="Times New Roman" w:eastAsia="宋体" w:cs="Times New Roman"/>
          <w:spacing w:val="4"/>
          <w:sz w:val="24"/>
          <w:szCs w:val="24"/>
          <w14:textOutline w14:w="4358" w14:cap="sq" w14:cmpd="sng">
            <w14:solidFill>
              <w14:srgbClr w14:val="000000"/>
            </w14:solidFill>
            <w14:prstDash w14:val="solid"/>
            <w14:bevel/>
          </w14:textOutline>
        </w:rPr>
        <w:t>废水污染源</w:t>
      </w:r>
      <w:r>
        <w:rPr>
          <w:rFonts w:hint="default" w:ascii="Times New Roman" w:hAnsi="Times New Roman" w:eastAsia="宋体" w:cs="Times New Roman"/>
          <w:spacing w:val="4"/>
          <w:sz w:val="24"/>
          <w:szCs w:val="24"/>
          <w:lang w:val="en-US" w:eastAsia="zh-CN"/>
          <w14:textOutline w14:w="4358" w14:cap="sq" w14:cmpd="sng">
            <w14:solidFill>
              <w14:srgbClr w14:val="000000"/>
            </w14:solidFill>
            <w14:prstDash w14:val="solid"/>
            <w14:bevel/>
          </w14:textOutline>
        </w:rPr>
        <w:t>强</w:t>
      </w:r>
      <w:r>
        <w:rPr>
          <w:rFonts w:hint="default" w:ascii="Times New Roman" w:hAnsi="Times New Roman" w:eastAsia="宋体" w:cs="Times New Roman"/>
          <w:spacing w:val="4"/>
          <w:sz w:val="24"/>
          <w:szCs w:val="24"/>
          <w14:textOutline w14:w="4358" w14:cap="sq" w14:cmpd="sng">
            <w14:solidFill>
              <w14:srgbClr w14:val="000000"/>
            </w14:solidFill>
            <w14:prstDash w14:val="solid"/>
            <w14:bevel/>
          </w14:textOutline>
        </w:rPr>
        <w:t>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1"/>
          <w:sz w:val="24"/>
          <w:szCs w:val="24"/>
          <w14:textOutline w14:w="4358" w14:cap="sq" w14:cmpd="sng">
            <w14:solidFill>
              <w14:srgbClr w14:val="000000"/>
            </w14:solidFill>
            <w14:prstDash w14:val="solid"/>
            <w14:bevel/>
          </w14:textOutline>
        </w:rPr>
      </w:pPr>
      <w:r>
        <w:rPr>
          <w:rFonts w:hint="default" w:ascii="Times New Roman" w:hAnsi="Times New Roman" w:eastAsia="宋体" w:cs="Times New Roman"/>
          <w:spacing w:val="-2"/>
          <w:sz w:val="24"/>
          <w:szCs w:val="24"/>
        </w:rPr>
        <w:t>本项目</w:t>
      </w:r>
      <w:r>
        <w:rPr>
          <w:rFonts w:hint="default" w:ascii="Times New Roman" w:hAnsi="Times New Roman" w:eastAsia="宋体" w:cs="Times New Roman"/>
          <w:spacing w:val="-2"/>
          <w:sz w:val="24"/>
          <w:szCs w:val="24"/>
          <w:lang w:val="en-US" w:eastAsia="zh-CN"/>
        </w:rPr>
        <w:t>不新增工作人员，无新增生活污水产生。生产废水</w:t>
      </w:r>
      <w:r>
        <w:rPr>
          <w:rFonts w:hint="default" w:ascii="Times New Roman" w:hAnsi="Times New Roman" w:eastAsia="宋体" w:cs="Times New Roman"/>
          <w:spacing w:val="-2"/>
          <w:sz w:val="24"/>
          <w:szCs w:val="24"/>
        </w:rPr>
        <w:t>主要来自于</w:t>
      </w:r>
      <w:r>
        <w:rPr>
          <w:rFonts w:hint="default" w:ascii="Times New Roman" w:hAnsi="Times New Roman" w:eastAsia="宋体" w:cs="Times New Roman"/>
          <w:spacing w:val="5"/>
          <w:sz w:val="24"/>
          <w:szCs w:val="24"/>
          <w:lang w:val="en-US" w:eastAsia="zh-CN"/>
        </w:rPr>
        <w:t>待宰圈冲洗排水、</w:t>
      </w:r>
      <w:r>
        <w:rPr>
          <w:rFonts w:hint="default" w:ascii="Times New Roman" w:hAnsi="Times New Roman" w:eastAsia="宋体" w:cs="Times New Roman"/>
          <w:spacing w:val="-2"/>
          <w:sz w:val="24"/>
          <w:szCs w:val="24"/>
        </w:rPr>
        <w:t>屠宰</w:t>
      </w:r>
      <w:r>
        <w:rPr>
          <w:rFonts w:hint="default" w:ascii="Times New Roman" w:hAnsi="Times New Roman" w:eastAsia="宋体" w:cs="Times New Roman"/>
          <w:spacing w:val="-2"/>
          <w:sz w:val="24"/>
          <w:szCs w:val="24"/>
          <w:lang w:val="en-US" w:eastAsia="zh-CN"/>
        </w:rPr>
        <w:t>加工车间排</w:t>
      </w:r>
      <w:r>
        <w:rPr>
          <w:rFonts w:hint="default" w:ascii="Times New Roman" w:hAnsi="Times New Roman" w:eastAsia="宋体" w:cs="Times New Roman"/>
          <w:spacing w:val="-2"/>
          <w:sz w:val="24"/>
          <w:szCs w:val="24"/>
        </w:rPr>
        <w:t>水、</w:t>
      </w:r>
      <w:r>
        <w:rPr>
          <w:rFonts w:hint="default" w:ascii="Times New Roman" w:hAnsi="Times New Roman" w:cs="Times New Roman"/>
          <w:color w:val="000000" w:themeColor="text1"/>
          <w:sz w:val="24"/>
          <w:szCs w:val="24"/>
          <w:highlight w:val="none"/>
          <w14:textFill>
            <w14:solidFill>
              <w14:schemeClr w14:val="tx1"/>
            </w14:solidFill>
          </w14:textFill>
        </w:rPr>
        <w:t>锅炉排污水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+软化处理</w:t>
      </w:r>
      <w:r>
        <w:rPr>
          <w:rFonts w:hint="default" w:ascii="Times New Roman" w:hAnsi="Times New Roman" w:cs="Times New Roman"/>
          <w:color w:val="000000" w:themeColor="text1"/>
          <w:sz w:val="24"/>
          <w:szCs w:val="24"/>
          <w:highlight w:val="none"/>
          <w:lang w:eastAsia="zh-CN"/>
          <w14:textFill>
            <w14:solidFill>
              <w14:schemeClr w14:val="tx1"/>
            </w14:solidFill>
          </w14:textFill>
        </w:rPr>
        <w:t>废水</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以及车辆冲洗排水</w:t>
      </w:r>
      <w:r>
        <w:rPr>
          <w:rFonts w:hint="default" w:ascii="Times New Roman" w:hAnsi="Times New Roman" w:eastAsia="宋体" w:cs="Times New Roman"/>
          <w:spacing w:val="-2"/>
          <w:sz w:val="24"/>
          <w:szCs w:val="24"/>
        </w:rPr>
        <w:t>等。</w:t>
      </w:r>
      <w:r>
        <w:rPr>
          <w:rFonts w:hint="default" w:ascii="Times New Roman" w:hAnsi="Times New Roman" w:cs="Times New Roman"/>
          <w:color w:val="auto"/>
          <w:sz w:val="24"/>
        </w:rPr>
        <w:t>本项目产生的生产废水经厂区污水处理站处理达到《肉类加工工业水污染物排放标准》（GB13457-92）畜类屠宰加工三级标准</w:t>
      </w:r>
      <w:r>
        <w:rPr>
          <w:rFonts w:hint="default" w:ascii="Times New Roman" w:hAnsi="Times New Roman" w:eastAsia="宋体" w:cs="Times New Roman"/>
          <w:color w:val="auto"/>
          <w:kern w:val="21"/>
          <w:sz w:val="24"/>
          <w:szCs w:val="24"/>
          <w:highlight w:val="none"/>
          <w:u w:val="none"/>
          <w:lang w:val="en-US" w:eastAsia="zh-CN" w:bidi="ar-SA"/>
        </w:rPr>
        <w:t>及兴隆镇污水处理厂设计进水水质指标的要求后</w:t>
      </w:r>
      <w:r>
        <w:rPr>
          <w:rFonts w:hint="default" w:ascii="Times New Roman" w:hAnsi="Times New Roman" w:cs="Times New Roman"/>
          <w:color w:val="auto"/>
          <w:sz w:val="24"/>
        </w:rPr>
        <w:t>，经市政管网排入</w:t>
      </w:r>
      <w:r>
        <w:rPr>
          <w:rFonts w:hint="default" w:ascii="Times New Roman" w:hAnsi="Times New Roman" w:cs="Times New Roman"/>
          <w:color w:val="auto"/>
          <w:sz w:val="24"/>
          <w:lang w:val="en-US" w:eastAsia="zh-CN"/>
        </w:rPr>
        <w:t>兴隆镇</w:t>
      </w:r>
      <w:r>
        <w:rPr>
          <w:rFonts w:hint="default" w:ascii="Times New Roman" w:hAnsi="Times New Roman" w:cs="Times New Roman"/>
          <w:color w:val="auto"/>
          <w:sz w:val="24"/>
        </w:rPr>
        <w:t>污水处理厂，经处理后排入</w:t>
      </w:r>
      <w:r>
        <w:rPr>
          <w:rFonts w:hint="default" w:ascii="Times New Roman" w:hAnsi="Times New Roman" w:cs="Times New Roman"/>
          <w:color w:val="auto"/>
          <w:sz w:val="24"/>
          <w:lang w:eastAsia="zh-CN"/>
        </w:rPr>
        <w:t>泥河</w:t>
      </w:r>
      <w:r>
        <w:rPr>
          <w:rFonts w:hint="default" w:ascii="Times New Roman" w:hAnsi="Times New Roman" w:cs="Times New Roman"/>
          <w:color w:val="auto"/>
          <w:sz w:val="24"/>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14:textOutline w14:w="4358" w14:cap="sq" w14:cmpd="sng">
            <w14:solidFill>
              <w14:srgbClr w14:val="000000"/>
            </w14:solidFill>
            <w14:prstDash w14:val="solid"/>
            <w14:bevel/>
          </w14:textOutline>
        </w:rPr>
        <w:t>（</w:t>
      </w:r>
      <w:r>
        <w:rPr>
          <w:rFonts w:hint="default" w:ascii="Times New Roman" w:hAnsi="Times New Roman" w:eastAsia="Times New Roman" w:cs="Times New Roman"/>
          <w:b/>
          <w:bCs/>
          <w:spacing w:val="-1"/>
          <w:sz w:val="24"/>
          <w:szCs w:val="24"/>
        </w:rPr>
        <w:t>1</w:t>
      </w:r>
      <w:r>
        <w:rPr>
          <w:rFonts w:hint="default" w:ascii="Times New Roman" w:hAnsi="Times New Roman" w:eastAsia="宋体" w:cs="Times New Roman"/>
          <w:spacing w:val="-1"/>
          <w:sz w:val="24"/>
          <w:szCs w:val="24"/>
          <w14:textOutline w14:w="4358" w14:cap="sq" w14:cmpd="sng">
            <w14:solidFill>
              <w14:srgbClr w14:val="000000"/>
            </w14:solidFill>
            <w14:prstDash w14:val="solid"/>
            <w14:bevel/>
          </w14:textOutline>
        </w:rPr>
        <w:t>）本项目废水排放计算</w:t>
      </w:r>
    </w:p>
    <w:p>
      <w:pPr>
        <w:keepNext w:val="0"/>
        <w:keepLines w:val="0"/>
        <w:pageBreakBefore w:val="0"/>
        <w:widowControl w:val="0"/>
        <w:kinsoku/>
        <w:wordWrap/>
        <w:overflowPunct/>
        <w:topLinePunct w:val="0"/>
        <w:autoSpaceDE/>
        <w:autoSpaceDN/>
        <w:bidi w:val="0"/>
        <w:adjustRightInd/>
        <w:snapToGrid/>
        <w:spacing w:line="360" w:lineRule="auto"/>
        <w:ind w:firstLine="456" w:firstLineChars="200"/>
        <w:jc w:val="both"/>
        <w:textAlignment w:val="auto"/>
        <w:rPr>
          <w:rFonts w:hint="default" w:ascii="Times New Roman" w:hAnsi="Times New Roman" w:eastAsia="宋体" w:cs="Times New Roman"/>
          <w:spacing w:val="-6"/>
          <w:position w:val="18"/>
          <w:sz w:val="24"/>
          <w:szCs w:val="24"/>
          <w:lang w:val="en-US" w:eastAsia="zh-CN"/>
        </w:rPr>
      </w:pPr>
      <w:r>
        <w:rPr>
          <w:rFonts w:hint="default" w:ascii="Times New Roman" w:hAnsi="Times New Roman" w:eastAsia="宋体" w:cs="Times New Roman"/>
          <w:spacing w:val="-6"/>
          <w:position w:val="18"/>
          <w:sz w:val="24"/>
          <w:szCs w:val="24"/>
        </w:rPr>
        <w:t>本项目废水主要为：</w:t>
      </w:r>
      <w:r>
        <w:rPr>
          <w:rFonts w:hint="default" w:ascii="Times New Roman" w:hAnsi="Times New Roman" w:eastAsia="宋体" w:cs="Times New Roman"/>
          <w:spacing w:val="-6"/>
          <w:position w:val="18"/>
          <w:sz w:val="24"/>
          <w:szCs w:val="24"/>
          <w:lang w:val="en-US" w:eastAsia="zh-CN"/>
        </w:rPr>
        <w:t>待宰圈冲洗排水、</w:t>
      </w:r>
      <w:r>
        <w:rPr>
          <w:rFonts w:hint="default" w:ascii="Times New Roman" w:hAnsi="Times New Roman" w:eastAsia="宋体" w:cs="Times New Roman"/>
          <w:spacing w:val="-6"/>
          <w:position w:val="18"/>
          <w:sz w:val="24"/>
          <w:szCs w:val="24"/>
        </w:rPr>
        <w:t>屠宰</w:t>
      </w:r>
      <w:r>
        <w:rPr>
          <w:rFonts w:hint="default" w:ascii="Times New Roman" w:hAnsi="Times New Roman" w:eastAsia="宋体" w:cs="Times New Roman"/>
          <w:spacing w:val="-6"/>
          <w:position w:val="18"/>
          <w:sz w:val="24"/>
          <w:szCs w:val="24"/>
          <w:lang w:val="en-US" w:eastAsia="zh-CN"/>
        </w:rPr>
        <w:t>加工车间排</w:t>
      </w:r>
      <w:r>
        <w:rPr>
          <w:rFonts w:hint="default" w:ascii="Times New Roman" w:hAnsi="Times New Roman" w:eastAsia="宋体" w:cs="Times New Roman"/>
          <w:spacing w:val="-6"/>
          <w:position w:val="18"/>
          <w:sz w:val="24"/>
          <w:szCs w:val="24"/>
        </w:rPr>
        <w:t>水、锅炉排污水</w:t>
      </w:r>
      <w:r>
        <w:rPr>
          <w:rFonts w:hint="default" w:ascii="Times New Roman" w:hAnsi="Times New Roman" w:eastAsia="宋体" w:cs="Times New Roman"/>
          <w:spacing w:val="-6"/>
          <w:position w:val="18"/>
          <w:sz w:val="24"/>
          <w:szCs w:val="24"/>
          <w:lang w:val="en-US" w:eastAsia="zh-CN"/>
        </w:rPr>
        <w:t>+软化处理</w:t>
      </w:r>
      <w:r>
        <w:rPr>
          <w:rFonts w:hint="default" w:ascii="Times New Roman" w:hAnsi="Times New Roman" w:eastAsia="宋体" w:cs="Times New Roman"/>
          <w:spacing w:val="-6"/>
          <w:position w:val="18"/>
          <w:sz w:val="24"/>
          <w:szCs w:val="24"/>
          <w:lang w:eastAsia="zh-CN"/>
        </w:rPr>
        <w:t>废水</w:t>
      </w:r>
      <w:r>
        <w:rPr>
          <w:rFonts w:hint="default" w:ascii="Times New Roman" w:hAnsi="Times New Roman" w:eastAsia="宋体" w:cs="Times New Roman"/>
          <w:spacing w:val="-6"/>
          <w:position w:val="18"/>
          <w:sz w:val="24"/>
          <w:szCs w:val="24"/>
          <w:lang w:val="en-US" w:eastAsia="zh-CN"/>
        </w:rPr>
        <w:t>、车辆冲洗排水。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lang w:val="en-US" w:eastAsia="zh-CN"/>
        </w:rPr>
        <w:t>因本项目污水处理站已建成运行，</w:t>
      </w:r>
      <w:r>
        <w:rPr>
          <w:rFonts w:hint="default" w:ascii="Times New Roman" w:hAnsi="Times New Roman" w:cs="Times New Roman"/>
          <w:color w:val="auto"/>
          <w:sz w:val="24"/>
        </w:rPr>
        <w:t>本项目污染物浓度类比</w:t>
      </w:r>
      <w:r>
        <w:rPr>
          <w:rFonts w:hint="default" w:ascii="Times New Roman" w:hAnsi="Times New Roman" w:cs="Times New Roman"/>
          <w:color w:val="auto"/>
          <w:sz w:val="24"/>
          <w:lang w:eastAsia="zh-CN"/>
        </w:rPr>
        <w:t>《哈尔滨</w:t>
      </w:r>
      <w:r>
        <w:rPr>
          <w:rFonts w:hint="default" w:ascii="Times New Roman" w:hAnsi="Times New Roman" w:cs="Times New Roman"/>
          <w:color w:val="auto"/>
          <w:sz w:val="24"/>
          <w:lang w:val="en-US" w:eastAsia="zh-CN"/>
        </w:rPr>
        <w:t>华康肉制品加工有限责任公司扩建项目</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检测报告中数据可知</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highlight w:val="none"/>
        </w:rPr>
        <w:t>废水统计情况见表</w:t>
      </w:r>
      <w:r>
        <w:rPr>
          <w:rFonts w:hint="default" w:ascii="Times New Roman" w:hAnsi="Times New Roman" w:eastAsia="宋体"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、表3-6-14</w:t>
      </w:r>
      <w:r>
        <w:rPr>
          <w:rFonts w:hint="default" w:ascii="Times New Roman" w:hAnsi="Times New Roman" w:eastAsia="宋体" w:cs="Times New Roman"/>
          <w:color w:val="auto"/>
          <w:sz w:val="24"/>
          <w:highlight w:val="none"/>
        </w:rPr>
        <w:t>：</w:t>
      </w:r>
    </w:p>
    <w:p>
      <w:pPr>
        <w:pStyle w:val="48"/>
        <w:keepNext w:val="0"/>
        <w:keepLines w:val="0"/>
        <w:pageBreakBefore w:val="0"/>
        <w:widowControl w:val="0"/>
        <w:kinsoku/>
        <w:wordWrap/>
        <w:overflowPunct/>
        <w:topLinePunct w:val="0"/>
        <w:autoSpaceDE/>
        <w:autoSpaceDN/>
        <w:bidi w:val="0"/>
        <w:adjustRightInd/>
        <w:snapToGrid/>
        <w:spacing w:line="240" w:lineRule="auto"/>
        <w:ind w:firstLine="0"/>
        <w:textAlignment w:val="auto"/>
        <w:rPr>
          <w:rFonts w:hint="eastAsia" w:ascii="Times New Roman" w:hAnsi="Times New Roman" w:eastAsia="宋体" w:cs="Times New Roman"/>
          <w:b/>
          <w:color w:val="auto"/>
          <w:kern w:val="21"/>
          <w:sz w:val="21"/>
          <w:szCs w:val="21"/>
          <w:highlight w:val="magenta"/>
          <w:u w:val="none"/>
          <w:lang w:val="en-US" w:eastAsia="zh-CN"/>
        </w:rPr>
      </w:pPr>
      <w:r>
        <w:rPr>
          <w:rFonts w:hint="default" w:ascii="Times New Roman" w:hAnsi="Times New Roman" w:eastAsia="宋体" w:cs="Times New Roman"/>
          <w:b/>
          <w:color w:val="auto"/>
          <w:kern w:val="21"/>
          <w:sz w:val="21"/>
          <w:szCs w:val="21"/>
          <w:highlight w:val="none"/>
          <w:u w:val="none"/>
        </w:rPr>
        <w:t>表</w:t>
      </w:r>
      <w:r>
        <w:rPr>
          <w:rFonts w:hint="default" w:ascii="Times New Roman" w:hAnsi="Times New Roman" w:eastAsia="宋体" w:cs="Times New Roman"/>
          <w:b/>
          <w:color w:val="auto"/>
          <w:kern w:val="21"/>
          <w:sz w:val="21"/>
          <w:szCs w:val="21"/>
          <w:highlight w:val="none"/>
          <w:u w:val="none"/>
          <w:lang w:val="en-US" w:eastAsia="zh-CN"/>
        </w:rPr>
        <w:t>3</w:t>
      </w:r>
      <w:r>
        <w:rPr>
          <w:rFonts w:hint="eastAsia" w:ascii="Times New Roman" w:hAnsi="Times New Roman" w:eastAsia="宋体" w:cs="Times New Roman"/>
          <w:b/>
          <w:color w:val="auto"/>
          <w:kern w:val="21"/>
          <w:sz w:val="21"/>
          <w:szCs w:val="21"/>
          <w:highlight w:val="none"/>
          <w:u w:val="none"/>
          <w:lang w:val="en-US" w:eastAsia="zh-CN"/>
        </w:rPr>
        <w:t>-</w:t>
      </w:r>
      <w:r>
        <w:rPr>
          <w:rFonts w:hint="default" w:ascii="Times New Roman" w:hAnsi="Times New Roman" w:eastAsia="宋体" w:cs="Times New Roman"/>
          <w:b/>
          <w:color w:val="auto"/>
          <w:kern w:val="21"/>
          <w:sz w:val="21"/>
          <w:szCs w:val="21"/>
          <w:highlight w:val="none"/>
          <w:u w:val="none"/>
          <w:lang w:val="en-US" w:eastAsia="zh-CN"/>
        </w:rPr>
        <w:t>6</w:t>
      </w:r>
      <w:r>
        <w:rPr>
          <w:rFonts w:hint="default" w:ascii="Times New Roman" w:hAnsi="Times New Roman" w:eastAsia="宋体" w:cs="Times New Roman"/>
          <w:b/>
          <w:color w:val="auto"/>
          <w:kern w:val="21"/>
          <w:sz w:val="21"/>
          <w:szCs w:val="21"/>
          <w:highlight w:val="none"/>
          <w:u w:val="none"/>
        </w:rPr>
        <w:t>-1</w:t>
      </w:r>
      <w:r>
        <w:rPr>
          <w:rFonts w:hint="default" w:ascii="Times New Roman" w:hAnsi="Times New Roman" w:eastAsia="宋体" w:cs="Times New Roman"/>
          <w:b/>
          <w:color w:val="auto"/>
          <w:kern w:val="21"/>
          <w:sz w:val="21"/>
          <w:szCs w:val="21"/>
          <w:highlight w:val="none"/>
          <w:u w:val="none"/>
          <w:lang w:val="en-US" w:eastAsia="zh-CN"/>
        </w:rPr>
        <w:t>3</w:t>
      </w:r>
      <w:r>
        <w:rPr>
          <w:rFonts w:hint="default" w:ascii="Times New Roman" w:hAnsi="Times New Roman" w:eastAsia="宋体" w:cs="Times New Roman"/>
          <w:b/>
          <w:color w:val="auto"/>
          <w:kern w:val="21"/>
          <w:sz w:val="21"/>
          <w:szCs w:val="21"/>
          <w:highlight w:val="none"/>
          <w:u w:val="none"/>
        </w:rPr>
        <w:t xml:space="preserve"> </w:t>
      </w:r>
      <w:r>
        <w:rPr>
          <w:rFonts w:hint="eastAsia"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扩建</w:t>
      </w: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项目水污染物源强分析</w:t>
      </w:r>
      <w:r>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 xml:space="preserve">  </w:t>
      </w: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单位</w:t>
      </w:r>
      <w:r>
        <w:rPr>
          <w:rFonts w:hint="default" w:ascii="Times New Roman" w:hAnsi="Times New Roman" w:eastAsia="宋体" w:cs="Times New Roman"/>
          <w:spacing w:val="-37"/>
          <w:sz w:val="20"/>
          <w:szCs w:val="20"/>
          <w:highlight w:val="none"/>
        </w:rPr>
        <w:t xml:space="preserve"> </w:t>
      </w:r>
      <w:r>
        <w:rPr>
          <w:rFonts w:hint="default" w:ascii="Times New Roman" w:hAnsi="Times New Roman" w:eastAsia="Times New Roman" w:cs="Times New Roman"/>
          <w:b/>
          <w:bCs/>
          <w:sz w:val="20"/>
          <w:szCs w:val="20"/>
          <w:highlight w:val="none"/>
        </w:rPr>
        <w:t>mg</w:t>
      </w:r>
      <w:r>
        <w:rPr>
          <w:rFonts w:hint="default" w:ascii="Times New Roman" w:hAnsi="Times New Roman" w:eastAsia="Times New Roman" w:cs="Times New Roman"/>
          <w:b/>
          <w:bCs/>
          <w:spacing w:val="7"/>
          <w:sz w:val="20"/>
          <w:szCs w:val="20"/>
          <w:highlight w:val="none"/>
        </w:rPr>
        <w:t>/L</w:t>
      </w:r>
    </w:p>
    <w:tbl>
      <w:tblPr>
        <w:tblStyle w:val="24"/>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17"/>
        <w:gridCol w:w="899"/>
        <w:gridCol w:w="948"/>
        <w:gridCol w:w="1029"/>
        <w:gridCol w:w="1083"/>
        <w:gridCol w:w="1422"/>
        <w:gridCol w:w="858"/>
        <w:gridCol w:w="1054"/>
        <w:gridCol w:w="985"/>
        <w:gridCol w:w="81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18" w:type="pct"/>
            <w:vMerge w:val="restart"/>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废水来源</w:t>
            </w:r>
          </w:p>
        </w:tc>
        <w:tc>
          <w:tcPr>
            <w:tcW w:w="425" w:type="pct"/>
            <w:vMerge w:val="restart"/>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废水量t/a</w:t>
            </w:r>
          </w:p>
        </w:tc>
        <w:tc>
          <w:tcPr>
            <w:tcW w:w="484" w:type="pct"/>
            <w:vMerge w:val="restart"/>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spacing w:val="-16"/>
                <w:kern w:val="0"/>
                <w:sz w:val="21"/>
                <w:szCs w:val="21"/>
                <w:highlight w:val="none"/>
              </w:rPr>
            </w:pPr>
            <w:r>
              <w:rPr>
                <w:rFonts w:hint="default" w:ascii="Times New Roman" w:hAnsi="Times New Roman" w:cs="Times New Roman"/>
                <w:color w:val="auto"/>
                <w:kern w:val="0"/>
                <w:sz w:val="21"/>
                <w:szCs w:val="21"/>
                <w:highlight w:val="none"/>
              </w:rPr>
              <w:t>污染物名称</w:t>
            </w:r>
          </w:p>
        </w:tc>
        <w:tc>
          <w:tcPr>
            <w:tcW w:w="1077" w:type="pct"/>
            <w:gridSpan w:val="2"/>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污染物产生量</w:t>
            </w:r>
          </w:p>
        </w:tc>
        <w:tc>
          <w:tcPr>
            <w:tcW w:w="723" w:type="pct"/>
            <w:vMerge w:val="restart"/>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治理措施</w:t>
            </w:r>
          </w:p>
        </w:tc>
        <w:tc>
          <w:tcPr>
            <w:tcW w:w="950" w:type="pct"/>
            <w:gridSpan w:val="2"/>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污染物排放量</w:t>
            </w:r>
          </w:p>
        </w:tc>
        <w:tc>
          <w:tcPr>
            <w:tcW w:w="502" w:type="pct"/>
            <w:vMerge w:val="restart"/>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排放限制mg/L</w:t>
            </w:r>
          </w:p>
        </w:tc>
        <w:tc>
          <w:tcPr>
            <w:tcW w:w="417" w:type="pct"/>
            <w:vMerge w:val="restart"/>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排放方式与去向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418"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25"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84"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525" w:type="pct"/>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浓度mg/L</w:t>
            </w:r>
          </w:p>
        </w:tc>
        <w:tc>
          <w:tcPr>
            <w:tcW w:w="552" w:type="pct"/>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产生量t/a</w:t>
            </w:r>
          </w:p>
        </w:tc>
        <w:tc>
          <w:tcPr>
            <w:tcW w:w="723" w:type="pct"/>
            <w:vMerge w:val="continue"/>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eastAsia="宋体" w:cs="Times New Roman"/>
                <w:color w:val="auto"/>
                <w:kern w:val="0"/>
                <w:sz w:val="21"/>
                <w:szCs w:val="21"/>
                <w:highlight w:val="none"/>
              </w:rPr>
            </w:pPr>
          </w:p>
        </w:tc>
        <w:tc>
          <w:tcPr>
            <w:tcW w:w="413" w:type="pct"/>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浓度mg/L</w:t>
            </w:r>
          </w:p>
        </w:tc>
        <w:tc>
          <w:tcPr>
            <w:tcW w:w="537" w:type="pct"/>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排放量t/a</w:t>
            </w:r>
          </w:p>
        </w:tc>
        <w:tc>
          <w:tcPr>
            <w:tcW w:w="502" w:type="pct"/>
            <w:vMerge w:val="continue"/>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17" w:type="pct"/>
            <w:vMerge w:val="continue"/>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8" w:hRule="atLeast"/>
          <w:jc w:val="center"/>
        </w:trPr>
        <w:tc>
          <w:tcPr>
            <w:tcW w:w="418" w:type="pct"/>
            <w:vMerge w:val="restart"/>
            <w:noWrap w:val="0"/>
            <w:vAlign w:val="center"/>
          </w:tcPr>
          <w:p>
            <w:pPr>
              <w:pStyle w:val="32"/>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综合废水</w:t>
            </w:r>
          </w:p>
        </w:tc>
        <w:tc>
          <w:tcPr>
            <w:tcW w:w="425" w:type="pct"/>
            <w:vMerge w:val="restart"/>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74255.6</w:t>
            </w:r>
          </w:p>
        </w:tc>
        <w:tc>
          <w:tcPr>
            <w:tcW w:w="484" w:type="pct"/>
            <w:noWrap w:val="0"/>
            <w:vAlign w:val="center"/>
          </w:tcPr>
          <w:p>
            <w:pPr>
              <w:pStyle w:val="38"/>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525" w:type="pct"/>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2.52</w:t>
            </w:r>
            <w:r>
              <w:rPr>
                <w:rFonts w:hint="eastAsia" w:ascii="Times New Roman" w:hAnsi="Times New Roman" w:cs="Times New Roman"/>
                <w:color w:val="auto"/>
                <w:kern w:val="0"/>
                <w:sz w:val="21"/>
                <w:szCs w:val="21"/>
                <w:highlight w:val="none"/>
                <w:vertAlign w:val="baseline"/>
                <w:lang w:val="en-US" w:eastAsia="zh-CN" w:bidi="ar-SA"/>
              </w:rPr>
              <w:t>×10</w:t>
            </w:r>
            <w:r>
              <w:rPr>
                <w:rFonts w:hint="eastAsia" w:ascii="Times New Roman" w:hAnsi="Times New Roman" w:cs="Times New Roman"/>
                <w:color w:val="auto"/>
                <w:kern w:val="0"/>
                <w:sz w:val="21"/>
                <w:szCs w:val="21"/>
                <w:highlight w:val="none"/>
                <w:vertAlign w:val="superscript"/>
                <w:lang w:val="en-US" w:eastAsia="zh-CN" w:bidi="ar-SA"/>
              </w:rPr>
              <w:t>3</w:t>
            </w:r>
          </w:p>
        </w:tc>
        <w:tc>
          <w:tcPr>
            <w:tcW w:w="1034"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187.12</w:t>
            </w:r>
          </w:p>
        </w:tc>
        <w:tc>
          <w:tcPr>
            <w:tcW w:w="723" w:type="pct"/>
            <w:vMerge w:val="restart"/>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采用沉淀池+气浮池+调节池+水解酸化+好氧生物池+MBR膜池+污泥消化池+消毒工艺处理</w:t>
            </w:r>
          </w:p>
        </w:tc>
        <w:tc>
          <w:tcPr>
            <w:tcW w:w="413"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238</w:t>
            </w:r>
          </w:p>
        </w:tc>
        <w:tc>
          <w:tcPr>
            <w:tcW w:w="1006"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17.67</w:t>
            </w:r>
          </w:p>
        </w:tc>
        <w:tc>
          <w:tcPr>
            <w:tcW w:w="502"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500</w:t>
            </w:r>
          </w:p>
        </w:tc>
        <w:tc>
          <w:tcPr>
            <w:tcW w:w="417" w:type="pct"/>
            <w:vMerge w:val="restart"/>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兴隆镇污水处理厂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418"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25" w:type="pct"/>
            <w:vMerge w:val="continue"/>
            <w:noWrap w:val="0"/>
            <w:vAlign w:val="center"/>
          </w:tcPr>
          <w:p>
            <w:pPr>
              <w:pStyle w:val="38"/>
              <w:ind w:firstLine="0" w:firstLineChars="0"/>
              <w:rPr>
                <w:rFonts w:hint="default" w:ascii="Times New Roman" w:hAnsi="Times New Roman" w:eastAsia="宋体" w:cs="Times New Roman"/>
                <w:color w:val="auto"/>
                <w:sz w:val="21"/>
                <w:szCs w:val="21"/>
                <w:highlight w:val="none"/>
              </w:rPr>
            </w:pPr>
          </w:p>
        </w:tc>
        <w:tc>
          <w:tcPr>
            <w:tcW w:w="484" w:type="pct"/>
            <w:noWrap w:val="0"/>
            <w:vAlign w:val="center"/>
          </w:tcPr>
          <w:p>
            <w:pPr>
              <w:pStyle w:val="38"/>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525" w:type="pct"/>
            <w:noWrap w:val="0"/>
            <w:vAlign w:val="center"/>
          </w:tcPr>
          <w:p>
            <w:pPr>
              <w:pStyle w:val="38"/>
              <w:ind w:firstLine="0" w:firstLineChars="0"/>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121</w:t>
            </w:r>
          </w:p>
        </w:tc>
        <w:tc>
          <w:tcPr>
            <w:tcW w:w="1034"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8.98</w:t>
            </w:r>
          </w:p>
        </w:tc>
        <w:tc>
          <w:tcPr>
            <w:tcW w:w="723" w:type="pct"/>
            <w:vMerge w:val="continue"/>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eastAsia="zh-CN"/>
              </w:rPr>
            </w:pPr>
          </w:p>
        </w:tc>
        <w:tc>
          <w:tcPr>
            <w:tcW w:w="413"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18.6</w:t>
            </w:r>
          </w:p>
        </w:tc>
        <w:tc>
          <w:tcPr>
            <w:tcW w:w="1006"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1.38</w:t>
            </w:r>
          </w:p>
        </w:tc>
        <w:tc>
          <w:tcPr>
            <w:tcW w:w="502"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417" w:type="pct"/>
            <w:vMerge w:val="continue"/>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418"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25" w:type="pct"/>
            <w:vMerge w:val="continue"/>
            <w:noWrap w:val="0"/>
            <w:vAlign w:val="center"/>
          </w:tcPr>
          <w:p>
            <w:pPr>
              <w:pStyle w:val="38"/>
              <w:ind w:firstLine="0" w:firstLineChars="0"/>
              <w:rPr>
                <w:rFonts w:hint="default" w:ascii="Times New Roman" w:hAnsi="Times New Roman" w:eastAsia="宋体" w:cs="Times New Roman"/>
                <w:color w:val="auto"/>
                <w:sz w:val="21"/>
                <w:szCs w:val="21"/>
                <w:highlight w:val="none"/>
              </w:rPr>
            </w:pPr>
          </w:p>
        </w:tc>
        <w:tc>
          <w:tcPr>
            <w:tcW w:w="484" w:type="pct"/>
            <w:noWrap w:val="0"/>
            <w:vAlign w:val="center"/>
          </w:tcPr>
          <w:p>
            <w:pPr>
              <w:pStyle w:val="38"/>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525" w:type="pct"/>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997</w:t>
            </w:r>
          </w:p>
        </w:tc>
        <w:tc>
          <w:tcPr>
            <w:tcW w:w="1034"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74.03</w:t>
            </w:r>
          </w:p>
        </w:tc>
        <w:tc>
          <w:tcPr>
            <w:tcW w:w="723" w:type="pct"/>
            <w:vMerge w:val="continue"/>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eastAsia="zh-CN"/>
              </w:rPr>
            </w:pPr>
          </w:p>
        </w:tc>
        <w:tc>
          <w:tcPr>
            <w:tcW w:w="413"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150</w:t>
            </w:r>
          </w:p>
        </w:tc>
        <w:tc>
          <w:tcPr>
            <w:tcW w:w="1006"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11.1</w:t>
            </w:r>
            <w:r>
              <w:rPr>
                <w:rFonts w:hint="eastAsia" w:ascii="Times New Roman" w:hAnsi="Times New Roman" w:eastAsia="宋体" w:cs="Times New Roman"/>
                <w:i w:val="0"/>
                <w:iCs w:val="0"/>
                <w:snapToGrid w:val="0"/>
                <w:color w:val="000000"/>
                <w:kern w:val="0"/>
                <w:sz w:val="21"/>
                <w:szCs w:val="21"/>
                <w:highlight w:val="none"/>
                <w:u w:val="none"/>
                <w:lang w:val="en-US" w:eastAsia="zh-CN" w:bidi="ar"/>
              </w:rPr>
              <w:t>4</w:t>
            </w:r>
          </w:p>
        </w:tc>
        <w:tc>
          <w:tcPr>
            <w:tcW w:w="502"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300</w:t>
            </w:r>
          </w:p>
        </w:tc>
        <w:tc>
          <w:tcPr>
            <w:tcW w:w="417" w:type="pct"/>
            <w:vMerge w:val="continue"/>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418"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25" w:type="pct"/>
            <w:vMerge w:val="continue"/>
            <w:noWrap w:val="0"/>
            <w:vAlign w:val="center"/>
          </w:tcPr>
          <w:p>
            <w:pPr>
              <w:pStyle w:val="38"/>
              <w:ind w:firstLine="0" w:firstLineChars="0"/>
              <w:rPr>
                <w:rFonts w:hint="default" w:ascii="Times New Roman" w:hAnsi="Times New Roman" w:eastAsia="宋体" w:cs="Times New Roman"/>
                <w:color w:val="auto"/>
                <w:sz w:val="21"/>
                <w:szCs w:val="21"/>
                <w:highlight w:val="none"/>
              </w:rPr>
            </w:pPr>
          </w:p>
        </w:tc>
        <w:tc>
          <w:tcPr>
            <w:tcW w:w="484" w:type="pct"/>
            <w:noWrap w:val="0"/>
            <w:vAlign w:val="center"/>
          </w:tcPr>
          <w:p>
            <w:pPr>
              <w:pStyle w:val="38"/>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tc>
        <w:tc>
          <w:tcPr>
            <w:tcW w:w="525" w:type="pct"/>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995</w:t>
            </w:r>
          </w:p>
        </w:tc>
        <w:tc>
          <w:tcPr>
            <w:tcW w:w="1034"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73.88</w:t>
            </w:r>
          </w:p>
        </w:tc>
        <w:tc>
          <w:tcPr>
            <w:tcW w:w="723" w:type="pct"/>
            <w:vMerge w:val="continue"/>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eastAsia="zh-CN"/>
              </w:rPr>
            </w:pPr>
          </w:p>
        </w:tc>
        <w:tc>
          <w:tcPr>
            <w:tcW w:w="413"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160</w:t>
            </w:r>
          </w:p>
        </w:tc>
        <w:tc>
          <w:tcPr>
            <w:tcW w:w="1006"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11.88</w:t>
            </w:r>
          </w:p>
        </w:tc>
        <w:tc>
          <w:tcPr>
            <w:tcW w:w="502"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w:t>
            </w:r>
          </w:p>
        </w:tc>
        <w:tc>
          <w:tcPr>
            <w:tcW w:w="417" w:type="pct"/>
            <w:vMerge w:val="continue"/>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418"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25" w:type="pct"/>
            <w:vMerge w:val="continue"/>
            <w:noWrap w:val="0"/>
            <w:vAlign w:val="center"/>
          </w:tcPr>
          <w:p>
            <w:pPr>
              <w:pStyle w:val="38"/>
              <w:ind w:firstLine="0" w:firstLineChars="0"/>
              <w:rPr>
                <w:rFonts w:hint="default" w:ascii="Times New Roman" w:hAnsi="Times New Roman" w:eastAsia="宋体" w:cs="Times New Roman"/>
                <w:color w:val="auto"/>
                <w:sz w:val="21"/>
                <w:szCs w:val="21"/>
                <w:highlight w:val="none"/>
              </w:rPr>
            </w:pPr>
          </w:p>
        </w:tc>
        <w:tc>
          <w:tcPr>
            <w:tcW w:w="484" w:type="pct"/>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动植</w:t>
            </w:r>
          </w:p>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物油</w:t>
            </w:r>
          </w:p>
        </w:tc>
        <w:tc>
          <w:tcPr>
            <w:tcW w:w="525" w:type="pct"/>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w:t>
            </w:r>
          </w:p>
        </w:tc>
        <w:tc>
          <w:tcPr>
            <w:tcW w:w="1034"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14.85</w:t>
            </w:r>
          </w:p>
        </w:tc>
        <w:tc>
          <w:tcPr>
            <w:tcW w:w="723" w:type="pct"/>
            <w:vMerge w:val="continue"/>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eastAsia="zh-CN"/>
              </w:rPr>
            </w:pPr>
          </w:p>
        </w:tc>
        <w:tc>
          <w:tcPr>
            <w:tcW w:w="413"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45.7</w:t>
            </w:r>
          </w:p>
        </w:tc>
        <w:tc>
          <w:tcPr>
            <w:tcW w:w="1006"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3.39</w:t>
            </w:r>
          </w:p>
        </w:tc>
        <w:tc>
          <w:tcPr>
            <w:tcW w:w="502"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417" w:type="pct"/>
            <w:vMerge w:val="continue"/>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18"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25" w:type="pct"/>
            <w:vMerge w:val="continue"/>
            <w:noWrap w:val="0"/>
            <w:vAlign w:val="center"/>
          </w:tcPr>
          <w:p>
            <w:pPr>
              <w:pStyle w:val="38"/>
              <w:ind w:firstLine="0" w:firstLineChars="0"/>
              <w:rPr>
                <w:rFonts w:hint="default" w:ascii="Times New Roman" w:hAnsi="Times New Roman" w:eastAsia="宋体" w:cs="Times New Roman"/>
                <w:color w:val="auto"/>
                <w:sz w:val="21"/>
                <w:szCs w:val="21"/>
                <w:highlight w:val="none"/>
              </w:rPr>
            </w:pPr>
          </w:p>
        </w:tc>
        <w:tc>
          <w:tcPr>
            <w:tcW w:w="484" w:type="pct"/>
            <w:noWrap w:val="0"/>
            <w:vAlign w:val="center"/>
          </w:tcPr>
          <w:p>
            <w:pPr>
              <w:pStyle w:val="38"/>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粪大肠菌群</w:t>
            </w:r>
          </w:p>
        </w:tc>
        <w:tc>
          <w:tcPr>
            <w:tcW w:w="525" w:type="pct"/>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≥24000</w:t>
            </w:r>
          </w:p>
        </w:tc>
        <w:tc>
          <w:tcPr>
            <w:tcW w:w="552" w:type="pct"/>
            <w:tcBorders>
              <w:bottom w:val="single" w:color="auto" w:sz="4" w:space="0"/>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723" w:type="pct"/>
            <w:vMerge w:val="continue"/>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eastAsia="zh-CN"/>
              </w:rPr>
            </w:pPr>
          </w:p>
        </w:tc>
        <w:tc>
          <w:tcPr>
            <w:tcW w:w="413" w:type="pct"/>
            <w:tcBorders>
              <w:bottom w:val="single" w:color="auto" w:sz="4" w:space="0"/>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sz w:val="21"/>
                <w:szCs w:val="21"/>
                <w:highlight w:val="none"/>
                <w:lang w:val="en-US" w:eastAsia="zh-CN"/>
              </w:rPr>
              <w:t>≥24000</w:t>
            </w:r>
          </w:p>
        </w:tc>
        <w:tc>
          <w:tcPr>
            <w:tcW w:w="537"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02"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417" w:type="pct"/>
            <w:vMerge w:val="continue"/>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18"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25" w:type="pct"/>
            <w:vMerge w:val="continue"/>
            <w:noWrap w:val="0"/>
            <w:vAlign w:val="center"/>
          </w:tcPr>
          <w:p>
            <w:pPr>
              <w:pStyle w:val="38"/>
              <w:ind w:firstLine="0" w:firstLineChars="0"/>
              <w:rPr>
                <w:rFonts w:hint="default" w:ascii="Times New Roman" w:hAnsi="Times New Roman" w:eastAsia="宋体" w:cs="Times New Roman"/>
                <w:color w:val="auto"/>
                <w:sz w:val="21"/>
                <w:szCs w:val="21"/>
                <w:highlight w:val="none"/>
              </w:rPr>
            </w:pPr>
          </w:p>
        </w:tc>
        <w:tc>
          <w:tcPr>
            <w:tcW w:w="484" w:type="pct"/>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w:t>
            </w:r>
          </w:p>
        </w:tc>
        <w:tc>
          <w:tcPr>
            <w:tcW w:w="525" w:type="pct"/>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w:t>
            </w:r>
          </w:p>
        </w:tc>
        <w:tc>
          <w:tcPr>
            <w:tcW w:w="552" w:type="pct"/>
            <w:tcBorders>
              <w:bottom w:val="single" w:color="auto" w:sz="4" w:space="0"/>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23" w:type="pct"/>
            <w:vMerge w:val="continue"/>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eastAsia="zh-CN"/>
              </w:rPr>
            </w:pPr>
          </w:p>
        </w:tc>
        <w:tc>
          <w:tcPr>
            <w:tcW w:w="413" w:type="pct"/>
            <w:tcBorders>
              <w:bottom w:val="single" w:color="auto" w:sz="4" w:space="0"/>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w:t>
            </w:r>
          </w:p>
        </w:tc>
        <w:tc>
          <w:tcPr>
            <w:tcW w:w="537"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02"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6.0~8.5</w:t>
            </w:r>
          </w:p>
        </w:tc>
        <w:tc>
          <w:tcPr>
            <w:tcW w:w="417" w:type="pct"/>
            <w:vMerge w:val="continue"/>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sz w:val="21"/>
                <w:szCs w:val="21"/>
                <w:highlight w:val="none"/>
              </w:rPr>
            </w:pPr>
          </w:p>
        </w:tc>
      </w:tr>
    </w:tbl>
    <w:p>
      <w:pPr>
        <w:pStyle w:val="48"/>
        <w:keepNext w:val="0"/>
        <w:keepLines w:val="0"/>
        <w:pageBreakBefore w:val="0"/>
        <w:widowControl w:val="0"/>
        <w:kinsoku/>
        <w:wordWrap/>
        <w:overflowPunct/>
        <w:topLinePunct w:val="0"/>
        <w:autoSpaceDE/>
        <w:autoSpaceDN/>
        <w:bidi w:val="0"/>
        <w:adjustRightInd/>
        <w:snapToGrid/>
        <w:spacing w:line="240" w:lineRule="auto"/>
        <w:ind w:firstLine="0"/>
        <w:textAlignment w:val="auto"/>
        <w:rPr>
          <w:rFonts w:hint="default" w:ascii="Times New Roman" w:hAnsi="Times New Roman" w:eastAsia="宋体" w:cs="Times New Roman"/>
          <w:b/>
          <w:color w:val="auto"/>
          <w:kern w:val="21"/>
          <w:sz w:val="21"/>
          <w:szCs w:val="21"/>
          <w:highlight w:val="none"/>
          <w:u w:val="none"/>
          <w:lang w:val="en-US" w:eastAsia="zh-CN"/>
        </w:rPr>
      </w:pPr>
      <w:r>
        <w:rPr>
          <w:rFonts w:hint="default" w:ascii="Times New Roman" w:hAnsi="Times New Roman" w:eastAsia="宋体" w:cs="Times New Roman"/>
          <w:b/>
          <w:color w:val="auto"/>
          <w:kern w:val="21"/>
          <w:sz w:val="21"/>
          <w:szCs w:val="21"/>
          <w:highlight w:val="none"/>
          <w:u w:val="none"/>
        </w:rPr>
        <w:t>表</w:t>
      </w:r>
      <w:r>
        <w:rPr>
          <w:rFonts w:hint="default" w:ascii="Times New Roman" w:hAnsi="Times New Roman" w:eastAsia="宋体" w:cs="Times New Roman"/>
          <w:b/>
          <w:color w:val="auto"/>
          <w:kern w:val="21"/>
          <w:sz w:val="21"/>
          <w:szCs w:val="21"/>
          <w:highlight w:val="none"/>
          <w:u w:val="none"/>
          <w:lang w:val="en-US" w:eastAsia="zh-CN"/>
        </w:rPr>
        <w:t>3</w:t>
      </w:r>
      <w:r>
        <w:rPr>
          <w:rFonts w:hint="eastAsia" w:ascii="Times New Roman" w:hAnsi="Times New Roman" w:eastAsia="宋体" w:cs="Times New Roman"/>
          <w:b/>
          <w:color w:val="auto"/>
          <w:kern w:val="21"/>
          <w:sz w:val="21"/>
          <w:szCs w:val="21"/>
          <w:highlight w:val="none"/>
          <w:u w:val="none"/>
          <w:lang w:val="en-US" w:eastAsia="zh-CN"/>
        </w:rPr>
        <w:t>-</w:t>
      </w:r>
      <w:r>
        <w:rPr>
          <w:rFonts w:hint="default" w:ascii="Times New Roman" w:hAnsi="Times New Roman" w:eastAsia="宋体" w:cs="Times New Roman"/>
          <w:b/>
          <w:color w:val="auto"/>
          <w:kern w:val="21"/>
          <w:sz w:val="21"/>
          <w:szCs w:val="21"/>
          <w:highlight w:val="none"/>
          <w:u w:val="none"/>
          <w:lang w:val="en-US" w:eastAsia="zh-CN"/>
        </w:rPr>
        <w:t>6</w:t>
      </w:r>
      <w:r>
        <w:rPr>
          <w:rFonts w:hint="default" w:ascii="Times New Roman" w:hAnsi="Times New Roman" w:eastAsia="宋体" w:cs="Times New Roman"/>
          <w:b/>
          <w:color w:val="auto"/>
          <w:kern w:val="21"/>
          <w:sz w:val="21"/>
          <w:szCs w:val="21"/>
          <w:highlight w:val="none"/>
          <w:u w:val="none"/>
        </w:rPr>
        <w:t>-1</w:t>
      </w:r>
      <w:r>
        <w:rPr>
          <w:rFonts w:hint="default" w:ascii="Times New Roman" w:hAnsi="Times New Roman" w:eastAsia="宋体" w:cs="Times New Roman"/>
          <w:b/>
          <w:color w:val="auto"/>
          <w:kern w:val="21"/>
          <w:sz w:val="21"/>
          <w:szCs w:val="21"/>
          <w:highlight w:val="none"/>
          <w:u w:val="none"/>
          <w:lang w:val="en-US" w:eastAsia="zh-CN"/>
        </w:rPr>
        <w:t>4</w:t>
      </w:r>
      <w:r>
        <w:rPr>
          <w:rFonts w:hint="default" w:ascii="Times New Roman" w:hAnsi="Times New Roman" w:eastAsia="Times New Roman" w:cs="Times New Roman"/>
          <w:b/>
          <w:bCs/>
          <w:spacing w:val="7"/>
          <w:sz w:val="20"/>
          <w:szCs w:val="20"/>
          <w:highlight w:val="none"/>
        </w:rPr>
        <w:t xml:space="preserve"> </w:t>
      </w: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改扩建后全厂水污染物源强分析</w:t>
      </w:r>
      <w:r>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 xml:space="preserve">  </w:t>
      </w: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单位</w:t>
      </w:r>
      <w:r>
        <w:rPr>
          <w:rFonts w:hint="default" w:ascii="Times New Roman" w:hAnsi="Times New Roman" w:eastAsia="宋体" w:cs="Times New Roman"/>
          <w:spacing w:val="-37"/>
          <w:sz w:val="20"/>
          <w:szCs w:val="20"/>
          <w:highlight w:val="none"/>
        </w:rPr>
        <w:t xml:space="preserve"> </w:t>
      </w:r>
      <w:r>
        <w:rPr>
          <w:rFonts w:hint="default" w:ascii="Times New Roman" w:hAnsi="Times New Roman" w:eastAsia="Times New Roman" w:cs="Times New Roman"/>
          <w:b/>
          <w:bCs/>
          <w:sz w:val="20"/>
          <w:szCs w:val="20"/>
          <w:highlight w:val="none"/>
        </w:rPr>
        <w:t>mg</w:t>
      </w:r>
      <w:r>
        <w:rPr>
          <w:rFonts w:hint="default" w:ascii="Times New Roman" w:hAnsi="Times New Roman" w:eastAsia="Times New Roman" w:cs="Times New Roman"/>
          <w:b/>
          <w:bCs/>
          <w:spacing w:val="7"/>
          <w:sz w:val="20"/>
          <w:szCs w:val="20"/>
          <w:highlight w:val="none"/>
        </w:rPr>
        <w:t>/L</w:t>
      </w:r>
    </w:p>
    <w:tbl>
      <w:tblPr>
        <w:tblStyle w:val="24"/>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04"/>
        <w:gridCol w:w="1004"/>
        <w:gridCol w:w="935"/>
        <w:gridCol w:w="1016"/>
        <w:gridCol w:w="1070"/>
        <w:gridCol w:w="1409"/>
        <w:gridCol w:w="857"/>
        <w:gridCol w:w="1041"/>
        <w:gridCol w:w="972"/>
        <w:gridCol w:w="8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18" w:type="pct"/>
            <w:vMerge w:val="restart"/>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废水来源</w:t>
            </w:r>
          </w:p>
        </w:tc>
        <w:tc>
          <w:tcPr>
            <w:tcW w:w="425" w:type="pct"/>
            <w:vMerge w:val="restart"/>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废水量t/a</w:t>
            </w:r>
          </w:p>
        </w:tc>
        <w:tc>
          <w:tcPr>
            <w:tcW w:w="484" w:type="pct"/>
            <w:vMerge w:val="restart"/>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spacing w:val="-16"/>
                <w:kern w:val="0"/>
                <w:sz w:val="21"/>
                <w:szCs w:val="21"/>
                <w:highlight w:val="none"/>
              </w:rPr>
            </w:pPr>
            <w:r>
              <w:rPr>
                <w:rFonts w:hint="default" w:ascii="Times New Roman" w:hAnsi="Times New Roman" w:cs="Times New Roman"/>
                <w:color w:val="auto"/>
                <w:kern w:val="0"/>
                <w:sz w:val="21"/>
                <w:szCs w:val="21"/>
                <w:highlight w:val="none"/>
              </w:rPr>
              <w:t>污染物名称</w:t>
            </w:r>
          </w:p>
        </w:tc>
        <w:tc>
          <w:tcPr>
            <w:tcW w:w="1077" w:type="pct"/>
            <w:gridSpan w:val="2"/>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污染物产生量</w:t>
            </w:r>
          </w:p>
        </w:tc>
        <w:tc>
          <w:tcPr>
            <w:tcW w:w="723" w:type="pct"/>
            <w:vMerge w:val="restart"/>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治理措施</w:t>
            </w:r>
          </w:p>
        </w:tc>
        <w:tc>
          <w:tcPr>
            <w:tcW w:w="950" w:type="pct"/>
            <w:gridSpan w:val="2"/>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污染物排放量</w:t>
            </w:r>
          </w:p>
        </w:tc>
        <w:tc>
          <w:tcPr>
            <w:tcW w:w="502" w:type="pct"/>
            <w:vMerge w:val="restart"/>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排放限制mg/L</w:t>
            </w:r>
          </w:p>
        </w:tc>
        <w:tc>
          <w:tcPr>
            <w:tcW w:w="417" w:type="pct"/>
            <w:vMerge w:val="restart"/>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排放方式与去向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418"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25"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84"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525" w:type="pct"/>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浓度mg/L</w:t>
            </w:r>
          </w:p>
        </w:tc>
        <w:tc>
          <w:tcPr>
            <w:tcW w:w="552" w:type="pct"/>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产生量t/a</w:t>
            </w:r>
          </w:p>
        </w:tc>
        <w:tc>
          <w:tcPr>
            <w:tcW w:w="723" w:type="pct"/>
            <w:vMerge w:val="continue"/>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eastAsia="宋体" w:cs="Times New Roman"/>
                <w:color w:val="auto"/>
                <w:kern w:val="0"/>
                <w:sz w:val="21"/>
                <w:szCs w:val="21"/>
                <w:highlight w:val="none"/>
              </w:rPr>
            </w:pPr>
          </w:p>
        </w:tc>
        <w:tc>
          <w:tcPr>
            <w:tcW w:w="413" w:type="pct"/>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浓度mg/L</w:t>
            </w:r>
          </w:p>
        </w:tc>
        <w:tc>
          <w:tcPr>
            <w:tcW w:w="537" w:type="pct"/>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eastAsia"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rPr>
              <w:t>排放量t/a</w:t>
            </w:r>
          </w:p>
        </w:tc>
        <w:tc>
          <w:tcPr>
            <w:tcW w:w="502" w:type="pct"/>
            <w:vMerge w:val="continue"/>
            <w:tcBorders>
              <w:righ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17" w:type="pct"/>
            <w:vMerge w:val="continue"/>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8" w:hRule="atLeast"/>
          <w:jc w:val="center"/>
        </w:trPr>
        <w:tc>
          <w:tcPr>
            <w:tcW w:w="418" w:type="pct"/>
            <w:vMerge w:val="restart"/>
            <w:noWrap w:val="0"/>
            <w:vAlign w:val="center"/>
          </w:tcPr>
          <w:p>
            <w:pPr>
              <w:pStyle w:val="32"/>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综合废水</w:t>
            </w:r>
          </w:p>
        </w:tc>
        <w:tc>
          <w:tcPr>
            <w:tcW w:w="425" w:type="pct"/>
            <w:vMerge w:val="restart"/>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79932.69</w:t>
            </w:r>
          </w:p>
        </w:tc>
        <w:tc>
          <w:tcPr>
            <w:tcW w:w="484" w:type="pct"/>
            <w:noWrap w:val="0"/>
            <w:vAlign w:val="center"/>
          </w:tcPr>
          <w:p>
            <w:pPr>
              <w:pStyle w:val="38"/>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1023" w:type="dxa"/>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2.52</w:t>
            </w:r>
            <w:r>
              <w:rPr>
                <w:rFonts w:hint="eastAsia" w:ascii="Times New Roman" w:hAnsi="Times New Roman" w:cs="Times New Roman"/>
                <w:color w:val="auto"/>
                <w:kern w:val="0"/>
                <w:sz w:val="21"/>
                <w:szCs w:val="21"/>
                <w:highlight w:val="none"/>
                <w:vertAlign w:val="baseline"/>
                <w:lang w:val="en-US" w:eastAsia="zh-CN" w:bidi="ar-SA"/>
              </w:rPr>
              <w:t>×10</w:t>
            </w:r>
            <w:r>
              <w:rPr>
                <w:rFonts w:hint="eastAsia" w:ascii="Times New Roman" w:hAnsi="Times New Roman" w:cs="Times New Roman"/>
                <w:color w:val="auto"/>
                <w:kern w:val="0"/>
                <w:sz w:val="21"/>
                <w:szCs w:val="21"/>
                <w:highlight w:val="none"/>
                <w:vertAlign w:val="superscript"/>
                <w:lang w:val="en-US" w:eastAsia="zh-CN" w:bidi="ar-SA"/>
              </w:rPr>
              <w:t>3</w:t>
            </w:r>
          </w:p>
        </w:tc>
        <w:tc>
          <w:tcPr>
            <w:tcW w:w="1034"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201.43</w:t>
            </w:r>
          </w:p>
        </w:tc>
        <w:tc>
          <w:tcPr>
            <w:tcW w:w="723" w:type="pct"/>
            <w:vMerge w:val="restart"/>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采用沉淀池+气浮池+调节池+水解酸化+好氧生物池+MBR膜池+污泥消化池+消毒工艺处理</w:t>
            </w:r>
          </w:p>
        </w:tc>
        <w:tc>
          <w:tcPr>
            <w:tcW w:w="980" w:type="dxa"/>
            <w:tcBorders>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238</w:t>
            </w:r>
          </w:p>
        </w:tc>
        <w:tc>
          <w:tcPr>
            <w:tcW w:w="1006"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19.02</w:t>
            </w:r>
          </w:p>
        </w:tc>
        <w:tc>
          <w:tcPr>
            <w:tcW w:w="502"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500</w:t>
            </w:r>
          </w:p>
        </w:tc>
        <w:tc>
          <w:tcPr>
            <w:tcW w:w="417" w:type="pct"/>
            <w:vMerge w:val="restart"/>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兴隆镇污水处理厂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418"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25" w:type="pct"/>
            <w:vMerge w:val="continue"/>
            <w:noWrap w:val="0"/>
            <w:vAlign w:val="center"/>
          </w:tcPr>
          <w:p>
            <w:pPr>
              <w:pStyle w:val="38"/>
              <w:ind w:firstLine="0" w:firstLineChars="0"/>
              <w:rPr>
                <w:rFonts w:hint="default" w:ascii="Times New Roman" w:hAnsi="Times New Roman" w:eastAsia="宋体" w:cs="Times New Roman"/>
                <w:color w:val="auto"/>
                <w:sz w:val="21"/>
                <w:szCs w:val="21"/>
                <w:highlight w:val="none"/>
              </w:rPr>
            </w:pPr>
          </w:p>
        </w:tc>
        <w:tc>
          <w:tcPr>
            <w:tcW w:w="484" w:type="pct"/>
            <w:noWrap w:val="0"/>
            <w:vAlign w:val="center"/>
          </w:tcPr>
          <w:p>
            <w:pPr>
              <w:pStyle w:val="38"/>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1023" w:type="dxa"/>
            <w:noWrap w:val="0"/>
            <w:vAlign w:val="center"/>
          </w:tcPr>
          <w:p>
            <w:pPr>
              <w:pStyle w:val="38"/>
              <w:ind w:firstLine="0" w:firstLineChars="0"/>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121</w:t>
            </w:r>
          </w:p>
        </w:tc>
        <w:tc>
          <w:tcPr>
            <w:tcW w:w="1034"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9.67</w:t>
            </w:r>
          </w:p>
        </w:tc>
        <w:tc>
          <w:tcPr>
            <w:tcW w:w="723" w:type="pct"/>
            <w:vMerge w:val="continue"/>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eastAsia="zh-CN"/>
              </w:rPr>
            </w:pPr>
          </w:p>
        </w:tc>
        <w:tc>
          <w:tcPr>
            <w:tcW w:w="980" w:type="dxa"/>
            <w:tcBorders>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18.6</w:t>
            </w:r>
          </w:p>
        </w:tc>
        <w:tc>
          <w:tcPr>
            <w:tcW w:w="1006"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1.4</w:t>
            </w:r>
            <w:r>
              <w:rPr>
                <w:rFonts w:hint="eastAsia" w:ascii="Times New Roman" w:hAnsi="Times New Roman" w:eastAsia="宋体" w:cs="Times New Roman"/>
                <w:i w:val="0"/>
                <w:iCs w:val="0"/>
                <w:snapToGrid w:val="0"/>
                <w:color w:val="000000"/>
                <w:kern w:val="0"/>
                <w:sz w:val="21"/>
                <w:szCs w:val="21"/>
                <w:highlight w:val="none"/>
                <w:u w:val="none"/>
                <w:lang w:val="en-US" w:eastAsia="zh-CN" w:bidi="ar"/>
              </w:rPr>
              <w:t>9</w:t>
            </w:r>
          </w:p>
        </w:tc>
        <w:tc>
          <w:tcPr>
            <w:tcW w:w="502"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417" w:type="pct"/>
            <w:vMerge w:val="continue"/>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418"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25" w:type="pct"/>
            <w:vMerge w:val="continue"/>
            <w:noWrap w:val="0"/>
            <w:vAlign w:val="center"/>
          </w:tcPr>
          <w:p>
            <w:pPr>
              <w:pStyle w:val="38"/>
              <w:ind w:firstLine="0" w:firstLineChars="0"/>
              <w:rPr>
                <w:rFonts w:hint="default" w:ascii="Times New Roman" w:hAnsi="Times New Roman" w:eastAsia="宋体" w:cs="Times New Roman"/>
                <w:color w:val="auto"/>
                <w:sz w:val="21"/>
                <w:szCs w:val="21"/>
                <w:highlight w:val="none"/>
              </w:rPr>
            </w:pPr>
          </w:p>
        </w:tc>
        <w:tc>
          <w:tcPr>
            <w:tcW w:w="484" w:type="pct"/>
            <w:noWrap w:val="0"/>
            <w:vAlign w:val="center"/>
          </w:tcPr>
          <w:p>
            <w:pPr>
              <w:pStyle w:val="38"/>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1023" w:type="dxa"/>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997</w:t>
            </w:r>
          </w:p>
        </w:tc>
        <w:tc>
          <w:tcPr>
            <w:tcW w:w="1034"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79.69</w:t>
            </w:r>
          </w:p>
        </w:tc>
        <w:tc>
          <w:tcPr>
            <w:tcW w:w="723" w:type="pct"/>
            <w:vMerge w:val="continue"/>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eastAsia="zh-CN"/>
              </w:rPr>
            </w:pPr>
          </w:p>
        </w:tc>
        <w:tc>
          <w:tcPr>
            <w:tcW w:w="980" w:type="dxa"/>
            <w:tcBorders>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150</w:t>
            </w:r>
          </w:p>
        </w:tc>
        <w:tc>
          <w:tcPr>
            <w:tcW w:w="1006"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11.9</w:t>
            </w:r>
            <w:r>
              <w:rPr>
                <w:rFonts w:hint="eastAsia" w:ascii="Times New Roman" w:hAnsi="Times New Roman" w:eastAsia="宋体" w:cs="Times New Roman"/>
                <w:i w:val="0"/>
                <w:iCs w:val="0"/>
                <w:snapToGrid w:val="0"/>
                <w:color w:val="000000"/>
                <w:kern w:val="0"/>
                <w:sz w:val="21"/>
                <w:szCs w:val="21"/>
                <w:highlight w:val="none"/>
                <w:u w:val="none"/>
                <w:lang w:val="en-US" w:eastAsia="zh-CN" w:bidi="ar"/>
              </w:rPr>
              <w:t>9</w:t>
            </w:r>
          </w:p>
        </w:tc>
        <w:tc>
          <w:tcPr>
            <w:tcW w:w="502"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300</w:t>
            </w:r>
          </w:p>
        </w:tc>
        <w:tc>
          <w:tcPr>
            <w:tcW w:w="417" w:type="pct"/>
            <w:vMerge w:val="continue"/>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418"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25" w:type="pct"/>
            <w:vMerge w:val="continue"/>
            <w:noWrap w:val="0"/>
            <w:vAlign w:val="center"/>
          </w:tcPr>
          <w:p>
            <w:pPr>
              <w:pStyle w:val="38"/>
              <w:ind w:firstLine="0" w:firstLineChars="0"/>
              <w:rPr>
                <w:rFonts w:hint="default" w:ascii="Times New Roman" w:hAnsi="Times New Roman" w:eastAsia="宋体" w:cs="Times New Roman"/>
                <w:color w:val="auto"/>
                <w:sz w:val="21"/>
                <w:szCs w:val="21"/>
                <w:highlight w:val="none"/>
              </w:rPr>
            </w:pPr>
          </w:p>
        </w:tc>
        <w:tc>
          <w:tcPr>
            <w:tcW w:w="484" w:type="pct"/>
            <w:noWrap w:val="0"/>
            <w:vAlign w:val="center"/>
          </w:tcPr>
          <w:p>
            <w:pPr>
              <w:pStyle w:val="38"/>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tc>
        <w:tc>
          <w:tcPr>
            <w:tcW w:w="1023" w:type="dxa"/>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995</w:t>
            </w:r>
          </w:p>
        </w:tc>
        <w:tc>
          <w:tcPr>
            <w:tcW w:w="1034"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79.53</w:t>
            </w:r>
          </w:p>
        </w:tc>
        <w:tc>
          <w:tcPr>
            <w:tcW w:w="723" w:type="pct"/>
            <w:vMerge w:val="continue"/>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eastAsia="zh-CN"/>
              </w:rPr>
            </w:pPr>
          </w:p>
        </w:tc>
        <w:tc>
          <w:tcPr>
            <w:tcW w:w="980" w:type="dxa"/>
            <w:tcBorders>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160</w:t>
            </w:r>
          </w:p>
        </w:tc>
        <w:tc>
          <w:tcPr>
            <w:tcW w:w="1006"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12.7</w:t>
            </w:r>
            <w:r>
              <w:rPr>
                <w:rFonts w:hint="eastAsia" w:ascii="Times New Roman" w:hAnsi="Times New Roman" w:eastAsia="宋体" w:cs="Times New Roman"/>
                <w:i w:val="0"/>
                <w:iCs w:val="0"/>
                <w:snapToGrid w:val="0"/>
                <w:color w:val="000000"/>
                <w:kern w:val="0"/>
                <w:sz w:val="21"/>
                <w:szCs w:val="21"/>
                <w:highlight w:val="none"/>
                <w:u w:val="none"/>
                <w:lang w:val="en-US" w:eastAsia="zh-CN" w:bidi="ar"/>
              </w:rPr>
              <w:t>9</w:t>
            </w:r>
          </w:p>
        </w:tc>
        <w:tc>
          <w:tcPr>
            <w:tcW w:w="502"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w:t>
            </w:r>
          </w:p>
        </w:tc>
        <w:tc>
          <w:tcPr>
            <w:tcW w:w="417" w:type="pct"/>
            <w:vMerge w:val="continue"/>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9" w:hRule="atLeast"/>
          <w:jc w:val="center"/>
        </w:trPr>
        <w:tc>
          <w:tcPr>
            <w:tcW w:w="418"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25" w:type="pct"/>
            <w:vMerge w:val="continue"/>
            <w:noWrap w:val="0"/>
            <w:vAlign w:val="center"/>
          </w:tcPr>
          <w:p>
            <w:pPr>
              <w:pStyle w:val="38"/>
              <w:ind w:firstLine="0" w:firstLineChars="0"/>
              <w:rPr>
                <w:rFonts w:hint="default" w:ascii="Times New Roman" w:hAnsi="Times New Roman" w:eastAsia="宋体" w:cs="Times New Roman"/>
                <w:color w:val="auto"/>
                <w:sz w:val="21"/>
                <w:szCs w:val="21"/>
                <w:highlight w:val="none"/>
              </w:rPr>
            </w:pPr>
          </w:p>
        </w:tc>
        <w:tc>
          <w:tcPr>
            <w:tcW w:w="484" w:type="pct"/>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动植物油</w:t>
            </w:r>
          </w:p>
        </w:tc>
        <w:tc>
          <w:tcPr>
            <w:tcW w:w="1023" w:type="dxa"/>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w:t>
            </w:r>
          </w:p>
        </w:tc>
        <w:tc>
          <w:tcPr>
            <w:tcW w:w="1034"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15.9</w:t>
            </w:r>
            <w:r>
              <w:rPr>
                <w:rFonts w:hint="eastAsia" w:ascii="Times New Roman" w:hAnsi="Times New Roman" w:eastAsia="宋体" w:cs="Times New Roman"/>
                <w:i w:val="0"/>
                <w:iCs w:val="0"/>
                <w:snapToGrid w:val="0"/>
                <w:color w:val="000000"/>
                <w:kern w:val="0"/>
                <w:sz w:val="21"/>
                <w:szCs w:val="21"/>
                <w:highlight w:val="none"/>
                <w:u w:val="none"/>
                <w:lang w:val="en-US" w:eastAsia="zh-CN" w:bidi="ar"/>
              </w:rPr>
              <w:t>9</w:t>
            </w:r>
          </w:p>
        </w:tc>
        <w:tc>
          <w:tcPr>
            <w:tcW w:w="723" w:type="pct"/>
            <w:vMerge w:val="continue"/>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eastAsia="zh-CN"/>
              </w:rPr>
            </w:pPr>
          </w:p>
        </w:tc>
        <w:tc>
          <w:tcPr>
            <w:tcW w:w="980" w:type="dxa"/>
            <w:tcBorders>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45.7</w:t>
            </w:r>
          </w:p>
        </w:tc>
        <w:tc>
          <w:tcPr>
            <w:tcW w:w="1006" w:type="dxa"/>
            <w:tcBorders>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3.6</w:t>
            </w:r>
            <w:r>
              <w:rPr>
                <w:rFonts w:hint="eastAsia" w:ascii="Times New Roman" w:hAnsi="Times New Roman" w:eastAsia="宋体" w:cs="Times New Roman"/>
                <w:i w:val="0"/>
                <w:iCs w:val="0"/>
                <w:snapToGrid w:val="0"/>
                <w:color w:val="000000"/>
                <w:kern w:val="0"/>
                <w:sz w:val="21"/>
                <w:szCs w:val="21"/>
                <w:highlight w:val="none"/>
                <w:u w:val="none"/>
                <w:lang w:val="en-US" w:eastAsia="zh-CN" w:bidi="ar"/>
              </w:rPr>
              <w:t>6</w:t>
            </w:r>
          </w:p>
        </w:tc>
        <w:tc>
          <w:tcPr>
            <w:tcW w:w="502"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417" w:type="pct"/>
            <w:vMerge w:val="continue"/>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18"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25" w:type="pct"/>
            <w:vMerge w:val="continue"/>
            <w:noWrap w:val="0"/>
            <w:vAlign w:val="center"/>
          </w:tcPr>
          <w:p>
            <w:pPr>
              <w:pStyle w:val="38"/>
              <w:ind w:firstLine="0" w:firstLineChars="0"/>
              <w:rPr>
                <w:rFonts w:hint="default" w:ascii="Times New Roman" w:hAnsi="Times New Roman" w:eastAsia="宋体" w:cs="Times New Roman"/>
                <w:color w:val="auto"/>
                <w:sz w:val="21"/>
                <w:szCs w:val="21"/>
                <w:highlight w:val="none"/>
              </w:rPr>
            </w:pPr>
          </w:p>
        </w:tc>
        <w:tc>
          <w:tcPr>
            <w:tcW w:w="484" w:type="pct"/>
            <w:noWrap w:val="0"/>
            <w:vAlign w:val="center"/>
          </w:tcPr>
          <w:p>
            <w:pPr>
              <w:pStyle w:val="38"/>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粪大肠菌群</w:t>
            </w:r>
          </w:p>
        </w:tc>
        <w:tc>
          <w:tcPr>
            <w:tcW w:w="1023" w:type="dxa"/>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≥24000</w:t>
            </w:r>
          </w:p>
        </w:tc>
        <w:tc>
          <w:tcPr>
            <w:tcW w:w="552" w:type="pct"/>
            <w:tcBorders>
              <w:bottom w:val="single" w:color="auto" w:sz="4" w:space="0"/>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723" w:type="pct"/>
            <w:vMerge w:val="continue"/>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eastAsia="zh-CN"/>
              </w:rPr>
            </w:pPr>
          </w:p>
        </w:tc>
        <w:tc>
          <w:tcPr>
            <w:tcW w:w="980" w:type="dxa"/>
            <w:tcBorders>
              <w:bottom w:val="single" w:color="auto" w:sz="4" w:space="0"/>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sz w:val="21"/>
                <w:szCs w:val="21"/>
                <w:highlight w:val="none"/>
                <w:lang w:val="en-US" w:eastAsia="zh-CN"/>
              </w:rPr>
              <w:t>≥24000</w:t>
            </w:r>
          </w:p>
        </w:tc>
        <w:tc>
          <w:tcPr>
            <w:tcW w:w="537"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02"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417" w:type="pct"/>
            <w:vMerge w:val="continue"/>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18" w:type="pct"/>
            <w:vMerge w:val="continue"/>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kern w:val="0"/>
                <w:sz w:val="21"/>
                <w:szCs w:val="21"/>
                <w:highlight w:val="none"/>
              </w:rPr>
            </w:pPr>
          </w:p>
        </w:tc>
        <w:tc>
          <w:tcPr>
            <w:tcW w:w="425" w:type="pct"/>
            <w:vMerge w:val="continue"/>
            <w:noWrap w:val="0"/>
            <w:vAlign w:val="center"/>
          </w:tcPr>
          <w:p>
            <w:pPr>
              <w:pStyle w:val="38"/>
              <w:ind w:firstLine="0" w:firstLineChars="0"/>
              <w:rPr>
                <w:rFonts w:hint="default" w:ascii="Times New Roman" w:hAnsi="Times New Roman" w:eastAsia="宋体" w:cs="Times New Roman"/>
                <w:color w:val="auto"/>
                <w:sz w:val="21"/>
                <w:szCs w:val="21"/>
                <w:highlight w:val="none"/>
              </w:rPr>
            </w:pPr>
          </w:p>
        </w:tc>
        <w:tc>
          <w:tcPr>
            <w:tcW w:w="484" w:type="pct"/>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w:t>
            </w:r>
          </w:p>
        </w:tc>
        <w:tc>
          <w:tcPr>
            <w:tcW w:w="1023" w:type="dxa"/>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w:t>
            </w:r>
          </w:p>
        </w:tc>
        <w:tc>
          <w:tcPr>
            <w:tcW w:w="552" w:type="pct"/>
            <w:tcBorders>
              <w:bottom w:val="single" w:color="auto" w:sz="4" w:space="0"/>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23" w:type="pct"/>
            <w:vMerge w:val="continue"/>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eastAsia="zh-CN"/>
              </w:rPr>
            </w:pPr>
          </w:p>
        </w:tc>
        <w:tc>
          <w:tcPr>
            <w:tcW w:w="980" w:type="dxa"/>
            <w:tcBorders>
              <w:bottom w:val="single" w:color="auto" w:sz="4" w:space="0"/>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w:t>
            </w:r>
          </w:p>
        </w:tc>
        <w:tc>
          <w:tcPr>
            <w:tcW w:w="537"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02" w:type="pct"/>
            <w:tcBorders>
              <w:right w:val="single" w:color="auto" w:sz="4" w:space="0"/>
            </w:tcBorders>
            <w:noWrap w:val="0"/>
            <w:vAlign w:val="center"/>
          </w:tcPr>
          <w:p>
            <w:pPr>
              <w:pStyle w:val="38"/>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6.0~8.5</w:t>
            </w:r>
          </w:p>
        </w:tc>
        <w:tc>
          <w:tcPr>
            <w:tcW w:w="417" w:type="pct"/>
            <w:vMerge w:val="continue"/>
            <w:tcBorders>
              <w:left w:val="single" w:color="auto" w:sz="4" w:space="0"/>
            </w:tcBorders>
            <w:noWrap w:val="0"/>
            <w:vAlign w:val="center"/>
          </w:tcPr>
          <w:p>
            <w:pPr>
              <w:keepNext w:val="0"/>
              <w:keepLines w:val="0"/>
              <w:pageBreakBefore w:val="0"/>
              <w:kinsoku/>
              <w:overflowPunct/>
              <w:topLinePunct w:val="0"/>
              <w:bidi w:val="0"/>
              <w:snapToGrid w:val="0"/>
              <w:spacing w:line="360" w:lineRule="auto"/>
              <w:jc w:val="center"/>
              <w:rPr>
                <w:rFonts w:hint="default" w:ascii="Times New Roman" w:hAnsi="Times New Roman" w:cs="Times New Roman"/>
                <w:color w:val="auto"/>
                <w:sz w:val="21"/>
                <w:szCs w:val="21"/>
                <w:highlight w:val="none"/>
              </w:rPr>
            </w:pP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default" w:ascii="Times New Roman" w:hAnsi="Times New Roman" w:eastAsia="宋体" w:cs="Times New Roman"/>
          <w:spacing w:val="-1"/>
          <w:sz w:val="24"/>
          <w:szCs w:val="24"/>
          <w:highlight w:val="none"/>
        </w:rPr>
      </w:pPr>
      <w:r>
        <w:rPr>
          <w:rFonts w:hint="eastAsia" w:ascii="Times New Roman" w:hAnsi="Times New Roman" w:eastAsia="宋体" w:cs="Times New Roman"/>
          <w:spacing w:val="-3"/>
          <w:sz w:val="24"/>
          <w:szCs w:val="24"/>
          <w:highlight w:val="none"/>
          <w:lang w:val="en-US" w:eastAsia="zh-CN"/>
        </w:rPr>
        <w:t>改扩建项目</w:t>
      </w:r>
      <w:r>
        <w:rPr>
          <w:rFonts w:hint="default" w:ascii="Times New Roman" w:hAnsi="Times New Roman" w:eastAsia="宋体" w:cs="Times New Roman"/>
          <w:spacing w:val="-3"/>
          <w:sz w:val="24"/>
          <w:szCs w:val="24"/>
          <w:highlight w:val="none"/>
        </w:rPr>
        <w:t>废水中主要污染物</w:t>
      </w:r>
      <w:r>
        <w:rPr>
          <w:rFonts w:hint="eastAsia" w:ascii="Times New Roman" w:hAnsi="Times New Roman" w:eastAsia="宋体" w:cs="Times New Roman"/>
          <w:spacing w:val="-3"/>
          <w:sz w:val="24"/>
          <w:szCs w:val="24"/>
          <w:highlight w:val="none"/>
          <w:lang w:val="en-US" w:eastAsia="zh-CN"/>
        </w:rPr>
        <w:t>排放</w:t>
      </w:r>
      <w:r>
        <w:rPr>
          <w:rFonts w:hint="default" w:ascii="Times New Roman" w:hAnsi="Times New Roman" w:eastAsia="宋体" w:cs="Times New Roman"/>
          <w:spacing w:val="-3"/>
          <w:sz w:val="24"/>
          <w:szCs w:val="24"/>
          <w:highlight w:val="none"/>
        </w:rPr>
        <w:t>浓度及</w:t>
      </w:r>
      <w:r>
        <w:rPr>
          <w:rFonts w:hint="eastAsia" w:ascii="Times New Roman" w:hAnsi="Times New Roman" w:eastAsia="宋体" w:cs="Times New Roman"/>
          <w:spacing w:val="-3"/>
          <w:sz w:val="24"/>
          <w:szCs w:val="24"/>
          <w:highlight w:val="none"/>
          <w:lang w:val="en-US" w:eastAsia="zh-CN"/>
        </w:rPr>
        <w:t>排放</w:t>
      </w:r>
      <w:r>
        <w:rPr>
          <w:rFonts w:hint="default" w:ascii="Times New Roman" w:hAnsi="Times New Roman" w:eastAsia="宋体" w:cs="Times New Roman"/>
          <w:spacing w:val="-3"/>
          <w:sz w:val="24"/>
          <w:szCs w:val="24"/>
          <w:highlight w:val="none"/>
        </w:rPr>
        <w:t>量分别为</w:t>
      </w:r>
      <w:r>
        <w:rPr>
          <w:rFonts w:hint="default" w:ascii="Times New Roman" w:hAnsi="Times New Roman" w:eastAsia="宋体" w:cs="Times New Roman"/>
          <w:spacing w:val="-36"/>
          <w:sz w:val="24"/>
          <w:szCs w:val="24"/>
          <w:highlight w:val="none"/>
        </w:rPr>
        <w:t xml:space="preserve"> </w:t>
      </w:r>
      <w:r>
        <w:rPr>
          <w:rFonts w:hint="default" w:ascii="Times New Roman" w:hAnsi="Times New Roman" w:eastAsia="Times New Roman" w:cs="Times New Roman"/>
          <w:spacing w:val="-3"/>
          <w:sz w:val="24"/>
          <w:szCs w:val="24"/>
          <w:highlight w:val="none"/>
        </w:rPr>
        <w:t>COD</w:t>
      </w:r>
      <w:r>
        <w:rPr>
          <w:rFonts w:hint="default" w:ascii="Times New Roman" w:hAnsi="Times New Roman" w:eastAsia="宋体" w:cs="Times New Roman"/>
          <w:spacing w:val="-3"/>
          <w:sz w:val="24"/>
          <w:szCs w:val="24"/>
          <w:highlight w:val="none"/>
        </w:rPr>
        <w:t>：</w:t>
      </w:r>
      <w:r>
        <w:rPr>
          <w:rFonts w:hint="eastAsia" w:ascii="Times New Roman" w:hAnsi="Times New Roman" w:eastAsia="宋体" w:cs="Times New Roman"/>
          <w:spacing w:val="-3"/>
          <w:sz w:val="24"/>
          <w:szCs w:val="24"/>
          <w:highlight w:val="none"/>
          <w:lang w:val="en-US" w:eastAsia="zh-CN"/>
        </w:rPr>
        <w:t>238</w:t>
      </w:r>
      <w:r>
        <w:rPr>
          <w:rFonts w:hint="default" w:ascii="Times New Roman" w:hAnsi="Times New Roman" w:eastAsia="Times New Roman" w:cs="Times New Roman"/>
          <w:spacing w:val="-3"/>
          <w:sz w:val="24"/>
          <w:szCs w:val="24"/>
          <w:highlight w:val="none"/>
        </w:rPr>
        <w:t>mg/L</w:t>
      </w:r>
      <w:r>
        <w:rPr>
          <w:rFonts w:hint="default" w:ascii="Times New Roman" w:hAnsi="Times New Roman" w:eastAsia="宋体" w:cs="Times New Roman"/>
          <w:spacing w:val="-3"/>
          <w:sz w:val="24"/>
          <w:szCs w:val="24"/>
          <w:highlight w:val="none"/>
          <w:lang w:eastAsia="zh-CN"/>
        </w:rPr>
        <w:t>、</w:t>
      </w:r>
      <w:r>
        <w:rPr>
          <w:rFonts w:hint="eastAsia" w:ascii="Times New Roman" w:hAnsi="Times New Roman" w:eastAsia="宋体" w:cs="Times New Roman"/>
          <w:spacing w:val="-3"/>
          <w:sz w:val="24"/>
          <w:szCs w:val="24"/>
          <w:highlight w:val="none"/>
          <w:lang w:val="en-US" w:eastAsia="zh-CN"/>
        </w:rPr>
        <w:t>17.67</w:t>
      </w:r>
      <w:r>
        <w:rPr>
          <w:rFonts w:hint="default" w:ascii="Times New Roman" w:hAnsi="Times New Roman" w:eastAsia="宋体" w:cs="Times New Roman"/>
          <w:spacing w:val="-3"/>
          <w:sz w:val="24"/>
          <w:szCs w:val="24"/>
          <w:highlight w:val="none"/>
          <w:lang w:val="en-US" w:eastAsia="zh-CN"/>
        </w:rPr>
        <w:t>t/a；</w:t>
      </w:r>
      <w:r>
        <w:rPr>
          <w:rFonts w:hint="default" w:ascii="Times New Roman" w:hAnsi="Times New Roman" w:eastAsia="Times New Roman" w:cs="Times New Roman"/>
          <w:spacing w:val="-3"/>
          <w:sz w:val="24"/>
          <w:szCs w:val="24"/>
          <w:highlight w:val="none"/>
        </w:rPr>
        <w:t>BOD</w:t>
      </w:r>
      <w:r>
        <w:rPr>
          <w:rFonts w:hint="default" w:ascii="Times New Roman" w:hAnsi="Times New Roman" w:eastAsia="Times New Roman" w:cs="Times New Roman"/>
          <w:spacing w:val="-3"/>
          <w:position w:val="-1"/>
          <w:sz w:val="15"/>
          <w:szCs w:val="15"/>
          <w:highlight w:val="none"/>
        </w:rPr>
        <w:t>5</w:t>
      </w:r>
      <w:r>
        <w:rPr>
          <w:rFonts w:hint="default" w:ascii="Times New Roman" w:hAnsi="Times New Roman" w:eastAsia="Times New Roman" w:cs="Times New Roman"/>
          <w:spacing w:val="-9"/>
          <w:position w:val="-1"/>
          <w:sz w:val="15"/>
          <w:szCs w:val="15"/>
          <w:highlight w:val="none"/>
        </w:rPr>
        <w:t xml:space="preserve"> </w:t>
      </w:r>
      <w:r>
        <w:rPr>
          <w:rFonts w:hint="default" w:ascii="Times New Roman" w:hAnsi="Times New Roman" w:eastAsia="宋体" w:cs="Times New Roman"/>
          <w:spacing w:val="-3"/>
          <w:sz w:val="24"/>
          <w:szCs w:val="24"/>
          <w:highlight w:val="none"/>
        </w:rPr>
        <w:t>：</w:t>
      </w:r>
      <w:r>
        <w:rPr>
          <w:rFonts w:hint="eastAsia" w:ascii="Times New Roman" w:hAnsi="Times New Roman" w:eastAsia="宋体" w:cs="Times New Roman"/>
          <w:spacing w:val="-3"/>
          <w:sz w:val="24"/>
          <w:szCs w:val="24"/>
          <w:highlight w:val="none"/>
          <w:lang w:val="en-US" w:eastAsia="zh-CN"/>
        </w:rPr>
        <w:t>150</w:t>
      </w:r>
      <w:r>
        <w:rPr>
          <w:rFonts w:hint="default" w:ascii="Times New Roman" w:hAnsi="Times New Roman" w:eastAsia="Times New Roman" w:cs="Times New Roman"/>
          <w:spacing w:val="-3"/>
          <w:sz w:val="24"/>
          <w:szCs w:val="24"/>
          <w:highlight w:val="none"/>
        </w:rPr>
        <w:t>mg/L</w:t>
      </w:r>
      <w:r>
        <w:rPr>
          <w:rFonts w:hint="default" w:ascii="Times New Roman" w:hAnsi="Times New Roman" w:eastAsia="宋体" w:cs="Times New Roman"/>
          <w:spacing w:val="-3"/>
          <w:sz w:val="24"/>
          <w:szCs w:val="24"/>
          <w:highlight w:val="none"/>
          <w:lang w:eastAsia="zh-CN"/>
        </w:rPr>
        <w:t>、</w:t>
      </w:r>
      <w:r>
        <w:rPr>
          <w:rFonts w:hint="eastAsia" w:ascii="Times New Roman" w:hAnsi="Times New Roman" w:eastAsia="宋体" w:cs="Times New Roman"/>
          <w:spacing w:val="-3"/>
          <w:sz w:val="24"/>
          <w:szCs w:val="24"/>
          <w:highlight w:val="none"/>
          <w:lang w:val="en-US" w:eastAsia="zh-CN"/>
        </w:rPr>
        <w:t>11.14</w:t>
      </w:r>
      <w:r>
        <w:rPr>
          <w:rFonts w:hint="default" w:ascii="Times New Roman" w:hAnsi="Times New Roman" w:eastAsia="宋体" w:cs="Times New Roman"/>
          <w:spacing w:val="-3"/>
          <w:sz w:val="24"/>
          <w:szCs w:val="24"/>
          <w:highlight w:val="none"/>
          <w:lang w:val="en-US" w:eastAsia="zh-CN"/>
        </w:rPr>
        <w:t>t/a；</w:t>
      </w:r>
      <w:r>
        <w:rPr>
          <w:rFonts w:hint="default" w:ascii="Times New Roman" w:hAnsi="Times New Roman" w:eastAsia="Times New Roman" w:cs="Times New Roman"/>
          <w:spacing w:val="-3"/>
          <w:sz w:val="24"/>
          <w:szCs w:val="24"/>
          <w:highlight w:val="none"/>
        </w:rPr>
        <w:t>SS</w:t>
      </w:r>
      <w:r>
        <w:rPr>
          <w:rFonts w:hint="default" w:ascii="Times New Roman" w:hAnsi="Times New Roman" w:eastAsia="宋体" w:cs="Times New Roman"/>
          <w:spacing w:val="-3"/>
          <w:sz w:val="24"/>
          <w:szCs w:val="24"/>
          <w:highlight w:val="none"/>
        </w:rPr>
        <w:t>：</w:t>
      </w:r>
      <w:r>
        <w:rPr>
          <w:rFonts w:hint="eastAsia" w:ascii="Times New Roman" w:hAnsi="Times New Roman" w:eastAsia="宋体" w:cs="Times New Roman"/>
          <w:spacing w:val="-3"/>
          <w:sz w:val="24"/>
          <w:szCs w:val="24"/>
          <w:highlight w:val="none"/>
          <w:lang w:val="en-US" w:eastAsia="zh-CN"/>
        </w:rPr>
        <w:t>160</w:t>
      </w:r>
      <w:r>
        <w:rPr>
          <w:rFonts w:hint="default" w:ascii="Times New Roman" w:hAnsi="Times New Roman" w:eastAsia="Times New Roman" w:cs="Times New Roman"/>
          <w:spacing w:val="-3"/>
          <w:sz w:val="24"/>
          <w:szCs w:val="24"/>
          <w:highlight w:val="none"/>
        </w:rPr>
        <w:t>mg  /L</w:t>
      </w:r>
      <w:r>
        <w:rPr>
          <w:rFonts w:hint="default" w:ascii="Times New Roman" w:hAnsi="Times New Roman" w:eastAsia="Times New Roman" w:cs="Times New Roman"/>
          <w:spacing w:val="-31"/>
          <w:sz w:val="24"/>
          <w:szCs w:val="24"/>
          <w:highlight w:val="none"/>
        </w:rPr>
        <w:t xml:space="preserve"> </w:t>
      </w:r>
      <w:r>
        <w:rPr>
          <w:rFonts w:hint="default" w:ascii="Times New Roman" w:hAnsi="Times New Roman" w:eastAsia="宋体" w:cs="Times New Roman"/>
          <w:spacing w:val="-31"/>
          <w:sz w:val="24"/>
          <w:szCs w:val="24"/>
          <w:highlight w:val="none"/>
          <w:lang w:eastAsia="zh-CN"/>
        </w:rPr>
        <w:t>、</w:t>
      </w:r>
      <w:r>
        <w:rPr>
          <w:rFonts w:hint="eastAsia" w:ascii="Times New Roman" w:hAnsi="Times New Roman" w:eastAsia="宋体" w:cs="Times New Roman"/>
          <w:spacing w:val="-3"/>
          <w:sz w:val="24"/>
          <w:szCs w:val="24"/>
          <w:highlight w:val="none"/>
          <w:lang w:val="en-US" w:eastAsia="zh-CN"/>
        </w:rPr>
        <w:t>11.88</w:t>
      </w:r>
      <w:r>
        <w:rPr>
          <w:rFonts w:hint="default" w:ascii="Times New Roman" w:hAnsi="Times New Roman" w:eastAsia="宋体" w:cs="Times New Roman"/>
          <w:spacing w:val="-3"/>
          <w:sz w:val="24"/>
          <w:szCs w:val="24"/>
          <w:highlight w:val="none"/>
          <w:lang w:val="en-US" w:eastAsia="zh-CN"/>
        </w:rPr>
        <w:t>t/a</w:t>
      </w:r>
      <w:r>
        <w:rPr>
          <w:rFonts w:hint="default" w:ascii="Times New Roman" w:hAnsi="Times New Roman" w:eastAsia="宋体" w:cs="Times New Roman"/>
          <w:spacing w:val="-3"/>
          <w:sz w:val="24"/>
          <w:szCs w:val="24"/>
          <w:highlight w:val="none"/>
          <w:lang w:eastAsia="zh-CN"/>
        </w:rPr>
        <w:t>；</w:t>
      </w:r>
      <w:r>
        <w:rPr>
          <w:rFonts w:hint="default" w:ascii="Times New Roman" w:hAnsi="Times New Roman" w:eastAsia="Times New Roman" w:cs="Times New Roman"/>
          <w:spacing w:val="-3"/>
          <w:sz w:val="24"/>
          <w:szCs w:val="24"/>
          <w:highlight w:val="none"/>
        </w:rPr>
        <w:t>NH</w:t>
      </w:r>
      <w:r>
        <w:rPr>
          <w:rFonts w:hint="default" w:ascii="Times New Roman" w:hAnsi="Times New Roman" w:eastAsia="Times New Roman" w:cs="Times New Roman"/>
          <w:spacing w:val="-3"/>
          <w:position w:val="-1"/>
          <w:sz w:val="15"/>
          <w:szCs w:val="15"/>
          <w:highlight w:val="none"/>
        </w:rPr>
        <w:t>3</w:t>
      </w:r>
      <w:r>
        <w:rPr>
          <w:rFonts w:hint="default" w:ascii="Times New Roman" w:hAnsi="Times New Roman" w:eastAsia="Times New Roman" w:cs="Times New Roman"/>
          <w:spacing w:val="-3"/>
          <w:sz w:val="24"/>
          <w:szCs w:val="24"/>
          <w:highlight w:val="none"/>
        </w:rPr>
        <w:t>-N</w:t>
      </w:r>
      <w:r>
        <w:rPr>
          <w:rFonts w:hint="default" w:ascii="Times New Roman" w:hAnsi="Times New Roman" w:eastAsia="宋体" w:cs="Times New Roman"/>
          <w:spacing w:val="-3"/>
          <w:sz w:val="24"/>
          <w:szCs w:val="24"/>
          <w:highlight w:val="none"/>
        </w:rPr>
        <w:t>：</w:t>
      </w:r>
      <w:r>
        <w:rPr>
          <w:rFonts w:hint="eastAsia" w:ascii="Times New Roman" w:hAnsi="Times New Roman" w:eastAsia="宋体" w:cs="Times New Roman"/>
          <w:spacing w:val="-3"/>
          <w:sz w:val="24"/>
          <w:szCs w:val="24"/>
          <w:highlight w:val="none"/>
          <w:lang w:val="en-US" w:eastAsia="zh-CN"/>
        </w:rPr>
        <w:t>18.6</w:t>
      </w:r>
      <w:r>
        <w:rPr>
          <w:rFonts w:hint="default" w:ascii="Times New Roman" w:hAnsi="Times New Roman" w:eastAsia="Times New Roman" w:cs="Times New Roman"/>
          <w:spacing w:val="-3"/>
          <w:sz w:val="24"/>
          <w:szCs w:val="24"/>
          <w:highlight w:val="none"/>
        </w:rPr>
        <w:t>mg/L</w:t>
      </w:r>
      <w:r>
        <w:rPr>
          <w:rFonts w:hint="default" w:ascii="Times New Roman" w:hAnsi="Times New Roman" w:eastAsia="宋体" w:cs="Times New Roman"/>
          <w:spacing w:val="-31"/>
          <w:sz w:val="24"/>
          <w:szCs w:val="24"/>
          <w:highlight w:val="none"/>
          <w:lang w:eastAsia="zh-CN"/>
        </w:rPr>
        <w:t>、</w:t>
      </w:r>
      <w:r>
        <w:rPr>
          <w:rFonts w:hint="eastAsia" w:ascii="Times New Roman" w:hAnsi="Times New Roman" w:eastAsia="宋体" w:cs="Times New Roman"/>
          <w:spacing w:val="-3"/>
          <w:sz w:val="24"/>
          <w:szCs w:val="24"/>
          <w:highlight w:val="none"/>
          <w:lang w:val="en-US" w:eastAsia="zh-CN"/>
        </w:rPr>
        <w:t>1.38</w:t>
      </w:r>
      <w:r>
        <w:rPr>
          <w:rFonts w:hint="default" w:ascii="Times New Roman" w:hAnsi="Times New Roman" w:eastAsia="宋体" w:cs="Times New Roman"/>
          <w:spacing w:val="-3"/>
          <w:sz w:val="24"/>
          <w:szCs w:val="24"/>
          <w:highlight w:val="none"/>
          <w:lang w:val="en-US" w:eastAsia="zh-CN"/>
        </w:rPr>
        <w:t>t/a</w:t>
      </w:r>
      <w:r>
        <w:rPr>
          <w:rFonts w:hint="default" w:ascii="Times New Roman" w:hAnsi="Times New Roman" w:eastAsia="宋体" w:cs="Times New Roman"/>
          <w:spacing w:val="-31"/>
          <w:sz w:val="24"/>
          <w:szCs w:val="24"/>
          <w:highlight w:val="none"/>
          <w:lang w:eastAsia="zh-CN"/>
        </w:rPr>
        <w:t>；</w:t>
      </w:r>
      <w:r>
        <w:rPr>
          <w:rFonts w:hint="default" w:ascii="Times New Roman" w:hAnsi="Times New Roman" w:eastAsia="宋体" w:cs="Times New Roman"/>
          <w:spacing w:val="-3"/>
          <w:sz w:val="24"/>
          <w:szCs w:val="24"/>
          <w:highlight w:val="none"/>
          <w:lang w:val="en-US" w:eastAsia="zh-CN"/>
        </w:rPr>
        <w:t>动植物油</w:t>
      </w:r>
      <w:r>
        <w:rPr>
          <w:rFonts w:hint="default" w:ascii="Times New Roman" w:hAnsi="Times New Roman" w:eastAsia="宋体" w:cs="Times New Roman"/>
          <w:spacing w:val="-3"/>
          <w:sz w:val="24"/>
          <w:szCs w:val="24"/>
          <w:highlight w:val="none"/>
        </w:rPr>
        <w:t>：</w:t>
      </w:r>
      <w:r>
        <w:rPr>
          <w:rFonts w:hint="eastAsia" w:ascii="Times New Roman" w:hAnsi="Times New Roman" w:eastAsia="宋体" w:cs="Times New Roman"/>
          <w:spacing w:val="-3"/>
          <w:sz w:val="24"/>
          <w:szCs w:val="24"/>
          <w:highlight w:val="none"/>
          <w:lang w:val="en-US" w:eastAsia="zh-CN"/>
        </w:rPr>
        <w:t>45.7</w:t>
      </w:r>
      <w:r>
        <w:rPr>
          <w:rFonts w:hint="default" w:ascii="Times New Roman" w:hAnsi="Times New Roman" w:eastAsia="Times New Roman" w:cs="Times New Roman"/>
          <w:spacing w:val="-3"/>
          <w:sz w:val="24"/>
          <w:szCs w:val="24"/>
          <w:highlight w:val="none"/>
        </w:rPr>
        <w:t>mg/L</w:t>
      </w:r>
      <w:r>
        <w:rPr>
          <w:rFonts w:hint="default" w:ascii="Times New Roman" w:hAnsi="Times New Roman" w:eastAsia="宋体" w:cs="Times New Roman"/>
          <w:spacing w:val="-31"/>
          <w:sz w:val="24"/>
          <w:szCs w:val="24"/>
          <w:highlight w:val="none"/>
          <w:lang w:eastAsia="zh-CN"/>
        </w:rPr>
        <w:t>、</w:t>
      </w:r>
      <w:r>
        <w:rPr>
          <w:rFonts w:hint="eastAsia" w:ascii="Times New Roman" w:hAnsi="Times New Roman" w:eastAsia="宋体" w:cs="Times New Roman"/>
          <w:spacing w:val="-3"/>
          <w:sz w:val="24"/>
          <w:szCs w:val="24"/>
          <w:highlight w:val="none"/>
          <w:lang w:val="en-US" w:eastAsia="zh-CN"/>
        </w:rPr>
        <w:t>3.39</w:t>
      </w:r>
      <w:r>
        <w:rPr>
          <w:rFonts w:hint="default" w:ascii="Times New Roman" w:hAnsi="Times New Roman" w:eastAsia="宋体" w:cs="Times New Roman"/>
          <w:spacing w:val="-3"/>
          <w:sz w:val="24"/>
          <w:szCs w:val="24"/>
          <w:highlight w:val="none"/>
          <w:lang w:val="en-US" w:eastAsia="zh-CN"/>
        </w:rPr>
        <w:t>t/a</w:t>
      </w:r>
      <w:r>
        <w:rPr>
          <w:rFonts w:hint="default" w:ascii="Times New Roman" w:hAnsi="Times New Roman" w:eastAsia="宋体" w:cs="Times New Roman"/>
          <w:spacing w:val="-3"/>
          <w:sz w:val="24"/>
          <w:szCs w:val="24"/>
          <w:highlight w:val="none"/>
          <w:lang w:eastAsia="zh-CN"/>
        </w:rPr>
        <w:t>；</w:t>
      </w:r>
      <w:r>
        <w:rPr>
          <w:rFonts w:hint="default" w:ascii="Times New Roman" w:hAnsi="Times New Roman" w:eastAsia="宋体" w:cs="Times New Roman"/>
          <w:spacing w:val="-4"/>
          <w:sz w:val="24"/>
          <w:szCs w:val="24"/>
          <w:highlight w:val="none"/>
        </w:rPr>
        <w:t>粪大肠菌群</w:t>
      </w:r>
      <w:r>
        <w:rPr>
          <w:rFonts w:hint="default" w:ascii="Times New Roman" w:hAnsi="Times New Roman" w:eastAsia="宋体" w:cs="Times New Roman"/>
          <w:spacing w:val="-1"/>
          <w:sz w:val="24"/>
          <w:szCs w:val="24"/>
          <w:highlight w:val="none"/>
        </w:rPr>
        <w:t>数：</w:t>
      </w:r>
      <w:r>
        <w:rPr>
          <w:rFonts w:hint="default" w:ascii="Times New Roman" w:hAnsi="Times New Roman" w:eastAsia="宋体" w:cs="Times New Roman"/>
          <w:color w:val="auto"/>
          <w:sz w:val="21"/>
          <w:szCs w:val="21"/>
          <w:highlight w:val="none"/>
          <w:lang w:val="en-US" w:eastAsia="zh-CN"/>
        </w:rPr>
        <w:t>≥24000</w:t>
      </w:r>
      <w:r>
        <w:rPr>
          <w:rFonts w:hint="default" w:ascii="Times New Roman" w:hAnsi="Times New Roman" w:eastAsia="宋体" w:cs="Times New Roman"/>
          <w:spacing w:val="-1"/>
          <w:sz w:val="24"/>
          <w:szCs w:val="24"/>
          <w:highlight w:val="none"/>
        </w:rPr>
        <w:t>个</w:t>
      </w:r>
      <w:r>
        <w:rPr>
          <w:rFonts w:hint="default" w:ascii="Times New Roman" w:hAnsi="Times New Roman" w:eastAsia="Times New Roman" w:cs="Times New Roman"/>
          <w:spacing w:val="-1"/>
          <w:sz w:val="24"/>
          <w:szCs w:val="24"/>
          <w:highlight w:val="none"/>
        </w:rPr>
        <w:t>/L</w:t>
      </w:r>
      <w:r>
        <w:rPr>
          <w:rFonts w:hint="default" w:ascii="Times New Roman" w:hAnsi="Times New Roman" w:eastAsia="宋体" w:cs="Times New Roman"/>
          <w:spacing w:val="-1"/>
          <w:sz w:val="24"/>
          <w:szCs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76" w:firstLineChars="200"/>
        <w:textAlignment w:val="baseline"/>
        <w:rPr>
          <w:rFonts w:hint="eastAsia" w:ascii="Times New Roman" w:hAnsi="Times New Roman" w:eastAsia="宋体" w:cs="Times New Roman"/>
          <w:spacing w:val="-1"/>
          <w:sz w:val="24"/>
          <w:szCs w:val="24"/>
          <w:highlight w:val="none"/>
          <w:lang w:val="en-US" w:eastAsia="zh-CN"/>
        </w:rPr>
      </w:pPr>
      <w:r>
        <w:rPr>
          <w:rFonts w:hint="eastAsia" w:ascii="Times New Roman" w:hAnsi="Times New Roman" w:eastAsia="宋体" w:cs="Times New Roman"/>
          <w:spacing w:val="-1"/>
          <w:sz w:val="24"/>
          <w:szCs w:val="24"/>
          <w:highlight w:val="none"/>
          <w:lang w:val="en-US" w:eastAsia="zh-CN"/>
        </w:rPr>
        <w:t>改</w:t>
      </w:r>
      <w:r>
        <w:rPr>
          <w:rFonts w:hint="default" w:ascii="Times New Roman" w:hAnsi="Times New Roman" w:eastAsia="宋体" w:cs="Times New Roman"/>
          <w:spacing w:val="-1"/>
          <w:sz w:val="24"/>
          <w:szCs w:val="24"/>
          <w:highlight w:val="none"/>
          <w:lang w:val="en-US" w:eastAsia="zh-CN"/>
        </w:rPr>
        <w:t>扩建后全厂</w:t>
      </w:r>
      <w:r>
        <w:rPr>
          <w:rFonts w:hint="default" w:ascii="Times New Roman" w:hAnsi="Times New Roman" w:eastAsia="宋体" w:cs="Times New Roman"/>
          <w:spacing w:val="-3"/>
          <w:sz w:val="24"/>
          <w:szCs w:val="24"/>
          <w:highlight w:val="none"/>
        </w:rPr>
        <w:t>废水中主要污染物</w:t>
      </w:r>
      <w:r>
        <w:rPr>
          <w:rFonts w:hint="eastAsia" w:ascii="Times New Roman" w:hAnsi="Times New Roman" w:eastAsia="宋体" w:cs="Times New Roman"/>
          <w:spacing w:val="-3"/>
          <w:sz w:val="24"/>
          <w:szCs w:val="24"/>
          <w:highlight w:val="none"/>
          <w:lang w:val="en-US" w:eastAsia="zh-CN"/>
        </w:rPr>
        <w:t>排放</w:t>
      </w:r>
      <w:r>
        <w:rPr>
          <w:rFonts w:hint="default" w:ascii="Times New Roman" w:hAnsi="Times New Roman" w:eastAsia="宋体" w:cs="Times New Roman"/>
          <w:spacing w:val="-3"/>
          <w:sz w:val="24"/>
          <w:szCs w:val="24"/>
          <w:highlight w:val="none"/>
        </w:rPr>
        <w:t>浓度及</w:t>
      </w:r>
      <w:r>
        <w:rPr>
          <w:rFonts w:hint="eastAsia" w:ascii="Times New Roman" w:hAnsi="Times New Roman" w:eastAsia="宋体" w:cs="Times New Roman"/>
          <w:spacing w:val="-3"/>
          <w:sz w:val="24"/>
          <w:szCs w:val="24"/>
          <w:highlight w:val="none"/>
          <w:lang w:val="en-US" w:eastAsia="zh-CN"/>
        </w:rPr>
        <w:t>排放</w:t>
      </w:r>
      <w:r>
        <w:rPr>
          <w:rFonts w:hint="default" w:ascii="Times New Roman" w:hAnsi="Times New Roman" w:eastAsia="宋体" w:cs="Times New Roman"/>
          <w:spacing w:val="-3"/>
          <w:sz w:val="24"/>
          <w:szCs w:val="24"/>
          <w:highlight w:val="none"/>
        </w:rPr>
        <w:t>量分别为</w:t>
      </w:r>
      <w:r>
        <w:rPr>
          <w:rFonts w:hint="default" w:ascii="Times New Roman" w:hAnsi="Times New Roman" w:eastAsia="宋体" w:cs="Times New Roman"/>
          <w:spacing w:val="-36"/>
          <w:sz w:val="24"/>
          <w:szCs w:val="24"/>
          <w:highlight w:val="none"/>
        </w:rPr>
        <w:t xml:space="preserve"> </w:t>
      </w:r>
      <w:r>
        <w:rPr>
          <w:rFonts w:hint="default" w:ascii="Times New Roman" w:hAnsi="Times New Roman" w:eastAsia="Times New Roman" w:cs="Times New Roman"/>
          <w:spacing w:val="-3"/>
          <w:sz w:val="24"/>
          <w:szCs w:val="24"/>
          <w:highlight w:val="none"/>
        </w:rPr>
        <w:t>COD</w:t>
      </w:r>
      <w:r>
        <w:rPr>
          <w:rFonts w:hint="default" w:ascii="Times New Roman" w:hAnsi="Times New Roman" w:eastAsia="宋体" w:cs="Times New Roman"/>
          <w:spacing w:val="-3"/>
          <w:sz w:val="24"/>
          <w:szCs w:val="24"/>
          <w:highlight w:val="none"/>
        </w:rPr>
        <w:t>：</w:t>
      </w:r>
      <w:r>
        <w:rPr>
          <w:rFonts w:hint="eastAsia" w:ascii="Times New Roman" w:hAnsi="Times New Roman" w:eastAsia="宋体" w:cs="Times New Roman"/>
          <w:spacing w:val="-3"/>
          <w:sz w:val="24"/>
          <w:szCs w:val="24"/>
          <w:highlight w:val="none"/>
          <w:lang w:val="en-US" w:eastAsia="zh-CN"/>
        </w:rPr>
        <w:t>238</w:t>
      </w:r>
      <w:r>
        <w:rPr>
          <w:rFonts w:hint="default" w:ascii="Times New Roman" w:hAnsi="Times New Roman" w:eastAsia="Times New Roman" w:cs="Times New Roman"/>
          <w:spacing w:val="-3"/>
          <w:sz w:val="24"/>
          <w:szCs w:val="24"/>
          <w:highlight w:val="none"/>
        </w:rPr>
        <w:t>mg/L</w:t>
      </w:r>
      <w:r>
        <w:rPr>
          <w:rFonts w:hint="default" w:ascii="Times New Roman" w:hAnsi="Times New Roman" w:eastAsia="宋体" w:cs="Times New Roman"/>
          <w:spacing w:val="-3"/>
          <w:sz w:val="24"/>
          <w:szCs w:val="24"/>
          <w:highlight w:val="none"/>
          <w:lang w:eastAsia="zh-CN"/>
        </w:rPr>
        <w:t>、</w:t>
      </w:r>
      <w:r>
        <w:rPr>
          <w:rFonts w:hint="eastAsia" w:ascii="Times New Roman" w:hAnsi="Times New Roman" w:eastAsia="宋体" w:cs="Times New Roman"/>
          <w:spacing w:val="-3"/>
          <w:sz w:val="24"/>
          <w:szCs w:val="24"/>
          <w:highlight w:val="none"/>
          <w:lang w:val="en-US" w:eastAsia="zh-CN"/>
        </w:rPr>
        <w:t>19.02</w:t>
      </w:r>
      <w:r>
        <w:rPr>
          <w:rFonts w:hint="default" w:ascii="Times New Roman" w:hAnsi="Times New Roman" w:eastAsia="宋体" w:cs="Times New Roman"/>
          <w:spacing w:val="-3"/>
          <w:sz w:val="24"/>
          <w:szCs w:val="24"/>
          <w:highlight w:val="none"/>
          <w:lang w:val="en-US" w:eastAsia="zh-CN"/>
        </w:rPr>
        <w:t>t/a；</w:t>
      </w:r>
      <w:r>
        <w:rPr>
          <w:rFonts w:hint="default" w:ascii="Times New Roman" w:hAnsi="Times New Roman" w:eastAsia="Times New Roman" w:cs="Times New Roman"/>
          <w:spacing w:val="-3"/>
          <w:sz w:val="24"/>
          <w:szCs w:val="24"/>
          <w:highlight w:val="none"/>
        </w:rPr>
        <w:t>BOD</w:t>
      </w:r>
      <w:r>
        <w:rPr>
          <w:rFonts w:hint="default" w:ascii="Times New Roman" w:hAnsi="Times New Roman" w:eastAsia="Times New Roman" w:cs="Times New Roman"/>
          <w:spacing w:val="-3"/>
          <w:position w:val="-1"/>
          <w:sz w:val="15"/>
          <w:szCs w:val="15"/>
          <w:highlight w:val="none"/>
        </w:rPr>
        <w:t>5</w:t>
      </w:r>
      <w:r>
        <w:rPr>
          <w:rFonts w:hint="default" w:ascii="Times New Roman" w:hAnsi="Times New Roman" w:eastAsia="Times New Roman" w:cs="Times New Roman"/>
          <w:spacing w:val="-9"/>
          <w:position w:val="-1"/>
          <w:sz w:val="15"/>
          <w:szCs w:val="15"/>
          <w:highlight w:val="none"/>
        </w:rPr>
        <w:t xml:space="preserve"> </w:t>
      </w:r>
      <w:r>
        <w:rPr>
          <w:rFonts w:hint="default" w:ascii="Times New Roman" w:hAnsi="Times New Roman" w:eastAsia="宋体" w:cs="Times New Roman"/>
          <w:spacing w:val="-3"/>
          <w:sz w:val="24"/>
          <w:szCs w:val="24"/>
          <w:highlight w:val="none"/>
        </w:rPr>
        <w:t>：</w:t>
      </w:r>
      <w:r>
        <w:rPr>
          <w:rFonts w:hint="eastAsia" w:ascii="Times New Roman" w:hAnsi="Times New Roman" w:eastAsia="宋体" w:cs="Times New Roman"/>
          <w:spacing w:val="-3"/>
          <w:sz w:val="24"/>
          <w:szCs w:val="24"/>
          <w:highlight w:val="none"/>
          <w:lang w:val="en-US" w:eastAsia="zh-CN"/>
        </w:rPr>
        <w:t>150</w:t>
      </w:r>
      <w:r>
        <w:rPr>
          <w:rFonts w:hint="default" w:ascii="Times New Roman" w:hAnsi="Times New Roman" w:eastAsia="Times New Roman" w:cs="Times New Roman"/>
          <w:spacing w:val="-3"/>
          <w:sz w:val="24"/>
          <w:szCs w:val="24"/>
          <w:highlight w:val="none"/>
        </w:rPr>
        <w:t>mg/L</w:t>
      </w:r>
      <w:r>
        <w:rPr>
          <w:rFonts w:hint="default" w:ascii="Times New Roman" w:hAnsi="Times New Roman" w:eastAsia="宋体" w:cs="Times New Roman"/>
          <w:spacing w:val="-3"/>
          <w:sz w:val="24"/>
          <w:szCs w:val="24"/>
          <w:highlight w:val="none"/>
          <w:lang w:eastAsia="zh-CN"/>
        </w:rPr>
        <w:t>、</w:t>
      </w:r>
      <w:r>
        <w:rPr>
          <w:rFonts w:hint="eastAsia" w:ascii="Times New Roman" w:hAnsi="Times New Roman" w:eastAsia="宋体" w:cs="Times New Roman"/>
          <w:spacing w:val="-3"/>
          <w:sz w:val="24"/>
          <w:szCs w:val="24"/>
          <w:highlight w:val="none"/>
          <w:lang w:val="en-US" w:eastAsia="zh-CN"/>
        </w:rPr>
        <w:t>11.99</w:t>
      </w:r>
      <w:r>
        <w:rPr>
          <w:rFonts w:hint="default" w:ascii="Times New Roman" w:hAnsi="Times New Roman" w:eastAsia="宋体" w:cs="Times New Roman"/>
          <w:spacing w:val="-3"/>
          <w:sz w:val="24"/>
          <w:szCs w:val="24"/>
          <w:highlight w:val="none"/>
          <w:lang w:val="en-US" w:eastAsia="zh-CN"/>
        </w:rPr>
        <w:t>t/a；</w:t>
      </w:r>
      <w:r>
        <w:rPr>
          <w:rFonts w:hint="default" w:ascii="Times New Roman" w:hAnsi="Times New Roman" w:eastAsia="Times New Roman" w:cs="Times New Roman"/>
          <w:spacing w:val="-3"/>
          <w:sz w:val="24"/>
          <w:szCs w:val="24"/>
          <w:highlight w:val="none"/>
        </w:rPr>
        <w:t>SS</w:t>
      </w:r>
      <w:r>
        <w:rPr>
          <w:rFonts w:hint="default" w:ascii="Times New Roman" w:hAnsi="Times New Roman" w:eastAsia="宋体" w:cs="Times New Roman"/>
          <w:spacing w:val="-3"/>
          <w:sz w:val="24"/>
          <w:szCs w:val="24"/>
          <w:highlight w:val="none"/>
        </w:rPr>
        <w:t>：</w:t>
      </w:r>
      <w:r>
        <w:rPr>
          <w:rFonts w:hint="eastAsia" w:ascii="Times New Roman" w:hAnsi="Times New Roman" w:eastAsia="宋体" w:cs="Times New Roman"/>
          <w:spacing w:val="-3"/>
          <w:sz w:val="24"/>
          <w:szCs w:val="24"/>
          <w:highlight w:val="none"/>
          <w:lang w:val="en-US" w:eastAsia="zh-CN"/>
        </w:rPr>
        <w:t>160</w:t>
      </w:r>
      <w:r>
        <w:rPr>
          <w:rFonts w:hint="default" w:ascii="Times New Roman" w:hAnsi="Times New Roman" w:eastAsia="Times New Roman" w:cs="Times New Roman"/>
          <w:spacing w:val="-3"/>
          <w:sz w:val="24"/>
          <w:szCs w:val="24"/>
          <w:highlight w:val="none"/>
        </w:rPr>
        <w:t>mg  /L</w:t>
      </w:r>
      <w:r>
        <w:rPr>
          <w:rFonts w:hint="default" w:ascii="Times New Roman" w:hAnsi="Times New Roman" w:eastAsia="Times New Roman" w:cs="Times New Roman"/>
          <w:spacing w:val="-31"/>
          <w:sz w:val="24"/>
          <w:szCs w:val="24"/>
          <w:highlight w:val="none"/>
        </w:rPr>
        <w:t xml:space="preserve"> </w:t>
      </w:r>
      <w:r>
        <w:rPr>
          <w:rFonts w:hint="default" w:ascii="Times New Roman" w:hAnsi="Times New Roman" w:eastAsia="宋体" w:cs="Times New Roman"/>
          <w:spacing w:val="-31"/>
          <w:sz w:val="24"/>
          <w:szCs w:val="24"/>
          <w:highlight w:val="none"/>
          <w:lang w:eastAsia="zh-CN"/>
        </w:rPr>
        <w:t>、</w:t>
      </w:r>
      <w:r>
        <w:rPr>
          <w:rFonts w:hint="eastAsia" w:ascii="Times New Roman" w:hAnsi="Times New Roman" w:eastAsia="宋体" w:cs="Times New Roman"/>
          <w:spacing w:val="-3"/>
          <w:sz w:val="24"/>
          <w:szCs w:val="24"/>
          <w:highlight w:val="none"/>
          <w:lang w:val="en-US" w:eastAsia="zh-CN"/>
        </w:rPr>
        <w:t>12.79</w:t>
      </w:r>
      <w:r>
        <w:rPr>
          <w:rFonts w:hint="default" w:ascii="Times New Roman" w:hAnsi="Times New Roman" w:eastAsia="宋体" w:cs="Times New Roman"/>
          <w:spacing w:val="-3"/>
          <w:sz w:val="24"/>
          <w:szCs w:val="24"/>
          <w:highlight w:val="none"/>
          <w:lang w:val="en-US" w:eastAsia="zh-CN"/>
        </w:rPr>
        <w:t>t/a</w:t>
      </w:r>
      <w:r>
        <w:rPr>
          <w:rFonts w:hint="default" w:ascii="Times New Roman" w:hAnsi="Times New Roman" w:eastAsia="宋体" w:cs="Times New Roman"/>
          <w:spacing w:val="-3"/>
          <w:sz w:val="24"/>
          <w:szCs w:val="24"/>
          <w:highlight w:val="none"/>
          <w:lang w:eastAsia="zh-CN"/>
        </w:rPr>
        <w:t>；</w:t>
      </w:r>
      <w:r>
        <w:rPr>
          <w:rFonts w:hint="default" w:ascii="Times New Roman" w:hAnsi="Times New Roman" w:eastAsia="Times New Roman" w:cs="Times New Roman"/>
          <w:spacing w:val="-3"/>
          <w:sz w:val="24"/>
          <w:szCs w:val="24"/>
          <w:highlight w:val="none"/>
        </w:rPr>
        <w:t>NH</w:t>
      </w:r>
      <w:r>
        <w:rPr>
          <w:rFonts w:hint="default" w:ascii="Times New Roman" w:hAnsi="Times New Roman" w:eastAsia="Times New Roman" w:cs="Times New Roman"/>
          <w:spacing w:val="-3"/>
          <w:position w:val="-1"/>
          <w:sz w:val="15"/>
          <w:szCs w:val="15"/>
          <w:highlight w:val="none"/>
        </w:rPr>
        <w:t>3</w:t>
      </w:r>
      <w:r>
        <w:rPr>
          <w:rFonts w:hint="default" w:ascii="Times New Roman" w:hAnsi="Times New Roman" w:eastAsia="Times New Roman" w:cs="Times New Roman"/>
          <w:spacing w:val="-3"/>
          <w:sz w:val="24"/>
          <w:szCs w:val="24"/>
          <w:highlight w:val="none"/>
        </w:rPr>
        <w:t>-N</w:t>
      </w:r>
      <w:r>
        <w:rPr>
          <w:rFonts w:hint="default" w:ascii="Times New Roman" w:hAnsi="Times New Roman" w:eastAsia="宋体" w:cs="Times New Roman"/>
          <w:spacing w:val="-3"/>
          <w:sz w:val="24"/>
          <w:szCs w:val="24"/>
          <w:highlight w:val="none"/>
        </w:rPr>
        <w:t>：</w:t>
      </w:r>
      <w:r>
        <w:rPr>
          <w:rFonts w:hint="eastAsia" w:ascii="Times New Roman" w:hAnsi="Times New Roman" w:eastAsia="宋体" w:cs="Times New Roman"/>
          <w:spacing w:val="-3"/>
          <w:sz w:val="24"/>
          <w:szCs w:val="24"/>
          <w:highlight w:val="none"/>
          <w:lang w:val="en-US" w:eastAsia="zh-CN"/>
        </w:rPr>
        <w:t>18.6</w:t>
      </w:r>
      <w:r>
        <w:rPr>
          <w:rFonts w:hint="default" w:ascii="Times New Roman" w:hAnsi="Times New Roman" w:eastAsia="Times New Roman" w:cs="Times New Roman"/>
          <w:spacing w:val="-3"/>
          <w:sz w:val="24"/>
          <w:szCs w:val="24"/>
          <w:highlight w:val="none"/>
        </w:rPr>
        <w:t>mg/L</w:t>
      </w:r>
      <w:r>
        <w:rPr>
          <w:rFonts w:hint="default" w:ascii="Times New Roman" w:hAnsi="Times New Roman" w:eastAsia="宋体" w:cs="Times New Roman"/>
          <w:spacing w:val="-31"/>
          <w:sz w:val="24"/>
          <w:szCs w:val="24"/>
          <w:highlight w:val="none"/>
          <w:lang w:eastAsia="zh-CN"/>
        </w:rPr>
        <w:t>、</w:t>
      </w:r>
      <w:r>
        <w:rPr>
          <w:rFonts w:hint="eastAsia" w:ascii="Times New Roman" w:hAnsi="Times New Roman" w:eastAsia="宋体" w:cs="Times New Roman"/>
          <w:spacing w:val="-3"/>
          <w:sz w:val="24"/>
          <w:szCs w:val="24"/>
          <w:highlight w:val="none"/>
          <w:lang w:val="en-US" w:eastAsia="zh-CN"/>
        </w:rPr>
        <w:t>1.49</w:t>
      </w:r>
      <w:r>
        <w:rPr>
          <w:rFonts w:hint="default" w:ascii="Times New Roman" w:hAnsi="Times New Roman" w:eastAsia="宋体" w:cs="Times New Roman"/>
          <w:spacing w:val="-3"/>
          <w:sz w:val="24"/>
          <w:szCs w:val="24"/>
          <w:highlight w:val="none"/>
          <w:lang w:val="en-US" w:eastAsia="zh-CN"/>
        </w:rPr>
        <w:t>t/a</w:t>
      </w:r>
      <w:r>
        <w:rPr>
          <w:rFonts w:hint="default" w:ascii="Times New Roman" w:hAnsi="Times New Roman" w:eastAsia="宋体" w:cs="Times New Roman"/>
          <w:spacing w:val="-31"/>
          <w:sz w:val="24"/>
          <w:szCs w:val="24"/>
          <w:highlight w:val="none"/>
          <w:lang w:eastAsia="zh-CN"/>
        </w:rPr>
        <w:t>；</w:t>
      </w:r>
      <w:r>
        <w:rPr>
          <w:rFonts w:hint="default" w:ascii="Times New Roman" w:hAnsi="Times New Roman" w:eastAsia="宋体" w:cs="Times New Roman"/>
          <w:spacing w:val="-3"/>
          <w:sz w:val="24"/>
          <w:szCs w:val="24"/>
          <w:highlight w:val="none"/>
          <w:lang w:val="en-US" w:eastAsia="zh-CN"/>
        </w:rPr>
        <w:t>动植物油</w:t>
      </w:r>
      <w:r>
        <w:rPr>
          <w:rFonts w:hint="default" w:ascii="Times New Roman" w:hAnsi="Times New Roman" w:eastAsia="宋体" w:cs="Times New Roman"/>
          <w:spacing w:val="-3"/>
          <w:sz w:val="24"/>
          <w:szCs w:val="24"/>
          <w:highlight w:val="none"/>
        </w:rPr>
        <w:t>：</w:t>
      </w:r>
      <w:r>
        <w:rPr>
          <w:rFonts w:hint="eastAsia" w:ascii="Times New Roman" w:hAnsi="Times New Roman" w:eastAsia="宋体" w:cs="Times New Roman"/>
          <w:spacing w:val="-3"/>
          <w:sz w:val="24"/>
          <w:szCs w:val="24"/>
          <w:highlight w:val="none"/>
          <w:lang w:val="en-US" w:eastAsia="zh-CN"/>
        </w:rPr>
        <w:t>45.7</w:t>
      </w:r>
      <w:r>
        <w:rPr>
          <w:rFonts w:hint="default" w:ascii="Times New Roman" w:hAnsi="Times New Roman" w:eastAsia="Times New Roman" w:cs="Times New Roman"/>
          <w:spacing w:val="-3"/>
          <w:sz w:val="24"/>
          <w:szCs w:val="24"/>
          <w:highlight w:val="none"/>
        </w:rPr>
        <w:t>mg/L</w:t>
      </w:r>
      <w:r>
        <w:rPr>
          <w:rFonts w:hint="default" w:ascii="Times New Roman" w:hAnsi="Times New Roman" w:eastAsia="宋体" w:cs="Times New Roman"/>
          <w:spacing w:val="-31"/>
          <w:sz w:val="24"/>
          <w:szCs w:val="24"/>
          <w:highlight w:val="none"/>
          <w:lang w:eastAsia="zh-CN"/>
        </w:rPr>
        <w:t>、</w:t>
      </w:r>
      <w:r>
        <w:rPr>
          <w:rFonts w:hint="eastAsia" w:ascii="Times New Roman" w:hAnsi="Times New Roman" w:eastAsia="宋体" w:cs="Times New Roman"/>
          <w:spacing w:val="-3"/>
          <w:sz w:val="24"/>
          <w:szCs w:val="24"/>
          <w:highlight w:val="none"/>
          <w:lang w:val="en-US" w:eastAsia="zh-CN"/>
        </w:rPr>
        <w:t>3.66</w:t>
      </w:r>
      <w:r>
        <w:rPr>
          <w:rFonts w:hint="default" w:ascii="Times New Roman" w:hAnsi="Times New Roman" w:eastAsia="宋体" w:cs="Times New Roman"/>
          <w:spacing w:val="-3"/>
          <w:sz w:val="24"/>
          <w:szCs w:val="24"/>
          <w:highlight w:val="none"/>
          <w:lang w:val="en-US" w:eastAsia="zh-CN"/>
        </w:rPr>
        <w:t>t/a</w:t>
      </w:r>
      <w:r>
        <w:rPr>
          <w:rFonts w:hint="default" w:ascii="Times New Roman" w:hAnsi="Times New Roman" w:eastAsia="宋体" w:cs="Times New Roman"/>
          <w:spacing w:val="-3"/>
          <w:sz w:val="24"/>
          <w:szCs w:val="24"/>
          <w:highlight w:val="none"/>
          <w:lang w:eastAsia="zh-CN"/>
        </w:rPr>
        <w:t>；</w:t>
      </w:r>
      <w:r>
        <w:rPr>
          <w:rFonts w:hint="default" w:ascii="Times New Roman" w:hAnsi="Times New Roman" w:eastAsia="宋体" w:cs="Times New Roman"/>
          <w:spacing w:val="-4"/>
          <w:sz w:val="24"/>
          <w:szCs w:val="24"/>
          <w:highlight w:val="none"/>
        </w:rPr>
        <w:t>粪大肠菌群</w:t>
      </w:r>
      <w:r>
        <w:rPr>
          <w:rFonts w:hint="default" w:ascii="Times New Roman" w:hAnsi="Times New Roman" w:eastAsia="宋体" w:cs="Times New Roman"/>
          <w:spacing w:val="-1"/>
          <w:sz w:val="24"/>
          <w:szCs w:val="24"/>
          <w:highlight w:val="none"/>
        </w:rPr>
        <w:t>数：</w:t>
      </w:r>
      <w:r>
        <w:rPr>
          <w:rFonts w:hint="default" w:ascii="Times New Roman" w:hAnsi="Times New Roman" w:eastAsia="宋体" w:cs="Times New Roman"/>
          <w:color w:val="auto"/>
          <w:sz w:val="21"/>
          <w:szCs w:val="21"/>
          <w:highlight w:val="none"/>
          <w:lang w:val="en-US" w:eastAsia="zh-CN"/>
        </w:rPr>
        <w:t>≥24000</w:t>
      </w:r>
      <w:r>
        <w:rPr>
          <w:rFonts w:hint="default" w:ascii="Times New Roman" w:hAnsi="Times New Roman" w:eastAsia="宋体" w:cs="Times New Roman"/>
          <w:spacing w:val="-1"/>
          <w:sz w:val="24"/>
          <w:szCs w:val="24"/>
          <w:highlight w:val="none"/>
        </w:rPr>
        <w:t>个</w:t>
      </w:r>
      <w:r>
        <w:rPr>
          <w:rFonts w:hint="default" w:ascii="Times New Roman" w:hAnsi="Times New Roman" w:eastAsia="Times New Roman" w:cs="Times New Roman"/>
          <w:spacing w:val="-1"/>
          <w:sz w:val="24"/>
          <w:szCs w:val="24"/>
          <w:highlight w:val="none"/>
        </w:rPr>
        <w:t>/L</w:t>
      </w:r>
      <w:r>
        <w:rPr>
          <w:rFonts w:hint="default" w:ascii="Times New Roman" w:hAnsi="Times New Roman" w:eastAsia="宋体" w:cs="Times New Roman"/>
          <w:spacing w:val="-1"/>
          <w:sz w:val="24"/>
          <w:szCs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76" w:firstLineChars="200"/>
        <w:textAlignment w:val="baseline"/>
        <w:rPr>
          <w:rFonts w:hint="default" w:ascii="Times New Roman" w:hAnsi="Times New Roman" w:cs="Times New Roman"/>
          <w:color w:val="auto"/>
          <w:sz w:val="24"/>
        </w:rPr>
      </w:pPr>
      <w:r>
        <w:rPr>
          <w:rFonts w:hint="default" w:ascii="Times New Roman" w:hAnsi="Times New Roman" w:eastAsia="宋体" w:cs="Times New Roman"/>
          <w:spacing w:val="-1"/>
          <w:sz w:val="24"/>
          <w:szCs w:val="24"/>
          <w:highlight w:val="none"/>
          <w:lang w:val="en-US" w:eastAsia="zh-CN"/>
        </w:rPr>
        <w:t>由上述可知，</w:t>
      </w:r>
      <w:r>
        <w:rPr>
          <w:rFonts w:hint="default" w:ascii="Times New Roman" w:hAnsi="Times New Roman" w:cs="Times New Roman"/>
          <w:color w:val="auto"/>
          <w:sz w:val="24"/>
        </w:rPr>
        <w:t>本项目产生的生产废水经厂区污水处理站处理达到《肉类加工工业水污染物排放标准》（GB13457-92）畜类屠宰加工三级标准</w:t>
      </w:r>
      <w:r>
        <w:rPr>
          <w:rFonts w:hint="eastAsia" w:ascii="Times New Roman" w:hAnsi="Times New Roman" w:cs="Times New Roman"/>
          <w:color w:val="auto"/>
          <w:sz w:val="24"/>
          <w:lang w:val="en-US" w:eastAsia="zh-CN"/>
        </w:rPr>
        <w:t>及</w:t>
      </w:r>
      <w:r>
        <w:rPr>
          <w:rFonts w:hint="default" w:ascii="Times New Roman" w:hAnsi="Times New Roman" w:cs="Times New Roman"/>
          <w:color w:val="auto"/>
          <w:sz w:val="24"/>
          <w:lang w:val="en-US" w:eastAsia="zh-CN"/>
        </w:rPr>
        <w:t>兴隆镇污水处理厂</w:t>
      </w:r>
      <w:r>
        <w:rPr>
          <w:rFonts w:hint="eastAsia" w:ascii="Times New Roman" w:hAnsi="Times New Roman" w:cs="Times New Roman"/>
          <w:color w:val="auto"/>
          <w:sz w:val="24"/>
          <w:lang w:val="en-US" w:eastAsia="zh-CN"/>
        </w:rPr>
        <w:t>进水指标</w:t>
      </w:r>
      <w:r>
        <w:rPr>
          <w:rFonts w:hint="default" w:ascii="Times New Roman" w:hAnsi="Times New Roman" w:cs="Times New Roman"/>
          <w:color w:val="auto"/>
          <w:sz w:val="24"/>
          <w:lang w:val="en-US" w:eastAsia="zh-CN"/>
        </w:rPr>
        <w:t>要求</w:t>
      </w:r>
      <w:r>
        <w:rPr>
          <w:rFonts w:hint="default" w:ascii="Times New Roman" w:hAnsi="Times New Roman" w:cs="Times New Roman"/>
          <w:color w:val="auto"/>
          <w:sz w:val="24"/>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20" w:firstLineChars="200"/>
        <w:jc w:val="both"/>
        <w:textAlignment w:val="baseline"/>
        <w:outlineLvl w:val="3"/>
        <w:rPr>
          <w:rFonts w:hint="default" w:ascii="Times New Roman" w:hAnsi="Times New Roman" w:eastAsia="宋体" w:cs="Times New Roman"/>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"3.3.4.3" </w:instrText>
      </w:r>
      <w:r>
        <w:rPr>
          <w:rFonts w:hint="default" w:ascii="Times New Roman" w:hAnsi="Times New Roman" w:cs="Times New Roman"/>
        </w:rPr>
        <w:fldChar w:fldCharType="separate"/>
      </w:r>
      <w:r>
        <w:rPr>
          <w:rFonts w:hint="default" w:ascii="Times New Roman" w:hAnsi="Times New Roman" w:eastAsia="Times New Roman" w:cs="Times New Roman"/>
          <w:b/>
          <w:bCs/>
          <w:spacing w:val="3"/>
          <w:sz w:val="24"/>
          <w:szCs w:val="24"/>
        </w:rPr>
        <w:t>3.</w:t>
      </w:r>
      <w:r>
        <w:rPr>
          <w:rFonts w:hint="default" w:ascii="Times New Roman" w:hAnsi="Times New Roman" w:eastAsia="宋体" w:cs="Times New Roman"/>
          <w:b/>
          <w:bCs/>
          <w:spacing w:val="3"/>
          <w:sz w:val="24"/>
          <w:szCs w:val="24"/>
          <w:lang w:val="en-US" w:eastAsia="zh-CN"/>
        </w:rPr>
        <w:t>6</w:t>
      </w:r>
      <w:r>
        <w:rPr>
          <w:rFonts w:hint="default" w:ascii="Times New Roman" w:hAnsi="Times New Roman" w:eastAsia="Times New Roman" w:cs="Times New Roman"/>
          <w:b/>
          <w:bCs/>
          <w:spacing w:val="3"/>
          <w:sz w:val="24"/>
          <w:szCs w:val="24"/>
        </w:rPr>
        <w:t>.4.3</w:t>
      </w:r>
      <w:r>
        <w:rPr>
          <w:rFonts w:hint="default" w:ascii="Times New Roman" w:hAnsi="Times New Roman" w:eastAsia="Times New Roman" w:cs="Times New Roman"/>
          <w:b/>
          <w:bCs/>
          <w:spacing w:val="3"/>
          <w:sz w:val="24"/>
          <w:szCs w:val="24"/>
        </w:rPr>
        <w:fldChar w:fldCharType="end"/>
      </w:r>
      <w:r>
        <w:rPr>
          <w:rFonts w:hint="default" w:ascii="Times New Roman" w:hAnsi="Times New Roman" w:eastAsia="Times New Roman" w:cs="Times New Roman"/>
          <w:b/>
          <w:bCs/>
          <w:spacing w:val="20"/>
          <w:w w:val="101"/>
          <w:sz w:val="24"/>
          <w:szCs w:val="24"/>
        </w:rPr>
        <w:t xml:space="preserve">  </w:t>
      </w:r>
      <w:r>
        <w:rPr>
          <w:rFonts w:hint="default" w:ascii="Times New Roman" w:hAnsi="Times New Roman" w:eastAsia="宋体" w:cs="Times New Roman"/>
          <w:spacing w:val="3"/>
          <w:sz w:val="24"/>
          <w:szCs w:val="24"/>
          <w14:textOutline w14:w="4358" w14:cap="sq" w14:cmpd="sng">
            <w14:solidFill>
              <w14:srgbClr w14:val="000000"/>
            </w14:solidFill>
            <w14:prstDash w14:val="solid"/>
            <w14:bevel/>
          </w14:textOutline>
        </w:rPr>
        <w:t>噪声污染源</w:t>
      </w:r>
      <w:r>
        <w:rPr>
          <w:rFonts w:hint="default" w:ascii="Times New Roman" w:hAnsi="Times New Roman" w:eastAsia="宋体" w:cs="Times New Roman"/>
          <w:spacing w:val="3"/>
          <w:sz w:val="24"/>
          <w:szCs w:val="24"/>
          <w:lang w:val="en-US" w:eastAsia="zh-CN"/>
          <w14:textOutline w14:w="4358" w14:cap="sq" w14:cmpd="sng">
            <w14:solidFill>
              <w14:srgbClr w14:val="000000"/>
            </w14:solidFill>
            <w14:prstDash w14:val="solid"/>
            <w14:bevel/>
          </w14:textOutline>
        </w:rPr>
        <w:t>强</w:t>
      </w:r>
      <w:r>
        <w:rPr>
          <w:rFonts w:hint="default" w:ascii="Times New Roman" w:hAnsi="Times New Roman" w:eastAsia="宋体" w:cs="Times New Roman"/>
          <w:spacing w:val="3"/>
          <w:sz w:val="24"/>
          <w:szCs w:val="24"/>
          <w14:textOutline w14:w="4358" w14:cap="sq" w14:cmpd="sng">
            <w14:solidFill>
              <w14:srgbClr w14:val="000000"/>
            </w14:solidFill>
            <w14:prstDash w14:val="solid"/>
            <w14:bevel/>
          </w14:textOutline>
        </w:rPr>
        <w:t>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jc w:val="both"/>
        <w:textAlignment w:val="baseline"/>
        <w:rPr>
          <w:rFonts w:hint="default" w:ascii="Times New Roman" w:hAnsi="Times New Roman" w:eastAsia="宋体" w:cs="Times New Roman"/>
          <w:spacing w:val="-8"/>
          <w:sz w:val="24"/>
          <w:szCs w:val="24"/>
          <w:lang w:val="en-US" w:eastAsia="zh-CN"/>
        </w:rPr>
      </w:pPr>
      <w:r>
        <w:rPr>
          <w:rFonts w:hint="default" w:ascii="Times New Roman" w:hAnsi="Times New Roman" w:eastAsia="宋体" w:cs="Times New Roman"/>
          <w:spacing w:val="-8"/>
          <w:sz w:val="24"/>
          <w:szCs w:val="24"/>
          <w:lang w:val="en-US" w:eastAsia="zh-CN"/>
        </w:rPr>
        <w:t>（1）设备噪声</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jc w:val="both"/>
        <w:textAlignment w:val="baseline"/>
        <w:rPr>
          <w:rFonts w:hint="default" w:ascii="Times New Roman" w:hAnsi="Times New Roman" w:eastAsia="宋体" w:cs="Times New Roman"/>
          <w:spacing w:val="-8"/>
          <w:sz w:val="24"/>
          <w:szCs w:val="24"/>
          <w:lang w:val="en-US" w:eastAsia="zh-CN"/>
        </w:rPr>
      </w:pPr>
      <w:r>
        <w:rPr>
          <w:rFonts w:hint="default" w:ascii="Times New Roman" w:hAnsi="Times New Roman" w:eastAsia="宋体" w:cs="Times New Roman"/>
          <w:spacing w:val="-8"/>
          <w:sz w:val="24"/>
          <w:szCs w:val="24"/>
          <w:lang w:val="en-US" w:eastAsia="zh-CN"/>
        </w:rPr>
        <w:t>本项目高噪声设备主要有屠宰车间的猪电击晕机、劈半锯、制冷系统压缩机、锅炉风机及污水处理泵，噪声值在75～90dB(A)之间。该项目所有生产设备均设置于厂房内，屠宰设备、猪电击晕机、劈半锯、制冷系统压缩机设减振基础，风机加装消声器，泵类柔性连接。</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jc w:val="both"/>
        <w:textAlignment w:val="baseline"/>
        <w:rPr>
          <w:rFonts w:hint="default" w:ascii="Times New Roman" w:hAnsi="Times New Roman" w:eastAsia="宋体" w:cs="Times New Roman"/>
          <w:spacing w:val="-8"/>
          <w:sz w:val="24"/>
          <w:szCs w:val="24"/>
          <w:lang w:val="en-US" w:eastAsia="zh-CN"/>
        </w:rPr>
      </w:pPr>
      <w:r>
        <w:rPr>
          <w:rFonts w:hint="default" w:ascii="Times New Roman" w:hAnsi="Times New Roman" w:eastAsia="宋体" w:cs="Times New Roman"/>
          <w:spacing w:val="-8"/>
          <w:sz w:val="24"/>
          <w:szCs w:val="24"/>
          <w:lang w:val="en-US" w:eastAsia="zh-CN"/>
        </w:rPr>
        <w:t>（2）生猪嚎叫</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lang w:val="en-US" w:eastAsia="zh-CN"/>
        </w:rPr>
        <w:t>该项目</w:t>
      </w:r>
      <w:r>
        <w:rPr>
          <w:rFonts w:hint="default" w:ascii="Times New Roman" w:hAnsi="Times New Roman" w:eastAsia="宋体" w:cs="Times New Roman"/>
          <w:spacing w:val="-8"/>
          <w:sz w:val="24"/>
          <w:szCs w:val="24"/>
        </w:rPr>
        <w:t>待宰</w:t>
      </w:r>
      <w:r>
        <w:rPr>
          <w:rFonts w:hint="default" w:ascii="Times New Roman" w:hAnsi="Times New Roman" w:eastAsia="宋体" w:cs="Times New Roman"/>
          <w:spacing w:val="-8"/>
          <w:sz w:val="24"/>
          <w:szCs w:val="24"/>
          <w:lang w:val="en-US" w:eastAsia="zh-CN"/>
        </w:rPr>
        <w:t>圈内的生猪会发出嚎叫声，特别是宰前至少有12h不给牲畜进食，牲畜由于饥饿难奈而发出嚎叫声；生猪在屠宰间由于恐惧也会发出嚎叫声，据统计，其噪声的峰值可达100dB(A)。生猪嚎叫为偶发噪声。</w:t>
      </w:r>
      <w:r>
        <w:rPr>
          <w:rFonts w:hint="default" w:ascii="Times New Roman" w:hAnsi="Times New Roman" w:eastAsia="宋体" w:cs="Times New Roman"/>
          <w:spacing w:val="-8"/>
          <w:sz w:val="24"/>
          <w:szCs w:val="24"/>
        </w:rPr>
        <w:t>本项目各噪声级统计数据详见表3</w:t>
      </w:r>
      <w:r>
        <w:rPr>
          <w:rFonts w:hint="eastAsia" w:ascii="Times New Roman" w:hAnsi="Times New Roman" w:eastAsia="宋体" w:cs="Times New Roman"/>
          <w:spacing w:val="-8"/>
          <w:sz w:val="24"/>
          <w:szCs w:val="24"/>
          <w:lang w:val="en-US" w:eastAsia="zh-CN"/>
        </w:rPr>
        <w:t>-</w:t>
      </w:r>
      <w:r>
        <w:rPr>
          <w:rFonts w:hint="default" w:ascii="Times New Roman" w:hAnsi="Times New Roman" w:eastAsia="宋体" w:cs="Times New Roman"/>
          <w:spacing w:val="-8"/>
          <w:sz w:val="24"/>
          <w:szCs w:val="24"/>
          <w:lang w:val="en-US" w:eastAsia="zh-CN"/>
        </w:rPr>
        <w:t>6</w:t>
      </w:r>
      <w:r>
        <w:rPr>
          <w:rFonts w:hint="default" w:ascii="Times New Roman" w:hAnsi="Times New Roman" w:eastAsia="宋体" w:cs="Times New Roman"/>
          <w:spacing w:val="-8"/>
          <w:sz w:val="24"/>
          <w:szCs w:val="24"/>
        </w:rPr>
        <w:t>-1</w:t>
      </w:r>
      <w:r>
        <w:rPr>
          <w:rFonts w:hint="eastAsia" w:ascii="Times New Roman" w:hAnsi="Times New Roman" w:eastAsia="宋体" w:cs="Times New Roman"/>
          <w:spacing w:val="-8"/>
          <w:sz w:val="24"/>
          <w:szCs w:val="24"/>
          <w:lang w:val="en-US" w:eastAsia="zh-CN"/>
        </w:rPr>
        <w:t>5</w:t>
      </w:r>
      <w:r>
        <w:rPr>
          <w:rFonts w:hint="default" w:ascii="Times New Roman" w:hAnsi="Times New Roman" w:eastAsia="宋体" w:cs="Times New Roman"/>
          <w:spacing w:val="-8"/>
          <w:sz w:val="24"/>
          <w:szCs w:val="24"/>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24" w:firstLineChars="200"/>
        <w:jc w:val="both"/>
        <w:textAlignment w:val="baseline"/>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sectPr>
          <w:headerReference r:id="rId11" w:type="default"/>
          <w:pgSz w:w="11906" w:h="16839"/>
          <w:pgMar w:top="1203" w:right="1103" w:bottom="1157" w:left="1102" w:header="962" w:footer="992" w:gutter="0"/>
          <w:pgBorders>
            <w:top w:val="none" w:sz="0" w:space="0"/>
            <w:left w:val="none" w:sz="0" w:space="0"/>
            <w:bottom w:val="none" w:sz="0" w:space="0"/>
            <w:right w:val="none" w:sz="0" w:space="0"/>
          </w:pgBorders>
          <w:pgNumType w:fmt="decimal"/>
          <w:cols w:space="720" w:num="1"/>
        </w:sectPr>
      </w:pPr>
    </w:p>
    <w:p>
      <w:pPr>
        <w:pStyle w:val="20"/>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smallCaps w:val="0"/>
          <w:color w:val="auto"/>
          <w:kern w:val="0"/>
          <w:sz w:val="21"/>
          <w:szCs w:val="21"/>
          <w:highlight w:val="magenta"/>
          <w:lang w:val="en-US" w:eastAsia="zh-CN"/>
        </w:rPr>
      </w:pPr>
      <w:r>
        <w:rPr>
          <w:rFonts w:hint="default" w:ascii="Times New Roman" w:hAnsi="Times New Roman" w:eastAsia="宋体" w:cs="Times New Roman"/>
          <w:b/>
          <w:bCs/>
          <w:smallCaps w:val="0"/>
          <w:color w:val="auto"/>
          <w:kern w:val="0"/>
          <w:sz w:val="21"/>
          <w:szCs w:val="21"/>
          <w:lang w:val="en-US" w:eastAsia="zh-CN"/>
        </w:rPr>
        <w:t>表</w:t>
      </w:r>
      <w:r>
        <w:rPr>
          <w:rFonts w:hint="default" w:ascii="Times New Roman" w:hAnsi="Times New Roman" w:eastAsia="宋体" w:cs="Times New Roman"/>
          <w:b/>
          <w:bCs/>
          <w:smallCaps w:val="0"/>
          <w:color w:val="auto"/>
          <w:kern w:val="0"/>
          <w:sz w:val="21"/>
          <w:szCs w:val="21"/>
          <w:highlight w:val="none"/>
          <w:lang w:val="en-US" w:eastAsia="zh-CN"/>
        </w:rPr>
        <w:t>3</w:t>
      </w:r>
      <w:r>
        <w:rPr>
          <w:rFonts w:hint="eastAsia" w:ascii="Times New Roman" w:hAnsi="Times New Roman" w:eastAsia="宋体" w:cs="Times New Roman"/>
          <w:b/>
          <w:bCs/>
          <w:smallCaps w:val="0"/>
          <w:color w:val="auto"/>
          <w:kern w:val="0"/>
          <w:sz w:val="21"/>
          <w:szCs w:val="21"/>
          <w:highlight w:val="none"/>
          <w:lang w:val="en-US" w:eastAsia="zh-CN"/>
        </w:rPr>
        <w:t>-</w:t>
      </w:r>
      <w:r>
        <w:rPr>
          <w:rFonts w:hint="default" w:ascii="Times New Roman" w:hAnsi="Times New Roman" w:eastAsia="宋体" w:cs="Times New Roman"/>
          <w:b/>
          <w:bCs/>
          <w:smallCaps w:val="0"/>
          <w:color w:val="auto"/>
          <w:kern w:val="0"/>
          <w:sz w:val="21"/>
          <w:szCs w:val="21"/>
          <w:highlight w:val="none"/>
          <w:lang w:val="en-US" w:eastAsia="zh-CN"/>
        </w:rPr>
        <w:t>6-15</w:t>
      </w:r>
      <w:r>
        <w:rPr>
          <w:rFonts w:hint="default" w:ascii="Times New Roman" w:hAnsi="Times New Roman" w:eastAsia="宋体" w:cs="Times New Roman"/>
          <w:b/>
          <w:bCs/>
          <w:smallCaps w:val="0"/>
          <w:color w:val="auto"/>
          <w:kern w:val="0"/>
          <w:sz w:val="21"/>
          <w:szCs w:val="21"/>
          <w:lang w:val="en-US" w:eastAsia="zh-CN"/>
        </w:rPr>
        <w:t xml:space="preserve">  噪声污染源强核算结果及相关参数一览表</w:t>
      </w:r>
    </w:p>
    <w:tbl>
      <w:tblPr>
        <w:tblStyle w:val="25"/>
        <w:tblW w:w="4991"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27"/>
        <w:gridCol w:w="977"/>
        <w:gridCol w:w="1809"/>
        <w:gridCol w:w="1392"/>
        <w:gridCol w:w="1154"/>
        <w:gridCol w:w="681"/>
        <w:gridCol w:w="623"/>
        <w:gridCol w:w="675"/>
        <w:gridCol w:w="579"/>
        <w:gridCol w:w="755"/>
        <w:gridCol w:w="969"/>
        <w:gridCol w:w="1539"/>
        <w:gridCol w:w="1084"/>
        <w:gridCol w:w="907"/>
        <w:gridCol w:w="109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5" w:hRule="atLeast"/>
        </w:trPr>
        <w:tc>
          <w:tcPr>
            <w:tcW w:w="145" w:type="pct"/>
            <w:vMerge w:val="restar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序号</w:t>
            </w:r>
          </w:p>
        </w:tc>
        <w:tc>
          <w:tcPr>
            <w:tcW w:w="333" w:type="pct"/>
            <w:vMerge w:val="restar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建筑物名称</w:t>
            </w:r>
          </w:p>
        </w:tc>
        <w:tc>
          <w:tcPr>
            <w:tcW w:w="616" w:type="pct"/>
            <w:vMerge w:val="restar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声源名称</w:t>
            </w:r>
          </w:p>
        </w:tc>
        <w:tc>
          <w:tcPr>
            <w:tcW w:w="474" w:type="pct"/>
            <w:vMerge w:val="restar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型号</w:t>
            </w:r>
          </w:p>
        </w:tc>
        <w:tc>
          <w:tcPr>
            <w:tcW w:w="393"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声源源强</w:t>
            </w:r>
          </w:p>
        </w:tc>
        <w:tc>
          <w:tcPr>
            <w:tcW w:w="232" w:type="pct"/>
            <w:vMerge w:val="restar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声源控制措施</w:t>
            </w:r>
          </w:p>
        </w:tc>
        <w:tc>
          <w:tcPr>
            <w:tcW w:w="639" w:type="pct"/>
            <w:gridSpan w:val="3"/>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空间相对位置/m</w:t>
            </w:r>
          </w:p>
        </w:tc>
        <w:tc>
          <w:tcPr>
            <w:tcW w:w="257" w:type="pct"/>
            <w:vMerge w:val="restar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距室内边界距离/m</w:t>
            </w:r>
          </w:p>
        </w:tc>
        <w:tc>
          <w:tcPr>
            <w:tcW w:w="330" w:type="pct"/>
            <w:vMerge w:val="restar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室内边界声级/</w:t>
            </w:r>
            <w:r>
              <w:rPr>
                <w:rFonts w:hint="default" w:ascii="Times New Roman" w:hAnsi="Times New Roman" w:eastAsia="宋体" w:cs="Times New Roman"/>
                <w:b/>
                <w:bCs/>
                <w:smallCaps w:val="0"/>
                <w:color w:val="auto"/>
                <w:kern w:val="0"/>
                <w:sz w:val="21"/>
                <w:szCs w:val="21"/>
                <w:lang w:val="en-US" w:eastAsia="zh-CN"/>
              </w:rPr>
              <w:t>dB(A)</w:t>
            </w:r>
          </w:p>
        </w:tc>
        <w:tc>
          <w:tcPr>
            <w:tcW w:w="524" w:type="pct"/>
            <w:vMerge w:val="restar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运行时段</w:t>
            </w:r>
          </w:p>
        </w:tc>
        <w:tc>
          <w:tcPr>
            <w:tcW w:w="369" w:type="pct"/>
            <w:vMerge w:val="restar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建筑物插入损失/</w:t>
            </w:r>
            <w:r>
              <w:rPr>
                <w:rFonts w:hint="default" w:ascii="Times New Roman" w:hAnsi="Times New Roman" w:eastAsia="宋体" w:cs="Times New Roman"/>
                <w:b/>
                <w:bCs/>
                <w:smallCaps w:val="0"/>
                <w:color w:val="auto"/>
                <w:kern w:val="0"/>
                <w:sz w:val="21"/>
                <w:szCs w:val="21"/>
                <w:lang w:val="en-US" w:eastAsia="zh-CN"/>
              </w:rPr>
              <w:t>dB(A)</w:t>
            </w:r>
          </w:p>
        </w:tc>
        <w:tc>
          <w:tcPr>
            <w:tcW w:w="683" w:type="pct"/>
            <w:gridSpan w:val="2"/>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建筑物外噪声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75" w:hRule="atLeast"/>
        </w:trPr>
        <w:tc>
          <w:tcPr>
            <w:tcW w:w="145"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z w:val="21"/>
                <w:szCs w:val="21"/>
              </w:rPr>
            </w:pPr>
          </w:p>
        </w:tc>
        <w:tc>
          <w:tcPr>
            <w:tcW w:w="333"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z w:val="21"/>
                <w:szCs w:val="21"/>
              </w:rPr>
            </w:pPr>
          </w:p>
        </w:tc>
        <w:tc>
          <w:tcPr>
            <w:tcW w:w="616"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z w:val="21"/>
                <w:szCs w:val="21"/>
              </w:rPr>
            </w:pPr>
          </w:p>
        </w:tc>
        <w:tc>
          <w:tcPr>
            <w:tcW w:w="474"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z w:val="21"/>
                <w:szCs w:val="21"/>
              </w:rPr>
            </w:pPr>
          </w:p>
        </w:tc>
        <w:tc>
          <w:tcPr>
            <w:tcW w:w="393"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声功率级/</w:t>
            </w:r>
            <w:r>
              <w:rPr>
                <w:rFonts w:hint="default" w:ascii="Times New Roman" w:hAnsi="Times New Roman" w:eastAsia="宋体" w:cs="Times New Roman"/>
                <w:b/>
                <w:bCs/>
                <w:smallCaps w:val="0"/>
                <w:color w:val="auto"/>
                <w:kern w:val="0"/>
                <w:sz w:val="21"/>
                <w:szCs w:val="21"/>
                <w:lang w:val="en-US" w:eastAsia="zh-CN"/>
              </w:rPr>
              <w:t>dB(A)</w:t>
            </w:r>
          </w:p>
        </w:tc>
        <w:tc>
          <w:tcPr>
            <w:tcW w:w="232"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p>
        </w:tc>
        <w:tc>
          <w:tcPr>
            <w:tcW w:w="2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X</w:t>
            </w:r>
          </w:p>
        </w:tc>
        <w:tc>
          <w:tcPr>
            <w:tcW w:w="2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Y</w:t>
            </w:r>
          </w:p>
        </w:tc>
        <w:tc>
          <w:tcPr>
            <w:tcW w:w="19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Z</w:t>
            </w:r>
          </w:p>
        </w:tc>
        <w:tc>
          <w:tcPr>
            <w:tcW w:w="257"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p>
        </w:tc>
        <w:tc>
          <w:tcPr>
            <w:tcW w:w="330"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p>
        </w:tc>
        <w:tc>
          <w:tcPr>
            <w:tcW w:w="524"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p>
        </w:tc>
        <w:tc>
          <w:tcPr>
            <w:tcW w:w="369"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p>
        </w:tc>
        <w:tc>
          <w:tcPr>
            <w:tcW w:w="309"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声压级/</w:t>
            </w:r>
            <w:r>
              <w:rPr>
                <w:rFonts w:hint="default" w:ascii="Times New Roman" w:hAnsi="Times New Roman" w:eastAsia="宋体" w:cs="Times New Roman"/>
                <w:b/>
                <w:bCs/>
                <w:smallCaps w:val="0"/>
                <w:color w:val="auto"/>
                <w:kern w:val="0"/>
                <w:sz w:val="21"/>
                <w:szCs w:val="21"/>
                <w:lang w:val="en-US" w:eastAsia="zh-CN"/>
              </w:rPr>
              <w:t>dB(A)</w:t>
            </w:r>
          </w:p>
        </w:tc>
        <w:tc>
          <w:tcPr>
            <w:tcW w:w="374"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mallCaps w:val="0"/>
                <w:color w:val="auto"/>
                <w:kern w:val="0"/>
                <w:sz w:val="21"/>
                <w:szCs w:val="21"/>
                <w:vertAlign w:val="baseline"/>
                <w:lang w:val="en-US" w:eastAsia="zh-CN"/>
              </w:rPr>
            </w:pPr>
            <w:r>
              <w:rPr>
                <w:rFonts w:hint="default" w:ascii="Times New Roman" w:hAnsi="Times New Roman" w:eastAsia="宋体" w:cs="Times New Roman"/>
                <w:b/>
                <w:bCs/>
                <w:smallCaps w:val="0"/>
                <w:color w:val="auto"/>
                <w:kern w:val="0"/>
                <w:sz w:val="21"/>
                <w:szCs w:val="21"/>
                <w:vertAlign w:val="baseline"/>
                <w:lang w:val="en-US" w:eastAsia="zh-CN"/>
              </w:rPr>
              <w:t>建筑物外距离/m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5"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1</w:t>
            </w:r>
          </w:p>
        </w:tc>
        <w:tc>
          <w:tcPr>
            <w:tcW w:w="33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屠宰</w:t>
            </w:r>
          </w:p>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smallCaps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车间</w:t>
            </w:r>
          </w:p>
        </w:tc>
        <w:tc>
          <w:tcPr>
            <w:tcW w:w="6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color w:val="auto"/>
                <w:sz w:val="21"/>
                <w:szCs w:val="21"/>
              </w:rPr>
              <w:t>猪电击晕机</w:t>
            </w:r>
            <w:r>
              <w:rPr>
                <w:rFonts w:hint="default" w:ascii="Times New Roman" w:hAnsi="Times New Roman" w:eastAsia="宋体" w:cs="Times New Roman"/>
                <w:color w:val="auto"/>
                <w:sz w:val="21"/>
                <w:szCs w:val="21"/>
                <w:lang w:val="en-US" w:eastAsia="zh-CN"/>
              </w:rPr>
              <w:t>1#</w:t>
            </w:r>
          </w:p>
        </w:tc>
        <w:tc>
          <w:tcPr>
            <w:tcW w:w="4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w:t>
            </w:r>
          </w:p>
        </w:tc>
        <w:tc>
          <w:tcPr>
            <w:tcW w:w="3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0</w:t>
            </w:r>
          </w:p>
        </w:tc>
        <w:tc>
          <w:tcPr>
            <w:tcW w:w="232" w:type="pct"/>
            <w:vMerge w:val="restar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建筑隔声，减振</w:t>
            </w:r>
          </w:p>
        </w:tc>
        <w:tc>
          <w:tcPr>
            <w:tcW w:w="2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60</w:t>
            </w:r>
          </w:p>
        </w:tc>
        <w:tc>
          <w:tcPr>
            <w:tcW w:w="2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-67</w:t>
            </w:r>
          </w:p>
        </w:tc>
        <w:tc>
          <w:tcPr>
            <w:tcW w:w="19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2.5</w:t>
            </w:r>
          </w:p>
        </w:tc>
        <w:tc>
          <w:tcPr>
            <w:tcW w:w="2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7</w:t>
            </w:r>
          </w:p>
        </w:tc>
        <w:tc>
          <w:tcPr>
            <w:tcW w:w="3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60</w:t>
            </w:r>
          </w:p>
        </w:tc>
        <w:tc>
          <w:tcPr>
            <w:tcW w:w="5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8</w:t>
            </w:r>
            <w:r>
              <w:rPr>
                <w:rFonts w:hint="default" w:ascii="Times New Roman" w:hAnsi="Times New Roman" w:eastAsia="宋体" w:cs="Times New Roman"/>
                <w:b w:val="0"/>
                <w:bCs w:val="0"/>
                <w:smallCaps w:val="0"/>
                <w:color w:val="auto"/>
                <w:kern w:val="0"/>
                <w:sz w:val="21"/>
                <w:szCs w:val="21"/>
                <w:vertAlign w:val="baseline"/>
                <w:lang w:val="en-US" w:eastAsia="zh-CN"/>
              </w:rPr>
              <w:t>小时</w:t>
            </w:r>
          </w:p>
        </w:tc>
        <w:tc>
          <w:tcPr>
            <w:tcW w:w="369"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w:t>
            </w:r>
            <w:r>
              <w:rPr>
                <w:rFonts w:hint="eastAsia" w:ascii="Times New Roman" w:hAnsi="Times New Roman" w:eastAsia="宋体" w:cs="Times New Roman"/>
                <w:b w:val="0"/>
                <w:bCs w:val="0"/>
                <w:smallCaps w:val="0"/>
                <w:color w:val="auto"/>
                <w:kern w:val="0"/>
                <w:sz w:val="21"/>
                <w:szCs w:val="21"/>
                <w:vertAlign w:val="baseline"/>
                <w:lang w:val="en-US" w:eastAsia="zh-CN"/>
              </w:rPr>
              <w:t>5</w:t>
            </w:r>
          </w:p>
        </w:tc>
        <w:tc>
          <w:tcPr>
            <w:tcW w:w="3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i w:val="0"/>
                <w:iCs w:val="0"/>
                <w:color w:val="auto"/>
                <w:kern w:val="0"/>
                <w:sz w:val="21"/>
                <w:szCs w:val="21"/>
                <w:u w:val="none"/>
                <w:lang w:val="en-US" w:eastAsia="zh-CN" w:bidi="ar"/>
              </w:rPr>
              <w:t>35</w:t>
            </w:r>
          </w:p>
        </w:tc>
        <w:tc>
          <w:tcPr>
            <w:tcW w:w="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5"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w:t>
            </w:r>
          </w:p>
        </w:tc>
        <w:tc>
          <w:tcPr>
            <w:tcW w:w="33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6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猪电击晕机</w:t>
            </w:r>
            <w:r>
              <w:rPr>
                <w:rFonts w:hint="default" w:ascii="Times New Roman" w:hAnsi="Times New Roman" w:eastAsia="宋体" w:cs="Times New Roman"/>
                <w:color w:val="auto"/>
                <w:sz w:val="21"/>
                <w:szCs w:val="21"/>
                <w:lang w:val="en-US" w:eastAsia="zh-CN"/>
              </w:rPr>
              <w:t>2#</w:t>
            </w:r>
          </w:p>
        </w:tc>
        <w:tc>
          <w:tcPr>
            <w:tcW w:w="4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w:t>
            </w:r>
          </w:p>
        </w:tc>
        <w:tc>
          <w:tcPr>
            <w:tcW w:w="3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232"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p>
        </w:tc>
        <w:tc>
          <w:tcPr>
            <w:tcW w:w="2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57</w:t>
            </w:r>
          </w:p>
        </w:tc>
        <w:tc>
          <w:tcPr>
            <w:tcW w:w="2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-67</w:t>
            </w:r>
          </w:p>
        </w:tc>
        <w:tc>
          <w:tcPr>
            <w:tcW w:w="19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2.5</w:t>
            </w:r>
          </w:p>
        </w:tc>
        <w:tc>
          <w:tcPr>
            <w:tcW w:w="2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7</w:t>
            </w:r>
          </w:p>
        </w:tc>
        <w:tc>
          <w:tcPr>
            <w:tcW w:w="3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60</w:t>
            </w:r>
          </w:p>
        </w:tc>
        <w:tc>
          <w:tcPr>
            <w:tcW w:w="5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8</w:t>
            </w:r>
            <w:r>
              <w:rPr>
                <w:rFonts w:hint="default" w:ascii="Times New Roman" w:hAnsi="Times New Roman" w:eastAsia="宋体" w:cs="Times New Roman"/>
                <w:b w:val="0"/>
                <w:bCs w:val="0"/>
                <w:smallCaps w:val="0"/>
                <w:color w:val="auto"/>
                <w:kern w:val="0"/>
                <w:sz w:val="21"/>
                <w:szCs w:val="21"/>
                <w:vertAlign w:val="baseline"/>
                <w:lang w:val="en-US" w:eastAsia="zh-CN"/>
              </w:rPr>
              <w:t>小时</w:t>
            </w:r>
          </w:p>
        </w:tc>
        <w:tc>
          <w:tcPr>
            <w:tcW w:w="3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w:t>
            </w:r>
            <w:r>
              <w:rPr>
                <w:rFonts w:hint="eastAsia" w:ascii="Times New Roman" w:hAnsi="Times New Roman" w:eastAsia="宋体" w:cs="Times New Roman"/>
                <w:b w:val="0"/>
                <w:bCs w:val="0"/>
                <w:smallCaps w:val="0"/>
                <w:color w:val="auto"/>
                <w:kern w:val="0"/>
                <w:sz w:val="21"/>
                <w:szCs w:val="21"/>
                <w:vertAlign w:val="baseline"/>
                <w:lang w:val="en-US" w:eastAsia="zh-CN"/>
              </w:rPr>
              <w:t>5</w:t>
            </w:r>
          </w:p>
        </w:tc>
        <w:tc>
          <w:tcPr>
            <w:tcW w:w="3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35</w:t>
            </w:r>
          </w:p>
        </w:tc>
        <w:tc>
          <w:tcPr>
            <w:tcW w:w="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5"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3</w:t>
            </w:r>
          </w:p>
        </w:tc>
        <w:tc>
          <w:tcPr>
            <w:tcW w:w="33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6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猪电击晕机</w:t>
            </w:r>
            <w:r>
              <w:rPr>
                <w:rFonts w:hint="default" w:ascii="Times New Roman" w:hAnsi="Times New Roman" w:eastAsia="宋体" w:cs="Times New Roman"/>
                <w:color w:val="auto"/>
                <w:sz w:val="21"/>
                <w:szCs w:val="21"/>
                <w:lang w:val="en-US" w:eastAsia="zh-CN"/>
              </w:rPr>
              <w:t>3#</w:t>
            </w:r>
          </w:p>
        </w:tc>
        <w:tc>
          <w:tcPr>
            <w:tcW w:w="4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w:t>
            </w:r>
          </w:p>
        </w:tc>
        <w:tc>
          <w:tcPr>
            <w:tcW w:w="3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232"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p>
        </w:tc>
        <w:tc>
          <w:tcPr>
            <w:tcW w:w="2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53</w:t>
            </w:r>
          </w:p>
        </w:tc>
        <w:tc>
          <w:tcPr>
            <w:tcW w:w="2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-67</w:t>
            </w:r>
          </w:p>
        </w:tc>
        <w:tc>
          <w:tcPr>
            <w:tcW w:w="19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2.5</w:t>
            </w:r>
          </w:p>
        </w:tc>
        <w:tc>
          <w:tcPr>
            <w:tcW w:w="2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7</w:t>
            </w:r>
          </w:p>
        </w:tc>
        <w:tc>
          <w:tcPr>
            <w:tcW w:w="3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60</w:t>
            </w:r>
          </w:p>
        </w:tc>
        <w:tc>
          <w:tcPr>
            <w:tcW w:w="5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8</w:t>
            </w:r>
            <w:r>
              <w:rPr>
                <w:rFonts w:hint="default" w:ascii="Times New Roman" w:hAnsi="Times New Roman" w:eastAsia="宋体" w:cs="Times New Roman"/>
                <w:b w:val="0"/>
                <w:bCs w:val="0"/>
                <w:smallCaps w:val="0"/>
                <w:color w:val="auto"/>
                <w:kern w:val="0"/>
                <w:sz w:val="21"/>
                <w:szCs w:val="21"/>
                <w:vertAlign w:val="baseline"/>
                <w:lang w:val="en-US" w:eastAsia="zh-CN"/>
              </w:rPr>
              <w:t>小时</w:t>
            </w:r>
          </w:p>
        </w:tc>
        <w:tc>
          <w:tcPr>
            <w:tcW w:w="3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w:t>
            </w:r>
            <w:r>
              <w:rPr>
                <w:rFonts w:hint="eastAsia" w:ascii="Times New Roman" w:hAnsi="Times New Roman" w:eastAsia="宋体" w:cs="Times New Roman"/>
                <w:b w:val="0"/>
                <w:bCs w:val="0"/>
                <w:smallCaps w:val="0"/>
                <w:color w:val="auto"/>
                <w:kern w:val="0"/>
                <w:sz w:val="21"/>
                <w:szCs w:val="21"/>
                <w:vertAlign w:val="baseline"/>
                <w:lang w:val="en-US" w:eastAsia="zh-CN"/>
              </w:rPr>
              <w:t>5</w:t>
            </w:r>
          </w:p>
        </w:tc>
        <w:tc>
          <w:tcPr>
            <w:tcW w:w="3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35</w:t>
            </w:r>
          </w:p>
        </w:tc>
        <w:tc>
          <w:tcPr>
            <w:tcW w:w="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5"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4</w:t>
            </w:r>
          </w:p>
        </w:tc>
        <w:tc>
          <w:tcPr>
            <w:tcW w:w="33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6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猪电击晕机</w:t>
            </w:r>
            <w:r>
              <w:rPr>
                <w:rFonts w:hint="default" w:ascii="Times New Roman" w:hAnsi="Times New Roman" w:eastAsia="宋体" w:cs="Times New Roman"/>
                <w:color w:val="auto"/>
                <w:sz w:val="21"/>
                <w:szCs w:val="21"/>
                <w:lang w:val="en-US" w:eastAsia="zh-CN"/>
              </w:rPr>
              <w:t>4#</w:t>
            </w:r>
          </w:p>
        </w:tc>
        <w:tc>
          <w:tcPr>
            <w:tcW w:w="4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w:t>
            </w:r>
          </w:p>
        </w:tc>
        <w:tc>
          <w:tcPr>
            <w:tcW w:w="3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232"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p>
        </w:tc>
        <w:tc>
          <w:tcPr>
            <w:tcW w:w="2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50</w:t>
            </w:r>
          </w:p>
        </w:tc>
        <w:tc>
          <w:tcPr>
            <w:tcW w:w="2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-67</w:t>
            </w:r>
          </w:p>
        </w:tc>
        <w:tc>
          <w:tcPr>
            <w:tcW w:w="19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2.5</w:t>
            </w:r>
          </w:p>
        </w:tc>
        <w:tc>
          <w:tcPr>
            <w:tcW w:w="2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7</w:t>
            </w:r>
          </w:p>
        </w:tc>
        <w:tc>
          <w:tcPr>
            <w:tcW w:w="3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60</w:t>
            </w:r>
          </w:p>
        </w:tc>
        <w:tc>
          <w:tcPr>
            <w:tcW w:w="5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8</w:t>
            </w:r>
            <w:r>
              <w:rPr>
                <w:rFonts w:hint="default" w:ascii="Times New Roman" w:hAnsi="Times New Roman" w:eastAsia="宋体" w:cs="Times New Roman"/>
                <w:b w:val="0"/>
                <w:bCs w:val="0"/>
                <w:smallCaps w:val="0"/>
                <w:color w:val="auto"/>
                <w:kern w:val="0"/>
                <w:sz w:val="21"/>
                <w:szCs w:val="21"/>
                <w:vertAlign w:val="baseline"/>
                <w:lang w:val="en-US" w:eastAsia="zh-CN"/>
              </w:rPr>
              <w:t>小时</w:t>
            </w:r>
          </w:p>
        </w:tc>
        <w:tc>
          <w:tcPr>
            <w:tcW w:w="3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w:t>
            </w:r>
            <w:r>
              <w:rPr>
                <w:rFonts w:hint="eastAsia" w:ascii="Times New Roman" w:hAnsi="Times New Roman" w:eastAsia="宋体" w:cs="Times New Roman"/>
                <w:b w:val="0"/>
                <w:bCs w:val="0"/>
                <w:smallCaps w:val="0"/>
                <w:color w:val="auto"/>
                <w:kern w:val="0"/>
                <w:sz w:val="21"/>
                <w:szCs w:val="21"/>
                <w:vertAlign w:val="baseline"/>
                <w:lang w:val="en-US" w:eastAsia="zh-CN"/>
              </w:rPr>
              <w:t>5</w:t>
            </w:r>
          </w:p>
        </w:tc>
        <w:tc>
          <w:tcPr>
            <w:tcW w:w="3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w:t>
            </w:r>
            <w:r>
              <w:rPr>
                <w:rFonts w:hint="eastAsia" w:ascii="Times New Roman" w:hAnsi="Times New Roman" w:eastAsia="宋体" w:cs="Times New Roman"/>
                <w:i w:val="0"/>
                <w:iCs w:val="0"/>
                <w:color w:val="auto"/>
                <w:kern w:val="0"/>
                <w:sz w:val="21"/>
                <w:szCs w:val="21"/>
                <w:u w:val="none"/>
                <w:lang w:val="en-US" w:eastAsia="zh-CN" w:bidi="ar"/>
              </w:rPr>
              <w:t>5</w:t>
            </w:r>
          </w:p>
        </w:tc>
        <w:tc>
          <w:tcPr>
            <w:tcW w:w="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5"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5</w:t>
            </w:r>
          </w:p>
        </w:tc>
        <w:tc>
          <w:tcPr>
            <w:tcW w:w="33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6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猪电击晕机</w:t>
            </w:r>
            <w:r>
              <w:rPr>
                <w:rFonts w:hint="default" w:ascii="Times New Roman" w:hAnsi="Times New Roman" w:eastAsia="宋体" w:cs="Times New Roman"/>
                <w:color w:val="auto"/>
                <w:sz w:val="21"/>
                <w:szCs w:val="21"/>
                <w:lang w:val="en-US" w:eastAsia="zh-CN"/>
              </w:rPr>
              <w:t>5#</w:t>
            </w:r>
          </w:p>
        </w:tc>
        <w:tc>
          <w:tcPr>
            <w:tcW w:w="4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w:t>
            </w:r>
          </w:p>
        </w:tc>
        <w:tc>
          <w:tcPr>
            <w:tcW w:w="3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232"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p>
        </w:tc>
        <w:tc>
          <w:tcPr>
            <w:tcW w:w="2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47</w:t>
            </w:r>
          </w:p>
        </w:tc>
        <w:tc>
          <w:tcPr>
            <w:tcW w:w="2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-67</w:t>
            </w:r>
          </w:p>
        </w:tc>
        <w:tc>
          <w:tcPr>
            <w:tcW w:w="19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2.5</w:t>
            </w:r>
          </w:p>
        </w:tc>
        <w:tc>
          <w:tcPr>
            <w:tcW w:w="2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7</w:t>
            </w:r>
          </w:p>
        </w:tc>
        <w:tc>
          <w:tcPr>
            <w:tcW w:w="3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60</w:t>
            </w:r>
          </w:p>
        </w:tc>
        <w:tc>
          <w:tcPr>
            <w:tcW w:w="5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8</w:t>
            </w:r>
            <w:r>
              <w:rPr>
                <w:rFonts w:hint="default" w:ascii="Times New Roman" w:hAnsi="Times New Roman" w:eastAsia="宋体" w:cs="Times New Roman"/>
                <w:b w:val="0"/>
                <w:bCs w:val="0"/>
                <w:smallCaps w:val="0"/>
                <w:color w:val="auto"/>
                <w:kern w:val="0"/>
                <w:sz w:val="21"/>
                <w:szCs w:val="21"/>
                <w:vertAlign w:val="baseline"/>
                <w:lang w:val="en-US" w:eastAsia="zh-CN"/>
              </w:rPr>
              <w:t>小时</w:t>
            </w:r>
          </w:p>
        </w:tc>
        <w:tc>
          <w:tcPr>
            <w:tcW w:w="3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w:t>
            </w:r>
            <w:r>
              <w:rPr>
                <w:rFonts w:hint="eastAsia" w:ascii="Times New Roman" w:hAnsi="Times New Roman" w:eastAsia="宋体" w:cs="Times New Roman"/>
                <w:b w:val="0"/>
                <w:bCs w:val="0"/>
                <w:smallCaps w:val="0"/>
                <w:color w:val="auto"/>
                <w:kern w:val="0"/>
                <w:sz w:val="21"/>
                <w:szCs w:val="21"/>
                <w:vertAlign w:val="baseline"/>
                <w:lang w:val="en-US" w:eastAsia="zh-CN"/>
              </w:rPr>
              <w:t>5</w:t>
            </w:r>
          </w:p>
        </w:tc>
        <w:tc>
          <w:tcPr>
            <w:tcW w:w="3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w:t>
            </w:r>
            <w:r>
              <w:rPr>
                <w:rFonts w:hint="eastAsia" w:ascii="Times New Roman" w:hAnsi="Times New Roman" w:eastAsia="宋体" w:cs="Times New Roman"/>
                <w:i w:val="0"/>
                <w:iCs w:val="0"/>
                <w:color w:val="auto"/>
                <w:kern w:val="0"/>
                <w:sz w:val="21"/>
                <w:szCs w:val="21"/>
                <w:u w:val="none"/>
                <w:lang w:val="en-US" w:eastAsia="zh-CN" w:bidi="ar"/>
              </w:rPr>
              <w:t>5</w:t>
            </w:r>
          </w:p>
        </w:tc>
        <w:tc>
          <w:tcPr>
            <w:tcW w:w="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7" w:hRule="atLeast"/>
        </w:trPr>
        <w:tc>
          <w:tcPr>
            <w:tcW w:w="145"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6</w:t>
            </w:r>
          </w:p>
        </w:tc>
        <w:tc>
          <w:tcPr>
            <w:tcW w:w="33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smallCaps w:val="0"/>
                <w:color w:val="auto"/>
                <w:kern w:val="0"/>
                <w:sz w:val="21"/>
                <w:szCs w:val="21"/>
                <w:vertAlign w:val="baseline"/>
                <w:lang w:val="en-US" w:eastAsia="zh-CN" w:bidi="ar-SA"/>
              </w:rPr>
            </w:pPr>
          </w:p>
        </w:tc>
        <w:tc>
          <w:tcPr>
            <w:tcW w:w="6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color w:val="auto"/>
                <w:sz w:val="21"/>
                <w:szCs w:val="21"/>
              </w:rPr>
              <w:t>带式劈半锯</w:t>
            </w:r>
          </w:p>
        </w:tc>
        <w:tc>
          <w:tcPr>
            <w:tcW w:w="4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w:t>
            </w:r>
          </w:p>
        </w:tc>
        <w:tc>
          <w:tcPr>
            <w:tcW w:w="3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color w:val="auto"/>
                <w:sz w:val="21"/>
                <w:szCs w:val="21"/>
              </w:rPr>
              <w:t>75</w:t>
            </w:r>
          </w:p>
        </w:tc>
        <w:tc>
          <w:tcPr>
            <w:tcW w:w="232"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p>
        </w:tc>
        <w:tc>
          <w:tcPr>
            <w:tcW w:w="2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35</w:t>
            </w:r>
          </w:p>
        </w:tc>
        <w:tc>
          <w:tcPr>
            <w:tcW w:w="2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-65</w:t>
            </w:r>
          </w:p>
        </w:tc>
        <w:tc>
          <w:tcPr>
            <w:tcW w:w="19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2.5</w:t>
            </w:r>
          </w:p>
        </w:tc>
        <w:tc>
          <w:tcPr>
            <w:tcW w:w="2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10</w:t>
            </w:r>
          </w:p>
        </w:tc>
        <w:tc>
          <w:tcPr>
            <w:tcW w:w="3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55</w:t>
            </w:r>
          </w:p>
        </w:tc>
        <w:tc>
          <w:tcPr>
            <w:tcW w:w="5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8</w:t>
            </w:r>
            <w:r>
              <w:rPr>
                <w:rFonts w:hint="default" w:ascii="Times New Roman" w:hAnsi="Times New Roman" w:eastAsia="宋体" w:cs="Times New Roman"/>
                <w:b w:val="0"/>
                <w:bCs w:val="0"/>
                <w:smallCaps w:val="0"/>
                <w:color w:val="auto"/>
                <w:kern w:val="0"/>
                <w:sz w:val="21"/>
                <w:szCs w:val="21"/>
                <w:vertAlign w:val="baseline"/>
                <w:lang w:val="en-US" w:eastAsia="zh-CN"/>
              </w:rPr>
              <w:t>小时</w:t>
            </w:r>
          </w:p>
        </w:tc>
        <w:tc>
          <w:tcPr>
            <w:tcW w:w="3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w:t>
            </w:r>
            <w:r>
              <w:rPr>
                <w:rFonts w:hint="eastAsia" w:ascii="Times New Roman" w:hAnsi="Times New Roman" w:eastAsia="宋体" w:cs="Times New Roman"/>
                <w:b w:val="0"/>
                <w:bCs w:val="0"/>
                <w:smallCaps w:val="0"/>
                <w:color w:val="auto"/>
                <w:kern w:val="0"/>
                <w:sz w:val="21"/>
                <w:szCs w:val="21"/>
                <w:vertAlign w:val="baseline"/>
                <w:lang w:val="en-US" w:eastAsia="zh-CN"/>
              </w:rPr>
              <w:t>5</w:t>
            </w:r>
          </w:p>
        </w:tc>
        <w:tc>
          <w:tcPr>
            <w:tcW w:w="3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30</w:t>
            </w:r>
          </w:p>
        </w:tc>
        <w:tc>
          <w:tcPr>
            <w:tcW w:w="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7" w:hRule="atLeast"/>
        </w:trPr>
        <w:tc>
          <w:tcPr>
            <w:tcW w:w="145"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7</w:t>
            </w:r>
          </w:p>
        </w:tc>
        <w:tc>
          <w:tcPr>
            <w:tcW w:w="33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smallCaps w:val="0"/>
                <w:color w:val="auto"/>
                <w:kern w:val="0"/>
                <w:sz w:val="21"/>
                <w:szCs w:val="21"/>
                <w:vertAlign w:val="baseline"/>
                <w:lang w:val="en-US" w:eastAsia="zh-CN" w:bidi="ar-SA"/>
              </w:rPr>
            </w:pPr>
          </w:p>
        </w:tc>
        <w:tc>
          <w:tcPr>
            <w:tcW w:w="6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废气治理风机</w:t>
            </w:r>
          </w:p>
        </w:tc>
        <w:tc>
          <w:tcPr>
            <w:tcW w:w="4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w:t>
            </w:r>
          </w:p>
        </w:tc>
        <w:tc>
          <w:tcPr>
            <w:tcW w:w="3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80</w:t>
            </w:r>
          </w:p>
        </w:tc>
        <w:tc>
          <w:tcPr>
            <w:tcW w:w="232"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p>
        </w:tc>
        <w:tc>
          <w:tcPr>
            <w:tcW w:w="2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49</w:t>
            </w:r>
          </w:p>
        </w:tc>
        <w:tc>
          <w:tcPr>
            <w:tcW w:w="2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-65</w:t>
            </w:r>
          </w:p>
        </w:tc>
        <w:tc>
          <w:tcPr>
            <w:tcW w:w="19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2.5</w:t>
            </w:r>
          </w:p>
        </w:tc>
        <w:tc>
          <w:tcPr>
            <w:tcW w:w="2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10</w:t>
            </w:r>
          </w:p>
        </w:tc>
        <w:tc>
          <w:tcPr>
            <w:tcW w:w="3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60</w:t>
            </w:r>
          </w:p>
        </w:tc>
        <w:tc>
          <w:tcPr>
            <w:tcW w:w="5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24小时</w:t>
            </w:r>
          </w:p>
        </w:tc>
        <w:tc>
          <w:tcPr>
            <w:tcW w:w="3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25</w:t>
            </w:r>
          </w:p>
        </w:tc>
        <w:tc>
          <w:tcPr>
            <w:tcW w:w="3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35</w:t>
            </w:r>
          </w:p>
        </w:tc>
        <w:tc>
          <w:tcPr>
            <w:tcW w:w="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7" w:hRule="atLeast"/>
        </w:trPr>
        <w:tc>
          <w:tcPr>
            <w:tcW w:w="145"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8</w:t>
            </w:r>
          </w:p>
        </w:tc>
        <w:tc>
          <w:tcPr>
            <w:tcW w:w="33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smallCaps w:val="0"/>
                <w:color w:val="auto"/>
                <w:kern w:val="0"/>
                <w:sz w:val="21"/>
                <w:szCs w:val="21"/>
                <w:vertAlign w:val="baseline"/>
                <w:lang w:val="en-US" w:eastAsia="zh-CN" w:bidi="ar-SA"/>
              </w:rPr>
            </w:pPr>
          </w:p>
        </w:tc>
        <w:tc>
          <w:tcPr>
            <w:tcW w:w="6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猪叫声</w:t>
            </w:r>
          </w:p>
        </w:tc>
        <w:tc>
          <w:tcPr>
            <w:tcW w:w="4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w:t>
            </w:r>
          </w:p>
        </w:tc>
        <w:tc>
          <w:tcPr>
            <w:tcW w:w="3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w:t>
            </w:r>
          </w:p>
        </w:tc>
        <w:tc>
          <w:tcPr>
            <w:tcW w:w="232"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p>
        </w:tc>
        <w:tc>
          <w:tcPr>
            <w:tcW w:w="2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40</w:t>
            </w:r>
          </w:p>
        </w:tc>
        <w:tc>
          <w:tcPr>
            <w:tcW w:w="2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-65</w:t>
            </w:r>
          </w:p>
        </w:tc>
        <w:tc>
          <w:tcPr>
            <w:tcW w:w="19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2.5</w:t>
            </w:r>
          </w:p>
        </w:tc>
        <w:tc>
          <w:tcPr>
            <w:tcW w:w="2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8</w:t>
            </w:r>
          </w:p>
        </w:tc>
        <w:tc>
          <w:tcPr>
            <w:tcW w:w="3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65</w:t>
            </w:r>
          </w:p>
        </w:tc>
        <w:tc>
          <w:tcPr>
            <w:tcW w:w="5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8</w:t>
            </w:r>
            <w:r>
              <w:rPr>
                <w:rFonts w:hint="default" w:ascii="Times New Roman" w:hAnsi="Times New Roman" w:eastAsia="宋体" w:cs="Times New Roman"/>
                <w:b w:val="0"/>
                <w:bCs w:val="0"/>
                <w:smallCaps w:val="0"/>
                <w:color w:val="auto"/>
                <w:kern w:val="0"/>
                <w:sz w:val="21"/>
                <w:szCs w:val="21"/>
                <w:vertAlign w:val="baseline"/>
                <w:lang w:val="en-US" w:eastAsia="zh-CN"/>
              </w:rPr>
              <w:t>小时</w:t>
            </w:r>
          </w:p>
        </w:tc>
        <w:tc>
          <w:tcPr>
            <w:tcW w:w="3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25</w:t>
            </w:r>
          </w:p>
        </w:tc>
        <w:tc>
          <w:tcPr>
            <w:tcW w:w="3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40</w:t>
            </w:r>
          </w:p>
        </w:tc>
        <w:tc>
          <w:tcPr>
            <w:tcW w:w="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5"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9</w:t>
            </w:r>
          </w:p>
        </w:tc>
        <w:tc>
          <w:tcPr>
            <w:tcW w:w="33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污水处理站</w:t>
            </w:r>
          </w:p>
        </w:tc>
        <w:tc>
          <w:tcPr>
            <w:tcW w:w="616"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color w:val="auto"/>
                <w:kern w:val="2"/>
                <w:sz w:val="21"/>
                <w:szCs w:val="21"/>
              </w:rPr>
              <w:t>污水处理泵</w:t>
            </w:r>
          </w:p>
        </w:tc>
        <w:tc>
          <w:tcPr>
            <w:tcW w:w="47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color w:val="auto"/>
                <w:kern w:val="2"/>
                <w:sz w:val="21"/>
                <w:szCs w:val="21"/>
                <w:u w:val="none"/>
                <w:lang w:val="en-US" w:eastAsia="zh-CN" w:bidi="ar-SA"/>
              </w:rPr>
            </w:pPr>
            <w:r>
              <w:rPr>
                <w:rFonts w:hint="eastAsia" w:ascii="Times New Roman" w:hAnsi="Times New Roman" w:eastAsia="宋体" w:cs="Times New Roman"/>
                <w:i w:val="0"/>
                <w:color w:val="auto"/>
                <w:kern w:val="0"/>
                <w:sz w:val="21"/>
                <w:szCs w:val="21"/>
                <w:u w:val="none"/>
                <w:lang w:val="en-US" w:eastAsia="zh-CN" w:bidi="ar"/>
              </w:rPr>
              <w:t>/</w:t>
            </w:r>
          </w:p>
        </w:tc>
        <w:tc>
          <w:tcPr>
            <w:tcW w:w="3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color w:val="auto"/>
                <w:sz w:val="21"/>
                <w:szCs w:val="21"/>
              </w:rPr>
              <w:t>75</w:t>
            </w:r>
          </w:p>
        </w:tc>
        <w:tc>
          <w:tcPr>
            <w:tcW w:w="232"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p>
        </w:tc>
        <w:tc>
          <w:tcPr>
            <w:tcW w:w="2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-9</w:t>
            </w:r>
          </w:p>
        </w:tc>
        <w:tc>
          <w:tcPr>
            <w:tcW w:w="2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-10</w:t>
            </w:r>
          </w:p>
        </w:tc>
        <w:tc>
          <w:tcPr>
            <w:tcW w:w="19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-1</w:t>
            </w:r>
          </w:p>
        </w:tc>
        <w:tc>
          <w:tcPr>
            <w:tcW w:w="2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3</w:t>
            </w:r>
          </w:p>
        </w:tc>
        <w:tc>
          <w:tcPr>
            <w:tcW w:w="3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59</w:t>
            </w:r>
          </w:p>
        </w:tc>
        <w:tc>
          <w:tcPr>
            <w:tcW w:w="5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24小时</w:t>
            </w:r>
          </w:p>
        </w:tc>
        <w:tc>
          <w:tcPr>
            <w:tcW w:w="3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w:t>
            </w:r>
            <w:r>
              <w:rPr>
                <w:rFonts w:hint="eastAsia" w:ascii="Times New Roman" w:hAnsi="Times New Roman" w:eastAsia="宋体" w:cs="Times New Roman"/>
                <w:b w:val="0"/>
                <w:bCs w:val="0"/>
                <w:smallCaps w:val="0"/>
                <w:color w:val="auto"/>
                <w:kern w:val="0"/>
                <w:sz w:val="21"/>
                <w:szCs w:val="21"/>
                <w:vertAlign w:val="baseline"/>
                <w:lang w:val="en-US" w:eastAsia="zh-CN"/>
              </w:rPr>
              <w:t>5</w:t>
            </w:r>
          </w:p>
        </w:tc>
        <w:tc>
          <w:tcPr>
            <w:tcW w:w="3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3</w:t>
            </w:r>
            <w:r>
              <w:rPr>
                <w:rFonts w:hint="eastAsia" w:ascii="Times New Roman" w:hAnsi="Times New Roman" w:eastAsia="宋体" w:cs="Times New Roman"/>
                <w:b w:val="0"/>
                <w:bCs w:val="0"/>
                <w:smallCaps w:val="0"/>
                <w:color w:val="auto"/>
                <w:kern w:val="0"/>
                <w:sz w:val="21"/>
                <w:szCs w:val="21"/>
                <w:vertAlign w:val="baseline"/>
                <w:lang w:val="en-US" w:eastAsia="zh-CN"/>
              </w:rPr>
              <w:t>4</w:t>
            </w:r>
          </w:p>
        </w:tc>
        <w:tc>
          <w:tcPr>
            <w:tcW w:w="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5"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10</w:t>
            </w:r>
          </w:p>
        </w:tc>
        <w:tc>
          <w:tcPr>
            <w:tcW w:w="33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lang w:val="en-US" w:eastAsia="zh-CN" w:bidi="ar-SA"/>
              </w:rPr>
            </w:pPr>
          </w:p>
        </w:tc>
        <w:tc>
          <w:tcPr>
            <w:tcW w:w="616"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风机</w:t>
            </w:r>
          </w:p>
        </w:tc>
        <w:tc>
          <w:tcPr>
            <w:tcW w:w="47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w:t>
            </w:r>
          </w:p>
        </w:tc>
        <w:tc>
          <w:tcPr>
            <w:tcW w:w="3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w:t>
            </w:r>
          </w:p>
        </w:tc>
        <w:tc>
          <w:tcPr>
            <w:tcW w:w="232"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p>
        </w:tc>
        <w:tc>
          <w:tcPr>
            <w:tcW w:w="2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-7</w:t>
            </w:r>
          </w:p>
        </w:tc>
        <w:tc>
          <w:tcPr>
            <w:tcW w:w="2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-12</w:t>
            </w:r>
          </w:p>
        </w:tc>
        <w:tc>
          <w:tcPr>
            <w:tcW w:w="19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-1</w:t>
            </w:r>
          </w:p>
        </w:tc>
        <w:tc>
          <w:tcPr>
            <w:tcW w:w="2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2</w:t>
            </w:r>
          </w:p>
        </w:tc>
        <w:tc>
          <w:tcPr>
            <w:tcW w:w="3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76</w:t>
            </w:r>
          </w:p>
        </w:tc>
        <w:tc>
          <w:tcPr>
            <w:tcW w:w="5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24小时</w:t>
            </w:r>
          </w:p>
        </w:tc>
        <w:tc>
          <w:tcPr>
            <w:tcW w:w="3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25</w:t>
            </w:r>
          </w:p>
        </w:tc>
        <w:tc>
          <w:tcPr>
            <w:tcW w:w="3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51</w:t>
            </w:r>
          </w:p>
        </w:tc>
        <w:tc>
          <w:tcPr>
            <w:tcW w:w="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5"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11</w:t>
            </w:r>
          </w:p>
        </w:tc>
        <w:tc>
          <w:tcPr>
            <w:tcW w:w="3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Cs/>
                <w:color w:val="auto"/>
                <w:sz w:val="21"/>
                <w:szCs w:val="21"/>
              </w:rPr>
              <w:t>锅炉</w:t>
            </w:r>
          </w:p>
        </w:tc>
        <w:tc>
          <w:tcPr>
            <w:tcW w:w="616"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rPr>
                <w:rFonts w:hint="default" w:ascii="Times New Roman" w:hAnsi="Times New Roman" w:eastAsia="宋体" w:cs="Times New Roman"/>
                <w:b w:val="0"/>
                <w:bCs w:val="0"/>
                <w:smallCaps w:val="0"/>
                <w:color w:val="auto"/>
                <w:kern w:val="0"/>
                <w:sz w:val="21"/>
                <w:szCs w:val="21"/>
                <w:lang w:val="en-US" w:eastAsia="zh-CN" w:bidi="ar-SA"/>
              </w:rPr>
            </w:pPr>
            <w:r>
              <w:rPr>
                <w:rFonts w:hint="default" w:ascii="Times New Roman" w:hAnsi="Times New Roman" w:eastAsia="宋体" w:cs="Times New Roman"/>
                <w:bCs/>
                <w:color w:val="auto"/>
                <w:sz w:val="21"/>
                <w:szCs w:val="21"/>
                <w:lang w:val="en-US" w:eastAsia="zh-CN"/>
              </w:rPr>
              <w:t>1t/h</w:t>
            </w:r>
            <w:r>
              <w:rPr>
                <w:rFonts w:hint="default" w:ascii="Times New Roman" w:hAnsi="Times New Roman" w:eastAsia="宋体" w:cs="Times New Roman"/>
                <w:bCs/>
                <w:color w:val="auto"/>
                <w:sz w:val="21"/>
                <w:szCs w:val="21"/>
              </w:rPr>
              <w:t>锅炉风机</w:t>
            </w:r>
          </w:p>
        </w:tc>
        <w:tc>
          <w:tcPr>
            <w:tcW w:w="47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eastAsia" w:ascii="Times New Roman" w:hAnsi="Times New Roman" w:eastAsia="宋体" w:cs="Times New Roman"/>
                <w:b w:val="0"/>
                <w:bCs w:val="0"/>
                <w:i w:val="0"/>
                <w:iCs w:val="0"/>
                <w:color w:val="auto"/>
                <w:kern w:val="0"/>
                <w:sz w:val="21"/>
                <w:szCs w:val="21"/>
                <w:u w:val="none"/>
                <w:lang w:val="en-US" w:eastAsia="zh-CN" w:bidi="ar"/>
              </w:rPr>
              <w:t>/</w:t>
            </w:r>
          </w:p>
        </w:tc>
        <w:tc>
          <w:tcPr>
            <w:tcW w:w="3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color w:val="auto"/>
                <w:sz w:val="21"/>
                <w:szCs w:val="21"/>
              </w:rPr>
              <w:t>85</w:t>
            </w:r>
          </w:p>
        </w:tc>
        <w:tc>
          <w:tcPr>
            <w:tcW w:w="232"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p>
        </w:tc>
        <w:tc>
          <w:tcPr>
            <w:tcW w:w="2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60</w:t>
            </w:r>
          </w:p>
        </w:tc>
        <w:tc>
          <w:tcPr>
            <w:tcW w:w="2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-10</w:t>
            </w:r>
          </w:p>
        </w:tc>
        <w:tc>
          <w:tcPr>
            <w:tcW w:w="19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2.0</w:t>
            </w:r>
          </w:p>
        </w:tc>
        <w:tc>
          <w:tcPr>
            <w:tcW w:w="2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w:t>
            </w:r>
          </w:p>
        </w:tc>
        <w:tc>
          <w:tcPr>
            <w:tcW w:w="3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bidi="ar-SA"/>
              </w:rPr>
            </w:pPr>
            <w:r>
              <w:rPr>
                <w:rFonts w:hint="default" w:ascii="Times New Roman" w:hAnsi="Times New Roman" w:eastAsia="宋体" w:cs="Times New Roman"/>
                <w:b w:val="0"/>
                <w:bCs w:val="0"/>
                <w:smallCaps w:val="0"/>
                <w:color w:val="auto"/>
                <w:kern w:val="0"/>
                <w:sz w:val="21"/>
                <w:szCs w:val="21"/>
                <w:vertAlign w:val="baseline"/>
                <w:lang w:val="en-US" w:eastAsia="zh-CN"/>
              </w:rPr>
              <w:t>77</w:t>
            </w:r>
          </w:p>
        </w:tc>
        <w:tc>
          <w:tcPr>
            <w:tcW w:w="5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12小时</w:t>
            </w:r>
          </w:p>
        </w:tc>
        <w:tc>
          <w:tcPr>
            <w:tcW w:w="3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w:t>
            </w:r>
            <w:r>
              <w:rPr>
                <w:rFonts w:hint="eastAsia" w:ascii="Times New Roman" w:hAnsi="Times New Roman" w:eastAsia="宋体" w:cs="Times New Roman"/>
                <w:b w:val="0"/>
                <w:bCs w:val="0"/>
                <w:smallCaps w:val="0"/>
                <w:color w:val="auto"/>
                <w:kern w:val="0"/>
                <w:sz w:val="21"/>
                <w:szCs w:val="21"/>
                <w:vertAlign w:val="baseline"/>
                <w:lang w:val="en-US" w:eastAsia="zh-CN"/>
              </w:rPr>
              <w:t>5</w:t>
            </w:r>
          </w:p>
        </w:tc>
        <w:tc>
          <w:tcPr>
            <w:tcW w:w="3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5</w:t>
            </w:r>
            <w:r>
              <w:rPr>
                <w:rFonts w:hint="eastAsia" w:ascii="Times New Roman" w:hAnsi="Times New Roman" w:eastAsia="宋体" w:cs="Times New Roman"/>
                <w:b w:val="0"/>
                <w:bCs w:val="0"/>
                <w:smallCaps w:val="0"/>
                <w:color w:val="auto"/>
                <w:kern w:val="0"/>
                <w:sz w:val="21"/>
                <w:szCs w:val="21"/>
                <w:vertAlign w:val="baseline"/>
                <w:lang w:val="en-US" w:eastAsia="zh-CN"/>
              </w:rPr>
              <w:t>2</w:t>
            </w:r>
          </w:p>
        </w:tc>
        <w:tc>
          <w:tcPr>
            <w:tcW w:w="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5"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12</w:t>
            </w:r>
          </w:p>
        </w:tc>
        <w:tc>
          <w:tcPr>
            <w:tcW w:w="3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color w:val="auto"/>
                <w:sz w:val="21"/>
                <w:szCs w:val="21"/>
              </w:rPr>
              <w:t>冷库</w:t>
            </w:r>
          </w:p>
        </w:tc>
        <w:tc>
          <w:tcPr>
            <w:tcW w:w="616"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rPr>
                <w:rFonts w:hint="default" w:ascii="Times New Roman" w:hAnsi="Times New Roman" w:eastAsia="宋体" w:cs="Times New Roman"/>
                <w:b w:val="0"/>
                <w:bCs w:val="0"/>
                <w:smallCaps w:val="0"/>
                <w:color w:val="auto"/>
                <w:kern w:val="0"/>
                <w:sz w:val="21"/>
                <w:szCs w:val="21"/>
                <w:lang w:val="en-US" w:eastAsia="zh-CN" w:bidi="ar-SA"/>
              </w:rPr>
            </w:pPr>
            <w:r>
              <w:rPr>
                <w:rFonts w:hint="default" w:ascii="Times New Roman" w:hAnsi="Times New Roman" w:eastAsia="宋体" w:cs="Times New Roman"/>
                <w:bCs/>
                <w:color w:val="auto"/>
                <w:sz w:val="21"/>
                <w:szCs w:val="21"/>
              </w:rPr>
              <w:t>制冷压缩机</w:t>
            </w:r>
          </w:p>
        </w:tc>
        <w:tc>
          <w:tcPr>
            <w:tcW w:w="47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0"/>
                <w:sz w:val="21"/>
                <w:szCs w:val="21"/>
                <w:u w:val="none"/>
                <w:lang w:val="en-US" w:eastAsia="zh-CN" w:bidi="ar"/>
              </w:rPr>
              <w:t>/</w:t>
            </w:r>
          </w:p>
        </w:tc>
        <w:tc>
          <w:tcPr>
            <w:tcW w:w="3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color w:val="auto"/>
                <w:sz w:val="21"/>
                <w:szCs w:val="21"/>
              </w:rPr>
              <w:t>90</w:t>
            </w:r>
          </w:p>
        </w:tc>
        <w:tc>
          <w:tcPr>
            <w:tcW w:w="232" w:type="pct"/>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p>
        </w:tc>
        <w:tc>
          <w:tcPr>
            <w:tcW w:w="212"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-10</w:t>
            </w:r>
          </w:p>
        </w:tc>
        <w:tc>
          <w:tcPr>
            <w:tcW w:w="2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-74</w:t>
            </w:r>
          </w:p>
        </w:tc>
        <w:tc>
          <w:tcPr>
            <w:tcW w:w="197"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3.0</w:t>
            </w:r>
          </w:p>
        </w:tc>
        <w:tc>
          <w:tcPr>
            <w:tcW w:w="2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w:t>
            </w:r>
          </w:p>
        </w:tc>
        <w:tc>
          <w:tcPr>
            <w:tcW w:w="330" w:type="pc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bidi="ar-SA"/>
              </w:rPr>
            </w:pPr>
            <w:r>
              <w:rPr>
                <w:rFonts w:hint="default" w:ascii="Times New Roman" w:hAnsi="Times New Roman" w:eastAsia="宋体" w:cs="Times New Roman"/>
                <w:b w:val="0"/>
                <w:bCs w:val="0"/>
                <w:smallCaps w:val="0"/>
                <w:color w:val="auto"/>
                <w:kern w:val="0"/>
                <w:sz w:val="21"/>
                <w:szCs w:val="21"/>
                <w:vertAlign w:val="baseline"/>
                <w:lang w:val="en-US" w:eastAsia="zh-CN"/>
              </w:rPr>
              <w:t>75</w:t>
            </w:r>
          </w:p>
        </w:tc>
        <w:tc>
          <w:tcPr>
            <w:tcW w:w="5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24小时</w:t>
            </w:r>
          </w:p>
        </w:tc>
        <w:tc>
          <w:tcPr>
            <w:tcW w:w="3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2</w:t>
            </w:r>
            <w:r>
              <w:rPr>
                <w:rFonts w:hint="eastAsia" w:ascii="Times New Roman" w:hAnsi="Times New Roman" w:eastAsia="宋体" w:cs="Times New Roman"/>
                <w:b w:val="0"/>
                <w:bCs w:val="0"/>
                <w:smallCaps w:val="0"/>
                <w:color w:val="auto"/>
                <w:kern w:val="0"/>
                <w:sz w:val="21"/>
                <w:szCs w:val="21"/>
                <w:vertAlign w:val="baseline"/>
                <w:lang w:val="en-US" w:eastAsia="zh-CN"/>
              </w:rPr>
              <w:t>5</w:t>
            </w:r>
          </w:p>
        </w:tc>
        <w:tc>
          <w:tcPr>
            <w:tcW w:w="3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smallCaps w:val="0"/>
                <w:color w:val="auto"/>
                <w:kern w:val="0"/>
                <w:sz w:val="21"/>
                <w:szCs w:val="21"/>
                <w:vertAlign w:val="baseline"/>
                <w:lang w:val="en-US" w:eastAsia="zh-CN"/>
              </w:rPr>
            </w:pPr>
            <w:r>
              <w:rPr>
                <w:rFonts w:hint="eastAsia" w:ascii="Times New Roman" w:hAnsi="Times New Roman" w:eastAsia="宋体" w:cs="Times New Roman"/>
                <w:b w:val="0"/>
                <w:bCs w:val="0"/>
                <w:smallCaps w:val="0"/>
                <w:color w:val="auto"/>
                <w:kern w:val="0"/>
                <w:sz w:val="21"/>
                <w:szCs w:val="21"/>
                <w:vertAlign w:val="baseline"/>
                <w:lang w:val="en-US" w:eastAsia="zh-CN"/>
              </w:rPr>
              <w:t>50</w:t>
            </w:r>
          </w:p>
        </w:tc>
        <w:tc>
          <w:tcPr>
            <w:tcW w:w="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smallCaps w:val="0"/>
                <w:color w:val="auto"/>
                <w:kern w:val="0"/>
                <w:sz w:val="21"/>
                <w:szCs w:val="21"/>
                <w:vertAlign w:val="baseline"/>
                <w:lang w:val="en-US" w:eastAsia="zh-CN"/>
              </w:rPr>
            </w:pPr>
            <w:r>
              <w:rPr>
                <w:rFonts w:hint="default" w:ascii="Times New Roman" w:hAnsi="Times New Roman" w:eastAsia="宋体" w:cs="Times New Roman"/>
                <w:b w:val="0"/>
                <w:bCs w:val="0"/>
                <w:smallCaps w:val="0"/>
                <w:color w:val="auto"/>
                <w:kern w:val="0"/>
                <w:sz w:val="21"/>
                <w:szCs w:val="21"/>
                <w:vertAlign w:val="baseline"/>
                <w:lang w:val="en-US" w:eastAsia="zh-CN"/>
              </w:rPr>
              <w:t>1</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24" w:firstLineChars="200"/>
        <w:jc w:val="both"/>
        <w:textAlignment w:val="baseline"/>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sectPr>
          <w:pgSz w:w="16839" w:h="11906" w:orient="landscape"/>
          <w:pgMar w:top="1102" w:right="1203" w:bottom="1103" w:left="1157" w:header="962" w:footer="992" w:gutter="0"/>
          <w:pgBorders>
            <w:top w:val="none" w:sz="0" w:space="0"/>
            <w:left w:val="none" w:sz="0" w:space="0"/>
            <w:bottom w:val="none" w:sz="0" w:space="0"/>
            <w:right w:val="none" w:sz="0" w:space="0"/>
          </w:pgBorders>
          <w:pgNumType w:fmt="decimal"/>
          <w:cols w:space="720" w:num="1"/>
        </w:sectPr>
      </w:pPr>
    </w:p>
    <w:p>
      <w:pPr>
        <w:keepNext w:val="0"/>
        <w:keepLines w:val="0"/>
        <w:pageBreakBefore w:val="0"/>
        <w:wordWrap/>
        <w:overflowPunct/>
        <w:topLinePunct w:val="0"/>
        <w:bidi w:val="0"/>
        <w:spacing w:line="360" w:lineRule="auto"/>
        <w:ind w:left="0" w:firstLine="420" w:firstLineChars="200"/>
        <w:jc w:val="both"/>
        <w:outlineLvl w:val="3"/>
        <w:rPr>
          <w:rFonts w:hint="eastAsia" w:ascii="Times New Roman" w:hAnsi="Times New Roman" w:eastAsia="黑体" w:cs="Times New Roman"/>
          <w:sz w:val="24"/>
          <w:szCs w:val="24"/>
          <w:highlight w:val="magenta"/>
          <w:lang w:eastAsia="zh-CN"/>
        </w:rPr>
      </w:pPr>
      <w:r>
        <w:rPr>
          <w:rFonts w:hint="default" w:ascii="Times New Roman" w:hAnsi="Times New Roman" w:cs="Times New Roman"/>
        </w:rPr>
        <w:fldChar w:fldCharType="begin"/>
      </w:r>
      <w:r>
        <w:rPr>
          <w:rFonts w:hint="default" w:ascii="Times New Roman" w:hAnsi="Times New Roman" w:cs="Times New Roman"/>
        </w:rPr>
        <w:instrText xml:space="preserve"> HYPERLINK "3.3.4.4" </w:instrText>
      </w:r>
      <w:r>
        <w:rPr>
          <w:rFonts w:hint="default" w:ascii="Times New Roman" w:hAnsi="Times New Roman" w:cs="Times New Roman"/>
        </w:rPr>
        <w:fldChar w:fldCharType="separate"/>
      </w:r>
      <w:r>
        <w:rPr>
          <w:rFonts w:hint="default" w:ascii="Times New Roman" w:hAnsi="Times New Roman" w:eastAsia="Times New Roman" w:cs="Times New Roman"/>
          <w:spacing w:val="3"/>
          <w:sz w:val="24"/>
          <w:szCs w:val="24"/>
        </w:rPr>
        <w:t>3.</w:t>
      </w:r>
      <w:r>
        <w:rPr>
          <w:rFonts w:hint="default" w:ascii="Times New Roman" w:hAnsi="Times New Roman" w:eastAsia="宋体" w:cs="Times New Roman"/>
          <w:spacing w:val="3"/>
          <w:sz w:val="24"/>
          <w:szCs w:val="24"/>
          <w:lang w:val="en-US" w:eastAsia="zh-CN"/>
        </w:rPr>
        <w:t>6</w:t>
      </w:r>
      <w:r>
        <w:rPr>
          <w:rFonts w:hint="default" w:ascii="Times New Roman" w:hAnsi="Times New Roman" w:eastAsia="Times New Roman" w:cs="Times New Roman"/>
          <w:spacing w:val="3"/>
          <w:sz w:val="24"/>
          <w:szCs w:val="24"/>
        </w:rPr>
        <w:t>.4.4</w:t>
      </w:r>
      <w:r>
        <w:rPr>
          <w:rFonts w:hint="default" w:ascii="Times New Roman" w:hAnsi="Times New Roman" w:eastAsia="Times New Roman" w:cs="Times New Roman"/>
          <w:spacing w:val="3"/>
          <w:sz w:val="24"/>
          <w:szCs w:val="24"/>
        </w:rPr>
        <w:fldChar w:fldCharType="end"/>
      </w:r>
      <w:r>
        <w:rPr>
          <w:rFonts w:hint="default" w:ascii="Times New Roman" w:hAnsi="Times New Roman" w:eastAsia="Times New Roman" w:cs="Times New Roman"/>
          <w:spacing w:val="20"/>
          <w:w w:val="101"/>
          <w:sz w:val="24"/>
          <w:szCs w:val="24"/>
        </w:rPr>
        <w:t xml:space="preserve">  </w:t>
      </w:r>
      <w:r>
        <w:rPr>
          <w:rFonts w:hint="default" w:ascii="Times New Roman" w:hAnsi="Times New Roman" w:eastAsia="黑体" w:cs="Times New Roman"/>
          <w:spacing w:val="3"/>
          <w:sz w:val="24"/>
          <w:szCs w:val="24"/>
        </w:rPr>
        <w:t>固体废物污染源</w:t>
      </w:r>
      <w:r>
        <w:rPr>
          <w:rFonts w:hint="default" w:ascii="Times New Roman" w:hAnsi="Times New Roman" w:eastAsia="黑体" w:cs="Times New Roman"/>
          <w:spacing w:val="3"/>
          <w:sz w:val="24"/>
          <w:szCs w:val="24"/>
          <w:lang w:val="en-US" w:eastAsia="zh-CN"/>
        </w:rPr>
        <w:t>强</w:t>
      </w:r>
      <w:r>
        <w:rPr>
          <w:rFonts w:hint="default" w:ascii="Times New Roman" w:hAnsi="Times New Roman" w:eastAsia="黑体" w:cs="Times New Roman"/>
          <w:spacing w:val="3"/>
          <w:sz w:val="24"/>
          <w:szCs w:val="24"/>
        </w:rPr>
        <w:t>分析</w:t>
      </w:r>
    </w:p>
    <w:p>
      <w:pPr>
        <w:keepNext w:val="0"/>
        <w:keepLines w:val="0"/>
        <w:pageBreakBefore w:val="0"/>
        <w:wordWrap/>
        <w:overflowPunct/>
        <w:topLinePunct w:val="0"/>
        <w:bidi w:val="0"/>
        <w:spacing w:line="360" w:lineRule="auto"/>
        <w:ind w:left="0" w:firstLine="476" w:firstLineChars="200"/>
        <w:jc w:val="both"/>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本项目固体废物主要为一般工业固废、生活垃圾及</w:t>
      </w:r>
      <w:r>
        <w:rPr>
          <w:rFonts w:hint="default" w:ascii="Times New Roman" w:hAnsi="Times New Roman" w:eastAsia="宋体" w:cs="Times New Roman"/>
          <w:spacing w:val="-1"/>
          <w:sz w:val="24"/>
          <w:szCs w:val="24"/>
          <w:highlight w:val="none"/>
        </w:rPr>
        <w:t>危险固废</w:t>
      </w:r>
      <w:r>
        <w:rPr>
          <w:rFonts w:hint="default" w:ascii="Times New Roman" w:hAnsi="Times New Roman" w:eastAsia="宋体" w:cs="Times New Roman"/>
          <w:spacing w:val="-1"/>
          <w:sz w:val="24"/>
          <w:szCs w:val="24"/>
        </w:rPr>
        <w:t>。</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（1）正常工况</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项目正常工况下产生的一般固体废物主要有待宰圈产生的猪粪；检疫室产生的检疫废物；屠宰加工车间产生的猪毛、肠胃内容物、病变腺体、内脏及</w:t>
      </w:r>
      <w:r>
        <w:rPr>
          <w:rFonts w:hint="eastAsia" w:ascii="Times New Roman" w:hAnsi="Times New Roman" w:eastAsia="宋体" w:cs="Times New Roman"/>
          <w:color w:val="auto"/>
          <w:sz w:val="24"/>
          <w:szCs w:val="24"/>
          <w:highlight w:val="none"/>
          <w:lang w:val="en-US" w:eastAsia="zh-CN"/>
        </w:rPr>
        <w:t>废气</w:t>
      </w:r>
      <w:r>
        <w:rPr>
          <w:rFonts w:hint="default" w:ascii="Times New Roman" w:hAnsi="Times New Roman" w:eastAsia="宋体" w:cs="Times New Roman"/>
          <w:color w:val="auto"/>
          <w:sz w:val="24"/>
          <w:szCs w:val="24"/>
          <w:highlight w:val="none"/>
          <w:lang w:val="en-US" w:eastAsia="zh-CN"/>
        </w:rPr>
        <w:t>脂肪；污水处理站产生的污泥、栅渣、废油脂及落地油；废活性炭；锅炉房产生的废离子交换树脂；生活垃圾</w:t>
      </w:r>
      <w:r>
        <w:rPr>
          <w:rFonts w:hint="eastAsia" w:ascii="Times New Roman" w:hAnsi="Times New Roman" w:eastAsia="宋体" w:cs="Times New Roman"/>
          <w:color w:val="auto"/>
          <w:sz w:val="24"/>
          <w:szCs w:val="24"/>
          <w:highlight w:val="none"/>
          <w:lang w:val="en-US" w:eastAsia="zh-CN"/>
        </w:rPr>
        <w:t>，废外包装，废润滑油及油桶等</w:t>
      </w:r>
      <w:r>
        <w:rPr>
          <w:rFonts w:hint="default" w:ascii="Times New Roman" w:hAnsi="Times New Roman" w:cs="Times New Roman"/>
          <w:color w:val="auto"/>
          <w:sz w:val="24"/>
          <w:szCs w:val="24"/>
          <w:highlight w:val="none"/>
          <w:lang w:eastAsia="zh-CN"/>
        </w:rPr>
        <w:t>。</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1）猪粪</w:t>
      </w:r>
    </w:p>
    <w:p>
      <w:pPr>
        <w:pStyle w:val="47"/>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猪粪入场毛猪停食静养，前三小时停止进水，其粪便产生量相对较少，猪粪产生量为0.5kg/d头，本项目生猪在待宰圈内停留24h，则每头猪粪便产生量为0.5kg（代码：135-001-33），改扩建项目待宰圈年存栏150849头，则改扩建项目猪粪便产生量为75.42t/a。改扩建后全厂待宰圈年存栏159840头，则改扩建后全厂猪粪便产生量为80t/a。猪粪便在待宰圈防渗池内临时密闭贮存，待宰圈防渗池容积2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vertAlign w:val="baseline"/>
          <w:lang w:val="en-US" w:eastAsia="zh-CN"/>
        </w:rPr>
        <w:t>，最大存储量1t，厂区</w:t>
      </w:r>
      <w:r>
        <w:rPr>
          <w:rFonts w:hint="default" w:ascii="Times New Roman" w:hAnsi="Times New Roman" w:eastAsia="宋体" w:cs="Times New Roman"/>
          <w:color w:val="auto"/>
          <w:sz w:val="24"/>
          <w:szCs w:val="24"/>
          <w:highlight w:val="none"/>
          <w:lang w:val="en-US" w:eastAsia="zh-CN"/>
        </w:rPr>
        <w:t>每天清运一次，外售有机肥厂进行堆肥处理。</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2）猪毛</w:t>
      </w:r>
    </w:p>
    <w:p>
      <w:pPr>
        <w:pStyle w:val="47"/>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生猪屠宰褪毛过程将产生猪毛，根据物料平衡可知，改扩建项目猪毛的产生量为113t/a（代码：135-001-32）。改扩建后全厂猪毛产生量为120t/a。屠宰加工车间产生的猪毛在专用容器内储存，外售至毛刷厂。</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3）肠胃内容物</w:t>
      </w:r>
    </w:p>
    <w:p>
      <w:pPr>
        <w:pStyle w:val="47"/>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改扩建项目肠胃内容物产生量1132.5t/a（代码：135-001-32），改扩建后全厂肠胃内容物产生量1200t/a。</w:t>
      </w:r>
      <w:r>
        <w:rPr>
          <w:rFonts w:hint="default" w:ascii="Times New Roman" w:hAnsi="Times New Roman" w:eastAsia="宋体" w:cs="Times New Roman"/>
          <w:color w:val="auto"/>
          <w:spacing w:val="0"/>
          <w:sz w:val="24"/>
          <w:szCs w:val="24"/>
          <w:highlight w:val="none"/>
        </w:rPr>
        <w:t>通过胃容物风送设备排至肠内物收集池</w:t>
      </w:r>
      <w:r>
        <w:rPr>
          <w:rFonts w:hint="default" w:ascii="Times New Roman" w:hAnsi="Times New Roman" w:eastAsia="宋体" w:cs="Times New Roman"/>
          <w:color w:val="auto"/>
          <w:spacing w:val="0"/>
          <w:sz w:val="24"/>
          <w:szCs w:val="24"/>
          <w:highlight w:val="none"/>
          <w:lang w:eastAsia="zh-CN"/>
        </w:rPr>
        <w:t>，肠内容物收集池</w:t>
      </w:r>
      <w:r>
        <w:rPr>
          <w:rFonts w:hint="default" w:ascii="Times New Roman" w:hAnsi="Times New Roman" w:eastAsia="宋体" w:cs="Times New Roman"/>
          <w:color w:val="auto"/>
          <w:spacing w:val="0"/>
          <w:sz w:val="24"/>
          <w:szCs w:val="24"/>
          <w:highlight w:val="none"/>
          <w:lang w:val="en-US" w:eastAsia="zh-CN"/>
        </w:rPr>
        <w:t>10m</w:t>
      </w:r>
      <w:r>
        <w:rPr>
          <w:rFonts w:hint="default" w:ascii="Times New Roman" w:hAnsi="Times New Roman" w:eastAsia="宋体" w:cs="Times New Roman"/>
          <w:color w:val="auto"/>
          <w:spacing w:val="0"/>
          <w:sz w:val="24"/>
          <w:szCs w:val="24"/>
          <w:highlight w:val="none"/>
          <w:vertAlign w:val="superscript"/>
          <w:lang w:val="en-US" w:eastAsia="zh-CN"/>
        </w:rPr>
        <w:t>3</w:t>
      </w:r>
      <w:r>
        <w:rPr>
          <w:rFonts w:hint="default" w:ascii="Times New Roman" w:hAnsi="Times New Roman" w:eastAsia="宋体" w:cs="Times New Roman"/>
          <w:color w:val="auto"/>
          <w:spacing w:val="0"/>
          <w:sz w:val="24"/>
          <w:szCs w:val="24"/>
          <w:highlight w:val="none"/>
          <w:vertAlign w:val="baseline"/>
          <w:lang w:val="en-US" w:eastAsia="zh-CN"/>
        </w:rPr>
        <w:t>，</w:t>
      </w:r>
      <w:r>
        <w:rPr>
          <w:rFonts w:hint="default" w:ascii="Times New Roman" w:hAnsi="Times New Roman" w:eastAsia="宋体" w:cs="Times New Roman"/>
          <w:color w:val="auto"/>
          <w:spacing w:val="0"/>
          <w:sz w:val="24"/>
          <w:szCs w:val="24"/>
          <w:highlight w:val="none"/>
          <w:lang w:eastAsia="zh-CN"/>
        </w:rPr>
        <w:t>存储能力</w:t>
      </w:r>
      <w:r>
        <w:rPr>
          <w:rFonts w:hint="default" w:ascii="Times New Roman" w:hAnsi="Times New Roman" w:eastAsia="宋体" w:cs="Times New Roman"/>
          <w:color w:val="auto"/>
          <w:spacing w:val="0"/>
          <w:sz w:val="24"/>
          <w:szCs w:val="24"/>
          <w:highlight w:val="none"/>
          <w:lang w:val="en-US" w:eastAsia="zh-CN"/>
        </w:rPr>
        <w:t>10t，收集后的肠内容物</w:t>
      </w:r>
      <w:r>
        <w:rPr>
          <w:rFonts w:hint="default" w:ascii="Times New Roman" w:hAnsi="Times New Roman" w:eastAsia="宋体" w:cs="Times New Roman"/>
          <w:color w:val="auto"/>
          <w:sz w:val="24"/>
          <w:szCs w:val="24"/>
          <w:highlight w:val="none"/>
          <w:lang w:val="en-US" w:eastAsia="zh-CN"/>
        </w:rPr>
        <w:t>进行堆肥处理。</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4）病变腺体、内脏</w:t>
      </w:r>
    </w:p>
    <w:p>
      <w:pPr>
        <w:pStyle w:val="47"/>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sz w:val="24"/>
          <w:szCs w:val="24"/>
          <w:highlight w:val="none"/>
          <w:lang w:val="en-US" w:eastAsia="zh-CN"/>
        </w:rPr>
        <w:t>改扩建项目病变腺体、内脏</w:t>
      </w:r>
      <w:r>
        <w:rPr>
          <w:rFonts w:hint="default" w:ascii="Times New Roman" w:hAnsi="Times New Roman" w:eastAsia="宋体" w:cs="Times New Roman"/>
          <w:color w:val="auto"/>
          <w:sz w:val="24"/>
          <w:szCs w:val="24"/>
          <w:highlight w:val="none"/>
          <w:lang w:val="en-US" w:eastAsia="zh-CN"/>
        </w:rPr>
        <w:t>产生量为</w:t>
      </w:r>
      <w:r>
        <w:rPr>
          <w:rFonts w:hint="eastAsia" w:ascii="Times New Roman" w:hAnsi="Times New Roman" w:eastAsia="宋体" w:cs="Times New Roman"/>
          <w:color w:val="auto"/>
          <w:sz w:val="24"/>
          <w:szCs w:val="24"/>
          <w:highlight w:val="none"/>
          <w:lang w:val="en-US" w:eastAsia="zh-CN"/>
        </w:rPr>
        <w:t>151.2</w:t>
      </w:r>
      <w:r>
        <w:rPr>
          <w:rFonts w:hint="default" w:ascii="Times New Roman" w:hAnsi="Times New Roman" w:eastAsia="宋体" w:cs="Times New Roman"/>
          <w:color w:val="auto"/>
          <w:sz w:val="24"/>
          <w:szCs w:val="24"/>
          <w:highlight w:val="none"/>
          <w:lang w:val="en-US" w:eastAsia="zh-CN"/>
        </w:rPr>
        <w:t>t/a（代码：135-001-32）</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cs="Times New Roman"/>
          <w:sz w:val="24"/>
          <w:szCs w:val="24"/>
          <w:highlight w:val="none"/>
          <w:lang w:val="en-US" w:eastAsia="zh-CN"/>
        </w:rPr>
        <w:t>改扩建后全厂病变腺体、内脏</w:t>
      </w:r>
      <w:r>
        <w:rPr>
          <w:rFonts w:hint="default" w:ascii="Times New Roman" w:hAnsi="Times New Roman" w:eastAsia="宋体" w:cs="Times New Roman"/>
          <w:color w:val="auto"/>
          <w:sz w:val="24"/>
          <w:szCs w:val="24"/>
          <w:highlight w:val="none"/>
          <w:lang w:val="en-US" w:eastAsia="zh-CN"/>
        </w:rPr>
        <w:t>产生量为1</w:t>
      </w:r>
      <w:r>
        <w:rPr>
          <w:rFonts w:hint="eastAsia" w:ascii="Times New Roman" w:hAnsi="Times New Roman" w:eastAsia="宋体" w:cs="Times New Roman"/>
          <w:color w:val="auto"/>
          <w:sz w:val="24"/>
          <w:szCs w:val="24"/>
          <w:highlight w:val="none"/>
          <w:lang w:val="en-US" w:eastAsia="zh-CN"/>
        </w:rPr>
        <w:t>57</w:t>
      </w:r>
      <w:r>
        <w:rPr>
          <w:rFonts w:hint="default" w:ascii="Times New Roman" w:hAnsi="Times New Roman" w:eastAsia="宋体" w:cs="Times New Roman"/>
          <w:color w:val="auto"/>
          <w:sz w:val="24"/>
          <w:szCs w:val="24"/>
          <w:highlight w:val="none"/>
          <w:lang w:val="en-US" w:eastAsia="zh-CN"/>
        </w:rPr>
        <w:t>t/a（代码：135-001-32）</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送至</w:t>
      </w:r>
      <w:r>
        <w:rPr>
          <w:rFonts w:hint="eastAsia" w:ascii="Times New Roman" w:hAnsi="Times New Roman" w:eastAsia="宋体" w:cs="Times New Roman"/>
          <w:color w:val="auto"/>
          <w:sz w:val="24"/>
          <w:szCs w:val="24"/>
          <w:highlight w:val="none"/>
          <w:lang w:val="en-US" w:eastAsia="zh-CN"/>
        </w:rPr>
        <w:t>巴彦县燊缘无害化处理有限公司</w:t>
      </w:r>
      <w:r>
        <w:rPr>
          <w:rFonts w:hint="default" w:ascii="Times New Roman" w:hAnsi="Times New Roman" w:eastAsia="宋体" w:cs="Times New Roman"/>
          <w:color w:val="auto"/>
          <w:sz w:val="24"/>
          <w:szCs w:val="24"/>
          <w:highlight w:val="none"/>
          <w:lang w:val="en-US" w:eastAsia="zh-CN"/>
        </w:rPr>
        <w:t>处理。</w:t>
      </w:r>
    </w:p>
    <w:p>
      <w:pPr>
        <w:pStyle w:val="47"/>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废弃</w:t>
      </w:r>
      <w:r>
        <w:rPr>
          <w:rFonts w:hint="default" w:ascii="Times New Roman" w:hAnsi="Times New Roman" w:cs="Times New Roman"/>
          <w:sz w:val="24"/>
          <w:szCs w:val="24"/>
          <w:highlight w:val="none"/>
          <w:lang w:val="en-US" w:eastAsia="zh-CN"/>
        </w:rPr>
        <w:t>脂肪</w:t>
      </w:r>
    </w:p>
    <w:p>
      <w:pPr>
        <w:pStyle w:val="47"/>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改扩建项目</w:t>
      </w:r>
      <w:r>
        <w:rPr>
          <w:rFonts w:hint="eastAsia" w:ascii="Times New Roman" w:hAnsi="Times New Roman" w:cs="Times New Roman"/>
          <w:sz w:val="24"/>
          <w:szCs w:val="24"/>
          <w:highlight w:val="none"/>
          <w:lang w:val="en-US" w:eastAsia="zh-CN"/>
        </w:rPr>
        <w:t>废弃</w:t>
      </w:r>
      <w:r>
        <w:rPr>
          <w:rFonts w:hint="default" w:ascii="Times New Roman" w:hAnsi="Times New Roman" w:cs="Times New Roman"/>
          <w:sz w:val="24"/>
          <w:szCs w:val="24"/>
          <w:highlight w:val="none"/>
          <w:lang w:val="en-US" w:eastAsia="zh-CN"/>
        </w:rPr>
        <w:t>脂肪</w:t>
      </w:r>
      <w:r>
        <w:rPr>
          <w:rFonts w:hint="default" w:ascii="Times New Roman" w:hAnsi="Times New Roman" w:eastAsia="宋体" w:cs="Times New Roman"/>
          <w:color w:val="auto"/>
          <w:sz w:val="24"/>
          <w:szCs w:val="24"/>
          <w:highlight w:val="none"/>
          <w:lang w:val="en-US" w:eastAsia="zh-CN"/>
        </w:rPr>
        <w:t>产生量为</w:t>
      </w:r>
      <w:r>
        <w:rPr>
          <w:rFonts w:hint="eastAsia" w:ascii="Times New Roman" w:hAnsi="Times New Roman" w:eastAsia="宋体"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lang w:val="en-US" w:eastAsia="zh-CN"/>
        </w:rPr>
        <w:t>t/a</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cs="Times New Roman"/>
          <w:sz w:val="24"/>
          <w:szCs w:val="24"/>
          <w:highlight w:val="none"/>
          <w:lang w:val="en-US" w:eastAsia="zh-CN"/>
        </w:rPr>
        <w:t>改扩建后</w:t>
      </w:r>
      <w:r>
        <w:rPr>
          <w:rFonts w:hint="eastAsia" w:ascii="Times New Roman" w:hAnsi="Times New Roman" w:cs="Times New Roman"/>
          <w:sz w:val="24"/>
          <w:szCs w:val="24"/>
          <w:highlight w:val="none"/>
          <w:lang w:val="en-US" w:eastAsia="zh-CN"/>
        </w:rPr>
        <w:t>全厂废弃</w:t>
      </w:r>
      <w:r>
        <w:rPr>
          <w:rFonts w:hint="default" w:ascii="Times New Roman" w:hAnsi="Times New Roman" w:cs="Times New Roman"/>
          <w:sz w:val="24"/>
          <w:szCs w:val="24"/>
          <w:highlight w:val="none"/>
          <w:lang w:val="en-US" w:eastAsia="zh-CN"/>
        </w:rPr>
        <w:t>脂肪</w:t>
      </w:r>
      <w:r>
        <w:rPr>
          <w:rFonts w:hint="default" w:ascii="Times New Roman" w:hAnsi="Times New Roman" w:eastAsia="宋体" w:cs="Times New Roman"/>
          <w:color w:val="auto"/>
          <w:sz w:val="24"/>
          <w:szCs w:val="24"/>
          <w:highlight w:val="none"/>
          <w:lang w:val="en-US" w:eastAsia="zh-CN"/>
        </w:rPr>
        <w:t>产生量为</w:t>
      </w:r>
      <w:r>
        <w:rPr>
          <w:rFonts w:hint="eastAsia" w:ascii="Times New Roman" w:hAnsi="Times New Roman" w:eastAsia="宋体" w:cs="Times New Roman"/>
          <w:color w:val="auto"/>
          <w:sz w:val="24"/>
          <w:szCs w:val="24"/>
          <w:highlight w:val="none"/>
          <w:lang w:val="en-US" w:eastAsia="zh-CN"/>
        </w:rPr>
        <w:t>35</w:t>
      </w:r>
      <w:r>
        <w:rPr>
          <w:rFonts w:hint="default" w:ascii="Times New Roman" w:hAnsi="Times New Roman" w:eastAsia="宋体" w:cs="Times New Roman"/>
          <w:color w:val="auto"/>
          <w:sz w:val="24"/>
          <w:szCs w:val="24"/>
          <w:highlight w:val="none"/>
          <w:lang w:val="en-US" w:eastAsia="zh-CN"/>
        </w:rPr>
        <w:t>t/a</w:t>
      </w:r>
      <w:r>
        <w:rPr>
          <w:rFonts w:hint="eastAsia" w:ascii="Times New Roman" w:hAnsi="Times New Roman" w:eastAsia="宋体" w:cs="Times New Roman"/>
          <w:color w:val="auto"/>
          <w:sz w:val="24"/>
          <w:szCs w:val="24"/>
          <w:highlight w:val="none"/>
          <w:lang w:val="en-US" w:eastAsia="zh-CN"/>
        </w:rPr>
        <w:t>，集中外售处理</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6</w:t>
      </w:r>
      <w:r>
        <w:rPr>
          <w:rFonts w:hint="default" w:ascii="Times New Roman" w:hAnsi="Times New Roman" w:cs="Times New Roman"/>
          <w:sz w:val="24"/>
          <w:szCs w:val="24"/>
          <w:highlight w:val="none"/>
          <w:lang w:val="en-US" w:eastAsia="zh-CN"/>
        </w:rPr>
        <w:t>）污水处理站污泥、栅渣</w:t>
      </w:r>
    </w:p>
    <w:p>
      <w:pPr>
        <w:pStyle w:val="47"/>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本项目栅渣产生量参照《污水处理厂工艺设计手册》，栅渣产生系数为0.05m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/1000m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～0.10m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/1000m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污水，本项目取最大值0.10m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/1000m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，即每处理10000m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污水产生栅渣1m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，栅渣密度取800kg/m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，本项目污水处理量为79932.69m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，则栅渣产生量约为</w:t>
      </w:r>
      <w:r>
        <w:rPr>
          <w:rFonts w:hint="eastAsia" w:ascii="Times New Roman" w:hAnsi="Times New Roman" w:eastAsia="宋体" w:cs="Times New Roman"/>
          <w:color w:val="auto"/>
          <w:highlight w:val="none"/>
          <w:lang w:val="en-US" w:eastAsia="zh-CN"/>
        </w:rPr>
        <w:t>6.4</w:t>
      </w:r>
      <w:r>
        <w:rPr>
          <w:rFonts w:hint="default" w:ascii="Times New Roman" w:hAnsi="Times New Roman" w:eastAsia="宋体" w:cs="Times New Roman"/>
          <w:color w:val="auto"/>
          <w:highlight w:val="none"/>
          <w:lang w:val="en-US" w:eastAsia="zh-CN"/>
        </w:rPr>
        <w:t>t/a。</w:t>
      </w:r>
    </w:p>
    <w:p>
      <w:pPr>
        <w:pStyle w:val="47"/>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根据《屠宰与肉类加工废水治理工程技术规范》（HJ2004-2010），污泥产生量一般按0.3-0.5kg/DS/kgBOD</w:t>
      </w:r>
      <w:r>
        <w:rPr>
          <w:rFonts w:hint="default" w:ascii="Times New Roman" w:hAnsi="Times New Roman" w:eastAsia="宋体" w:cs="Times New Roman"/>
          <w:color w:val="auto"/>
          <w:highlight w:val="none"/>
          <w:vertAlign w:val="subscript"/>
          <w:lang w:val="en-US" w:eastAsia="zh-CN"/>
        </w:rPr>
        <w:t>5</w:t>
      </w:r>
      <w:r>
        <w:rPr>
          <w:rFonts w:hint="default" w:ascii="Times New Roman" w:hAnsi="Times New Roman" w:eastAsia="宋体" w:cs="Times New Roman"/>
          <w:color w:val="auto"/>
          <w:highlight w:val="none"/>
          <w:lang w:val="en-US" w:eastAsia="zh-CN"/>
        </w:rPr>
        <w:t>计，污泥含水率为99.3%，本项目取0.4kg/DS/kgBOD</w:t>
      </w:r>
      <w:r>
        <w:rPr>
          <w:rFonts w:hint="default" w:ascii="Times New Roman" w:hAnsi="Times New Roman" w:eastAsia="宋体" w:cs="Times New Roman"/>
          <w:color w:val="auto"/>
          <w:highlight w:val="none"/>
          <w:vertAlign w:val="subscript"/>
          <w:lang w:val="en-US" w:eastAsia="zh-CN"/>
        </w:rPr>
        <w:t>5</w:t>
      </w:r>
      <w:r>
        <w:rPr>
          <w:rFonts w:hint="default" w:ascii="Times New Roman" w:hAnsi="Times New Roman" w:eastAsia="宋体" w:cs="Times New Roman"/>
          <w:color w:val="auto"/>
          <w:highlight w:val="none"/>
          <w:lang w:val="en-US" w:eastAsia="zh-CN"/>
        </w:rPr>
        <w:t>，则项目污泥产生量为</w:t>
      </w:r>
      <w:r>
        <w:rPr>
          <w:rFonts w:hint="eastAsia" w:ascii="Times New Roman" w:hAnsi="Times New Roman" w:eastAsia="宋体" w:cs="Times New Roman"/>
          <w:color w:val="auto"/>
          <w:highlight w:val="none"/>
          <w:lang w:val="en-US" w:eastAsia="zh-CN"/>
        </w:rPr>
        <w:t>4.796</w:t>
      </w:r>
      <w:r>
        <w:rPr>
          <w:rFonts w:hint="default" w:ascii="Times New Roman" w:hAnsi="Times New Roman" w:eastAsia="宋体" w:cs="Times New Roman"/>
          <w:color w:val="auto"/>
          <w:highlight w:val="none"/>
          <w:lang w:val="en-US" w:eastAsia="zh-CN"/>
        </w:rPr>
        <w:t>/a，暂存污泥暂存池，采用压滤机脱水后污泥含水率约为60%，压滤废水返回污水处理工艺，则污泥排放量为</w:t>
      </w:r>
      <w:r>
        <w:rPr>
          <w:rFonts w:hint="eastAsia" w:ascii="Times New Roman" w:hAnsi="Times New Roman" w:eastAsia="宋体" w:cs="Times New Roman"/>
          <w:color w:val="auto"/>
          <w:highlight w:val="none"/>
          <w:lang w:val="en-US" w:eastAsia="zh-CN"/>
        </w:rPr>
        <w:t>0.084</w:t>
      </w:r>
      <w:r>
        <w:rPr>
          <w:rFonts w:hint="default" w:ascii="Times New Roman" w:hAnsi="Times New Roman" w:eastAsia="宋体" w:cs="Times New Roman"/>
          <w:color w:val="auto"/>
          <w:highlight w:val="none"/>
          <w:lang w:val="en-US" w:eastAsia="zh-CN"/>
        </w:rPr>
        <w:t>t/a。</w:t>
      </w:r>
    </w:p>
    <w:p>
      <w:pPr>
        <w:pStyle w:val="47"/>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综上，</w:t>
      </w:r>
      <w:r>
        <w:rPr>
          <w:rFonts w:hint="eastAsia" w:ascii="Times New Roman" w:hAnsi="Times New Roman" w:eastAsia="宋体" w:cs="Times New Roman"/>
          <w:color w:val="auto"/>
          <w:highlight w:val="none"/>
          <w:lang w:val="en-US" w:eastAsia="zh-CN"/>
        </w:rPr>
        <w:t>扩建后</w:t>
      </w:r>
      <w:r>
        <w:rPr>
          <w:rFonts w:hint="default" w:ascii="Times New Roman" w:hAnsi="Times New Roman" w:eastAsia="宋体" w:cs="Times New Roman"/>
          <w:color w:val="auto"/>
          <w:highlight w:val="none"/>
          <w:lang w:val="en-US" w:eastAsia="zh-CN"/>
        </w:rPr>
        <w:t>污水处理站栅渣及污泥产生量约为</w:t>
      </w:r>
      <w:r>
        <w:rPr>
          <w:rFonts w:hint="eastAsia" w:ascii="Times New Roman" w:hAnsi="Times New Roman" w:eastAsia="宋体" w:cs="Times New Roman"/>
          <w:color w:val="auto"/>
          <w:highlight w:val="none"/>
          <w:lang w:val="en-US" w:eastAsia="zh-CN"/>
        </w:rPr>
        <w:t>0.084</w:t>
      </w:r>
      <w:r>
        <w:rPr>
          <w:rFonts w:hint="default" w:ascii="Times New Roman" w:hAnsi="Times New Roman" w:eastAsia="宋体" w:cs="Times New Roman"/>
          <w:color w:val="auto"/>
          <w:highlight w:val="none"/>
          <w:lang w:val="en-US" w:eastAsia="zh-CN"/>
        </w:rPr>
        <w:t>t/a（代码：135-001-62），送生活垃圾填埋场处理。</w:t>
      </w:r>
    </w:p>
    <w:p>
      <w:pPr>
        <w:keepNext w:val="0"/>
        <w:keepLines w:val="0"/>
        <w:pageBreakBefore w:val="0"/>
        <w:wordWrap/>
        <w:overflowPunct/>
        <w:topLinePunct w:val="0"/>
        <w:bidi w:val="0"/>
        <w:spacing w:line="360" w:lineRule="auto"/>
        <w:ind w:left="0" w:firstLine="420" w:firstLineChars="200"/>
        <w:jc w:val="both"/>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r>
        <w:rPr>
          <w:rFonts w:hint="eastAsia" w:ascii="Times New Roman" w:hAnsi="Times New Roman" w:cs="Times New Roman"/>
          <w:sz w:val="24"/>
          <w:szCs w:val="24"/>
          <w:highlight w:val="none"/>
          <w:lang w:val="en-US" w:eastAsia="zh-CN"/>
        </w:rPr>
        <w:t>隔油工段的</w:t>
      </w:r>
      <w:r>
        <w:rPr>
          <w:rFonts w:hint="default" w:ascii="Times New Roman" w:hAnsi="Times New Roman" w:cs="Times New Roman"/>
          <w:sz w:val="24"/>
          <w:szCs w:val="24"/>
          <w:highlight w:val="none"/>
          <w:lang w:val="en-US" w:eastAsia="zh-CN"/>
        </w:rPr>
        <w:t>废油</w:t>
      </w:r>
      <w:r>
        <w:rPr>
          <w:rFonts w:hint="eastAsia" w:ascii="Times New Roman" w:hAnsi="Times New Roman" w:cs="Times New Roman"/>
          <w:sz w:val="24"/>
          <w:szCs w:val="24"/>
          <w:highlight w:val="none"/>
          <w:lang w:val="en-US" w:eastAsia="zh-CN"/>
        </w:rPr>
        <w:t>脂和落地油</w:t>
      </w:r>
    </w:p>
    <w:p>
      <w:pPr>
        <w:pStyle w:val="47"/>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扩建后全厂</w:t>
      </w:r>
      <w:r>
        <w:rPr>
          <w:rFonts w:hint="default" w:ascii="Times New Roman" w:hAnsi="Times New Roman" w:eastAsia="宋体" w:cs="Times New Roman"/>
          <w:color w:val="auto"/>
          <w:highlight w:val="none"/>
          <w:lang w:val="en-US" w:eastAsia="zh-CN"/>
        </w:rPr>
        <w:t>隔油工段产生的废油脂5.0t/a（代码：135-001-99、135-003-99），落地油约1.0t/a（代码：135-001-99、135-003-99），均为一般固废，委托有处理资质单位进行处置，不外排。</w:t>
      </w:r>
    </w:p>
    <w:p>
      <w:pPr>
        <w:keepNext w:val="0"/>
        <w:keepLines w:val="0"/>
        <w:pageBreakBefore w:val="0"/>
        <w:numPr>
          <w:ilvl w:val="0"/>
          <w:numId w:val="0"/>
        </w:numPr>
        <w:wordWrap/>
        <w:overflowPunct/>
        <w:topLinePunct w:val="0"/>
        <w:bidi w:val="0"/>
        <w:spacing w:line="360" w:lineRule="auto"/>
        <w:ind w:leftChars="200"/>
        <w:jc w:val="both"/>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8）</w:t>
      </w:r>
      <w:r>
        <w:rPr>
          <w:rFonts w:hint="default" w:ascii="Times New Roman" w:hAnsi="Times New Roman" w:cs="Times New Roman"/>
          <w:sz w:val="24"/>
          <w:szCs w:val="24"/>
          <w:highlight w:val="none"/>
          <w:lang w:val="en-US" w:eastAsia="zh-CN"/>
        </w:rPr>
        <w:t>废外包装</w:t>
      </w:r>
    </w:p>
    <w:p>
      <w:pPr>
        <w:keepNext w:val="0"/>
        <w:keepLines w:val="0"/>
        <w:pageBreakBefore w:val="0"/>
        <w:numPr>
          <w:ilvl w:val="0"/>
          <w:numId w:val="0"/>
        </w:numPr>
        <w:wordWrap/>
        <w:overflowPunct/>
        <w:topLinePunct w:val="0"/>
        <w:bidi w:val="0"/>
        <w:spacing w:line="360" w:lineRule="auto"/>
        <w:ind w:firstLine="480" w:firstLineChars="200"/>
        <w:jc w:val="both"/>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扩建后全厂</w:t>
      </w:r>
      <w:r>
        <w:rPr>
          <w:rFonts w:hint="default" w:ascii="Times New Roman" w:hAnsi="Times New Roman" w:cs="Times New Roman"/>
          <w:sz w:val="24"/>
          <w:szCs w:val="24"/>
          <w:highlight w:val="none"/>
          <w:lang w:val="en-US" w:eastAsia="zh-CN"/>
        </w:rPr>
        <w:t>配料工序废外包装产生量为2.4t/a（代码：135-003-39），收集后外售。</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9</w:t>
      </w:r>
      <w:r>
        <w:rPr>
          <w:rFonts w:hint="default" w:ascii="Times New Roman" w:hAnsi="Times New Roman" w:cs="Times New Roman"/>
          <w:sz w:val="24"/>
          <w:szCs w:val="24"/>
          <w:highlight w:val="none"/>
          <w:lang w:val="en-US" w:eastAsia="zh-CN"/>
        </w:rPr>
        <w:t>）废活性炭</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扩建后全厂</w:t>
      </w:r>
      <w:r>
        <w:rPr>
          <w:rFonts w:hint="default" w:ascii="Times New Roman" w:hAnsi="Times New Roman" w:cs="Times New Roman"/>
          <w:sz w:val="24"/>
          <w:szCs w:val="24"/>
          <w:highlight w:val="none"/>
          <w:lang w:val="en-US" w:eastAsia="zh-CN"/>
        </w:rPr>
        <w:t>吸附恶臭气体的废活性炭，废活性炭吸附效率70%，吸附量按1:0.25（活性炭量：被吸附物质的量）计算，项目年吸附氨</w:t>
      </w:r>
      <w:r>
        <w:rPr>
          <w:rFonts w:hint="eastAsia" w:ascii="Times New Roman" w:hAnsi="Times New Roman" w:cs="Times New Roman"/>
          <w:sz w:val="24"/>
          <w:szCs w:val="24"/>
          <w:highlight w:val="none"/>
          <w:lang w:val="en-US" w:eastAsia="zh-CN"/>
        </w:rPr>
        <w:t>0.0952</w:t>
      </w:r>
      <w:r>
        <w:rPr>
          <w:rFonts w:hint="default" w:ascii="Times New Roman" w:hAnsi="Times New Roman" w:cs="Times New Roman"/>
          <w:sz w:val="24"/>
          <w:szCs w:val="24"/>
          <w:highlight w:val="none"/>
          <w:lang w:val="en-US" w:eastAsia="zh-CN"/>
        </w:rPr>
        <w:t>t/a，吸附硫化氢</w:t>
      </w:r>
      <w:r>
        <w:rPr>
          <w:rFonts w:hint="eastAsia" w:ascii="Times New Roman" w:hAnsi="Times New Roman" w:cs="Times New Roman"/>
          <w:sz w:val="24"/>
          <w:szCs w:val="24"/>
          <w:highlight w:val="none"/>
          <w:lang w:val="en-US" w:eastAsia="zh-CN"/>
        </w:rPr>
        <w:t>0.012122</w:t>
      </w:r>
      <w:r>
        <w:rPr>
          <w:rFonts w:hint="default" w:ascii="Times New Roman" w:hAnsi="Times New Roman" w:cs="Times New Roman"/>
          <w:sz w:val="24"/>
          <w:szCs w:val="24"/>
          <w:highlight w:val="none"/>
          <w:lang w:val="en-US" w:eastAsia="zh-CN"/>
        </w:rPr>
        <w:t>t/a，产生量为</w:t>
      </w:r>
      <w:r>
        <w:rPr>
          <w:rFonts w:hint="eastAsia" w:ascii="Times New Roman" w:hAnsi="Times New Roman" w:cs="Times New Roman"/>
          <w:sz w:val="24"/>
          <w:szCs w:val="24"/>
          <w:highlight w:val="none"/>
          <w:lang w:val="en-US" w:eastAsia="zh-CN"/>
        </w:rPr>
        <w:t>0.62</w:t>
      </w:r>
      <w:r>
        <w:rPr>
          <w:rFonts w:hint="default" w:ascii="Times New Roman" w:hAnsi="Times New Roman" w:cs="Times New Roman"/>
          <w:sz w:val="24"/>
          <w:szCs w:val="24"/>
          <w:highlight w:val="none"/>
          <w:lang w:val="en-US" w:eastAsia="zh-CN"/>
        </w:rPr>
        <w:t>t/a（代码：135-001-39、135-003-39），不含重金属、二噁英等有害物质，作为一般工业固体废物暂存于一般固废暂存间封闭塑料箱内，</w:t>
      </w:r>
      <w:r>
        <w:rPr>
          <w:rFonts w:hint="eastAsia" w:ascii="Times New Roman" w:hAnsi="Times New Roman" w:eastAsia="宋体" w:cs="Times New Roman"/>
          <w:spacing w:val="-2"/>
          <w:sz w:val="24"/>
          <w:szCs w:val="24"/>
          <w:highlight w:val="none"/>
          <w:lang w:val="en-US" w:eastAsia="zh-CN"/>
        </w:rPr>
        <w:t>由活性炭厂家回收再生处理</w:t>
      </w:r>
      <w:r>
        <w:rPr>
          <w:rFonts w:hint="default" w:ascii="Times New Roman" w:hAnsi="Times New Roman" w:cs="Times New Roman"/>
          <w:sz w:val="24"/>
          <w:szCs w:val="24"/>
          <w:highlight w:val="none"/>
          <w:lang w:val="en-US" w:eastAsia="zh-CN"/>
        </w:rPr>
        <w:t>。</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10</w:t>
      </w:r>
      <w:r>
        <w:rPr>
          <w:rFonts w:hint="default" w:ascii="Times New Roman" w:hAnsi="Times New Roman" w:cs="Times New Roman"/>
          <w:sz w:val="24"/>
          <w:szCs w:val="24"/>
          <w:highlight w:val="none"/>
          <w:lang w:val="en-US" w:eastAsia="zh-CN"/>
        </w:rPr>
        <w:t>）检疫废物</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设立的检疫室主要设备为水分测定器、显微镜、高压灭菌锅、烘箱、超净工作台等，主要进行以下检验工作：</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①传染性疾病和寄生虫病以外的疾病；</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②有害腺体；</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③有害物质；</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④注水或者注入其他物质；</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⑤屠宰加工质量问题；</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⑥农药残留、兽药残留；</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⑦瘦肉精。</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检疫室的检疫废物产生量为1.4t/a（代码：135-001-39），检疫废物按照《黑龙江省畜禽屠宰管理条例》的要求，送至</w:t>
      </w:r>
      <w:r>
        <w:rPr>
          <w:rFonts w:hint="eastAsia" w:ascii="Times New Roman" w:hAnsi="Times New Roman" w:cs="Times New Roman"/>
          <w:sz w:val="24"/>
          <w:szCs w:val="24"/>
          <w:highlight w:val="none"/>
          <w:lang w:val="en-US" w:eastAsia="zh-CN"/>
        </w:rPr>
        <w:t>哈尔滨国环医疗固体废物无害化集中处置中心有限公司</w:t>
      </w:r>
      <w:r>
        <w:rPr>
          <w:rFonts w:hint="default" w:ascii="Times New Roman" w:hAnsi="Times New Roman" w:cs="Times New Roman"/>
          <w:sz w:val="24"/>
          <w:szCs w:val="24"/>
          <w:highlight w:val="none"/>
          <w:lang w:val="en-US" w:eastAsia="zh-CN"/>
        </w:rPr>
        <w:t>处理。</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11</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废离子交换树脂</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燃油蒸汽锅炉需定期更换离子交换树脂，每年更换一次，更换量为0.3t/a（代码：135-001-39），属于一般工业固废，由厂家回收。</w:t>
      </w:r>
    </w:p>
    <w:p>
      <w:pPr>
        <w:keepNext w:val="0"/>
        <w:keepLines w:val="0"/>
        <w:pageBreakBefore w:val="0"/>
        <w:wordWrap/>
        <w:overflowPunct/>
        <w:topLinePunct w:val="0"/>
        <w:bidi w:val="0"/>
        <w:spacing w:line="360" w:lineRule="auto"/>
        <w:ind w:left="0" w:firstLine="480" w:firstLineChars="200"/>
        <w:jc w:val="both"/>
        <w:rPr>
          <w:rFonts w:hint="default"/>
          <w:lang w:val="en-US" w:eastAsia="zh-CN"/>
        </w:rPr>
      </w:pPr>
      <w:r>
        <w:rPr>
          <w:rFonts w:hint="eastAsia" w:ascii="Times New Roman" w:hAnsi="Times New Roman" w:cs="Times New Roman"/>
          <w:sz w:val="24"/>
          <w:szCs w:val="24"/>
          <w:highlight w:val="none"/>
          <w:lang w:val="en-US" w:eastAsia="zh-CN"/>
        </w:rPr>
        <w:t>12）废润滑油及废润滑油桶</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项目</w:t>
      </w:r>
      <w:r>
        <w:rPr>
          <w:rFonts w:hint="default" w:ascii="Times New Roman" w:hAnsi="Times New Roman" w:cs="Times New Roman"/>
          <w:sz w:val="24"/>
          <w:szCs w:val="24"/>
          <w:highlight w:val="none"/>
          <w:lang w:val="en-US" w:eastAsia="zh-CN"/>
        </w:rPr>
        <w:t>机械设备摩擦部位经常涂抹润滑油</w:t>
      </w:r>
      <w:r>
        <w:rPr>
          <w:rFonts w:hint="eastAsia" w:ascii="Times New Roman" w:hAnsi="Times New Roman" w:cs="Times New Roman"/>
          <w:sz w:val="24"/>
          <w:szCs w:val="24"/>
          <w:highlight w:val="none"/>
          <w:lang w:val="en-US" w:eastAsia="zh-CN"/>
        </w:rPr>
        <w:t>，废润滑油及油桶产生量0.5t/a，交由哈尔滨国环医疗固体废物无害化集中处置中心有限公司处置。</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（2）非正常工况</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非正常工况是指出现疫病的情况，毛猪在被送至屠宰厂前已经在养殖场及出场前进行过严格检疫，进厂后、进入待宰圈前不能通过感官检查的生猪也被退回，所以送至屠宰厂的猪一般不会有病猪。但为保险起见本项目在厂内设置急宰间，对发现的病猪进行急宰。急宰后送往</w:t>
      </w:r>
      <w:r>
        <w:rPr>
          <w:rFonts w:hint="eastAsia" w:ascii="Times New Roman" w:hAnsi="Times New Roman" w:cs="Times New Roman"/>
          <w:sz w:val="24"/>
          <w:szCs w:val="24"/>
          <w:highlight w:val="none"/>
          <w:lang w:val="en-US" w:eastAsia="zh-CN"/>
        </w:rPr>
        <w:t>巴彦县燊缘无害化处理有限公司</w:t>
      </w:r>
      <w:r>
        <w:rPr>
          <w:rFonts w:hint="default" w:ascii="Times New Roman" w:hAnsi="Times New Roman" w:cs="Times New Roman"/>
          <w:sz w:val="24"/>
          <w:szCs w:val="24"/>
          <w:highlight w:val="none"/>
          <w:lang w:val="en-US" w:eastAsia="zh-CN"/>
        </w:rPr>
        <w:t>处理。</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所有固体废物均得到综合利用和妥善处置，不排入外环境。本项目固体废物产生情况及处理处置措施见表3</w:t>
      </w:r>
      <w:r>
        <w:rPr>
          <w:rFonts w:hint="eastAsia" w:ascii="Times New Roman" w:hAnsi="Times New Roman" w:cs="Times New Roman"/>
          <w:sz w:val="24"/>
          <w:szCs w:val="24"/>
          <w:highlight w:val="none"/>
          <w:lang w:val="en-US" w:eastAsia="zh-CN"/>
        </w:rPr>
        <w:t>-</w:t>
      </w:r>
      <w:r>
        <w:rPr>
          <w:rFonts w:hint="default" w:ascii="Times New Roman" w:hAnsi="Times New Roman" w:cs="Times New Roman"/>
          <w:sz w:val="24"/>
          <w:szCs w:val="24"/>
          <w:highlight w:val="none"/>
          <w:lang w:val="en-US" w:eastAsia="zh-CN"/>
        </w:rPr>
        <w:t>6-16。</w:t>
      </w:r>
    </w:p>
    <w:p>
      <w:pPr>
        <w:spacing w:before="127" w:line="228" w:lineRule="auto"/>
        <w:ind w:left="2395"/>
        <w:rPr>
          <w:rFonts w:hint="eastAsia" w:ascii="Times New Roman" w:hAnsi="Times New Roman" w:eastAsia="宋体" w:cs="Times New Roman"/>
          <w:sz w:val="20"/>
          <w:szCs w:val="20"/>
          <w:highlight w:val="none"/>
          <w:lang w:eastAsia="zh-CN"/>
        </w:rPr>
      </w:pP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41"/>
          <w:sz w:val="20"/>
          <w:szCs w:val="20"/>
          <w:highlight w:val="none"/>
        </w:rPr>
        <w:t xml:space="preserve"> </w:t>
      </w:r>
      <w:r>
        <w:rPr>
          <w:rFonts w:hint="default" w:ascii="Times New Roman" w:hAnsi="Times New Roman" w:eastAsia="Times New Roman" w:cs="Times New Roman"/>
          <w:b/>
          <w:bCs/>
          <w:spacing w:val="7"/>
          <w:sz w:val="20"/>
          <w:szCs w:val="20"/>
          <w:highlight w:val="none"/>
        </w:rPr>
        <w:t>3</w:t>
      </w:r>
      <w:r>
        <w:rPr>
          <w:rFonts w:hint="eastAsia" w:ascii="Times New Roman" w:hAnsi="Times New Roman" w:eastAsia="宋体" w:cs="Times New Roman"/>
          <w:b/>
          <w:bCs/>
          <w:spacing w:val="7"/>
          <w:sz w:val="20"/>
          <w:szCs w:val="20"/>
          <w:highlight w:val="none"/>
          <w:lang w:val="en-US" w:eastAsia="zh-CN"/>
        </w:rPr>
        <w:t>-</w:t>
      </w:r>
      <w:r>
        <w:rPr>
          <w:rFonts w:hint="default" w:ascii="Times New Roman" w:hAnsi="Times New Roman" w:eastAsia="宋体" w:cs="Times New Roman"/>
          <w:b/>
          <w:bCs/>
          <w:spacing w:val="7"/>
          <w:sz w:val="20"/>
          <w:szCs w:val="20"/>
          <w:highlight w:val="none"/>
          <w:lang w:val="en-US" w:eastAsia="zh-CN"/>
        </w:rPr>
        <w:t>6</w:t>
      </w:r>
      <w:r>
        <w:rPr>
          <w:rFonts w:hint="default" w:ascii="Times New Roman" w:hAnsi="Times New Roman" w:eastAsia="Times New Roman" w:cs="Times New Roman"/>
          <w:b/>
          <w:bCs/>
          <w:spacing w:val="7"/>
          <w:sz w:val="20"/>
          <w:szCs w:val="20"/>
          <w:highlight w:val="none"/>
        </w:rPr>
        <w:t>-1</w:t>
      </w:r>
      <w:r>
        <w:rPr>
          <w:rFonts w:hint="default" w:ascii="Times New Roman" w:hAnsi="Times New Roman" w:eastAsia="宋体" w:cs="Times New Roman"/>
          <w:b/>
          <w:bCs/>
          <w:spacing w:val="7"/>
          <w:sz w:val="20"/>
          <w:szCs w:val="20"/>
          <w:highlight w:val="none"/>
          <w:lang w:val="en-US" w:eastAsia="zh-CN"/>
        </w:rPr>
        <w:t>6</w:t>
      </w:r>
      <w:r>
        <w:rPr>
          <w:rFonts w:hint="default" w:ascii="Times New Roman" w:hAnsi="Times New Roman" w:eastAsia="Times New Roman" w:cs="Times New Roman"/>
          <w:b/>
          <w:bCs/>
          <w:spacing w:val="7"/>
          <w:sz w:val="20"/>
          <w:szCs w:val="20"/>
          <w:highlight w:val="none"/>
        </w:rPr>
        <w:t xml:space="preserve">  </w:t>
      </w: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固废产生及处置方式一览表</w:t>
      </w:r>
    </w:p>
    <w:p>
      <w:pPr>
        <w:spacing w:line="19" w:lineRule="exact"/>
        <w:rPr>
          <w:rFonts w:hint="default" w:ascii="Times New Roman" w:hAnsi="Times New Roman" w:cs="Times New Roman"/>
        </w:rPr>
      </w:pPr>
    </w:p>
    <w:tbl>
      <w:tblPr>
        <w:tblStyle w:val="34"/>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036"/>
        <w:gridCol w:w="1489"/>
        <w:gridCol w:w="1536"/>
        <w:gridCol w:w="1383"/>
        <w:gridCol w:w="384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7" w:hRule="atLeast"/>
        </w:trPr>
        <w:tc>
          <w:tcPr>
            <w:tcW w:w="557" w:type="pct"/>
            <w:vAlign w:val="top"/>
          </w:tcPr>
          <w:p>
            <w:pPr>
              <w:spacing w:before="218" w:line="229"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序号</w:t>
            </w:r>
          </w:p>
        </w:tc>
        <w:tc>
          <w:tcPr>
            <w:tcW w:w="801" w:type="pct"/>
            <w:vAlign w:val="top"/>
          </w:tcPr>
          <w:p>
            <w:pPr>
              <w:spacing w:before="218" w:line="23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名称</w:t>
            </w:r>
          </w:p>
        </w:tc>
        <w:tc>
          <w:tcPr>
            <w:tcW w:w="826" w:type="pct"/>
            <w:vAlign w:val="top"/>
          </w:tcPr>
          <w:p>
            <w:pPr>
              <w:spacing w:before="218"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废物类别</w:t>
            </w:r>
          </w:p>
        </w:tc>
        <w:tc>
          <w:tcPr>
            <w:tcW w:w="744" w:type="pct"/>
            <w:vAlign w:val="top"/>
          </w:tcPr>
          <w:p>
            <w:pPr>
              <w:spacing w:before="127" w:line="228" w:lineRule="auto"/>
              <w:jc w:val="center"/>
              <w:rPr>
                <w:rFonts w:hint="eastAsia" w:ascii="Times New Roman" w:hAnsi="Times New Roman" w:eastAsia="宋体" w:cs="Times New Roman"/>
                <w:spacing w:val="6"/>
                <w:sz w:val="21"/>
                <w:szCs w:val="21"/>
                <w:lang w:eastAsia="zh-CN"/>
              </w:rPr>
            </w:pPr>
            <w:r>
              <w:rPr>
                <w:rFonts w:hint="default" w:ascii="Times New Roman" w:hAnsi="Times New Roman" w:eastAsia="宋体" w:cs="Times New Roman"/>
                <w:spacing w:val="6"/>
                <w:sz w:val="21"/>
                <w:szCs w:val="21"/>
              </w:rPr>
              <w:t>产生量</w:t>
            </w:r>
            <w:r>
              <w:rPr>
                <w:rFonts w:hint="eastAsia" w:ascii="Times New Roman" w:hAnsi="Times New Roman" w:eastAsia="宋体" w:cs="Times New Roman"/>
                <w:spacing w:val="6"/>
                <w:sz w:val="21"/>
                <w:szCs w:val="21"/>
                <w:lang w:eastAsia="zh-CN"/>
              </w:rPr>
              <w:t>（</w:t>
            </w:r>
            <w:r>
              <w:rPr>
                <w:rFonts w:hint="default" w:ascii="Times New Roman" w:hAnsi="Times New Roman" w:eastAsia="宋体" w:cs="Times New Roman"/>
                <w:spacing w:val="6"/>
                <w:sz w:val="21"/>
                <w:szCs w:val="21"/>
              </w:rPr>
              <w:t>t/a</w:t>
            </w:r>
            <w:r>
              <w:rPr>
                <w:rFonts w:hint="eastAsia" w:ascii="Times New Roman" w:hAnsi="Times New Roman" w:eastAsia="宋体" w:cs="Times New Roman"/>
                <w:spacing w:val="6"/>
                <w:sz w:val="21"/>
                <w:szCs w:val="21"/>
                <w:lang w:eastAsia="zh-CN"/>
              </w:rPr>
              <w:t>）</w:t>
            </w:r>
          </w:p>
        </w:tc>
        <w:tc>
          <w:tcPr>
            <w:tcW w:w="2070" w:type="pct"/>
            <w:vAlign w:val="top"/>
          </w:tcPr>
          <w:p>
            <w:pPr>
              <w:spacing w:before="127" w:line="228" w:lineRule="auto"/>
              <w:jc w:val="center"/>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rPr>
              <w:t>处置方式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2" w:hRule="atLeast"/>
        </w:trPr>
        <w:tc>
          <w:tcPr>
            <w:tcW w:w="557" w:type="pct"/>
            <w:vAlign w:val="top"/>
          </w:tcPr>
          <w:p>
            <w:pPr>
              <w:spacing w:before="250" w:line="195" w:lineRule="auto"/>
              <w:ind w:left="343"/>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1</w:t>
            </w:r>
          </w:p>
        </w:tc>
        <w:tc>
          <w:tcPr>
            <w:tcW w:w="801" w:type="pct"/>
            <w:vAlign w:val="center"/>
          </w:tcPr>
          <w:p>
            <w:pPr>
              <w:pStyle w:val="32"/>
              <w:jc w:val="center"/>
              <w:rPr>
                <w:rFonts w:hint="default" w:ascii="Times New Roman" w:hAnsi="Times New Roman" w:eastAsia="宋体" w:cs="Times New Roman"/>
                <w:sz w:val="21"/>
                <w:szCs w:val="21"/>
              </w:rPr>
            </w:pPr>
            <w:r>
              <w:rPr>
                <w:rFonts w:hint="default" w:ascii="Times New Roman" w:hAnsi="Times New Roman" w:eastAsia="宋体" w:cs="Times New Roman"/>
                <w:color w:val="auto"/>
                <w:sz w:val="21"/>
                <w:szCs w:val="21"/>
                <w:highlight w:val="none"/>
                <w:lang w:val="en-US" w:eastAsia="zh-CN"/>
              </w:rPr>
              <w:t>猪粪</w:t>
            </w:r>
          </w:p>
        </w:tc>
        <w:tc>
          <w:tcPr>
            <w:tcW w:w="826" w:type="pct"/>
            <w:vAlign w:val="top"/>
          </w:tcPr>
          <w:p>
            <w:pPr>
              <w:spacing w:before="215"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一般固废</w:t>
            </w:r>
          </w:p>
        </w:tc>
        <w:tc>
          <w:tcPr>
            <w:tcW w:w="744" w:type="pct"/>
            <w:vAlign w:val="top"/>
          </w:tcPr>
          <w:p>
            <w:pPr>
              <w:spacing w:before="250" w:line="195"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80</w:t>
            </w:r>
          </w:p>
        </w:tc>
        <w:tc>
          <w:tcPr>
            <w:tcW w:w="2070" w:type="pct"/>
            <w:vAlign w:val="top"/>
          </w:tcPr>
          <w:p>
            <w:pPr>
              <w:spacing w:before="55" w:line="262" w:lineRule="auto"/>
              <w:ind w:left="1166" w:right="109" w:hanging="1052"/>
              <w:rPr>
                <w:rFonts w:hint="default" w:ascii="Times New Roman" w:hAnsi="Times New Roman" w:eastAsia="宋体" w:cs="Times New Roman"/>
                <w:sz w:val="21"/>
                <w:szCs w:val="21"/>
              </w:rPr>
            </w:pPr>
            <w:r>
              <w:rPr>
                <w:rFonts w:hint="default" w:ascii="Times New Roman" w:hAnsi="Times New Roman" w:eastAsia="宋体" w:cs="Times New Roman"/>
                <w:spacing w:val="9"/>
                <w:sz w:val="21"/>
                <w:szCs w:val="21"/>
              </w:rPr>
              <w:t>每日清理，作为有机肥原料统</w:t>
            </w:r>
            <w:r>
              <w:rPr>
                <w:rFonts w:hint="default" w:ascii="Times New Roman" w:hAnsi="Times New Roman" w:eastAsia="宋体" w:cs="Times New Roman"/>
                <w:spacing w:val="2"/>
                <w:sz w:val="21"/>
                <w:szCs w:val="21"/>
              </w:rPr>
              <w:t xml:space="preserve"> </w:t>
            </w:r>
            <w:r>
              <w:rPr>
                <w:rFonts w:hint="default" w:ascii="Times New Roman" w:hAnsi="Times New Roman" w:eastAsia="宋体" w:cs="Times New Roman"/>
                <w:spacing w:val="5"/>
                <w:sz w:val="21"/>
                <w:szCs w:val="21"/>
              </w:rPr>
              <w:t>一外售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2" w:hRule="atLeast"/>
        </w:trPr>
        <w:tc>
          <w:tcPr>
            <w:tcW w:w="557" w:type="pct"/>
            <w:vAlign w:val="top"/>
          </w:tcPr>
          <w:p>
            <w:pPr>
              <w:spacing w:before="251" w:line="195" w:lineRule="auto"/>
              <w:ind w:left="323"/>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2</w:t>
            </w:r>
          </w:p>
        </w:tc>
        <w:tc>
          <w:tcPr>
            <w:tcW w:w="801" w:type="pct"/>
            <w:vAlign w:val="center"/>
          </w:tcPr>
          <w:p>
            <w:pPr>
              <w:pStyle w:val="32"/>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color w:val="auto"/>
                <w:sz w:val="21"/>
                <w:szCs w:val="21"/>
                <w:highlight w:val="none"/>
                <w:lang w:val="en-US" w:eastAsia="zh-CN"/>
              </w:rPr>
              <w:t>猪毛</w:t>
            </w:r>
          </w:p>
        </w:tc>
        <w:tc>
          <w:tcPr>
            <w:tcW w:w="826" w:type="pct"/>
            <w:vAlign w:val="top"/>
          </w:tcPr>
          <w:p>
            <w:pPr>
              <w:spacing w:before="216"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一般固废</w:t>
            </w:r>
          </w:p>
        </w:tc>
        <w:tc>
          <w:tcPr>
            <w:tcW w:w="744" w:type="pct"/>
            <w:vAlign w:val="top"/>
          </w:tcPr>
          <w:p>
            <w:pPr>
              <w:spacing w:before="251" w:line="195"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120</w:t>
            </w:r>
          </w:p>
        </w:tc>
        <w:tc>
          <w:tcPr>
            <w:tcW w:w="2070" w:type="pct"/>
            <w:vAlign w:val="center"/>
          </w:tcPr>
          <w:p>
            <w:pPr>
              <w:pStyle w:val="32"/>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外售至毛刷厂</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2" w:hRule="atLeast"/>
        </w:trPr>
        <w:tc>
          <w:tcPr>
            <w:tcW w:w="557" w:type="pct"/>
            <w:vAlign w:val="top"/>
          </w:tcPr>
          <w:p>
            <w:pPr>
              <w:spacing w:before="252" w:line="195" w:lineRule="auto"/>
              <w:ind w:left="327"/>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3</w:t>
            </w:r>
          </w:p>
        </w:tc>
        <w:tc>
          <w:tcPr>
            <w:tcW w:w="801" w:type="pct"/>
            <w:vAlign w:val="center"/>
          </w:tcPr>
          <w:p>
            <w:pPr>
              <w:pStyle w:val="32"/>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color w:val="auto"/>
                <w:sz w:val="21"/>
                <w:szCs w:val="21"/>
                <w:highlight w:val="none"/>
                <w:lang w:val="en-US" w:eastAsia="zh-CN"/>
              </w:rPr>
              <w:t>肠胃内容物</w:t>
            </w:r>
          </w:p>
        </w:tc>
        <w:tc>
          <w:tcPr>
            <w:tcW w:w="826" w:type="pct"/>
            <w:vAlign w:val="top"/>
          </w:tcPr>
          <w:p>
            <w:pPr>
              <w:spacing w:before="217"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一般固废</w:t>
            </w:r>
          </w:p>
        </w:tc>
        <w:tc>
          <w:tcPr>
            <w:tcW w:w="744" w:type="pct"/>
            <w:vAlign w:val="top"/>
          </w:tcPr>
          <w:p>
            <w:pPr>
              <w:spacing w:before="252" w:line="195"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1200</w:t>
            </w:r>
          </w:p>
        </w:tc>
        <w:tc>
          <w:tcPr>
            <w:tcW w:w="2070" w:type="pct"/>
            <w:vAlign w:val="center"/>
          </w:tcPr>
          <w:p>
            <w:pPr>
              <w:pStyle w:val="32"/>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kern w:val="0"/>
                <w:sz w:val="21"/>
                <w:szCs w:val="21"/>
                <w:lang w:val="en-US" w:eastAsia="zh-CN" w:bidi="ar-SA"/>
              </w:rPr>
              <w:t>堆肥处理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2" w:hRule="atLeast"/>
        </w:trPr>
        <w:tc>
          <w:tcPr>
            <w:tcW w:w="557" w:type="pct"/>
            <w:vAlign w:val="top"/>
          </w:tcPr>
          <w:p>
            <w:pPr>
              <w:spacing w:before="253" w:line="195" w:lineRule="auto"/>
              <w:ind w:left="32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4</w:t>
            </w:r>
          </w:p>
        </w:tc>
        <w:tc>
          <w:tcPr>
            <w:tcW w:w="801" w:type="pct"/>
            <w:vAlign w:val="center"/>
          </w:tcPr>
          <w:p>
            <w:pPr>
              <w:pStyle w:val="32"/>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病变腺体、内脏</w:t>
            </w:r>
          </w:p>
        </w:tc>
        <w:tc>
          <w:tcPr>
            <w:tcW w:w="826" w:type="pct"/>
            <w:vAlign w:val="top"/>
          </w:tcPr>
          <w:p>
            <w:pPr>
              <w:spacing w:before="218" w:line="228"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6"/>
                <w:sz w:val="21"/>
                <w:szCs w:val="21"/>
                <w:highlight w:val="none"/>
              </w:rPr>
              <w:t>危险固废</w:t>
            </w:r>
          </w:p>
        </w:tc>
        <w:tc>
          <w:tcPr>
            <w:tcW w:w="744" w:type="pct"/>
            <w:vAlign w:val="top"/>
          </w:tcPr>
          <w:p>
            <w:pPr>
              <w:spacing w:before="253" w:line="195"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157</w:t>
            </w:r>
          </w:p>
        </w:tc>
        <w:tc>
          <w:tcPr>
            <w:tcW w:w="2070" w:type="pct"/>
            <w:vAlign w:val="center"/>
          </w:tcPr>
          <w:p>
            <w:pPr>
              <w:pStyle w:val="32"/>
              <w:jc w:val="center"/>
              <w:rPr>
                <w:rFonts w:hint="default" w:ascii="Times New Roman" w:hAnsi="Times New Roman" w:eastAsia="宋体" w:cs="Times New Roman"/>
                <w:snapToGrid w:val="0"/>
                <w:color w:val="000000"/>
                <w:kern w:val="0"/>
                <w:sz w:val="21"/>
                <w:szCs w:val="21"/>
                <w:highlight w:val="none"/>
                <w:lang w:val="en-US" w:eastAsia="zh-CN" w:bidi="ar-SA"/>
              </w:rPr>
            </w:pPr>
            <w:r>
              <w:rPr>
                <w:rFonts w:hint="default" w:ascii="Times New Roman" w:hAnsi="Times New Roman" w:eastAsia="宋体" w:cs="Times New Roman"/>
                <w:snapToGrid w:val="0"/>
                <w:color w:val="000000"/>
                <w:kern w:val="0"/>
                <w:sz w:val="21"/>
                <w:szCs w:val="21"/>
                <w:highlight w:val="none"/>
                <w:lang w:val="en-US" w:eastAsia="zh-CN" w:bidi="ar-SA"/>
              </w:rPr>
              <w:t>送至</w:t>
            </w:r>
            <w:r>
              <w:rPr>
                <w:rFonts w:hint="eastAsia" w:ascii="Times New Roman" w:eastAsia="宋体" w:cs="Times New Roman"/>
                <w:snapToGrid w:val="0"/>
                <w:color w:val="000000"/>
                <w:kern w:val="0"/>
                <w:sz w:val="21"/>
                <w:szCs w:val="21"/>
                <w:highlight w:val="none"/>
                <w:lang w:val="en-US" w:eastAsia="zh-CN" w:bidi="ar-SA"/>
              </w:rPr>
              <w:t>巴彦县燊缘无害化处理有限公司</w:t>
            </w:r>
            <w:r>
              <w:rPr>
                <w:rFonts w:hint="default" w:ascii="Times New Roman" w:hAnsi="Times New Roman" w:eastAsia="宋体" w:cs="Times New Roman"/>
                <w:snapToGrid w:val="0"/>
                <w:color w:val="000000"/>
                <w:kern w:val="0"/>
                <w:sz w:val="21"/>
                <w:szCs w:val="21"/>
                <w:highlight w:val="none"/>
                <w:lang w:val="en-US" w:eastAsia="zh-CN" w:bidi="ar-SA"/>
              </w:rPr>
              <w:t>处理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2" w:hRule="atLeast"/>
        </w:trPr>
        <w:tc>
          <w:tcPr>
            <w:tcW w:w="557" w:type="pct"/>
            <w:vAlign w:val="top"/>
          </w:tcPr>
          <w:p>
            <w:pPr>
              <w:spacing w:before="253" w:line="195" w:lineRule="auto"/>
              <w:ind w:left="322"/>
              <w:rPr>
                <w:rFonts w:hint="eastAsia" w:ascii="Times New Roman" w:hAnsi="Times New Roman" w:eastAsia="宋体" w:cs="Times New Roman"/>
                <w:spacing w:val="1"/>
                <w:sz w:val="21"/>
                <w:szCs w:val="21"/>
                <w:lang w:val="en-US" w:eastAsia="zh-CN"/>
              </w:rPr>
            </w:pPr>
            <w:r>
              <w:rPr>
                <w:rFonts w:hint="eastAsia" w:ascii="Times New Roman" w:hAnsi="Times New Roman" w:eastAsia="宋体" w:cs="Times New Roman"/>
                <w:spacing w:val="1"/>
                <w:sz w:val="21"/>
                <w:szCs w:val="21"/>
                <w:lang w:val="en-US" w:eastAsia="zh-CN"/>
              </w:rPr>
              <w:t>5</w:t>
            </w:r>
          </w:p>
        </w:tc>
        <w:tc>
          <w:tcPr>
            <w:tcW w:w="801" w:type="pct"/>
            <w:vAlign w:val="center"/>
          </w:tcPr>
          <w:p>
            <w:pPr>
              <w:pStyle w:val="32"/>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废弃</w:t>
            </w:r>
            <w:r>
              <w:rPr>
                <w:rFonts w:hint="default" w:ascii="Times New Roman" w:hAnsi="Times New Roman" w:eastAsia="宋体" w:cs="Times New Roman"/>
                <w:sz w:val="21"/>
                <w:szCs w:val="21"/>
                <w:lang w:val="en-US" w:eastAsia="zh-CN"/>
              </w:rPr>
              <w:t>脂肪</w:t>
            </w:r>
          </w:p>
        </w:tc>
        <w:tc>
          <w:tcPr>
            <w:tcW w:w="826" w:type="pct"/>
            <w:vAlign w:val="top"/>
          </w:tcPr>
          <w:p>
            <w:pPr>
              <w:spacing w:before="218" w:line="228" w:lineRule="auto"/>
              <w:jc w:val="center"/>
              <w:rPr>
                <w:rFonts w:hint="default" w:ascii="Times New Roman" w:hAnsi="Times New Roman" w:eastAsia="宋体" w:cs="Times New Roman"/>
                <w:spacing w:val="6"/>
                <w:sz w:val="21"/>
                <w:szCs w:val="21"/>
                <w:highlight w:val="none"/>
              </w:rPr>
            </w:pPr>
            <w:r>
              <w:rPr>
                <w:rFonts w:hint="default" w:ascii="Times New Roman" w:hAnsi="Times New Roman" w:eastAsia="宋体" w:cs="Times New Roman"/>
                <w:spacing w:val="6"/>
                <w:sz w:val="21"/>
                <w:szCs w:val="21"/>
                <w:highlight w:val="none"/>
              </w:rPr>
              <w:t>一般固废</w:t>
            </w:r>
          </w:p>
        </w:tc>
        <w:tc>
          <w:tcPr>
            <w:tcW w:w="744" w:type="pct"/>
            <w:vAlign w:val="top"/>
          </w:tcPr>
          <w:p>
            <w:pPr>
              <w:spacing w:before="253" w:line="195"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35</w:t>
            </w:r>
          </w:p>
        </w:tc>
        <w:tc>
          <w:tcPr>
            <w:tcW w:w="2070" w:type="pct"/>
            <w:vAlign w:val="center"/>
          </w:tcPr>
          <w:p>
            <w:pPr>
              <w:pStyle w:val="32"/>
              <w:jc w:val="center"/>
              <w:rPr>
                <w:rFonts w:hint="default" w:ascii="Times New Roman" w:hAnsi="Times New Roman" w:eastAsia="宋体" w:cs="Times New Roman"/>
                <w:snapToGrid w:val="0"/>
                <w:color w:val="000000"/>
                <w:kern w:val="0"/>
                <w:sz w:val="21"/>
                <w:szCs w:val="21"/>
                <w:highlight w:val="none"/>
                <w:lang w:val="en-US" w:eastAsia="zh-CN" w:bidi="ar-SA"/>
              </w:rPr>
            </w:pPr>
            <w:r>
              <w:rPr>
                <w:rFonts w:hint="eastAsia" w:ascii="Times New Roman" w:eastAsia="宋体" w:cs="Times New Roman"/>
                <w:snapToGrid w:val="0"/>
                <w:color w:val="000000"/>
                <w:kern w:val="0"/>
                <w:sz w:val="21"/>
                <w:szCs w:val="21"/>
                <w:highlight w:val="none"/>
                <w:lang w:val="en-US" w:eastAsia="zh-CN" w:bidi="ar-SA"/>
              </w:rPr>
              <w:t>集中外售处理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3" w:hRule="atLeast"/>
        </w:trPr>
        <w:tc>
          <w:tcPr>
            <w:tcW w:w="557" w:type="pct"/>
            <w:vAlign w:val="top"/>
          </w:tcPr>
          <w:p>
            <w:pPr>
              <w:spacing w:before="257" w:line="192" w:lineRule="auto"/>
              <w:ind w:left="32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w:t>
            </w:r>
          </w:p>
        </w:tc>
        <w:tc>
          <w:tcPr>
            <w:tcW w:w="801" w:type="pct"/>
            <w:vAlign w:val="center"/>
          </w:tcPr>
          <w:p>
            <w:pPr>
              <w:pStyle w:val="32"/>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污水处理站污泥、栅渣</w:t>
            </w:r>
          </w:p>
        </w:tc>
        <w:tc>
          <w:tcPr>
            <w:tcW w:w="826" w:type="pct"/>
            <w:vAlign w:val="top"/>
          </w:tcPr>
          <w:p>
            <w:pPr>
              <w:spacing w:before="250" w:line="199" w:lineRule="auto"/>
              <w:jc w:val="center"/>
              <w:rPr>
                <w:rFonts w:hint="default" w:ascii="Times New Roman" w:hAnsi="Times New Roman" w:eastAsia="Times New Roman" w:cs="Times New Roman"/>
                <w:sz w:val="21"/>
                <w:szCs w:val="21"/>
              </w:rPr>
            </w:pPr>
            <w:r>
              <w:rPr>
                <w:rFonts w:hint="default" w:ascii="Times New Roman" w:hAnsi="Times New Roman" w:eastAsia="宋体" w:cs="Times New Roman"/>
                <w:spacing w:val="6"/>
                <w:sz w:val="21"/>
                <w:szCs w:val="21"/>
              </w:rPr>
              <w:t>一般固废</w:t>
            </w:r>
          </w:p>
        </w:tc>
        <w:tc>
          <w:tcPr>
            <w:tcW w:w="744" w:type="pct"/>
            <w:vAlign w:val="top"/>
          </w:tcPr>
          <w:p>
            <w:pPr>
              <w:spacing w:before="254" w:line="195"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pacing w:val="-2"/>
                <w:sz w:val="21"/>
                <w:szCs w:val="21"/>
                <w:highlight w:val="none"/>
                <w:lang w:val="en-US" w:eastAsia="zh-CN"/>
              </w:rPr>
              <w:t>0.084</w:t>
            </w:r>
          </w:p>
        </w:tc>
        <w:tc>
          <w:tcPr>
            <w:tcW w:w="2070" w:type="pct"/>
            <w:vAlign w:val="center"/>
          </w:tcPr>
          <w:p>
            <w:pPr>
              <w:pStyle w:val="32"/>
              <w:jc w:val="center"/>
              <w:rPr>
                <w:rFonts w:hint="default" w:ascii="Times New Roman" w:hAnsi="Times New Roman" w:eastAsia="宋体" w:cs="Times New Roman"/>
                <w:sz w:val="21"/>
                <w:szCs w:val="21"/>
              </w:rPr>
            </w:pPr>
            <w:r>
              <w:rPr>
                <w:rFonts w:hint="default" w:ascii="Times New Roman" w:hAnsi="Times New Roman" w:eastAsia="宋体" w:cs="Times New Roman"/>
                <w:color w:val="auto"/>
                <w:sz w:val="21"/>
                <w:szCs w:val="21"/>
                <w:highlight w:val="none"/>
                <w:lang w:val="en-US" w:eastAsia="zh-CN"/>
              </w:rPr>
              <w:t>送垃圾填埋场填埋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3" w:hRule="atLeast"/>
        </w:trPr>
        <w:tc>
          <w:tcPr>
            <w:tcW w:w="557" w:type="pct"/>
            <w:vAlign w:val="top"/>
          </w:tcPr>
          <w:p>
            <w:pPr>
              <w:spacing w:before="257" w:line="192" w:lineRule="auto"/>
              <w:ind w:left="32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w:t>
            </w:r>
          </w:p>
        </w:tc>
        <w:tc>
          <w:tcPr>
            <w:tcW w:w="801" w:type="pct"/>
            <w:vAlign w:val="center"/>
          </w:tcPr>
          <w:p>
            <w:pPr>
              <w:pStyle w:val="32"/>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4"/>
                <w:szCs w:val="24"/>
                <w:highlight w:val="none"/>
                <w:lang w:val="en-US" w:eastAsia="zh-CN"/>
              </w:rPr>
              <w:t>隔油工段的</w:t>
            </w:r>
            <w:r>
              <w:rPr>
                <w:rFonts w:hint="default" w:ascii="Times New Roman" w:hAnsi="Times New Roman" w:cs="Times New Roman"/>
                <w:sz w:val="24"/>
                <w:szCs w:val="24"/>
                <w:highlight w:val="none"/>
                <w:lang w:val="en-US" w:eastAsia="zh-CN"/>
              </w:rPr>
              <w:t>废油</w:t>
            </w:r>
            <w:r>
              <w:rPr>
                <w:rFonts w:hint="eastAsia" w:ascii="Times New Roman" w:hAnsi="Times New Roman" w:cs="Times New Roman"/>
                <w:sz w:val="24"/>
                <w:szCs w:val="24"/>
                <w:highlight w:val="none"/>
                <w:lang w:val="en-US" w:eastAsia="zh-CN"/>
              </w:rPr>
              <w:t>脂和落地油</w:t>
            </w:r>
          </w:p>
        </w:tc>
        <w:tc>
          <w:tcPr>
            <w:tcW w:w="826" w:type="pct"/>
            <w:vAlign w:val="top"/>
          </w:tcPr>
          <w:p>
            <w:pPr>
              <w:spacing w:before="250" w:line="199" w:lineRule="auto"/>
              <w:jc w:val="center"/>
              <w:rPr>
                <w:rFonts w:hint="default" w:ascii="Times New Roman" w:hAnsi="Times New Roman" w:eastAsia="宋体" w:cs="Times New Roman"/>
                <w:spacing w:val="6"/>
                <w:sz w:val="21"/>
                <w:szCs w:val="21"/>
              </w:rPr>
            </w:pPr>
            <w:r>
              <w:rPr>
                <w:rFonts w:hint="default" w:ascii="Times New Roman" w:hAnsi="Times New Roman" w:eastAsia="宋体" w:cs="Times New Roman"/>
                <w:color w:val="auto"/>
                <w:highlight w:val="none"/>
                <w:lang w:val="en-US" w:eastAsia="zh-CN"/>
              </w:rPr>
              <w:t>一般固废</w:t>
            </w:r>
          </w:p>
        </w:tc>
        <w:tc>
          <w:tcPr>
            <w:tcW w:w="744" w:type="pct"/>
            <w:vAlign w:val="top"/>
          </w:tcPr>
          <w:p>
            <w:pPr>
              <w:spacing w:before="254" w:line="195" w:lineRule="auto"/>
              <w:jc w:val="center"/>
              <w:rPr>
                <w:rFonts w:hint="default" w:ascii="Times New Roman" w:hAnsi="Times New Roman" w:eastAsia="宋体" w:cs="Times New Roman"/>
                <w:spacing w:val="-2"/>
                <w:sz w:val="21"/>
                <w:szCs w:val="21"/>
                <w:highlight w:val="none"/>
                <w:lang w:val="en-US" w:eastAsia="zh-CN"/>
              </w:rPr>
            </w:pPr>
            <w:r>
              <w:rPr>
                <w:rFonts w:hint="eastAsia" w:ascii="Times New Roman" w:hAnsi="Times New Roman" w:eastAsia="宋体" w:cs="Times New Roman"/>
                <w:spacing w:val="-2"/>
                <w:sz w:val="21"/>
                <w:szCs w:val="21"/>
                <w:highlight w:val="none"/>
                <w:lang w:val="en-US" w:eastAsia="zh-CN"/>
              </w:rPr>
              <w:t>5.0</w:t>
            </w:r>
          </w:p>
        </w:tc>
        <w:tc>
          <w:tcPr>
            <w:tcW w:w="2070" w:type="pct"/>
            <w:vAlign w:val="center"/>
          </w:tcPr>
          <w:p>
            <w:pPr>
              <w:pStyle w:val="32"/>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highlight w:val="none"/>
                <w:lang w:val="en-US" w:eastAsia="zh-CN"/>
              </w:rPr>
              <w:t>委托有处理资质单位进行处置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3" w:hRule="atLeast"/>
        </w:trPr>
        <w:tc>
          <w:tcPr>
            <w:tcW w:w="557" w:type="pct"/>
            <w:vAlign w:val="top"/>
          </w:tcPr>
          <w:p>
            <w:pPr>
              <w:spacing w:before="254" w:line="195" w:lineRule="auto"/>
              <w:ind w:left="328"/>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w:t>
            </w:r>
          </w:p>
        </w:tc>
        <w:tc>
          <w:tcPr>
            <w:tcW w:w="801" w:type="pct"/>
            <w:vAlign w:val="center"/>
          </w:tcPr>
          <w:p>
            <w:pPr>
              <w:pStyle w:val="32"/>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废外包装</w:t>
            </w:r>
          </w:p>
        </w:tc>
        <w:tc>
          <w:tcPr>
            <w:tcW w:w="826" w:type="pct"/>
            <w:vAlign w:val="top"/>
          </w:tcPr>
          <w:p>
            <w:pPr>
              <w:spacing w:before="219"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一般固废</w:t>
            </w:r>
          </w:p>
        </w:tc>
        <w:tc>
          <w:tcPr>
            <w:tcW w:w="744" w:type="pct"/>
            <w:vAlign w:val="top"/>
          </w:tcPr>
          <w:p>
            <w:pPr>
              <w:spacing w:before="254" w:line="195" w:lineRule="auto"/>
              <w:jc w:val="center"/>
              <w:rPr>
                <w:rFonts w:hint="default" w:ascii="Times New Roman" w:hAnsi="Times New Roman" w:eastAsia="Times New Roman" w:cs="Times New Roman"/>
                <w:sz w:val="21"/>
                <w:szCs w:val="21"/>
                <w:highlight w:val="none"/>
              </w:rPr>
            </w:pPr>
            <w:r>
              <w:rPr>
                <w:rFonts w:hint="default" w:ascii="Times New Roman" w:hAnsi="Times New Roman" w:eastAsia="宋体" w:cs="Times New Roman"/>
                <w:spacing w:val="-8"/>
                <w:sz w:val="21"/>
                <w:szCs w:val="21"/>
                <w:highlight w:val="none"/>
                <w:lang w:val="en-US" w:eastAsia="zh-CN"/>
              </w:rPr>
              <w:t>2.4</w:t>
            </w:r>
          </w:p>
        </w:tc>
        <w:tc>
          <w:tcPr>
            <w:tcW w:w="2070" w:type="pct"/>
            <w:vAlign w:val="center"/>
          </w:tcPr>
          <w:p>
            <w:pPr>
              <w:pStyle w:val="32"/>
              <w:jc w:val="center"/>
              <w:rPr>
                <w:rFonts w:hint="default" w:ascii="Times New Roman" w:hAnsi="Times New Roman" w:eastAsia="宋体" w:cs="Times New Roman"/>
                <w:sz w:val="21"/>
                <w:szCs w:val="21"/>
              </w:rPr>
            </w:pPr>
            <w:r>
              <w:rPr>
                <w:rFonts w:hint="default" w:ascii="Times New Roman" w:hAnsi="Times New Roman" w:eastAsia="宋体" w:cs="Times New Roman"/>
                <w:snapToGrid w:val="0"/>
                <w:color w:val="000000"/>
                <w:kern w:val="0"/>
                <w:sz w:val="21"/>
                <w:szCs w:val="21"/>
                <w:lang w:val="en-US" w:eastAsia="zh-CN" w:bidi="ar-SA"/>
              </w:rPr>
              <w:t>外售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2" w:hRule="atLeast"/>
        </w:trPr>
        <w:tc>
          <w:tcPr>
            <w:tcW w:w="557" w:type="pct"/>
            <w:vAlign w:val="top"/>
          </w:tcPr>
          <w:p>
            <w:pPr>
              <w:spacing w:before="257" w:line="192" w:lineRule="auto"/>
              <w:ind w:left="326"/>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9</w:t>
            </w:r>
          </w:p>
        </w:tc>
        <w:tc>
          <w:tcPr>
            <w:tcW w:w="801" w:type="pct"/>
            <w:vAlign w:val="center"/>
          </w:tcPr>
          <w:p>
            <w:pPr>
              <w:pStyle w:val="32"/>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废活性炭</w:t>
            </w:r>
          </w:p>
        </w:tc>
        <w:tc>
          <w:tcPr>
            <w:tcW w:w="826" w:type="pct"/>
            <w:vAlign w:val="top"/>
          </w:tcPr>
          <w:p>
            <w:pPr>
              <w:spacing w:before="219"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lang w:val="en-US" w:eastAsia="zh-CN"/>
              </w:rPr>
              <w:t>一般</w:t>
            </w:r>
            <w:r>
              <w:rPr>
                <w:rFonts w:hint="default" w:ascii="Times New Roman" w:hAnsi="Times New Roman" w:eastAsia="宋体" w:cs="Times New Roman"/>
                <w:spacing w:val="6"/>
                <w:sz w:val="21"/>
                <w:szCs w:val="21"/>
              </w:rPr>
              <w:t>固废</w:t>
            </w:r>
          </w:p>
        </w:tc>
        <w:tc>
          <w:tcPr>
            <w:tcW w:w="744" w:type="pct"/>
            <w:vAlign w:val="top"/>
          </w:tcPr>
          <w:p>
            <w:pPr>
              <w:spacing w:before="254" w:line="195"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0.62</w:t>
            </w:r>
          </w:p>
        </w:tc>
        <w:tc>
          <w:tcPr>
            <w:tcW w:w="2070" w:type="pct"/>
            <w:vAlign w:val="center"/>
          </w:tcPr>
          <w:p>
            <w:pPr>
              <w:pStyle w:val="32"/>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由活性炭厂家回收再生处理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557" w:type="pct"/>
            <w:vAlign w:val="top"/>
          </w:tcPr>
          <w:p>
            <w:pPr>
              <w:spacing w:before="106" w:line="195" w:lineRule="auto"/>
              <w:ind w:left="331"/>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w:t>
            </w:r>
          </w:p>
        </w:tc>
        <w:tc>
          <w:tcPr>
            <w:tcW w:w="801" w:type="pct"/>
            <w:vAlign w:val="center"/>
          </w:tcPr>
          <w:p>
            <w:pPr>
              <w:pStyle w:val="32"/>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检疫废物</w:t>
            </w:r>
          </w:p>
        </w:tc>
        <w:tc>
          <w:tcPr>
            <w:tcW w:w="826" w:type="pct"/>
            <w:vAlign w:val="top"/>
          </w:tcPr>
          <w:p>
            <w:pPr>
              <w:spacing w:before="71" w:line="228" w:lineRule="auto"/>
              <w:jc w:val="center"/>
              <w:rPr>
                <w:rFonts w:hint="eastAsia" w:ascii="Times New Roman" w:hAnsi="Times New Roman" w:eastAsia="宋体" w:cs="Times New Roman"/>
                <w:sz w:val="21"/>
                <w:szCs w:val="21"/>
                <w:highlight w:val="none"/>
                <w:lang w:eastAsia="zh-CN"/>
              </w:rPr>
            </w:pPr>
            <w:r>
              <w:rPr>
                <w:rFonts w:hint="eastAsia" w:ascii="Times New Roman" w:hAnsi="Times New Roman" w:eastAsia="宋体" w:cs="Times New Roman"/>
                <w:spacing w:val="6"/>
                <w:sz w:val="21"/>
                <w:szCs w:val="21"/>
                <w:highlight w:val="none"/>
                <w:lang w:val="en-US" w:eastAsia="zh-CN"/>
              </w:rPr>
              <w:t>危险固废</w:t>
            </w:r>
          </w:p>
        </w:tc>
        <w:tc>
          <w:tcPr>
            <w:tcW w:w="744" w:type="pct"/>
            <w:vAlign w:val="top"/>
          </w:tcPr>
          <w:p>
            <w:pPr>
              <w:spacing w:before="106" w:line="195"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1.4</w:t>
            </w:r>
          </w:p>
        </w:tc>
        <w:tc>
          <w:tcPr>
            <w:tcW w:w="2070" w:type="pct"/>
            <w:vAlign w:val="center"/>
          </w:tcPr>
          <w:p>
            <w:pPr>
              <w:pStyle w:val="32"/>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送至</w:t>
            </w:r>
            <w:r>
              <w:rPr>
                <w:rFonts w:hint="eastAsia" w:ascii="Times New Roman" w:eastAsia="宋体" w:cs="Times New Roman"/>
                <w:sz w:val="21"/>
                <w:szCs w:val="21"/>
                <w:highlight w:val="none"/>
                <w:lang w:val="en-US" w:eastAsia="zh-CN"/>
              </w:rPr>
              <w:t>哈尔滨国环医疗固体废物无害化集中处置中心有限公司</w:t>
            </w:r>
            <w:r>
              <w:rPr>
                <w:rFonts w:hint="default" w:ascii="Times New Roman" w:hAnsi="Times New Roman" w:eastAsia="宋体" w:cs="Times New Roman"/>
                <w:sz w:val="21"/>
                <w:szCs w:val="21"/>
                <w:highlight w:val="none"/>
                <w:lang w:val="en-US" w:eastAsia="zh-CN"/>
              </w:rPr>
              <w:t>处理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 w:hRule="atLeast"/>
        </w:trPr>
        <w:tc>
          <w:tcPr>
            <w:tcW w:w="557" w:type="pct"/>
            <w:vAlign w:val="top"/>
          </w:tcPr>
          <w:p>
            <w:pPr>
              <w:spacing w:before="107" w:line="195" w:lineRule="auto"/>
              <w:ind w:left="327"/>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11</w:t>
            </w:r>
          </w:p>
        </w:tc>
        <w:tc>
          <w:tcPr>
            <w:tcW w:w="801" w:type="pct"/>
            <w:vAlign w:val="center"/>
          </w:tcPr>
          <w:p>
            <w:pPr>
              <w:pStyle w:val="32"/>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废离子交换树脂</w:t>
            </w:r>
          </w:p>
        </w:tc>
        <w:tc>
          <w:tcPr>
            <w:tcW w:w="826" w:type="pct"/>
            <w:vAlign w:val="top"/>
          </w:tcPr>
          <w:p>
            <w:pPr>
              <w:spacing w:before="71" w:line="228"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lang w:val="en-US" w:eastAsia="zh-CN"/>
              </w:rPr>
              <w:t>一般</w:t>
            </w:r>
            <w:r>
              <w:rPr>
                <w:rFonts w:hint="default" w:ascii="Times New Roman" w:hAnsi="Times New Roman" w:eastAsia="宋体" w:cs="Times New Roman"/>
                <w:spacing w:val="6"/>
                <w:sz w:val="21"/>
                <w:szCs w:val="21"/>
              </w:rPr>
              <w:t>固废</w:t>
            </w:r>
          </w:p>
        </w:tc>
        <w:tc>
          <w:tcPr>
            <w:tcW w:w="744" w:type="pct"/>
            <w:vAlign w:val="top"/>
          </w:tcPr>
          <w:p>
            <w:pPr>
              <w:spacing w:before="107" w:line="195"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w:t>
            </w:r>
          </w:p>
        </w:tc>
        <w:tc>
          <w:tcPr>
            <w:tcW w:w="2070" w:type="pct"/>
            <w:vAlign w:val="center"/>
          </w:tcPr>
          <w:p>
            <w:pPr>
              <w:pStyle w:val="32"/>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由厂家回收</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 w:hRule="atLeast"/>
        </w:trPr>
        <w:tc>
          <w:tcPr>
            <w:tcW w:w="557" w:type="pct"/>
            <w:vAlign w:val="top"/>
          </w:tcPr>
          <w:p>
            <w:pPr>
              <w:spacing w:before="107" w:line="195" w:lineRule="auto"/>
              <w:ind w:left="327"/>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12</w:t>
            </w:r>
          </w:p>
        </w:tc>
        <w:tc>
          <w:tcPr>
            <w:tcW w:w="801" w:type="pct"/>
            <w:vAlign w:val="center"/>
          </w:tcPr>
          <w:p>
            <w:pPr>
              <w:pStyle w:val="32"/>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废润滑油及废润滑油桶</w:t>
            </w:r>
          </w:p>
        </w:tc>
        <w:tc>
          <w:tcPr>
            <w:tcW w:w="826" w:type="pct"/>
            <w:vAlign w:val="top"/>
          </w:tcPr>
          <w:p>
            <w:pPr>
              <w:spacing w:before="71" w:line="228" w:lineRule="auto"/>
              <w:jc w:val="center"/>
              <w:rPr>
                <w:rFonts w:hint="default" w:ascii="Times New Roman" w:hAnsi="Times New Roman" w:eastAsia="宋体" w:cs="Times New Roman"/>
                <w:spacing w:val="6"/>
                <w:sz w:val="21"/>
                <w:szCs w:val="21"/>
                <w:lang w:val="en-US" w:eastAsia="zh-CN"/>
              </w:rPr>
            </w:pPr>
            <w:r>
              <w:rPr>
                <w:rFonts w:hint="eastAsia" w:ascii="Times New Roman" w:hAnsi="Times New Roman" w:eastAsia="宋体" w:cs="Times New Roman"/>
                <w:spacing w:val="6"/>
                <w:sz w:val="21"/>
                <w:szCs w:val="21"/>
                <w:lang w:val="en-US" w:eastAsia="zh-CN"/>
              </w:rPr>
              <w:t>危险废物</w:t>
            </w:r>
          </w:p>
        </w:tc>
        <w:tc>
          <w:tcPr>
            <w:tcW w:w="744" w:type="pct"/>
            <w:vAlign w:val="top"/>
          </w:tcPr>
          <w:p>
            <w:pPr>
              <w:spacing w:before="107" w:line="195"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0.5</w:t>
            </w:r>
          </w:p>
        </w:tc>
        <w:tc>
          <w:tcPr>
            <w:tcW w:w="2070" w:type="pct"/>
            <w:vAlign w:val="center"/>
          </w:tcPr>
          <w:p>
            <w:pPr>
              <w:pStyle w:val="32"/>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4"/>
                <w:szCs w:val="24"/>
                <w:highlight w:val="none"/>
                <w:lang w:val="en-US" w:eastAsia="zh-CN"/>
              </w:rPr>
              <w:t>交由</w:t>
            </w:r>
            <w:r>
              <w:rPr>
                <w:rFonts w:hint="eastAsia" w:ascii="Times New Roman" w:cs="Times New Roman"/>
                <w:sz w:val="24"/>
                <w:szCs w:val="24"/>
                <w:highlight w:val="none"/>
                <w:lang w:val="en-US" w:eastAsia="zh-CN"/>
              </w:rPr>
              <w:t>哈尔滨国环医疗固体废物无害化集中处置中心有限公司</w:t>
            </w:r>
            <w:r>
              <w:rPr>
                <w:rFonts w:hint="eastAsia" w:ascii="Times New Roman" w:hAnsi="Times New Roman" w:cs="Times New Roman"/>
                <w:sz w:val="24"/>
                <w:szCs w:val="24"/>
                <w:highlight w:val="none"/>
                <w:lang w:val="en-US" w:eastAsia="zh-CN"/>
              </w:rPr>
              <w:t>处置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 w:hRule="atLeast"/>
        </w:trPr>
        <w:tc>
          <w:tcPr>
            <w:tcW w:w="557" w:type="pct"/>
            <w:vAlign w:val="top"/>
          </w:tcPr>
          <w:p>
            <w:pPr>
              <w:spacing w:before="107" w:line="195"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合计</w:t>
            </w:r>
          </w:p>
        </w:tc>
        <w:tc>
          <w:tcPr>
            <w:tcW w:w="801" w:type="pct"/>
            <w:vAlign w:val="center"/>
          </w:tcPr>
          <w:p>
            <w:pPr>
              <w:pStyle w:val="32"/>
              <w:jc w:val="center"/>
              <w:rPr>
                <w:rFonts w:hint="default" w:ascii="Times New Roman" w:hAnsi="Times New Roman" w:eastAsia="宋体" w:cs="Times New Roman"/>
                <w:sz w:val="21"/>
                <w:szCs w:val="21"/>
                <w:lang w:val="en-US" w:eastAsia="zh-CN"/>
              </w:rPr>
            </w:pPr>
            <w:r>
              <w:rPr>
                <w:rFonts w:hint="eastAsia" w:ascii="Times New Roman" w:eastAsia="宋体" w:cs="Times New Roman"/>
                <w:sz w:val="21"/>
                <w:szCs w:val="21"/>
                <w:lang w:val="en-US" w:eastAsia="zh-CN"/>
              </w:rPr>
              <w:t>/</w:t>
            </w:r>
          </w:p>
        </w:tc>
        <w:tc>
          <w:tcPr>
            <w:tcW w:w="826" w:type="pct"/>
            <w:vAlign w:val="top"/>
          </w:tcPr>
          <w:p>
            <w:pPr>
              <w:spacing w:before="71" w:line="228" w:lineRule="auto"/>
              <w:jc w:val="center"/>
              <w:rPr>
                <w:rFonts w:hint="default" w:ascii="Times New Roman" w:hAnsi="Times New Roman" w:eastAsia="宋体" w:cs="Times New Roman"/>
                <w:spacing w:val="6"/>
                <w:sz w:val="21"/>
                <w:szCs w:val="21"/>
                <w:lang w:val="en-US" w:eastAsia="zh-CN"/>
              </w:rPr>
            </w:pPr>
            <w:r>
              <w:rPr>
                <w:rFonts w:hint="eastAsia" w:ascii="Times New Roman" w:hAnsi="Times New Roman" w:eastAsia="宋体" w:cs="Times New Roman"/>
                <w:spacing w:val="6"/>
                <w:sz w:val="21"/>
                <w:szCs w:val="21"/>
                <w:lang w:val="en-US" w:eastAsia="zh-CN"/>
              </w:rPr>
              <w:t>/</w:t>
            </w:r>
          </w:p>
        </w:tc>
        <w:tc>
          <w:tcPr>
            <w:tcW w:w="744" w:type="pct"/>
            <w:vAlign w:val="top"/>
          </w:tcPr>
          <w:p>
            <w:pPr>
              <w:spacing w:before="107" w:line="195"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1602.304</w:t>
            </w:r>
          </w:p>
        </w:tc>
        <w:tc>
          <w:tcPr>
            <w:tcW w:w="2070" w:type="pct"/>
            <w:vAlign w:val="center"/>
          </w:tcPr>
          <w:p>
            <w:pPr>
              <w:pStyle w:val="32"/>
              <w:jc w:val="center"/>
              <w:rPr>
                <w:rFonts w:hint="default" w:ascii="Times New Roman" w:hAnsi="Times New Roman" w:eastAsia="宋体" w:cs="Times New Roman"/>
                <w:sz w:val="21"/>
                <w:szCs w:val="21"/>
                <w:lang w:val="en-US" w:eastAsia="zh-CN"/>
              </w:rPr>
            </w:pPr>
            <w:r>
              <w:rPr>
                <w:rFonts w:hint="eastAsia" w:ascii="Times New Roman" w:eastAsia="宋体" w:cs="Times New Roman"/>
                <w:sz w:val="21"/>
                <w:szCs w:val="21"/>
                <w:lang w:val="en-US" w:eastAsia="zh-CN"/>
              </w:rPr>
              <w:t>/</w:t>
            </w:r>
          </w:p>
        </w:tc>
      </w:tr>
    </w:tbl>
    <w:p>
      <w:pPr>
        <w:spacing w:before="121" w:line="219" w:lineRule="auto"/>
        <w:ind w:left="604"/>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危险废物产生情况表如下：</w:t>
      </w:r>
    </w:p>
    <w:p>
      <w:pPr>
        <w:spacing w:before="125" w:line="227" w:lineRule="auto"/>
        <w:ind w:left="3145"/>
        <w:rPr>
          <w:rFonts w:hint="eastAsia" w:ascii="Times New Roman" w:hAnsi="Times New Roman" w:eastAsia="宋体" w:cs="Times New Roman"/>
          <w:sz w:val="20"/>
          <w:szCs w:val="20"/>
          <w:highlight w:val="magenta"/>
          <w:lang w:eastAsia="zh-CN"/>
        </w:rPr>
      </w:pP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42"/>
          <w:sz w:val="20"/>
          <w:szCs w:val="20"/>
          <w:highlight w:val="none"/>
        </w:rPr>
        <w:t xml:space="preserve"> </w:t>
      </w:r>
      <w:r>
        <w:rPr>
          <w:rFonts w:hint="default" w:ascii="Times New Roman" w:hAnsi="Times New Roman" w:eastAsia="Times New Roman" w:cs="Times New Roman"/>
          <w:b/>
          <w:bCs/>
          <w:spacing w:val="7"/>
          <w:sz w:val="20"/>
          <w:szCs w:val="20"/>
          <w:highlight w:val="none"/>
        </w:rPr>
        <w:t>3</w:t>
      </w:r>
      <w:r>
        <w:rPr>
          <w:rFonts w:hint="eastAsia" w:ascii="Times New Roman" w:hAnsi="Times New Roman" w:eastAsia="宋体" w:cs="Times New Roman"/>
          <w:b/>
          <w:bCs/>
          <w:spacing w:val="7"/>
          <w:sz w:val="20"/>
          <w:szCs w:val="20"/>
          <w:highlight w:val="none"/>
          <w:lang w:val="en-US" w:eastAsia="zh-CN"/>
        </w:rPr>
        <w:t>-</w:t>
      </w:r>
      <w:r>
        <w:rPr>
          <w:rFonts w:hint="default" w:ascii="Times New Roman" w:hAnsi="Times New Roman" w:eastAsia="宋体" w:cs="Times New Roman"/>
          <w:b/>
          <w:bCs/>
          <w:spacing w:val="7"/>
          <w:sz w:val="20"/>
          <w:szCs w:val="20"/>
          <w:highlight w:val="none"/>
          <w:lang w:val="en-US" w:eastAsia="zh-CN"/>
        </w:rPr>
        <w:t>6</w:t>
      </w:r>
      <w:r>
        <w:rPr>
          <w:rFonts w:hint="default" w:ascii="Times New Roman" w:hAnsi="Times New Roman" w:eastAsia="Times New Roman" w:cs="Times New Roman"/>
          <w:b/>
          <w:bCs/>
          <w:spacing w:val="7"/>
          <w:sz w:val="20"/>
          <w:szCs w:val="20"/>
          <w:highlight w:val="none"/>
        </w:rPr>
        <w:t>-1</w:t>
      </w:r>
      <w:r>
        <w:rPr>
          <w:rFonts w:hint="default" w:ascii="Times New Roman" w:hAnsi="Times New Roman" w:eastAsia="宋体" w:cs="Times New Roman"/>
          <w:b/>
          <w:bCs/>
          <w:spacing w:val="7"/>
          <w:sz w:val="20"/>
          <w:szCs w:val="20"/>
          <w:highlight w:val="none"/>
          <w:lang w:val="en-US" w:eastAsia="zh-CN"/>
        </w:rPr>
        <w:t>7</w:t>
      </w:r>
      <w:r>
        <w:rPr>
          <w:rFonts w:hint="default" w:ascii="Times New Roman" w:hAnsi="Times New Roman" w:eastAsia="Times New Roman" w:cs="Times New Roman"/>
          <w:b/>
          <w:bCs/>
          <w:spacing w:val="7"/>
          <w:sz w:val="20"/>
          <w:szCs w:val="20"/>
          <w:highlight w:val="none"/>
        </w:rPr>
        <w:t xml:space="preserve">  </w:t>
      </w: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本项目危险废物汇总表</w:t>
      </w:r>
    </w:p>
    <w:p>
      <w:pPr>
        <w:spacing w:line="20" w:lineRule="exact"/>
        <w:rPr>
          <w:rFonts w:hint="default" w:ascii="Times New Roman" w:hAnsi="Times New Roman" w:cs="Times New Roman"/>
        </w:rPr>
      </w:pPr>
    </w:p>
    <w:tbl>
      <w:tblPr>
        <w:tblStyle w:val="34"/>
        <w:tblW w:w="928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73"/>
        <w:gridCol w:w="888"/>
        <w:gridCol w:w="876"/>
        <w:gridCol w:w="1230"/>
        <w:gridCol w:w="953"/>
        <w:gridCol w:w="1102"/>
        <w:gridCol w:w="581"/>
        <w:gridCol w:w="946"/>
        <w:gridCol w:w="731"/>
        <w:gridCol w:w="729"/>
        <w:gridCol w:w="77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5" w:hRule="atLeast"/>
        </w:trPr>
        <w:tc>
          <w:tcPr>
            <w:tcW w:w="473" w:type="dxa"/>
            <w:textDirection w:val="tbRlV"/>
            <w:vAlign w:val="top"/>
          </w:tcPr>
          <w:p>
            <w:pPr>
              <w:spacing w:before="130" w:line="218" w:lineRule="auto"/>
              <w:ind w:left="217"/>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rPr>
              <w:t>序</w:t>
            </w:r>
            <w:r>
              <w:rPr>
                <w:rFonts w:hint="default" w:ascii="Times New Roman" w:hAnsi="Times New Roman" w:eastAsia="宋体" w:cs="Times New Roman"/>
                <w:spacing w:val="11"/>
                <w:sz w:val="20"/>
                <w:szCs w:val="20"/>
              </w:rPr>
              <w:t xml:space="preserve"> </w:t>
            </w:r>
            <w:r>
              <w:rPr>
                <w:rFonts w:hint="default" w:ascii="Times New Roman" w:hAnsi="Times New Roman" w:eastAsia="宋体" w:cs="Times New Roman"/>
                <w:spacing w:val="8"/>
                <w:sz w:val="20"/>
                <w:szCs w:val="20"/>
              </w:rPr>
              <w:t>号</w:t>
            </w:r>
          </w:p>
        </w:tc>
        <w:tc>
          <w:tcPr>
            <w:tcW w:w="888" w:type="dxa"/>
            <w:vAlign w:val="top"/>
          </w:tcPr>
          <w:p>
            <w:pPr>
              <w:spacing w:before="217" w:line="262" w:lineRule="auto"/>
              <w:ind w:left="131" w:right="130" w:firstLine="2"/>
              <w:rPr>
                <w:rFonts w:hint="default" w:ascii="Times New Roman" w:hAnsi="Times New Roman" w:eastAsia="宋体" w:cs="Times New Roman"/>
                <w:sz w:val="20"/>
                <w:szCs w:val="20"/>
              </w:rPr>
            </w:pPr>
            <w:r>
              <w:rPr>
                <w:rFonts w:hint="default" w:ascii="Times New Roman" w:hAnsi="Times New Roman" w:eastAsia="宋体" w:cs="Times New Roman"/>
                <w:spacing w:val="6"/>
                <w:sz w:val="20"/>
                <w:szCs w:val="20"/>
              </w:rPr>
              <w:t>危险废</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6"/>
                <w:sz w:val="20"/>
                <w:szCs w:val="20"/>
              </w:rPr>
              <w:t>物名称</w:t>
            </w:r>
          </w:p>
        </w:tc>
        <w:tc>
          <w:tcPr>
            <w:tcW w:w="876" w:type="dxa"/>
            <w:vAlign w:val="top"/>
          </w:tcPr>
          <w:p>
            <w:pPr>
              <w:spacing w:before="218" w:line="261" w:lineRule="auto"/>
              <w:ind w:left="126" w:right="123" w:firstLine="2"/>
              <w:rPr>
                <w:rFonts w:hint="default" w:ascii="Times New Roman" w:hAnsi="Times New Roman" w:eastAsia="宋体" w:cs="Times New Roman"/>
                <w:sz w:val="20"/>
                <w:szCs w:val="20"/>
              </w:rPr>
            </w:pPr>
            <w:r>
              <w:rPr>
                <w:rFonts w:hint="default" w:ascii="Times New Roman" w:hAnsi="Times New Roman" w:eastAsia="宋体" w:cs="Times New Roman"/>
                <w:spacing w:val="6"/>
                <w:sz w:val="20"/>
                <w:szCs w:val="20"/>
              </w:rPr>
              <w:t>危险废</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6"/>
                <w:sz w:val="20"/>
                <w:szCs w:val="20"/>
              </w:rPr>
              <w:t>物类别</w:t>
            </w:r>
          </w:p>
        </w:tc>
        <w:tc>
          <w:tcPr>
            <w:tcW w:w="1230" w:type="dxa"/>
            <w:vAlign w:val="top"/>
          </w:tcPr>
          <w:p>
            <w:pPr>
              <w:spacing w:before="218" w:line="261" w:lineRule="auto"/>
              <w:ind w:left="408" w:right="196" w:hanging="207"/>
              <w:rPr>
                <w:rFonts w:hint="default" w:ascii="Times New Roman" w:hAnsi="Times New Roman" w:eastAsia="宋体" w:cs="Times New Roman"/>
                <w:sz w:val="20"/>
                <w:szCs w:val="20"/>
              </w:rPr>
            </w:pPr>
            <w:r>
              <w:rPr>
                <w:rFonts w:hint="default" w:ascii="Times New Roman" w:hAnsi="Times New Roman" w:eastAsia="宋体" w:cs="Times New Roman"/>
                <w:spacing w:val="6"/>
                <w:sz w:val="20"/>
                <w:szCs w:val="20"/>
              </w:rPr>
              <w:t>危险废物</w:t>
            </w:r>
            <w:r>
              <w:rPr>
                <w:rFonts w:hint="default" w:ascii="Times New Roman" w:hAnsi="Times New Roman" w:eastAsia="宋体" w:cs="Times New Roman"/>
                <w:spacing w:val="2"/>
                <w:sz w:val="20"/>
                <w:szCs w:val="20"/>
              </w:rPr>
              <w:t xml:space="preserve"> </w:t>
            </w:r>
            <w:r>
              <w:rPr>
                <w:rFonts w:hint="default" w:ascii="Times New Roman" w:hAnsi="Times New Roman" w:eastAsia="宋体" w:cs="Times New Roman"/>
                <w:spacing w:val="5"/>
                <w:sz w:val="20"/>
                <w:szCs w:val="20"/>
              </w:rPr>
              <w:t>代码</w:t>
            </w:r>
          </w:p>
        </w:tc>
        <w:tc>
          <w:tcPr>
            <w:tcW w:w="953" w:type="dxa"/>
            <w:vAlign w:val="top"/>
          </w:tcPr>
          <w:p>
            <w:pPr>
              <w:spacing w:before="218" w:line="267" w:lineRule="auto"/>
              <w:ind w:left="176" w:right="160" w:hanging="10"/>
              <w:rPr>
                <w:rFonts w:hint="default" w:ascii="Times New Roman" w:hAnsi="Times New Roman" w:eastAsia="宋体" w:cs="Times New Roman"/>
                <w:sz w:val="20"/>
                <w:szCs w:val="20"/>
              </w:rPr>
            </w:pPr>
            <w:r>
              <w:rPr>
                <w:rFonts w:hint="default" w:ascii="Times New Roman" w:hAnsi="Times New Roman" w:eastAsia="宋体" w:cs="Times New Roman"/>
                <w:spacing w:val="6"/>
                <w:sz w:val="20"/>
                <w:szCs w:val="20"/>
              </w:rPr>
              <w:t>产生量</w:t>
            </w:r>
            <w:r>
              <w:rPr>
                <w:rFonts w:hint="default" w:ascii="Times New Roman" w:hAnsi="Times New Roman" w:eastAsia="宋体" w:cs="Times New Roman"/>
                <w:spacing w:val="1"/>
                <w:sz w:val="20"/>
                <w:szCs w:val="20"/>
              </w:rPr>
              <w:t xml:space="preserve"> </w:t>
            </w:r>
            <w:r>
              <w:rPr>
                <w:rFonts w:hint="default" w:ascii="Times New Roman" w:hAnsi="Times New Roman" w:eastAsia="宋体" w:cs="Times New Roman"/>
                <w:sz w:val="20"/>
                <w:szCs w:val="20"/>
              </w:rPr>
              <w:t>（</w:t>
            </w:r>
            <w:r>
              <w:rPr>
                <w:rFonts w:hint="default" w:ascii="Times New Roman" w:hAnsi="Times New Roman" w:eastAsia="Times New Roman" w:cs="Times New Roman"/>
                <w:sz w:val="20"/>
                <w:szCs w:val="20"/>
              </w:rPr>
              <w:t>t/a</w:t>
            </w:r>
            <w:r>
              <w:rPr>
                <w:rFonts w:hint="default" w:ascii="Times New Roman" w:hAnsi="Times New Roman" w:eastAsia="宋体" w:cs="Times New Roman"/>
                <w:sz w:val="20"/>
                <w:szCs w:val="20"/>
              </w:rPr>
              <w:t>）</w:t>
            </w:r>
          </w:p>
        </w:tc>
        <w:tc>
          <w:tcPr>
            <w:tcW w:w="1102" w:type="dxa"/>
            <w:vAlign w:val="top"/>
          </w:tcPr>
          <w:p>
            <w:pPr>
              <w:spacing w:before="217" w:line="228" w:lineRule="auto"/>
              <w:ind w:left="137"/>
              <w:rPr>
                <w:rFonts w:hint="default" w:ascii="Times New Roman" w:hAnsi="Times New Roman" w:eastAsia="宋体" w:cs="Times New Roman"/>
                <w:sz w:val="20"/>
                <w:szCs w:val="20"/>
              </w:rPr>
            </w:pPr>
            <w:r>
              <w:rPr>
                <w:rFonts w:hint="default" w:ascii="Times New Roman" w:hAnsi="Times New Roman" w:eastAsia="宋体" w:cs="Times New Roman"/>
                <w:spacing w:val="7"/>
                <w:sz w:val="20"/>
                <w:szCs w:val="20"/>
              </w:rPr>
              <w:t>产生工序</w:t>
            </w:r>
          </w:p>
          <w:p>
            <w:pPr>
              <w:spacing w:before="73" w:line="228" w:lineRule="auto"/>
              <w:ind w:left="242"/>
              <w:rPr>
                <w:rFonts w:hint="default" w:ascii="Times New Roman" w:hAnsi="Times New Roman" w:eastAsia="宋体" w:cs="Times New Roman"/>
                <w:sz w:val="20"/>
                <w:szCs w:val="20"/>
              </w:rPr>
            </w:pPr>
            <w:r>
              <w:rPr>
                <w:rFonts w:hint="default" w:ascii="Times New Roman" w:hAnsi="Times New Roman" w:eastAsia="宋体" w:cs="Times New Roman"/>
                <w:spacing w:val="7"/>
                <w:sz w:val="20"/>
                <w:szCs w:val="20"/>
              </w:rPr>
              <w:t>及装置</w:t>
            </w:r>
          </w:p>
        </w:tc>
        <w:tc>
          <w:tcPr>
            <w:tcW w:w="581" w:type="dxa"/>
            <w:textDirection w:val="tbRlV"/>
            <w:vAlign w:val="top"/>
          </w:tcPr>
          <w:p>
            <w:pPr>
              <w:spacing w:before="182" w:line="218" w:lineRule="auto"/>
              <w:ind w:left="217"/>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rPr>
              <w:t>形</w:t>
            </w:r>
            <w:r>
              <w:rPr>
                <w:rFonts w:hint="default" w:ascii="Times New Roman" w:hAnsi="Times New Roman" w:eastAsia="宋体" w:cs="Times New Roman"/>
                <w:spacing w:val="11"/>
                <w:sz w:val="20"/>
                <w:szCs w:val="20"/>
              </w:rPr>
              <w:t xml:space="preserve"> </w:t>
            </w:r>
            <w:r>
              <w:rPr>
                <w:rFonts w:hint="default" w:ascii="Times New Roman" w:hAnsi="Times New Roman" w:eastAsia="宋体" w:cs="Times New Roman"/>
                <w:spacing w:val="8"/>
                <w:sz w:val="20"/>
                <w:szCs w:val="20"/>
              </w:rPr>
              <w:t>态</w:t>
            </w:r>
          </w:p>
        </w:tc>
        <w:tc>
          <w:tcPr>
            <w:tcW w:w="946" w:type="dxa"/>
            <w:vAlign w:val="top"/>
          </w:tcPr>
          <w:p>
            <w:pPr>
              <w:spacing w:before="216" w:line="262" w:lineRule="auto"/>
              <w:ind w:left="376" w:right="154" w:hanging="210"/>
              <w:rPr>
                <w:rFonts w:hint="default" w:ascii="Times New Roman" w:hAnsi="Times New Roman" w:eastAsia="宋体" w:cs="Times New Roman"/>
                <w:sz w:val="20"/>
                <w:szCs w:val="20"/>
              </w:rPr>
            </w:pPr>
            <w:r>
              <w:rPr>
                <w:rFonts w:hint="default" w:ascii="Times New Roman" w:hAnsi="Times New Roman" w:eastAsia="宋体" w:cs="Times New Roman"/>
                <w:spacing w:val="6"/>
                <w:sz w:val="20"/>
                <w:szCs w:val="20"/>
              </w:rPr>
              <w:t>有害成</w:t>
            </w:r>
            <w:r>
              <w:rPr>
                <w:rFonts w:hint="default" w:ascii="Times New Roman" w:hAnsi="Times New Roman" w:eastAsia="宋体" w:cs="Times New Roman"/>
                <w:sz w:val="20"/>
                <w:szCs w:val="20"/>
              </w:rPr>
              <w:t xml:space="preserve"> 分</w:t>
            </w:r>
          </w:p>
        </w:tc>
        <w:tc>
          <w:tcPr>
            <w:tcW w:w="731" w:type="dxa"/>
            <w:vAlign w:val="top"/>
          </w:tcPr>
          <w:p>
            <w:pPr>
              <w:spacing w:before="217" w:line="320" w:lineRule="exact"/>
              <w:ind w:left="162"/>
              <w:rPr>
                <w:rFonts w:hint="default" w:ascii="Times New Roman" w:hAnsi="Times New Roman" w:eastAsia="宋体" w:cs="Times New Roman"/>
                <w:sz w:val="20"/>
                <w:szCs w:val="20"/>
              </w:rPr>
            </w:pPr>
            <w:r>
              <w:rPr>
                <w:rFonts w:hint="default" w:ascii="Times New Roman" w:hAnsi="Times New Roman" w:eastAsia="宋体" w:cs="Times New Roman"/>
                <w:spacing w:val="4"/>
                <w:position w:val="8"/>
                <w:sz w:val="20"/>
                <w:szCs w:val="20"/>
              </w:rPr>
              <w:t>产废</w:t>
            </w:r>
          </w:p>
          <w:p>
            <w:pPr>
              <w:spacing w:line="228" w:lineRule="auto"/>
              <w:ind w:left="163"/>
              <w:rPr>
                <w:rFonts w:hint="default" w:ascii="Times New Roman" w:hAnsi="Times New Roman" w:eastAsia="宋体" w:cs="Times New Roman"/>
                <w:sz w:val="20"/>
                <w:szCs w:val="20"/>
              </w:rPr>
            </w:pPr>
            <w:r>
              <w:rPr>
                <w:rFonts w:hint="default" w:ascii="Times New Roman" w:hAnsi="Times New Roman" w:eastAsia="宋体" w:cs="Times New Roman"/>
                <w:spacing w:val="4"/>
                <w:sz w:val="20"/>
                <w:szCs w:val="20"/>
              </w:rPr>
              <w:t>周期</w:t>
            </w:r>
          </w:p>
        </w:tc>
        <w:tc>
          <w:tcPr>
            <w:tcW w:w="729" w:type="dxa"/>
            <w:vAlign w:val="top"/>
          </w:tcPr>
          <w:p>
            <w:pPr>
              <w:spacing w:before="217" w:line="320" w:lineRule="exact"/>
              <w:ind w:left="163"/>
              <w:rPr>
                <w:rFonts w:hint="default" w:ascii="Times New Roman" w:hAnsi="Times New Roman" w:eastAsia="宋体" w:cs="Times New Roman"/>
                <w:sz w:val="20"/>
                <w:szCs w:val="20"/>
              </w:rPr>
            </w:pPr>
            <w:r>
              <w:rPr>
                <w:rFonts w:hint="default" w:ascii="Times New Roman" w:hAnsi="Times New Roman" w:eastAsia="宋体" w:cs="Times New Roman"/>
                <w:spacing w:val="3"/>
                <w:position w:val="8"/>
                <w:sz w:val="20"/>
                <w:szCs w:val="20"/>
              </w:rPr>
              <w:t>危险</w:t>
            </w:r>
          </w:p>
          <w:p>
            <w:pPr>
              <w:spacing w:line="227" w:lineRule="auto"/>
              <w:ind w:left="161"/>
              <w:rPr>
                <w:rFonts w:hint="default" w:ascii="Times New Roman" w:hAnsi="Times New Roman" w:eastAsia="宋体" w:cs="Times New Roman"/>
                <w:sz w:val="20"/>
                <w:szCs w:val="20"/>
              </w:rPr>
            </w:pPr>
            <w:r>
              <w:rPr>
                <w:rFonts w:hint="default" w:ascii="Times New Roman" w:hAnsi="Times New Roman" w:eastAsia="宋体" w:cs="Times New Roman"/>
                <w:spacing w:val="4"/>
                <w:sz w:val="20"/>
                <w:szCs w:val="20"/>
              </w:rPr>
              <w:t>特性</w:t>
            </w:r>
          </w:p>
        </w:tc>
        <w:tc>
          <w:tcPr>
            <w:tcW w:w="776" w:type="dxa"/>
            <w:vAlign w:val="top"/>
          </w:tcPr>
          <w:p>
            <w:pPr>
              <w:spacing w:line="228" w:lineRule="auto"/>
              <w:ind w:left="196"/>
              <w:rPr>
                <w:rFonts w:hint="default" w:ascii="Times New Roman" w:hAnsi="Times New Roman" w:eastAsia="宋体" w:cs="Times New Roman"/>
                <w:spacing w:val="-2"/>
                <w:sz w:val="20"/>
                <w:szCs w:val="20"/>
              </w:rPr>
            </w:pPr>
            <w:r>
              <w:rPr>
                <w:rFonts w:hint="default" w:ascii="Times New Roman" w:hAnsi="Times New Roman" w:eastAsia="宋体" w:cs="Times New Roman"/>
                <w:spacing w:val="-2"/>
                <w:sz w:val="20"/>
                <w:szCs w:val="20"/>
              </w:rPr>
              <w:t>污染</w:t>
            </w:r>
          </w:p>
          <w:p>
            <w:pPr>
              <w:spacing w:line="228" w:lineRule="auto"/>
              <w:ind w:left="196"/>
              <w:rPr>
                <w:rFonts w:hint="default" w:ascii="Times New Roman" w:hAnsi="Times New Roman" w:eastAsia="宋体" w:cs="Times New Roman"/>
                <w:spacing w:val="-2"/>
                <w:sz w:val="20"/>
                <w:szCs w:val="20"/>
              </w:rPr>
            </w:pPr>
            <w:r>
              <w:rPr>
                <w:rFonts w:hint="default" w:ascii="Times New Roman" w:hAnsi="Times New Roman" w:eastAsia="宋体" w:cs="Times New Roman"/>
                <w:spacing w:val="-2"/>
                <w:sz w:val="20"/>
                <w:szCs w:val="20"/>
              </w:rPr>
              <w:t>防治</w:t>
            </w:r>
          </w:p>
          <w:p>
            <w:pPr>
              <w:spacing w:line="228" w:lineRule="auto"/>
              <w:ind w:left="196"/>
              <w:rPr>
                <w:rFonts w:hint="default" w:ascii="Times New Roman" w:hAnsi="Times New Roman" w:eastAsia="宋体" w:cs="Times New Roman"/>
                <w:spacing w:val="-2"/>
                <w:sz w:val="20"/>
                <w:szCs w:val="20"/>
              </w:rPr>
            </w:pPr>
            <w:r>
              <w:rPr>
                <w:rFonts w:hint="default" w:ascii="Times New Roman" w:hAnsi="Times New Roman" w:eastAsia="宋体" w:cs="Times New Roman"/>
                <w:spacing w:val="-2"/>
                <w:sz w:val="20"/>
                <w:szCs w:val="20"/>
              </w:rPr>
              <w:t>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1" w:hRule="atLeast"/>
        </w:trPr>
        <w:tc>
          <w:tcPr>
            <w:tcW w:w="473" w:type="dxa"/>
            <w:vAlign w:val="top"/>
          </w:tcPr>
          <w:p>
            <w:pPr>
              <w:pStyle w:val="35"/>
              <w:spacing w:line="349" w:lineRule="auto"/>
              <w:rPr>
                <w:rFonts w:hint="default" w:ascii="Times New Roman" w:hAnsi="Times New Roman" w:cs="Times New Roman"/>
              </w:rPr>
            </w:pPr>
          </w:p>
          <w:p>
            <w:pPr>
              <w:spacing w:before="58" w:line="195" w:lineRule="auto"/>
              <w:ind w:left="205"/>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1</w:t>
            </w:r>
          </w:p>
        </w:tc>
        <w:tc>
          <w:tcPr>
            <w:tcW w:w="888" w:type="dxa"/>
            <w:vAlign w:val="center"/>
          </w:tcPr>
          <w:p>
            <w:pPr>
              <w:pStyle w:val="32"/>
              <w:jc w:val="center"/>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z w:val="21"/>
                <w:szCs w:val="21"/>
                <w:lang w:val="en-US" w:eastAsia="zh-CN"/>
              </w:rPr>
              <w:t>检疫废物</w:t>
            </w:r>
          </w:p>
        </w:tc>
        <w:tc>
          <w:tcPr>
            <w:tcW w:w="876" w:type="dxa"/>
            <w:vMerge w:val="restart"/>
            <w:vAlign w:val="top"/>
          </w:tcPr>
          <w:p>
            <w:pPr>
              <w:pStyle w:val="35"/>
              <w:spacing w:line="349" w:lineRule="auto"/>
              <w:rPr>
                <w:rFonts w:hint="default" w:ascii="Times New Roman" w:hAnsi="Times New Roman" w:cs="Times New Roman"/>
              </w:rPr>
            </w:pPr>
          </w:p>
          <w:p>
            <w:pPr>
              <w:spacing w:before="58" w:line="195" w:lineRule="auto"/>
              <w:ind w:left="158"/>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HW</w:t>
            </w:r>
            <w:r>
              <w:rPr>
                <w:rFonts w:hint="default" w:ascii="Times New Roman" w:hAnsi="Times New Roman" w:eastAsia="Times New Roman" w:cs="Times New Roman"/>
                <w:spacing w:val="10"/>
                <w:sz w:val="20"/>
                <w:szCs w:val="20"/>
              </w:rPr>
              <w:t>01</w:t>
            </w:r>
          </w:p>
        </w:tc>
        <w:tc>
          <w:tcPr>
            <w:tcW w:w="1230" w:type="dxa"/>
            <w:vMerge w:val="restart"/>
            <w:vAlign w:val="top"/>
          </w:tcPr>
          <w:p>
            <w:pPr>
              <w:pStyle w:val="35"/>
              <w:spacing w:line="349" w:lineRule="auto"/>
              <w:rPr>
                <w:rFonts w:hint="default" w:ascii="Times New Roman" w:hAnsi="Times New Roman" w:cs="Times New Roman"/>
              </w:rPr>
            </w:pPr>
          </w:p>
          <w:p>
            <w:pPr>
              <w:spacing w:before="58" w:line="195" w:lineRule="auto"/>
              <w:ind w:left="129"/>
              <w:rPr>
                <w:rFonts w:hint="default" w:ascii="Times New Roman" w:hAnsi="Times New Roman" w:eastAsia="Times New Roman" w:cs="Times New Roman"/>
                <w:sz w:val="20"/>
                <w:szCs w:val="20"/>
              </w:rPr>
            </w:pPr>
            <w:r>
              <w:rPr>
                <w:rFonts w:hint="default" w:ascii="Times New Roman" w:hAnsi="Times New Roman" w:eastAsia="Times New Roman" w:cs="Times New Roman"/>
                <w:spacing w:val="3"/>
                <w:sz w:val="20"/>
                <w:szCs w:val="20"/>
              </w:rPr>
              <w:t>900-001-01</w:t>
            </w:r>
          </w:p>
        </w:tc>
        <w:tc>
          <w:tcPr>
            <w:tcW w:w="953" w:type="dxa"/>
            <w:vAlign w:val="top"/>
          </w:tcPr>
          <w:p>
            <w:pPr>
              <w:pStyle w:val="35"/>
              <w:spacing w:line="349" w:lineRule="auto"/>
              <w:rPr>
                <w:rFonts w:hint="default" w:ascii="Times New Roman" w:hAnsi="Times New Roman" w:cs="Times New Roman"/>
              </w:rPr>
            </w:pPr>
          </w:p>
          <w:p>
            <w:pPr>
              <w:spacing w:before="58" w:line="195" w:lineRule="auto"/>
              <w:ind w:left="428"/>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1.4</w:t>
            </w:r>
          </w:p>
        </w:tc>
        <w:tc>
          <w:tcPr>
            <w:tcW w:w="1102" w:type="dxa"/>
            <w:vAlign w:val="top"/>
          </w:tcPr>
          <w:p>
            <w:pPr>
              <w:pStyle w:val="35"/>
              <w:spacing w:line="306" w:lineRule="auto"/>
              <w:rPr>
                <w:rFonts w:hint="default" w:ascii="Times New Roman" w:hAnsi="Times New Roman" w:cs="Times New Roman"/>
              </w:rPr>
            </w:pPr>
          </w:p>
          <w:p>
            <w:pPr>
              <w:spacing w:before="65" w:line="228" w:lineRule="auto"/>
              <w:ind w:left="346"/>
              <w:rPr>
                <w:rFonts w:hint="default" w:ascii="Times New Roman" w:hAnsi="Times New Roman" w:eastAsia="宋体" w:cs="Times New Roman"/>
                <w:sz w:val="20"/>
                <w:szCs w:val="20"/>
              </w:rPr>
            </w:pPr>
            <w:r>
              <w:rPr>
                <w:rFonts w:hint="default" w:ascii="Times New Roman" w:hAnsi="Times New Roman" w:eastAsia="宋体" w:cs="Times New Roman"/>
                <w:spacing w:val="4"/>
                <w:sz w:val="20"/>
                <w:szCs w:val="20"/>
              </w:rPr>
              <w:t>检疫</w:t>
            </w:r>
          </w:p>
        </w:tc>
        <w:tc>
          <w:tcPr>
            <w:tcW w:w="581" w:type="dxa"/>
            <w:textDirection w:val="tbRlV"/>
            <w:vAlign w:val="top"/>
          </w:tcPr>
          <w:p>
            <w:pPr>
              <w:spacing w:before="183" w:line="216" w:lineRule="auto"/>
              <w:ind w:left="215"/>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rPr>
              <w:t>固</w:t>
            </w:r>
            <w:r>
              <w:rPr>
                <w:rFonts w:hint="default" w:ascii="Times New Roman" w:hAnsi="Times New Roman" w:eastAsia="宋体" w:cs="Times New Roman"/>
                <w:spacing w:val="10"/>
                <w:sz w:val="20"/>
                <w:szCs w:val="20"/>
              </w:rPr>
              <w:t xml:space="preserve"> </w:t>
            </w:r>
            <w:r>
              <w:rPr>
                <w:rFonts w:hint="default" w:ascii="Times New Roman" w:hAnsi="Times New Roman" w:eastAsia="宋体" w:cs="Times New Roman"/>
                <w:spacing w:val="8"/>
                <w:sz w:val="20"/>
                <w:szCs w:val="20"/>
              </w:rPr>
              <w:t>态</w:t>
            </w:r>
          </w:p>
        </w:tc>
        <w:tc>
          <w:tcPr>
            <w:tcW w:w="946" w:type="dxa"/>
            <w:vAlign w:val="top"/>
          </w:tcPr>
          <w:p>
            <w:pPr>
              <w:spacing w:before="213" w:line="262" w:lineRule="auto"/>
              <w:ind w:left="267" w:right="154" w:hanging="101"/>
              <w:rPr>
                <w:rFonts w:hint="default" w:ascii="Times New Roman" w:hAnsi="Times New Roman" w:eastAsia="宋体" w:cs="Times New Roman"/>
                <w:sz w:val="20"/>
                <w:szCs w:val="20"/>
              </w:rPr>
            </w:pPr>
            <w:r>
              <w:rPr>
                <w:rFonts w:hint="default" w:ascii="Times New Roman" w:hAnsi="Times New Roman" w:eastAsia="宋体" w:cs="Times New Roman"/>
                <w:spacing w:val="6"/>
                <w:sz w:val="20"/>
                <w:szCs w:val="20"/>
              </w:rPr>
              <w:t>感染性</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5"/>
                <w:sz w:val="20"/>
                <w:szCs w:val="20"/>
              </w:rPr>
              <w:t>废物</w:t>
            </w:r>
          </w:p>
        </w:tc>
        <w:tc>
          <w:tcPr>
            <w:tcW w:w="731" w:type="dxa"/>
            <w:vAlign w:val="top"/>
          </w:tcPr>
          <w:p>
            <w:pPr>
              <w:pStyle w:val="35"/>
              <w:spacing w:line="306" w:lineRule="auto"/>
              <w:rPr>
                <w:rFonts w:hint="default" w:ascii="Times New Roman" w:hAnsi="Times New Roman" w:cs="Times New Roman"/>
              </w:rPr>
            </w:pPr>
          </w:p>
          <w:p>
            <w:pPr>
              <w:spacing w:before="65" w:line="228" w:lineRule="auto"/>
              <w:ind w:left="162"/>
              <w:rPr>
                <w:rFonts w:hint="default" w:ascii="Times New Roman" w:hAnsi="Times New Roman" w:eastAsia="宋体" w:cs="Times New Roman"/>
                <w:sz w:val="20"/>
                <w:szCs w:val="20"/>
              </w:rPr>
            </w:pPr>
            <w:r>
              <w:rPr>
                <w:rFonts w:hint="default" w:ascii="Times New Roman" w:hAnsi="Times New Roman" w:eastAsia="宋体" w:cs="Times New Roman"/>
                <w:spacing w:val="4"/>
                <w:sz w:val="20"/>
                <w:szCs w:val="20"/>
              </w:rPr>
              <w:t>每天</w:t>
            </w:r>
          </w:p>
        </w:tc>
        <w:tc>
          <w:tcPr>
            <w:tcW w:w="729" w:type="dxa"/>
            <w:vAlign w:val="top"/>
          </w:tcPr>
          <w:p>
            <w:pPr>
              <w:pStyle w:val="35"/>
              <w:spacing w:line="352" w:lineRule="auto"/>
              <w:rPr>
                <w:rFonts w:hint="default" w:ascii="Times New Roman" w:hAnsi="Times New Roman" w:cs="Times New Roman"/>
              </w:rPr>
            </w:pPr>
          </w:p>
          <w:p>
            <w:pPr>
              <w:spacing w:before="58" w:line="192" w:lineRule="auto"/>
              <w:ind w:left="280"/>
              <w:rPr>
                <w:rFonts w:hint="default" w:ascii="Times New Roman" w:hAnsi="Times New Roman" w:eastAsia="Times New Roman" w:cs="Times New Roman"/>
                <w:sz w:val="20"/>
                <w:szCs w:val="20"/>
              </w:rPr>
            </w:pPr>
            <w:r>
              <w:rPr>
                <w:rFonts w:hint="default" w:ascii="Times New Roman" w:hAnsi="Times New Roman" w:eastAsia="Times New Roman" w:cs="Times New Roman"/>
                <w:spacing w:val="1"/>
                <w:sz w:val="20"/>
                <w:szCs w:val="20"/>
              </w:rPr>
              <w:t>In</w:t>
            </w:r>
          </w:p>
        </w:tc>
        <w:tc>
          <w:tcPr>
            <w:tcW w:w="776" w:type="dxa"/>
            <w:vAlign w:val="top"/>
          </w:tcPr>
          <w:p>
            <w:pPr>
              <w:spacing w:line="228" w:lineRule="auto"/>
              <w:ind w:left="196"/>
              <w:rPr>
                <w:rFonts w:hint="eastAsia" w:ascii="Times New Roman" w:hAnsi="Times New Roman" w:eastAsia="宋体" w:cs="Times New Roman"/>
                <w:spacing w:val="-2"/>
                <w:sz w:val="20"/>
                <w:szCs w:val="20"/>
                <w:highlight w:val="magenta"/>
                <w:lang w:val="en-US" w:eastAsia="zh-CN"/>
              </w:rPr>
            </w:pPr>
            <w:r>
              <w:rPr>
                <w:rFonts w:hint="eastAsia" w:ascii="Times New Roman" w:hAnsi="Times New Roman" w:eastAsia="宋体" w:cs="Times New Roman"/>
                <w:spacing w:val="-2"/>
                <w:sz w:val="20"/>
                <w:szCs w:val="20"/>
                <w:highlight w:val="none"/>
                <w:lang w:val="en-US" w:eastAsia="zh-CN"/>
              </w:rPr>
              <w:t>哈尔滨国环医疗固体废物无害化集中处置中心有限公司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1" w:hRule="atLeast"/>
        </w:trPr>
        <w:tc>
          <w:tcPr>
            <w:tcW w:w="473" w:type="dxa"/>
            <w:vAlign w:val="top"/>
          </w:tcPr>
          <w:p>
            <w:pPr>
              <w:pStyle w:val="35"/>
              <w:spacing w:line="349" w:lineRule="auto"/>
              <w:rPr>
                <w:rFonts w:hint="default" w:ascii="Times New Roman" w:hAnsi="Times New Roman" w:cs="Times New Roman"/>
              </w:rPr>
            </w:pPr>
          </w:p>
          <w:p>
            <w:pPr>
              <w:spacing w:before="58" w:line="195" w:lineRule="auto"/>
              <w:ind w:left="205" w:leftChars="0"/>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2</w:t>
            </w:r>
          </w:p>
        </w:tc>
        <w:tc>
          <w:tcPr>
            <w:tcW w:w="888" w:type="dxa"/>
            <w:vAlign w:val="center"/>
          </w:tcPr>
          <w:p>
            <w:pPr>
              <w:pStyle w:val="32"/>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病变腺体、内脏</w:t>
            </w:r>
          </w:p>
        </w:tc>
        <w:tc>
          <w:tcPr>
            <w:tcW w:w="876" w:type="dxa"/>
            <w:vMerge w:val="continue"/>
            <w:vAlign w:val="top"/>
          </w:tcPr>
          <w:p>
            <w:pPr>
              <w:spacing w:before="58" w:line="195" w:lineRule="auto"/>
              <w:ind w:left="158"/>
              <w:rPr>
                <w:rFonts w:hint="default" w:ascii="Times New Roman" w:hAnsi="Times New Roman" w:eastAsia="Times New Roman" w:cs="Times New Roman"/>
                <w:sz w:val="20"/>
                <w:szCs w:val="20"/>
              </w:rPr>
            </w:pPr>
          </w:p>
        </w:tc>
        <w:tc>
          <w:tcPr>
            <w:tcW w:w="1230" w:type="dxa"/>
            <w:vMerge w:val="continue"/>
            <w:vAlign w:val="top"/>
          </w:tcPr>
          <w:p>
            <w:pPr>
              <w:spacing w:before="58" w:line="195" w:lineRule="auto"/>
              <w:ind w:left="129"/>
              <w:rPr>
                <w:rFonts w:hint="default" w:ascii="Times New Roman" w:hAnsi="Times New Roman" w:eastAsia="Times New Roman" w:cs="Times New Roman"/>
                <w:spacing w:val="3"/>
                <w:sz w:val="20"/>
                <w:szCs w:val="20"/>
              </w:rPr>
            </w:pPr>
          </w:p>
        </w:tc>
        <w:tc>
          <w:tcPr>
            <w:tcW w:w="953" w:type="dxa"/>
            <w:vAlign w:val="top"/>
          </w:tcPr>
          <w:p>
            <w:pPr>
              <w:pStyle w:val="35"/>
              <w:spacing w:line="349" w:lineRule="auto"/>
              <w:rPr>
                <w:rFonts w:hint="default" w:ascii="Times New Roman" w:hAnsi="Times New Roman" w:cs="Times New Roman"/>
              </w:rPr>
            </w:pPr>
          </w:p>
          <w:p>
            <w:pPr>
              <w:spacing w:before="58" w:line="195" w:lineRule="auto"/>
              <w:jc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157</w:t>
            </w:r>
          </w:p>
        </w:tc>
        <w:tc>
          <w:tcPr>
            <w:tcW w:w="1102" w:type="dxa"/>
            <w:vAlign w:val="top"/>
          </w:tcPr>
          <w:p>
            <w:pPr>
              <w:pStyle w:val="35"/>
              <w:spacing w:line="306" w:lineRule="auto"/>
              <w:rPr>
                <w:rFonts w:hint="default" w:ascii="Times New Roman" w:hAnsi="Times New Roman" w:cs="Times New Roman"/>
              </w:rPr>
            </w:pPr>
          </w:p>
          <w:p>
            <w:pPr>
              <w:spacing w:before="65" w:line="228" w:lineRule="auto"/>
              <w:ind w:left="346" w:leftChars="0"/>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pacing w:val="4"/>
                <w:sz w:val="20"/>
                <w:szCs w:val="20"/>
              </w:rPr>
              <w:t>检疫</w:t>
            </w:r>
          </w:p>
        </w:tc>
        <w:tc>
          <w:tcPr>
            <w:tcW w:w="581" w:type="dxa"/>
            <w:textDirection w:val="tbRlV"/>
            <w:vAlign w:val="top"/>
          </w:tcPr>
          <w:p>
            <w:pPr>
              <w:spacing w:before="183" w:line="216" w:lineRule="auto"/>
              <w:ind w:left="215" w:leftChars="0"/>
              <w:rPr>
                <w:rFonts w:hint="default" w:ascii="Times New Roman" w:hAnsi="Times New Roman" w:eastAsia="宋体" w:cs="Times New Roman"/>
                <w:spacing w:val="8"/>
                <w:sz w:val="20"/>
                <w:szCs w:val="20"/>
              </w:rPr>
            </w:pPr>
            <w:r>
              <w:rPr>
                <w:rFonts w:hint="default" w:ascii="Times New Roman" w:hAnsi="Times New Roman" w:eastAsia="宋体" w:cs="Times New Roman"/>
                <w:spacing w:val="8"/>
                <w:sz w:val="20"/>
                <w:szCs w:val="20"/>
              </w:rPr>
              <w:t>固</w:t>
            </w:r>
            <w:r>
              <w:rPr>
                <w:rFonts w:hint="default" w:ascii="Times New Roman" w:hAnsi="Times New Roman" w:eastAsia="宋体" w:cs="Times New Roman"/>
                <w:spacing w:val="10"/>
                <w:sz w:val="20"/>
                <w:szCs w:val="20"/>
              </w:rPr>
              <w:t xml:space="preserve"> </w:t>
            </w:r>
            <w:r>
              <w:rPr>
                <w:rFonts w:hint="default" w:ascii="Times New Roman" w:hAnsi="Times New Roman" w:eastAsia="宋体" w:cs="Times New Roman"/>
                <w:spacing w:val="8"/>
                <w:sz w:val="20"/>
                <w:szCs w:val="20"/>
              </w:rPr>
              <w:t>态</w:t>
            </w:r>
          </w:p>
        </w:tc>
        <w:tc>
          <w:tcPr>
            <w:tcW w:w="946" w:type="dxa"/>
            <w:vAlign w:val="top"/>
          </w:tcPr>
          <w:p>
            <w:pPr>
              <w:spacing w:before="213" w:line="262" w:lineRule="auto"/>
              <w:ind w:left="267" w:leftChars="0" w:right="154" w:rightChars="0" w:hanging="101" w:firstLineChars="0"/>
              <w:rPr>
                <w:rFonts w:hint="default" w:ascii="Times New Roman" w:hAnsi="Times New Roman" w:eastAsia="宋体" w:cs="Times New Roman"/>
                <w:spacing w:val="6"/>
                <w:sz w:val="20"/>
                <w:szCs w:val="20"/>
              </w:rPr>
            </w:pPr>
            <w:r>
              <w:rPr>
                <w:rFonts w:hint="default" w:ascii="Times New Roman" w:hAnsi="Times New Roman" w:eastAsia="宋体" w:cs="Times New Roman"/>
                <w:spacing w:val="6"/>
                <w:sz w:val="20"/>
                <w:szCs w:val="20"/>
              </w:rPr>
              <w:t>感染性</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5"/>
                <w:sz w:val="20"/>
                <w:szCs w:val="20"/>
              </w:rPr>
              <w:t>废物</w:t>
            </w:r>
          </w:p>
        </w:tc>
        <w:tc>
          <w:tcPr>
            <w:tcW w:w="731" w:type="dxa"/>
            <w:vAlign w:val="top"/>
          </w:tcPr>
          <w:p>
            <w:pPr>
              <w:pStyle w:val="35"/>
              <w:spacing w:line="306" w:lineRule="auto"/>
              <w:rPr>
                <w:rFonts w:hint="default" w:ascii="Times New Roman" w:hAnsi="Times New Roman" w:cs="Times New Roman"/>
              </w:rPr>
            </w:pPr>
          </w:p>
          <w:p>
            <w:pPr>
              <w:spacing w:before="65" w:line="228" w:lineRule="auto"/>
              <w:ind w:left="162" w:leftChars="0"/>
              <w:rPr>
                <w:rFonts w:hint="default" w:ascii="Times New Roman" w:hAnsi="Times New Roman" w:eastAsia="宋体" w:cs="Times New Roman"/>
                <w:spacing w:val="4"/>
                <w:sz w:val="20"/>
                <w:szCs w:val="20"/>
              </w:rPr>
            </w:pPr>
            <w:r>
              <w:rPr>
                <w:rFonts w:hint="default" w:ascii="Times New Roman" w:hAnsi="Times New Roman" w:eastAsia="宋体" w:cs="Times New Roman"/>
                <w:spacing w:val="4"/>
                <w:sz w:val="20"/>
                <w:szCs w:val="20"/>
              </w:rPr>
              <w:t>每天</w:t>
            </w:r>
          </w:p>
        </w:tc>
        <w:tc>
          <w:tcPr>
            <w:tcW w:w="729" w:type="dxa"/>
            <w:vAlign w:val="top"/>
          </w:tcPr>
          <w:p>
            <w:pPr>
              <w:pStyle w:val="35"/>
              <w:spacing w:line="352" w:lineRule="auto"/>
              <w:rPr>
                <w:rFonts w:hint="default" w:ascii="Times New Roman" w:hAnsi="Times New Roman" w:cs="Times New Roman"/>
              </w:rPr>
            </w:pPr>
          </w:p>
          <w:p>
            <w:pPr>
              <w:spacing w:before="58" w:line="192" w:lineRule="auto"/>
              <w:ind w:left="280" w:leftChars="0"/>
              <w:rPr>
                <w:rFonts w:hint="default" w:ascii="Times New Roman" w:hAnsi="Times New Roman" w:eastAsia="Times New Roman" w:cs="Times New Roman"/>
                <w:spacing w:val="1"/>
                <w:sz w:val="20"/>
                <w:szCs w:val="20"/>
              </w:rPr>
            </w:pPr>
            <w:r>
              <w:rPr>
                <w:rFonts w:hint="default" w:ascii="Times New Roman" w:hAnsi="Times New Roman" w:eastAsia="Times New Roman" w:cs="Times New Roman"/>
                <w:spacing w:val="1"/>
                <w:sz w:val="20"/>
                <w:szCs w:val="20"/>
              </w:rPr>
              <w:t>In</w:t>
            </w:r>
          </w:p>
        </w:tc>
        <w:tc>
          <w:tcPr>
            <w:tcW w:w="776" w:type="dxa"/>
            <w:vAlign w:val="top"/>
          </w:tcPr>
          <w:p>
            <w:pPr>
              <w:spacing w:line="228" w:lineRule="auto"/>
              <w:ind w:left="196" w:leftChars="0"/>
              <w:rPr>
                <w:rFonts w:hint="eastAsia" w:ascii="Times New Roman" w:hAnsi="Times New Roman" w:eastAsia="宋体" w:cs="Times New Roman"/>
                <w:spacing w:val="-2"/>
                <w:sz w:val="20"/>
                <w:szCs w:val="20"/>
                <w:highlight w:val="magenta"/>
                <w:lang w:eastAsia="zh-CN"/>
              </w:rPr>
            </w:pPr>
            <w:r>
              <w:rPr>
                <w:rFonts w:hint="eastAsia" w:ascii="Times New Roman" w:hAnsi="Times New Roman" w:eastAsia="宋体" w:cs="Times New Roman"/>
                <w:spacing w:val="-2"/>
                <w:sz w:val="20"/>
                <w:szCs w:val="20"/>
                <w:highlight w:val="none"/>
                <w:lang w:eastAsia="zh-CN"/>
              </w:rPr>
              <w:t>巴彦县燊缘无害化处理有限公司</w:t>
            </w:r>
          </w:p>
        </w:tc>
      </w:tr>
    </w:tbl>
    <w:p>
      <w:pPr>
        <w:pStyle w:val="6"/>
        <w:rPr>
          <w:rFonts w:hint="default" w:ascii="Times New Roman" w:hAnsi="Times New Roman" w:cs="Times New Roman"/>
        </w:rPr>
      </w:pPr>
    </w:p>
    <w:p>
      <w:pPr>
        <w:rPr>
          <w:rFonts w:hint="default" w:ascii="Times New Roman" w:hAnsi="Times New Roman" w:cs="Times New Roman"/>
        </w:rPr>
        <w:sectPr>
          <w:headerReference r:id="rId12" w:type="default"/>
          <w:pgSz w:w="11906" w:h="16839"/>
          <w:pgMar w:top="1203" w:right="1311" w:bottom="1157" w:left="1304" w:header="962" w:footer="992" w:gutter="0"/>
          <w:pgBorders>
            <w:top w:val="none" w:sz="0" w:space="0"/>
            <w:left w:val="none" w:sz="0" w:space="0"/>
            <w:bottom w:val="none" w:sz="0" w:space="0"/>
            <w:right w:val="none" w:sz="0" w:space="0"/>
          </w:pgBorders>
          <w:pgNumType w:fmt="decimal"/>
          <w:cols w:space="720" w:num="1"/>
        </w:sectPr>
      </w:pPr>
    </w:p>
    <w:p>
      <w:pPr>
        <w:pStyle w:val="6"/>
        <w:spacing w:line="411" w:lineRule="auto"/>
        <w:rPr>
          <w:rFonts w:hint="default" w:ascii="Times New Roman" w:hAnsi="Times New Roman" w:cs="Times New Roman"/>
        </w:rPr>
      </w:pPr>
    </w:p>
    <w:p>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outlineLvl w:val="1"/>
        <w:rPr>
          <w:rFonts w:hint="default" w:ascii="Times New Roman" w:hAnsi="Times New Roman" w:eastAsia="黑体" w:cs="Times New Roman"/>
          <w:spacing w:val="-1"/>
          <w:sz w:val="28"/>
          <w:szCs w:val="28"/>
        </w:rPr>
      </w:pPr>
      <w:bookmarkStart w:id="199" w:name="_Toc6009"/>
      <w:r>
        <w:rPr>
          <w:rFonts w:hint="default" w:ascii="Times New Roman" w:hAnsi="Times New Roman" w:eastAsia="黑体" w:cs="Times New Roman"/>
          <w:spacing w:val="-1"/>
          <w:sz w:val="28"/>
          <w:szCs w:val="28"/>
        </w:rPr>
        <w:t>3.</w:t>
      </w:r>
      <w:r>
        <w:rPr>
          <w:rFonts w:hint="default" w:ascii="Times New Roman" w:hAnsi="Times New Roman" w:eastAsia="黑体" w:cs="Times New Roman"/>
          <w:spacing w:val="-1"/>
          <w:sz w:val="28"/>
          <w:szCs w:val="28"/>
          <w:lang w:val="en-US" w:eastAsia="zh-CN"/>
        </w:rPr>
        <w:t>7</w:t>
      </w:r>
      <w:r>
        <w:rPr>
          <w:rFonts w:hint="default" w:ascii="Times New Roman" w:hAnsi="Times New Roman" w:eastAsia="黑体" w:cs="Times New Roman"/>
          <w:spacing w:val="-1"/>
          <w:sz w:val="28"/>
          <w:szCs w:val="28"/>
        </w:rPr>
        <w:t xml:space="preserve"> 清洁生产</w:t>
      </w:r>
      <w:bookmarkEnd w:id="199"/>
    </w:p>
    <w:p>
      <w:pPr>
        <w:spacing w:before="194" w:line="368" w:lineRule="auto"/>
        <w:ind w:left="6" w:right="18" w:firstLine="481"/>
        <w:jc w:val="both"/>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清洁生产（</w:t>
      </w:r>
      <w:r>
        <w:rPr>
          <w:rFonts w:hint="default" w:ascii="Times New Roman" w:hAnsi="Times New Roman" w:eastAsia="Times New Roman" w:cs="Times New Roman"/>
          <w:sz w:val="24"/>
          <w:szCs w:val="24"/>
        </w:rPr>
        <w:t>cleaner</w:t>
      </w:r>
      <w:r>
        <w:rPr>
          <w:rFonts w:hint="default" w:ascii="Times New Roman" w:hAnsi="Times New Roman" w:eastAsia="Times New Roman" w:cs="Times New Roman"/>
          <w:spacing w:val="2"/>
          <w:sz w:val="24"/>
          <w:szCs w:val="24"/>
        </w:rPr>
        <w:t xml:space="preserve"> </w:t>
      </w:r>
      <w:r>
        <w:rPr>
          <w:rFonts w:hint="default" w:ascii="Times New Roman" w:hAnsi="Times New Roman" w:eastAsia="Times New Roman" w:cs="Times New Roman"/>
          <w:sz w:val="24"/>
          <w:szCs w:val="24"/>
        </w:rPr>
        <w:t>production</w:t>
      </w:r>
      <w:r>
        <w:rPr>
          <w:rFonts w:hint="default" w:ascii="Times New Roman" w:hAnsi="Times New Roman" w:eastAsia="宋体" w:cs="Times New Roman"/>
          <w:spacing w:val="2"/>
          <w:sz w:val="24"/>
          <w:szCs w:val="24"/>
        </w:rPr>
        <w:t>）作为一种新的污染预防策略，其根本思想在于资源</w:t>
      </w:r>
      <w:r>
        <w:rPr>
          <w:rFonts w:hint="default" w:ascii="Times New Roman" w:hAnsi="Times New Roman" w:eastAsia="宋体" w:cs="Times New Roman"/>
          <w:spacing w:val="-5"/>
          <w:sz w:val="24"/>
          <w:szCs w:val="24"/>
        </w:rPr>
        <w:t>消耗、污染影响最小化，它的实施可以减少生产过</w:t>
      </w:r>
      <w:r>
        <w:rPr>
          <w:rFonts w:hint="default" w:ascii="Times New Roman" w:hAnsi="Times New Roman" w:eastAsia="宋体" w:cs="Times New Roman"/>
          <w:spacing w:val="-6"/>
          <w:sz w:val="24"/>
          <w:szCs w:val="24"/>
        </w:rPr>
        <w:t>程原材料的消耗，同时降低污染物的</w:t>
      </w:r>
      <w:r>
        <w:rPr>
          <w:rFonts w:hint="default" w:ascii="Times New Roman" w:hAnsi="Times New Roman" w:eastAsia="宋体" w:cs="Times New Roman"/>
          <w:spacing w:val="-4"/>
          <w:sz w:val="24"/>
          <w:szCs w:val="24"/>
        </w:rPr>
        <w:t>产生量，使生产发展与环境保护相互协调。根据《中华人民共和国清洁生产促进法》第</w:t>
      </w:r>
      <w:r>
        <w:rPr>
          <w:rFonts w:hint="default" w:ascii="Times New Roman" w:hAnsi="Times New Roman" w:eastAsia="宋体" w:cs="Times New Roman"/>
          <w:spacing w:val="-1"/>
          <w:sz w:val="24"/>
          <w:szCs w:val="24"/>
        </w:rPr>
        <w:t>一章第二条定义</w:t>
      </w:r>
      <w:r>
        <w:rPr>
          <w:rFonts w:hint="default" w:ascii="Times New Roman" w:hAnsi="Times New Roman" w:eastAsia="Times New Roman" w:cs="Times New Roman"/>
          <w:spacing w:val="-1"/>
          <w:sz w:val="24"/>
          <w:szCs w:val="24"/>
        </w:rPr>
        <w:t>“</w:t>
      </w:r>
      <w:r>
        <w:rPr>
          <w:rFonts w:hint="default" w:ascii="Times New Roman" w:hAnsi="Times New Roman" w:eastAsia="宋体" w:cs="Times New Roman"/>
          <w:spacing w:val="-1"/>
          <w:sz w:val="24"/>
          <w:szCs w:val="24"/>
        </w:rPr>
        <w:t>清洁生产</w:t>
      </w:r>
      <w:r>
        <w:rPr>
          <w:rFonts w:hint="default" w:ascii="Times New Roman" w:hAnsi="Times New Roman" w:eastAsia="Times New Roman" w:cs="Times New Roman"/>
          <w:spacing w:val="-1"/>
          <w:sz w:val="24"/>
          <w:szCs w:val="24"/>
        </w:rPr>
        <w:t>”</w:t>
      </w:r>
      <w:r>
        <w:rPr>
          <w:rFonts w:hint="default" w:ascii="Times New Roman" w:hAnsi="Times New Roman" w:eastAsia="宋体" w:cs="Times New Roman"/>
          <w:spacing w:val="-1"/>
          <w:sz w:val="24"/>
          <w:szCs w:val="24"/>
        </w:rPr>
        <w:t>指的是不断采取改进设计、使用清洁的能源和原料、采用先</w:t>
      </w:r>
      <w:r>
        <w:rPr>
          <w:rFonts w:hint="default" w:ascii="Times New Roman" w:hAnsi="Times New Roman" w:eastAsia="宋体" w:cs="Times New Roman"/>
          <w:spacing w:val="-6"/>
          <w:sz w:val="24"/>
          <w:szCs w:val="24"/>
        </w:rPr>
        <w:t>进工艺技术与设备、改善管理、综合利用等措施，从源头削减污染，提高资源利用效率，</w:t>
      </w:r>
      <w:r>
        <w:rPr>
          <w:rFonts w:hint="default" w:ascii="Times New Roman" w:hAnsi="Times New Roman" w:eastAsia="宋体" w:cs="Times New Roman"/>
          <w:spacing w:val="-1"/>
          <w:sz w:val="24"/>
          <w:szCs w:val="24"/>
        </w:rPr>
        <w:t>减少或者避免生产、服务和产品使用过程中</w:t>
      </w:r>
      <w:r>
        <w:rPr>
          <w:rFonts w:hint="default" w:ascii="Times New Roman" w:hAnsi="Times New Roman" w:eastAsia="宋体" w:cs="Times New Roman"/>
          <w:spacing w:val="-2"/>
          <w:sz w:val="24"/>
          <w:szCs w:val="24"/>
        </w:rPr>
        <w:t>污染物的产生和排放，以减轻或者消除对人</w:t>
      </w:r>
      <w:r>
        <w:rPr>
          <w:rFonts w:hint="default" w:ascii="Times New Roman" w:hAnsi="Times New Roman" w:eastAsia="宋体" w:cs="Times New Roman"/>
          <w:spacing w:val="-1"/>
          <w:sz w:val="24"/>
          <w:szCs w:val="24"/>
        </w:rPr>
        <w:t>类健康和环境的危害。实行清洁生产可实现合理利用资源，减缓</w:t>
      </w:r>
      <w:r>
        <w:rPr>
          <w:rFonts w:hint="default" w:ascii="Times New Roman" w:hAnsi="Times New Roman" w:eastAsia="宋体" w:cs="Times New Roman"/>
          <w:spacing w:val="-2"/>
          <w:sz w:val="24"/>
          <w:szCs w:val="24"/>
        </w:rPr>
        <w:t>资源的枯竭，节水、节</w:t>
      </w:r>
    </w:p>
    <w:p>
      <w:pPr>
        <w:spacing w:line="218" w:lineRule="auto"/>
        <w:ind w:left="17"/>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能、省料，并且在生产过程中，消减甚至消除废物和污染物的产生和排放，促进工业产</w:t>
      </w:r>
    </w:p>
    <w:p>
      <w:pPr>
        <w:spacing w:before="193" w:line="219" w:lineRule="auto"/>
        <w:ind w:left="28"/>
        <w:jc w:val="both"/>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品生产和产品消费过程与环境相容，减少在产品整个生命周期内对人类和环境的危害。</w:t>
      </w:r>
    </w:p>
    <w:p>
      <w:pPr>
        <w:spacing w:before="114" w:line="219" w:lineRule="auto"/>
        <w:ind w:firstLine="504" w:firstLineChars="200"/>
        <w:outlineLvl w:val="1"/>
        <w:rPr>
          <w:rFonts w:hint="default" w:ascii="Times New Roman" w:hAnsi="Times New Roman" w:eastAsia="宋体" w:cs="Times New Roman"/>
          <w:sz w:val="24"/>
          <w:szCs w:val="24"/>
          <w:lang w:val="en-US" w:eastAsia="zh-CN"/>
        </w:rPr>
      </w:pPr>
      <w:bookmarkStart w:id="200" w:name="_Toc8224"/>
      <w:bookmarkStart w:id="201" w:name="_Toc5185"/>
      <w:bookmarkStart w:id="202" w:name="_Toc4961"/>
      <w:r>
        <w:rPr>
          <w:rFonts w:hint="default" w:ascii="Times New Roman" w:hAnsi="Times New Roman" w:eastAsia="Times New Roman" w:cs="Times New Roman"/>
          <w:b/>
          <w:bCs/>
          <w:spacing w:val="6"/>
          <w:sz w:val="24"/>
          <w:szCs w:val="24"/>
        </w:rPr>
        <w:t>3.</w:t>
      </w:r>
      <w:r>
        <w:rPr>
          <w:rFonts w:hint="default" w:ascii="Times New Roman" w:hAnsi="Times New Roman" w:eastAsia="宋体" w:cs="Times New Roman"/>
          <w:b/>
          <w:bCs/>
          <w:spacing w:val="6"/>
          <w:sz w:val="24"/>
          <w:szCs w:val="24"/>
          <w:lang w:val="en-US" w:eastAsia="zh-CN"/>
        </w:rPr>
        <w:t>7</w:t>
      </w:r>
      <w:r>
        <w:rPr>
          <w:rFonts w:hint="default" w:ascii="Times New Roman" w:hAnsi="Times New Roman" w:eastAsia="Times New Roman" w:cs="Times New Roman"/>
          <w:b/>
          <w:bCs/>
          <w:spacing w:val="6"/>
          <w:sz w:val="24"/>
          <w:szCs w:val="24"/>
        </w:rPr>
        <w:t xml:space="preserve">.1 </w:t>
      </w:r>
      <w:r>
        <w:rPr>
          <w:rFonts w:hint="default" w:ascii="Times New Roman" w:hAnsi="Times New Roman" w:eastAsia="宋体" w:cs="Times New Roman"/>
          <w:b/>
          <w:bCs/>
          <w:spacing w:val="6"/>
          <w:sz w:val="24"/>
          <w:szCs w:val="24"/>
          <w:lang w:val="en-US" w:eastAsia="zh-CN"/>
        </w:rPr>
        <w:t>工艺技术与设备的先进性分析</w:t>
      </w:r>
      <w:bookmarkEnd w:id="200"/>
      <w:bookmarkEnd w:id="201"/>
      <w:bookmarkEnd w:id="202"/>
    </w:p>
    <w:p>
      <w:pPr>
        <w:spacing w:before="194" w:line="368" w:lineRule="auto"/>
        <w:ind w:left="6" w:right="18" w:firstLine="481"/>
        <w:jc w:val="both"/>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国际先进经验证明，没有发达的农产品加工业，就没有农产品的商品化和产业化。目前，发达国家农产品加工程度达到80%以上，我国只有45%，而黑龙江省的</w:t>
      </w:r>
      <w:r>
        <w:rPr>
          <w:rFonts w:hint="default" w:ascii="Times New Roman" w:hAnsi="Times New Roman" w:eastAsia="宋体" w:cs="Times New Roman"/>
          <w:spacing w:val="-1"/>
          <w:sz w:val="24"/>
          <w:szCs w:val="24"/>
          <w:lang w:val="en-US" w:eastAsia="zh-CN"/>
        </w:rPr>
        <w:t>猪</w:t>
      </w:r>
      <w:r>
        <w:rPr>
          <w:rFonts w:hint="default" w:ascii="Times New Roman" w:hAnsi="Times New Roman" w:eastAsia="宋体" w:cs="Times New Roman"/>
          <w:spacing w:val="-1"/>
          <w:sz w:val="24"/>
          <w:szCs w:val="24"/>
        </w:rPr>
        <w:t>肉及其制品主要是由中小屠宰场生产，工艺落后，设备陈旧，厂房简陋，生产环境较差，有的还延续手工屠宰工艺。本项目通过新建规范化、现代化的</w:t>
      </w:r>
      <w:r>
        <w:rPr>
          <w:rFonts w:hint="default" w:ascii="Times New Roman" w:hAnsi="Times New Roman" w:eastAsia="宋体" w:cs="Times New Roman"/>
          <w:spacing w:val="-1"/>
          <w:sz w:val="24"/>
          <w:szCs w:val="24"/>
          <w:lang w:val="en-US" w:eastAsia="zh-CN"/>
        </w:rPr>
        <w:t>生猪</w:t>
      </w:r>
      <w:r>
        <w:rPr>
          <w:rFonts w:hint="default" w:ascii="Times New Roman" w:hAnsi="Times New Roman" w:eastAsia="宋体" w:cs="Times New Roman"/>
          <w:spacing w:val="-1"/>
          <w:sz w:val="24"/>
          <w:szCs w:val="24"/>
        </w:rPr>
        <w:t>屠宰线，</w:t>
      </w:r>
      <w:r>
        <w:rPr>
          <w:rFonts w:hint="default" w:ascii="Times New Roman" w:hAnsi="Times New Roman" w:eastAsia="宋体" w:cs="Times New Roman"/>
          <w:spacing w:val="-1"/>
          <w:sz w:val="24"/>
          <w:szCs w:val="24"/>
          <w:lang w:val="en-US" w:eastAsia="zh-CN"/>
        </w:rPr>
        <w:t>生猪</w:t>
      </w:r>
      <w:r>
        <w:rPr>
          <w:rFonts w:hint="default" w:ascii="Times New Roman" w:hAnsi="Times New Roman" w:eastAsia="宋体" w:cs="Times New Roman"/>
          <w:spacing w:val="-1"/>
          <w:sz w:val="24"/>
          <w:szCs w:val="24"/>
        </w:rPr>
        <w:t>屠宰量达到每年</w:t>
      </w:r>
      <w:r>
        <w:rPr>
          <w:rFonts w:hint="default" w:ascii="Times New Roman" w:hAnsi="Times New Roman" w:eastAsia="宋体" w:cs="Times New Roman"/>
          <w:spacing w:val="-1"/>
          <w:sz w:val="24"/>
          <w:szCs w:val="24"/>
          <w:lang w:val="en-US" w:eastAsia="zh-CN"/>
        </w:rPr>
        <w:t>16</w:t>
      </w:r>
      <w:r>
        <w:rPr>
          <w:rFonts w:hint="default" w:ascii="Times New Roman" w:hAnsi="Times New Roman" w:eastAsia="宋体" w:cs="Times New Roman"/>
          <w:spacing w:val="-1"/>
          <w:sz w:val="24"/>
          <w:szCs w:val="24"/>
        </w:rPr>
        <w:t>万头，可大大提高农产品加工水平，促进产业升级，保证群众吃上“放心肉”、“安全肉”，因此，本项目产业结构与规模合理，项目建设符合国家发展规划，符合我国畜牧业总体发展目标。</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50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5"/>
          <w:sz w:val="24"/>
          <w:szCs w:val="24"/>
          <w:highlight w:val="none"/>
        </w:rPr>
        <w:t>本项目屠宰工艺为生猪-电麻-宰杀放血-热水烫毛-</w:t>
      </w:r>
      <w:r>
        <w:rPr>
          <w:rFonts w:hint="default" w:ascii="Times New Roman" w:hAnsi="Times New Roman" w:eastAsia="宋体" w:cs="Times New Roman"/>
          <w:spacing w:val="4"/>
          <w:sz w:val="24"/>
          <w:szCs w:val="24"/>
          <w:highlight w:val="none"/>
        </w:rPr>
        <w:t>脱毛-清洗-剖腹-开胸-同步卫</w:t>
      </w:r>
      <w:r>
        <w:rPr>
          <w:rFonts w:hint="default" w:ascii="Times New Roman" w:hAnsi="Times New Roman" w:eastAsia="宋体" w:cs="Times New Roman"/>
          <w:spacing w:val="2"/>
          <w:sz w:val="24"/>
          <w:szCs w:val="24"/>
          <w:highlight w:val="none"/>
        </w:rPr>
        <w:t>检-出售或是分割冷藏包装，</w:t>
      </w:r>
      <w:r>
        <w:rPr>
          <w:rFonts w:hint="default" w:ascii="Times New Roman" w:hAnsi="Times New Roman" w:eastAsia="宋体" w:cs="Times New Roman"/>
          <w:spacing w:val="2"/>
          <w:sz w:val="24"/>
          <w:szCs w:val="24"/>
        </w:rPr>
        <w:t>该工艺目前在畜类屠宰</w:t>
      </w:r>
      <w:r>
        <w:rPr>
          <w:rFonts w:hint="default" w:ascii="Times New Roman" w:hAnsi="Times New Roman" w:eastAsia="宋体" w:cs="Times New Roman"/>
          <w:spacing w:val="1"/>
          <w:sz w:val="24"/>
          <w:szCs w:val="24"/>
        </w:rPr>
        <w:t>行业比较成熟，各工艺参数运行稳</w:t>
      </w:r>
      <w:r>
        <w:rPr>
          <w:rFonts w:hint="default" w:ascii="Times New Roman" w:hAnsi="Times New Roman" w:eastAsia="宋体" w:cs="Times New Roman"/>
          <w:spacing w:val="-6"/>
          <w:sz w:val="24"/>
          <w:szCs w:val="24"/>
        </w:rPr>
        <w:t>定。屠宰项目应采用先进的全自动流水生产线，清洁生产水平达到国内同行业先进水平。</w:t>
      </w:r>
      <w:r>
        <w:rPr>
          <w:rFonts w:hint="default" w:ascii="Times New Roman" w:hAnsi="Times New Roman" w:eastAsia="宋体" w:cs="Times New Roman"/>
          <w:sz w:val="24"/>
          <w:szCs w:val="24"/>
        </w:rPr>
        <w:t>畜类屠宰应选用电击晕、真空采血、往复式劈半机、高压自动清洗等先进的工艺装备，</w:t>
      </w:r>
      <w:r>
        <w:rPr>
          <w:rFonts w:hint="default" w:ascii="Times New Roman" w:hAnsi="Times New Roman" w:eastAsia="宋体" w:cs="Times New Roman"/>
          <w:spacing w:val="-2"/>
          <w:sz w:val="24"/>
          <w:szCs w:val="24"/>
        </w:rPr>
        <w:t>其中猪屠宰应选用蒸汽隧道烫毛、螺旋式刮毛机等先进装备。浸烫设备应</w:t>
      </w:r>
      <w:r>
        <w:rPr>
          <w:rFonts w:hint="default" w:ascii="Times New Roman" w:hAnsi="Times New Roman" w:eastAsia="宋体" w:cs="Times New Roman"/>
          <w:spacing w:val="-1"/>
          <w:sz w:val="24"/>
          <w:szCs w:val="24"/>
        </w:rPr>
        <w:t>配备自动线性控温装置，保障浸烫效果。</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position w:val="18"/>
          <w:sz w:val="24"/>
          <w:szCs w:val="24"/>
        </w:rPr>
        <w:t>本项目屠宰线采用电击晕、高压自动清洗设备等先进的工艺装备，采用全自动流水</w:t>
      </w:r>
    </w:p>
    <w:p>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生产线，设备先进性主要体现在：</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position w:val="18"/>
          <w:sz w:val="24"/>
          <w:szCs w:val="24"/>
        </w:rPr>
        <w:t>①采用三点式自动电击晕机，该设备是目前最先进的麻电设备，这种击晕方式没有</w:t>
      </w:r>
    </w:p>
    <w:p>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血斑，没有骨折，延缓PH值的下降，大大改善猪肉的品质质量。</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②采用脱毛机进行机械脱毛；</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z w:val="24"/>
          <w:szCs w:val="24"/>
        </w:rPr>
      </w:pPr>
      <w:r>
        <w:rPr>
          <w:rFonts w:hint="eastAsia" w:ascii="Times New Roman" w:hAnsi="Times New Roman" w:eastAsia="宋体" w:cs="Times New Roman"/>
          <w:spacing w:val="-1"/>
          <w:sz w:val="24"/>
          <w:szCs w:val="24"/>
          <w:lang w:val="en-US" w:eastAsia="zh-CN"/>
        </w:rPr>
        <w:t>③</w:t>
      </w:r>
      <w:r>
        <w:rPr>
          <w:rFonts w:hint="default" w:ascii="Times New Roman" w:hAnsi="Times New Roman" w:eastAsia="宋体" w:cs="Times New Roman"/>
          <w:spacing w:val="-1"/>
          <w:sz w:val="24"/>
          <w:szCs w:val="24"/>
        </w:rPr>
        <w:t>浸烫池配备自动线性控温装置，保障浸烫效果；</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本项目所采用的主要设备及先进性见表</w:t>
      </w:r>
      <w:r>
        <w:rPr>
          <w:rFonts w:hint="default" w:ascii="Times New Roman" w:hAnsi="Times New Roman" w:eastAsia="Times New Roman" w:cs="Times New Roman"/>
          <w:spacing w:val="-2"/>
          <w:sz w:val="24"/>
          <w:szCs w:val="24"/>
        </w:rPr>
        <w:t>3</w:t>
      </w:r>
      <w:r>
        <w:rPr>
          <w:rFonts w:hint="eastAsia" w:ascii="Times New Roman" w:hAnsi="Times New Roman" w:eastAsia="宋体" w:cs="Times New Roman"/>
          <w:spacing w:val="-2"/>
          <w:sz w:val="24"/>
          <w:szCs w:val="24"/>
          <w:lang w:val="en-US" w:eastAsia="zh-CN"/>
        </w:rPr>
        <w:t>-</w:t>
      </w:r>
      <w:r>
        <w:rPr>
          <w:rFonts w:hint="default" w:ascii="Times New Roman" w:hAnsi="Times New Roman" w:eastAsia="宋体" w:cs="Times New Roman"/>
          <w:spacing w:val="-2"/>
          <w:sz w:val="24"/>
          <w:szCs w:val="24"/>
          <w:lang w:val="en-US" w:eastAsia="zh-CN"/>
        </w:rPr>
        <w:t>7</w:t>
      </w:r>
      <w:r>
        <w:rPr>
          <w:rFonts w:hint="default" w:ascii="Times New Roman" w:hAnsi="Times New Roman" w:eastAsia="Times New Roman" w:cs="Times New Roman"/>
          <w:spacing w:val="-2"/>
          <w:sz w:val="24"/>
          <w:szCs w:val="24"/>
        </w:rPr>
        <w:t>-1</w:t>
      </w:r>
      <w:r>
        <w:rPr>
          <w:rFonts w:hint="default" w:ascii="Times New Roman" w:hAnsi="Times New Roman" w:eastAsia="宋体" w:cs="Times New Roman"/>
          <w:spacing w:val="-3"/>
          <w:sz w:val="24"/>
          <w:szCs w:val="24"/>
        </w:rPr>
        <w:t>。</w:t>
      </w:r>
    </w:p>
    <w:p>
      <w:pPr>
        <w:spacing w:before="129" w:line="227" w:lineRule="auto"/>
        <w:ind w:left="2934"/>
        <w:rPr>
          <w:rFonts w:hint="default" w:ascii="Times New Roman" w:hAnsi="Times New Roman" w:eastAsia="宋体" w:cs="Times New Roman"/>
          <w:sz w:val="20"/>
          <w:szCs w:val="20"/>
        </w:rPr>
      </w:pP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7"/>
          <w:sz w:val="20"/>
          <w:szCs w:val="20"/>
          <w:lang w:val="en-US" w:eastAsia="zh-CN"/>
          <w14:textOutline w14:w="3795" w14:cap="sq" w14:cmpd="sng">
            <w14:solidFill>
              <w14:srgbClr w14:val="000000"/>
            </w14:solidFill>
            <w14:prstDash w14:val="solid"/>
            <w14:bevel/>
          </w14:textOutline>
        </w:rPr>
        <w:t>3</w:t>
      </w:r>
      <w:r>
        <w:rPr>
          <w:rFonts w:hint="eastAsia" w:ascii="Times New Roman" w:hAnsi="Times New Roman" w:eastAsia="宋体" w:cs="Times New Roman"/>
          <w:spacing w:val="7"/>
          <w:sz w:val="20"/>
          <w:szCs w:val="20"/>
          <w:lang w:val="en-US" w:eastAsia="zh-CN"/>
          <w14:textOutline w14:w="3795" w14:cap="sq" w14:cmpd="sng">
            <w14:solidFill>
              <w14:srgbClr w14:val="000000"/>
            </w14:solidFill>
            <w14:prstDash w14:val="solid"/>
            <w14:bevel/>
          </w14:textOutline>
        </w:rPr>
        <w:t>-</w:t>
      </w:r>
      <w:r>
        <w:rPr>
          <w:rFonts w:hint="default" w:ascii="Times New Roman" w:hAnsi="Times New Roman" w:eastAsia="宋体" w:cs="Times New Roman"/>
          <w:b/>
          <w:bCs/>
          <w:spacing w:val="7"/>
          <w:sz w:val="20"/>
          <w:szCs w:val="20"/>
          <w:lang w:val="en-US" w:eastAsia="zh-CN"/>
        </w:rPr>
        <w:t>7</w:t>
      </w:r>
      <w:r>
        <w:rPr>
          <w:rFonts w:hint="default" w:ascii="Times New Roman" w:hAnsi="Times New Roman" w:eastAsia="Times New Roman" w:cs="Times New Roman"/>
          <w:b/>
          <w:bCs/>
          <w:spacing w:val="7"/>
          <w:sz w:val="20"/>
          <w:szCs w:val="20"/>
        </w:rPr>
        <w:t xml:space="preserve">-1 </w:t>
      </w:r>
      <w:r>
        <w:rPr>
          <w:rFonts w:hint="default" w:ascii="Times New Roman" w:hAnsi="Times New Roman" w:eastAsia="宋体" w:cs="Times New Roman"/>
          <w:b/>
          <w:bCs/>
          <w:spacing w:val="7"/>
          <w:sz w:val="20"/>
          <w:szCs w:val="20"/>
          <w:lang w:val="en-US" w:eastAsia="zh-CN"/>
        </w:rPr>
        <w:t xml:space="preserve"> </w:t>
      </w: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项目采用设备先进性一览表</w:t>
      </w:r>
    </w:p>
    <w:p>
      <w:pPr>
        <w:spacing w:line="19" w:lineRule="exact"/>
        <w:rPr>
          <w:rFonts w:hint="default" w:ascii="Times New Roman" w:hAnsi="Times New Roman" w:cs="Times New Roman"/>
        </w:rPr>
      </w:pPr>
    </w:p>
    <w:tbl>
      <w:tblPr>
        <w:tblStyle w:val="34"/>
        <w:tblW w:w="928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01"/>
        <w:gridCol w:w="2497"/>
        <w:gridCol w:w="588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901" w:type="dxa"/>
            <w:vAlign w:val="top"/>
          </w:tcPr>
          <w:p>
            <w:pPr>
              <w:spacing w:before="59" w:line="229" w:lineRule="auto"/>
              <w:ind w:left="246"/>
              <w:rPr>
                <w:rFonts w:hint="default" w:ascii="Times New Roman" w:hAnsi="Times New Roman" w:eastAsia="宋体" w:cs="Times New Roman"/>
                <w:sz w:val="20"/>
                <w:szCs w:val="20"/>
              </w:rPr>
            </w:pPr>
            <w:r>
              <w:rPr>
                <w:rFonts w:hint="default" w:ascii="Times New Roman" w:hAnsi="Times New Roman" w:eastAsia="宋体" w:cs="Times New Roman"/>
                <w:spacing w:val="5"/>
                <w:sz w:val="20"/>
                <w:szCs w:val="20"/>
              </w:rPr>
              <w:t>序号</w:t>
            </w:r>
          </w:p>
        </w:tc>
        <w:tc>
          <w:tcPr>
            <w:tcW w:w="2497" w:type="dxa"/>
            <w:vAlign w:val="top"/>
          </w:tcPr>
          <w:p>
            <w:pPr>
              <w:spacing w:before="59" w:line="229" w:lineRule="auto"/>
              <w:ind w:left="1046"/>
              <w:rPr>
                <w:rFonts w:hint="default" w:ascii="Times New Roman" w:hAnsi="Times New Roman" w:eastAsia="宋体" w:cs="Times New Roman"/>
                <w:sz w:val="20"/>
                <w:szCs w:val="20"/>
              </w:rPr>
            </w:pPr>
            <w:r>
              <w:rPr>
                <w:rFonts w:hint="default" w:ascii="Times New Roman" w:hAnsi="Times New Roman" w:eastAsia="宋体" w:cs="Times New Roman"/>
                <w:spacing w:val="3"/>
                <w:sz w:val="20"/>
                <w:szCs w:val="20"/>
              </w:rPr>
              <w:t>设备</w:t>
            </w:r>
          </w:p>
        </w:tc>
        <w:tc>
          <w:tcPr>
            <w:tcW w:w="5887" w:type="dxa"/>
            <w:vAlign w:val="top"/>
          </w:tcPr>
          <w:p>
            <w:pPr>
              <w:spacing w:before="58" w:line="228" w:lineRule="auto"/>
              <w:ind w:left="2637"/>
              <w:rPr>
                <w:rFonts w:hint="default" w:ascii="Times New Roman" w:hAnsi="Times New Roman" w:eastAsia="宋体" w:cs="Times New Roman"/>
                <w:sz w:val="20"/>
                <w:szCs w:val="20"/>
              </w:rPr>
            </w:pPr>
            <w:r>
              <w:rPr>
                <w:rFonts w:hint="default" w:ascii="Times New Roman" w:hAnsi="Times New Roman" w:eastAsia="宋体" w:cs="Times New Roman"/>
                <w:spacing w:val="5"/>
                <w:sz w:val="20"/>
                <w:szCs w:val="20"/>
              </w:rPr>
              <w:t>先进性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901" w:type="dxa"/>
            <w:vAlign w:val="top"/>
          </w:tcPr>
          <w:p>
            <w:pPr>
              <w:spacing w:before="91" w:line="195" w:lineRule="auto"/>
              <w:ind w:left="399"/>
              <w:rPr>
                <w:rFonts w:hint="eastAsia" w:ascii="Times New Roman" w:hAnsi="Times New Roman" w:eastAsia="宋体" w:cs="Times New Roman"/>
                <w:sz w:val="20"/>
                <w:szCs w:val="20"/>
                <w:lang w:eastAsia="zh-CN"/>
              </w:rPr>
            </w:pPr>
            <w:r>
              <w:rPr>
                <w:rFonts w:hint="eastAsia" w:ascii="Times New Roman" w:hAnsi="Times New Roman" w:eastAsia="宋体" w:cs="Times New Roman"/>
                <w:sz w:val="20"/>
                <w:szCs w:val="20"/>
                <w:lang w:val="en-US" w:eastAsia="zh-CN"/>
              </w:rPr>
              <w:t>1</w:t>
            </w:r>
          </w:p>
        </w:tc>
        <w:tc>
          <w:tcPr>
            <w:tcW w:w="2497" w:type="dxa"/>
            <w:vAlign w:val="top"/>
          </w:tcPr>
          <w:p>
            <w:pPr>
              <w:spacing w:before="55" w:line="226" w:lineRule="auto"/>
              <w:ind w:left="839"/>
              <w:rPr>
                <w:rFonts w:hint="default" w:ascii="Times New Roman" w:hAnsi="Times New Roman" w:eastAsia="宋体" w:cs="Times New Roman"/>
                <w:sz w:val="20"/>
                <w:szCs w:val="20"/>
              </w:rPr>
            </w:pPr>
            <w:r>
              <w:rPr>
                <w:rFonts w:hint="default" w:ascii="Times New Roman" w:hAnsi="Times New Roman" w:eastAsia="宋体" w:cs="Times New Roman"/>
                <w:spacing w:val="5"/>
                <w:sz w:val="20"/>
                <w:szCs w:val="20"/>
              </w:rPr>
              <w:t>高压淋浴</w:t>
            </w:r>
          </w:p>
        </w:tc>
        <w:tc>
          <w:tcPr>
            <w:tcW w:w="5887" w:type="dxa"/>
            <w:vAlign w:val="top"/>
          </w:tcPr>
          <w:p>
            <w:pPr>
              <w:spacing w:before="55" w:line="227" w:lineRule="auto"/>
              <w:ind w:left="1898"/>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rPr>
              <w:t>节约用水，冲洗较干净</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901" w:type="dxa"/>
            <w:vAlign w:val="top"/>
          </w:tcPr>
          <w:p>
            <w:pPr>
              <w:spacing w:before="92" w:line="195" w:lineRule="auto"/>
              <w:ind w:left="403"/>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2</w:t>
            </w:r>
          </w:p>
        </w:tc>
        <w:tc>
          <w:tcPr>
            <w:tcW w:w="2497" w:type="dxa"/>
            <w:vAlign w:val="top"/>
          </w:tcPr>
          <w:p>
            <w:pPr>
              <w:spacing w:before="56" w:line="227" w:lineRule="auto"/>
              <w:ind w:left="622"/>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rPr>
              <w:t>三点式击晕机</w:t>
            </w:r>
          </w:p>
        </w:tc>
        <w:tc>
          <w:tcPr>
            <w:tcW w:w="5887" w:type="dxa"/>
            <w:vAlign w:val="top"/>
          </w:tcPr>
          <w:p>
            <w:pPr>
              <w:spacing w:before="56" w:line="228" w:lineRule="auto"/>
              <w:ind w:left="1483"/>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rPr>
              <w:t>实现自动化生产，产品品质提高</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901" w:type="dxa"/>
            <w:vAlign w:val="top"/>
          </w:tcPr>
          <w:p>
            <w:pPr>
              <w:spacing w:before="93" w:line="195" w:lineRule="auto"/>
              <w:ind w:left="398"/>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3</w:t>
            </w:r>
          </w:p>
        </w:tc>
        <w:tc>
          <w:tcPr>
            <w:tcW w:w="2497" w:type="dxa"/>
            <w:vAlign w:val="top"/>
          </w:tcPr>
          <w:p>
            <w:pPr>
              <w:spacing w:before="57" w:line="227" w:lineRule="auto"/>
              <w:ind w:left="729"/>
              <w:rPr>
                <w:rFonts w:hint="default" w:ascii="Times New Roman" w:hAnsi="Times New Roman" w:eastAsia="宋体" w:cs="Times New Roman"/>
                <w:sz w:val="20"/>
                <w:szCs w:val="20"/>
              </w:rPr>
            </w:pPr>
            <w:r>
              <w:rPr>
                <w:rFonts w:hint="default" w:ascii="Times New Roman" w:hAnsi="Times New Roman" w:eastAsia="宋体" w:cs="Times New Roman"/>
                <w:spacing w:val="7"/>
                <w:sz w:val="20"/>
                <w:szCs w:val="20"/>
              </w:rPr>
              <w:t>气流输送机</w:t>
            </w:r>
          </w:p>
        </w:tc>
        <w:tc>
          <w:tcPr>
            <w:tcW w:w="5887" w:type="dxa"/>
            <w:vAlign w:val="top"/>
          </w:tcPr>
          <w:p>
            <w:pPr>
              <w:spacing w:before="57" w:line="227" w:lineRule="auto"/>
              <w:ind w:left="567"/>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rPr>
              <w:t>自动化水平高，收集率高，减少肠胃内容物二次污染</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506" w:firstLineChars="200"/>
        <w:jc w:val="both"/>
        <w:textAlignment w:val="baseline"/>
        <w:outlineLvl w:val="1"/>
        <w:rPr>
          <w:rFonts w:hint="default" w:ascii="Times New Roman" w:hAnsi="Times New Roman" w:eastAsia="宋体" w:cs="Times New Roman"/>
          <w:b/>
          <w:bCs/>
          <w:spacing w:val="6"/>
          <w:sz w:val="24"/>
          <w:szCs w:val="24"/>
          <w:lang w:val="en-US" w:eastAsia="zh-CN"/>
        </w:rPr>
      </w:pPr>
      <w:bookmarkStart w:id="203" w:name="_Toc2945"/>
      <w:bookmarkStart w:id="204" w:name="_Toc11368"/>
      <w:bookmarkStart w:id="205" w:name="_Toc306"/>
      <w:r>
        <w:rPr>
          <w:rFonts w:hint="default" w:ascii="Times New Roman" w:hAnsi="Times New Roman" w:eastAsia="宋体" w:cs="Times New Roman"/>
          <w:b/>
          <w:bCs/>
          <w:spacing w:val="6"/>
          <w:sz w:val="24"/>
          <w:szCs w:val="24"/>
          <w:lang w:val="en-US" w:eastAsia="zh-CN"/>
        </w:rPr>
        <w:t>3.7.2  资源能源利用指标</w:t>
      </w:r>
      <w:bookmarkEnd w:id="203"/>
      <w:bookmarkEnd w:id="204"/>
      <w:bookmarkEnd w:id="205"/>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lang w:val="en-US" w:eastAsia="zh-CN"/>
        </w:rPr>
      </w:pPr>
      <w:r>
        <w:rPr>
          <w:rFonts w:hint="default" w:ascii="Times New Roman" w:hAnsi="Times New Roman" w:eastAsia="宋体" w:cs="Times New Roman"/>
          <w:spacing w:val="-1"/>
          <w:sz w:val="24"/>
          <w:szCs w:val="24"/>
          <w:lang w:val="en-US" w:eastAsia="zh-CN"/>
        </w:rPr>
        <w:t>1</w:t>
      </w:r>
      <w:r>
        <w:rPr>
          <w:rFonts w:hint="default" w:ascii="Times New Roman" w:hAnsi="Times New Roman" w:eastAsia="宋体" w:cs="Times New Roman"/>
          <w:spacing w:val="-1"/>
          <w:sz w:val="24"/>
          <w:szCs w:val="24"/>
          <w:lang w:eastAsia="zh-CN"/>
        </w:rPr>
        <w:t>）</w:t>
      </w:r>
      <w:r>
        <w:rPr>
          <w:rFonts w:hint="default" w:ascii="Times New Roman" w:hAnsi="Times New Roman" w:eastAsia="宋体" w:cs="Times New Roman"/>
          <w:spacing w:val="-1"/>
          <w:sz w:val="24"/>
          <w:szCs w:val="24"/>
        </w:rPr>
        <w:t>能耗</w:t>
      </w:r>
      <w:r>
        <w:rPr>
          <w:rFonts w:hint="default" w:ascii="Times New Roman" w:hAnsi="Times New Roman" w:eastAsia="宋体" w:cs="Times New Roman"/>
          <w:spacing w:val="-1"/>
          <w:sz w:val="24"/>
          <w:szCs w:val="24"/>
          <w:lang w:val="en-US" w:eastAsia="zh-CN"/>
        </w:rPr>
        <w:t>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lang w:val="en-US" w:eastAsia="zh-CN"/>
        </w:rPr>
        <w:t>本项目能耗</w:t>
      </w:r>
      <w:r>
        <w:rPr>
          <w:rFonts w:hint="default" w:ascii="Times New Roman" w:hAnsi="Times New Roman" w:eastAsia="宋体" w:cs="Times New Roman"/>
          <w:spacing w:val="-1"/>
          <w:sz w:val="24"/>
          <w:szCs w:val="24"/>
        </w:rPr>
        <w:t>主要是电耗，项目采取的主要节能措施有：</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①采用处理国际国内领先水平的行业最新技术、工艺路线和生产技术设备，保持生产运行的最佳状态，取得最好节能效果。</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②本项目冬季</w:t>
      </w:r>
      <w:r>
        <w:rPr>
          <w:rFonts w:hint="default" w:ascii="Times New Roman" w:hAnsi="Times New Roman" w:eastAsia="宋体" w:cs="Times New Roman"/>
          <w:spacing w:val="-1"/>
          <w:sz w:val="24"/>
          <w:szCs w:val="24"/>
          <w:lang w:val="en-US" w:eastAsia="zh-CN"/>
        </w:rPr>
        <w:t>办公室、员工宿舍</w:t>
      </w:r>
      <w:r>
        <w:rPr>
          <w:rFonts w:hint="default" w:ascii="Times New Roman" w:hAnsi="Times New Roman" w:eastAsia="宋体" w:cs="Times New Roman"/>
          <w:spacing w:val="-1"/>
          <w:sz w:val="24"/>
          <w:szCs w:val="24"/>
        </w:rPr>
        <w:t>采取电取暖。</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③传动设备的电机全部采用节能型的Y系列产品。</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④设立无功补偿电容器柜，使补偿后的功率因数达到0.9以上，节省电能。</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⑤对非常温设备及管道均采用保温材料予以保温，减少冷、热损耗，节约能源。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⑥所有照明都要选用节能灯具，室外光源采用光电控制，充分利用自然光，节约电源。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⑦本项目主要工艺流程和生产设备，均应采取节能新技术、新工艺、新设备。</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⑧厂房墙体围护材料，选用彩钢夹层发泡塑料材料，以节约冬季取暖、夏季降温的能源消耗。</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⑨加强节能教育，制定和严格执行节能规章制度。提高全体员工节能意识，建设“节能型企业”。</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在采取上述节能措施后，可将能耗控制在最低水平。</w:t>
      </w:r>
    </w:p>
    <w:p>
      <w:pPr>
        <w:keepNext w:val="0"/>
        <w:keepLines w:val="0"/>
        <w:pageBreakBefore w:val="0"/>
        <w:widowControl/>
        <w:numPr>
          <w:ilvl w:val="0"/>
          <w:numId w:val="9"/>
        </w:numPr>
        <w:kinsoku w:val="0"/>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spacing w:val="-1"/>
          <w:sz w:val="24"/>
          <w:szCs w:val="24"/>
          <w:lang w:val="en-US" w:eastAsia="zh-CN"/>
        </w:rPr>
      </w:pPr>
      <w:r>
        <w:rPr>
          <w:rFonts w:hint="default" w:ascii="Times New Roman" w:hAnsi="Times New Roman" w:eastAsia="宋体" w:cs="Times New Roman"/>
          <w:spacing w:val="-1"/>
          <w:sz w:val="24"/>
          <w:szCs w:val="24"/>
          <w:lang w:val="en-US" w:eastAsia="zh-CN"/>
        </w:rPr>
        <w:t>水资源利用水平分析</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本项目耗水最多的是屠宰过程对</w:t>
      </w:r>
      <w:r>
        <w:rPr>
          <w:rFonts w:hint="default" w:ascii="Times New Roman" w:hAnsi="Times New Roman" w:eastAsia="宋体" w:cs="Times New Roman"/>
          <w:color w:val="000000" w:themeColor="text1"/>
          <w:sz w:val="24"/>
          <w:lang w:val="en-US" w:eastAsia="zh-CN"/>
          <w14:textFill>
            <w14:solidFill>
              <w14:schemeClr w14:val="tx1"/>
            </w14:solidFill>
          </w14:textFill>
        </w:rPr>
        <w:t>生猪</w:t>
      </w:r>
      <w:r>
        <w:rPr>
          <w:rFonts w:hint="default" w:ascii="Times New Roman" w:hAnsi="Times New Roman" w:cs="Times New Roman"/>
          <w:color w:val="000000" w:themeColor="text1"/>
          <w:sz w:val="24"/>
          <w14:textFill>
            <w14:solidFill>
              <w14:schemeClr w14:val="tx1"/>
            </w14:solidFill>
          </w14:textFill>
        </w:rPr>
        <w:t>的清洗、</w:t>
      </w:r>
      <w:r>
        <w:rPr>
          <w:rFonts w:hint="default" w:ascii="Times New Roman" w:hAnsi="Times New Roman" w:eastAsia="宋体" w:cs="Times New Roman"/>
          <w:color w:val="000000" w:themeColor="text1"/>
          <w:sz w:val="24"/>
          <w:lang w:val="en-US" w:eastAsia="zh-CN"/>
          <w14:textFill>
            <w14:solidFill>
              <w14:schemeClr w14:val="tx1"/>
            </w14:solidFill>
          </w14:textFill>
        </w:rPr>
        <w:t>酮体清洗、</w:t>
      </w:r>
      <w:r>
        <w:rPr>
          <w:rFonts w:hint="default" w:ascii="Times New Roman" w:hAnsi="Times New Roman" w:cs="Times New Roman"/>
          <w:color w:val="000000" w:themeColor="text1"/>
          <w:sz w:val="24"/>
          <w14:textFill>
            <w14:solidFill>
              <w14:schemeClr w14:val="tx1"/>
            </w14:solidFill>
          </w14:textFill>
        </w:rPr>
        <w:t>设备清洗和冲洗地面耗水。</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采取的主要节水措施有：</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①屠宰过程实现机械化作业，流水线生产。胴体不与地面等任何污染源接触，</w:t>
      </w:r>
      <w:r>
        <w:rPr>
          <w:rFonts w:hint="default" w:ascii="Times New Roman" w:hAnsi="Times New Roman" w:eastAsia="宋体" w:cs="Times New Roman"/>
          <w:color w:val="000000" w:themeColor="text1"/>
          <w:sz w:val="24"/>
          <w:lang w:val="en-US" w:eastAsia="zh-CN"/>
          <w14:textFill>
            <w14:solidFill>
              <w14:schemeClr w14:val="tx1"/>
            </w14:solidFill>
          </w14:textFill>
        </w:rPr>
        <w:t>猪</w:t>
      </w:r>
      <w:r>
        <w:rPr>
          <w:rFonts w:hint="default" w:ascii="Times New Roman" w:hAnsi="Times New Roman" w:cs="Times New Roman"/>
          <w:color w:val="000000" w:themeColor="text1"/>
          <w:sz w:val="24"/>
          <w14:textFill>
            <w14:solidFill>
              <w14:schemeClr w14:val="tx1"/>
            </w14:solidFill>
          </w14:textFill>
        </w:rPr>
        <w:t>血集中收集，</w:t>
      </w:r>
      <w:r>
        <w:rPr>
          <w:rFonts w:hint="default" w:ascii="Times New Roman" w:hAnsi="Times New Roman" w:eastAsia="宋体" w:cs="Times New Roman"/>
          <w:color w:val="auto"/>
          <w:sz w:val="24"/>
          <w:szCs w:val="24"/>
          <w:highlight w:val="none"/>
          <w:lang w:val="en-US" w:eastAsia="zh-CN"/>
        </w:rPr>
        <w:t>猪粪便在待宰圈防渗池内临时密闭贮存，</w:t>
      </w:r>
      <w:r>
        <w:rPr>
          <w:rFonts w:hint="default" w:ascii="Times New Roman" w:hAnsi="Times New Roman" w:eastAsia="宋体" w:cs="Times New Roman"/>
          <w:color w:val="auto"/>
          <w:sz w:val="24"/>
          <w:szCs w:val="24"/>
          <w:highlight w:val="none"/>
          <w:vertAlign w:val="baseline"/>
          <w:lang w:val="en-US" w:eastAsia="zh-CN"/>
        </w:rPr>
        <w:t>厂区</w:t>
      </w:r>
      <w:r>
        <w:rPr>
          <w:rFonts w:hint="default" w:ascii="Times New Roman" w:hAnsi="Times New Roman" w:eastAsia="宋体" w:cs="Times New Roman"/>
          <w:color w:val="auto"/>
          <w:sz w:val="24"/>
          <w:szCs w:val="24"/>
          <w:highlight w:val="none"/>
          <w:lang w:val="en-US" w:eastAsia="zh-CN"/>
        </w:rPr>
        <w:t>每天清运一次。</w:t>
      </w:r>
      <w:r>
        <w:rPr>
          <w:rFonts w:hint="default" w:ascii="Times New Roman" w:hAnsi="Times New Roman" w:cs="Times New Roman"/>
          <w:color w:val="000000" w:themeColor="text1"/>
          <w:sz w:val="24"/>
          <w14:textFill>
            <w14:solidFill>
              <w14:schemeClr w14:val="tx1"/>
            </w14:solidFill>
          </w14:textFill>
        </w:rPr>
        <w:t>从而可大大减少冲洗水用量。</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②冲洗采用高压水作业，提高冲洗效率，节约用水。</w:t>
      </w:r>
    </w:p>
    <w:p>
      <w:pPr>
        <w:spacing w:line="360" w:lineRule="auto"/>
        <w:ind w:firstLine="480" w:firstLineChars="200"/>
        <w:jc w:val="both"/>
        <w:rPr>
          <w:rFonts w:hint="default" w:ascii="Times New Roman" w:hAnsi="Times New Roman" w:eastAsia="宋体" w:cs="Times New Roman"/>
          <w:spacing w:val="-1"/>
          <w:sz w:val="24"/>
          <w:szCs w:val="24"/>
          <w:lang w:val="en-US" w:eastAsia="zh-CN"/>
        </w:rPr>
      </w:pPr>
      <w:r>
        <w:rPr>
          <w:rFonts w:hint="default" w:ascii="Times New Roman" w:hAnsi="Times New Roman" w:cs="Times New Roman"/>
          <w:color w:val="000000" w:themeColor="text1"/>
          <w:sz w:val="24"/>
          <w14:textFill>
            <w14:solidFill>
              <w14:schemeClr w14:val="tx1"/>
            </w14:solidFill>
          </w14:textFill>
        </w:rPr>
        <w:t>本项目屠宰耗水量、屠宰量越大，单位耗水量越小，根据黑龙江省地方标准《用水定额》（DB23/T 727-2021）牲畜屠宰行业，</w:t>
      </w:r>
      <w:r>
        <w:rPr>
          <w:rFonts w:hint="default" w:ascii="Times New Roman" w:hAnsi="Times New Roman" w:cs="Times New Roman"/>
          <w:color w:val="auto"/>
          <w:sz w:val="24"/>
        </w:rPr>
        <w:t>参考黑龙江省《用水定额标准》（DB23/T 727-20</w:t>
      </w:r>
      <w:r>
        <w:rPr>
          <w:rFonts w:hint="default" w:ascii="Times New Roman" w:hAnsi="Times New Roman" w:cs="Times New Roman"/>
          <w:color w:val="auto"/>
          <w:sz w:val="24"/>
          <w:lang w:val="en-US" w:eastAsia="zh-CN"/>
        </w:rPr>
        <w:t>21</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生猪屠宰</w:t>
      </w:r>
      <w:r>
        <w:rPr>
          <w:rFonts w:hint="default" w:ascii="Times New Roman" w:hAnsi="Times New Roman" w:cs="Times New Roman"/>
          <w:color w:val="auto"/>
          <w:sz w:val="24"/>
        </w:rPr>
        <w:t>用水定额为0.6m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/头，</w:t>
      </w:r>
      <w:r>
        <w:rPr>
          <w:rFonts w:hint="default" w:ascii="Times New Roman" w:hAnsi="Times New Roman" w:eastAsia="宋体" w:cs="Times New Roman"/>
          <w:b w:val="0"/>
          <w:bCs w:val="0"/>
          <w:color w:val="auto"/>
          <w:sz w:val="24"/>
          <w:szCs w:val="24"/>
          <w:highlight w:val="none"/>
          <w:u w:val="none"/>
        </w:rPr>
        <w:t>根据《屠宰与肉类加工废水治理工程技术规范》（HJ</w:t>
      </w:r>
      <w:r>
        <w:rPr>
          <w:rFonts w:hint="default" w:ascii="Times New Roman" w:hAnsi="Times New Roman" w:eastAsia="宋体" w:cs="Times New Roman"/>
          <w:b w:val="0"/>
          <w:bCs w:val="0"/>
          <w:color w:val="auto"/>
          <w:sz w:val="24"/>
          <w:szCs w:val="24"/>
          <w:highlight w:val="none"/>
          <w:u w:val="none"/>
          <w:lang w:val="en-US" w:eastAsia="zh-CN"/>
        </w:rPr>
        <w:t xml:space="preserve"> </w:t>
      </w:r>
      <w:r>
        <w:rPr>
          <w:rFonts w:hint="default" w:ascii="Times New Roman" w:hAnsi="Times New Roman" w:eastAsia="宋体" w:cs="Times New Roman"/>
          <w:b w:val="0"/>
          <w:bCs w:val="0"/>
          <w:color w:val="auto"/>
          <w:sz w:val="24"/>
          <w:szCs w:val="24"/>
          <w:highlight w:val="none"/>
          <w:u w:val="none"/>
        </w:rPr>
        <w:t>2004-2010），生猪屠宰废水产生量为0.5~0.7m</w:t>
      </w:r>
      <w:r>
        <w:rPr>
          <w:rFonts w:hint="default" w:ascii="Times New Roman" w:hAnsi="Times New Roman" w:eastAsia="宋体" w:cs="Times New Roman"/>
          <w:b w:val="0"/>
          <w:bCs w:val="0"/>
          <w:color w:val="auto"/>
          <w:sz w:val="24"/>
          <w:szCs w:val="24"/>
          <w:highlight w:val="none"/>
          <w:u w:val="none"/>
          <w:vertAlign w:val="superscript"/>
        </w:rPr>
        <w:t>3</w:t>
      </w:r>
      <w:r>
        <w:rPr>
          <w:rFonts w:hint="default" w:ascii="Times New Roman" w:hAnsi="Times New Roman" w:eastAsia="宋体" w:cs="Times New Roman"/>
          <w:b w:val="0"/>
          <w:bCs w:val="0"/>
          <w:color w:val="auto"/>
          <w:sz w:val="24"/>
          <w:szCs w:val="24"/>
          <w:highlight w:val="none"/>
          <w:u w:val="none"/>
        </w:rPr>
        <w:t>/头</w:t>
      </w:r>
      <w:r>
        <w:rPr>
          <w:rFonts w:hint="default" w:ascii="Times New Roman" w:hAnsi="Times New Roman" w:eastAsia="宋体" w:cs="Times New Roman"/>
          <w:b w:val="0"/>
          <w:bCs w:val="0"/>
          <w:color w:val="auto"/>
          <w:sz w:val="24"/>
          <w:szCs w:val="24"/>
          <w:highlight w:val="none"/>
          <w:u w:val="none"/>
          <w:lang w:eastAsia="zh-CN"/>
        </w:rPr>
        <w:t>，</w:t>
      </w:r>
      <w:r>
        <w:rPr>
          <w:rFonts w:hint="default" w:ascii="Times New Roman" w:hAnsi="Times New Roman" w:eastAsia="宋体" w:cs="Times New Roman"/>
          <w:b w:val="0"/>
          <w:bCs w:val="0"/>
          <w:color w:val="auto"/>
          <w:sz w:val="24"/>
          <w:szCs w:val="24"/>
          <w:highlight w:val="none"/>
          <w:u w:val="none"/>
        </w:rPr>
        <w:t>项目采用机械化屠宰，生猪屠宰用水量包括浸烫冲洗、烫毛冲洗、修刮冲洗、吊挂冲洗、挑胸冲洗、开膛冲洗、胸膛冲洗、内脏冲洗、猪体冲洗、头、尾、蹄加工冲洗、屠宰车间</w:t>
      </w:r>
      <w:r>
        <w:rPr>
          <w:rFonts w:hint="default" w:ascii="Times New Roman" w:hAnsi="Times New Roman" w:eastAsia="宋体" w:cs="Times New Roman"/>
          <w:b w:val="0"/>
          <w:bCs w:val="0"/>
          <w:color w:val="auto"/>
          <w:sz w:val="24"/>
          <w:szCs w:val="24"/>
          <w:highlight w:val="none"/>
          <w:u w:val="none"/>
          <w:lang w:val="en-US" w:eastAsia="zh-CN"/>
        </w:rPr>
        <w:t>、加工车间</w:t>
      </w:r>
      <w:r>
        <w:rPr>
          <w:rFonts w:hint="default" w:ascii="Times New Roman" w:hAnsi="Times New Roman" w:eastAsia="宋体" w:cs="Times New Roman"/>
          <w:b w:val="0"/>
          <w:bCs w:val="0"/>
          <w:color w:val="auto"/>
          <w:sz w:val="24"/>
          <w:szCs w:val="24"/>
          <w:highlight w:val="none"/>
          <w:u w:val="none"/>
        </w:rPr>
        <w:t>地面及设备冲洗等用水</w:t>
      </w:r>
      <w:r>
        <w:rPr>
          <w:rFonts w:hint="default" w:ascii="Times New Roman" w:hAnsi="Times New Roman" w:eastAsia="宋体" w:cs="Times New Roman"/>
          <w:b w:val="0"/>
          <w:bCs w:val="0"/>
          <w:color w:val="auto"/>
          <w:sz w:val="24"/>
          <w:szCs w:val="24"/>
          <w:highlight w:val="none"/>
          <w:u w:val="none"/>
          <w:lang w:eastAsia="zh-CN"/>
        </w:rPr>
        <w:t>，</w:t>
      </w:r>
      <w:r>
        <w:rPr>
          <w:rFonts w:hint="default" w:ascii="Times New Roman" w:hAnsi="Times New Roman" w:eastAsia="宋体" w:cs="Times New Roman"/>
          <w:b w:val="0"/>
          <w:bCs w:val="0"/>
          <w:color w:val="auto"/>
          <w:sz w:val="24"/>
          <w:szCs w:val="24"/>
          <w:highlight w:val="none"/>
          <w:u w:val="none"/>
          <w:lang w:val="en-US" w:eastAsia="zh-CN"/>
        </w:rPr>
        <w:t>本项目屠宰用水系数取</w:t>
      </w:r>
      <w:r>
        <w:rPr>
          <w:rFonts w:hint="default" w:ascii="Times New Roman" w:hAnsi="Times New Roman" w:cs="Times New Roman"/>
          <w:color w:val="auto"/>
          <w:sz w:val="24"/>
        </w:rPr>
        <w:t>0.6m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/头</w:t>
      </w:r>
      <w:r>
        <w:rPr>
          <w:rFonts w:hint="default"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扩建后总</w:t>
      </w:r>
      <w:r>
        <w:rPr>
          <w:rFonts w:hint="default" w:ascii="Times New Roman" w:hAnsi="Times New Roman" w:cs="Times New Roman"/>
          <w:color w:val="auto"/>
          <w:sz w:val="24"/>
          <w:highlight w:val="none"/>
        </w:rPr>
        <w:t>用水量为</w:t>
      </w:r>
      <w:r>
        <w:rPr>
          <w:rFonts w:hint="eastAsia" w:ascii="Times New Roman" w:hAnsi="Times New Roman" w:cs="Times New Roman"/>
          <w:color w:val="auto"/>
          <w:sz w:val="24"/>
          <w:highlight w:val="none"/>
          <w:lang w:val="en-US" w:eastAsia="zh-CN"/>
        </w:rPr>
        <w:t>96000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/a</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282.35</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w:t>
      </w: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color w:val="auto"/>
          <w:sz w:val="24"/>
        </w:rPr>
        <w:t>。</w:t>
      </w:r>
      <w:r>
        <w:rPr>
          <w:rFonts w:hint="default" w:ascii="Times New Roman" w:hAnsi="Times New Roman" w:cs="Times New Roman"/>
          <w:color w:val="000000" w:themeColor="text1"/>
          <w:sz w:val="24"/>
          <w14:textFill>
            <w14:solidFill>
              <w14:schemeClr w14:val="tx1"/>
            </w14:solidFill>
          </w14:textFill>
        </w:rPr>
        <w:t>因此，通过采用节水措施和强化管理，可达到节约用水的目的。</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506" w:firstLineChars="200"/>
        <w:jc w:val="both"/>
        <w:textAlignment w:val="baseline"/>
        <w:outlineLvl w:val="1"/>
        <w:rPr>
          <w:rFonts w:hint="default" w:ascii="Times New Roman" w:hAnsi="Times New Roman" w:eastAsia="宋体" w:cs="Times New Roman"/>
          <w:b/>
          <w:bCs/>
          <w:spacing w:val="6"/>
          <w:sz w:val="24"/>
          <w:szCs w:val="24"/>
          <w:lang w:val="en-US" w:eastAsia="zh-CN"/>
        </w:rPr>
      </w:pPr>
      <w:bookmarkStart w:id="206" w:name="_Toc15962"/>
      <w:bookmarkStart w:id="207" w:name="_Toc1113"/>
      <w:bookmarkStart w:id="208" w:name="_Toc18281"/>
      <w:r>
        <w:rPr>
          <w:rFonts w:hint="default" w:ascii="Times New Roman" w:hAnsi="Times New Roman" w:eastAsia="宋体" w:cs="Times New Roman"/>
          <w:b/>
          <w:bCs/>
          <w:spacing w:val="6"/>
          <w:sz w:val="24"/>
          <w:szCs w:val="24"/>
          <w:lang w:val="en-US" w:eastAsia="zh-CN"/>
        </w:rPr>
        <w:t>3.7.3  污染物产生分析</w:t>
      </w:r>
      <w:bookmarkEnd w:id="206"/>
      <w:bookmarkEnd w:id="207"/>
      <w:bookmarkEnd w:id="208"/>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生猪</w:t>
      </w:r>
      <w:r>
        <w:rPr>
          <w:rFonts w:hint="default" w:ascii="Times New Roman" w:hAnsi="Times New Roman" w:cs="Times New Roman"/>
          <w:color w:val="000000" w:themeColor="text1"/>
          <w:sz w:val="24"/>
          <w14:textFill>
            <w14:solidFill>
              <w14:schemeClr w14:val="tx1"/>
            </w14:solidFill>
          </w14:textFill>
        </w:rPr>
        <w:t>屠宰加工的剩余物都可以进一步加工利用，</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生猪</w:t>
      </w:r>
      <w:r>
        <w:rPr>
          <w:rFonts w:hint="default" w:ascii="Times New Roman" w:hAnsi="Times New Roman" w:cs="Times New Roman"/>
          <w:color w:val="000000" w:themeColor="text1"/>
          <w:sz w:val="24"/>
          <w:highlight w:val="none"/>
          <w14:textFill>
            <w14:solidFill>
              <w14:schemeClr w14:val="tx1"/>
            </w14:solidFill>
          </w14:textFill>
        </w:rPr>
        <w:t>本</w:t>
      </w:r>
      <w:r>
        <w:rPr>
          <w:rFonts w:hint="default" w:ascii="Times New Roman" w:hAnsi="Times New Roman" w:cs="Times New Roman"/>
          <w:color w:val="000000" w:themeColor="text1"/>
          <w:sz w:val="24"/>
          <w14:textFill>
            <w14:solidFill>
              <w14:schemeClr w14:val="tx1"/>
            </w14:solidFill>
          </w14:textFill>
        </w:rPr>
        <w:t>身基本无废物，主要污染物来自屠宰加工过程中产生的废水、固废和恶臭气体等。</w:t>
      </w:r>
    </w:p>
    <w:p>
      <w:pPr>
        <w:spacing w:line="360" w:lineRule="auto"/>
        <w:ind w:firstLine="480" w:firstLineChars="200"/>
        <w:jc w:val="both"/>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（1）废水</w:t>
      </w:r>
    </w:p>
    <w:p>
      <w:pPr>
        <w:spacing w:line="360" w:lineRule="auto"/>
        <w:ind w:firstLine="480" w:firstLineChars="200"/>
        <w:jc w:val="both"/>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污水中污染物的产生量取决于设备的先进性、员工操作技术、废水产生量、血液收集率、粪便收集率及生产管理水平等。通过分析，本项目对</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猪血、猪毛</w:t>
      </w:r>
      <w:r>
        <w:rPr>
          <w:rFonts w:hint="default" w:ascii="Times New Roman" w:hAnsi="Times New Roman" w:cs="Times New Roman"/>
          <w:color w:val="000000" w:themeColor="text1"/>
          <w:sz w:val="24"/>
          <w:highlight w:val="none"/>
          <w14:textFill>
            <w14:solidFill>
              <w14:schemeClr w14:val="tx1"/>
            </w14:solidFill>
          </w14:textFill>
        </w:rPr>
        <w:t>、头蹄、红白内脏等有价物质的回收率较高，致使污染物的产生量较低，因而，污水可通过生化处理实现达标排放。本项目所排放的废水经厂区污水处理站处理后达到《肉类加工工业水污染物排放标准》（GB13457-92）表3三级畜类屠宰加工</w:t>
      </w:r>
      <w:r>
        <w:rPr>
          <w:rFonts w:hint="default" w:ascii="Times New Roman" w:hAnsi="Times New Roman" w:cs="Times New Roman"/>
          <w:color w:val="000000" w:themeColor="text1"/>
          <w:sz w:val="24"/>
          <w:highlight w:val="none"/>
          <w:lang w:val="en-US" w:eastAsia="zh-CN"/>
          <w14:textFill>
            <w14:solidFill>
              <w14:schemeClr w14:val="tx1"/>
            </w14:solidFill>
          </w14:textFill>
        </w:rPr>
        <w:t>三级</w:t>
      </w:r>
      <w:r>
        <w:rPr>
          <w:rFonts w:hint="default" w:ascii="Times New Roman" w:hAnsi="Times New Roman" w:cs="Times New Roman"/>
          <w:color w:val="000000" w:themeColor="text1"/>
          <w:sz w:val="24"/>
          <w:highlight w:val="none"/>
          <w14:textFill>
            <w14:solidFill>
              <w14:schemeClr w14:val="tx1"/>
            </w14:solidFill>
          </w14:textFill>
        </w:rPr>
        <w:t>标准限值及</w:t>
      </w:r>
      <w:r>
        <w:rPr>
          <w:rFonts w:hint="default" w:ascii="Times New Roman" w:hAnsi="Times New Roman" w:cs="Times New Roman"/>
          <w:color w:val="000000" w:themeColor="text1"/>
          <w:sz w:val="24"/>
          <w:highlight w:val="none"/>
          <w:lang w:val="en-US" w:eastAsia="zh-CN"/>
          <w14:textFill>
            <w14:solidFill>
              <w14:schemeClr w14:val="tx1"/>
            </w14:solidFill>
          </w14:textFill>
        </w:rPr>
        <w:t>兴隆镇</w:t>
      </w:r>
      <w:r>
        <w:rPr>
          <w:rFonts w:hint="default" w:ascii="Times New Roman" w:hAnsi="Times New Roman" w:cs="Times New Roman"/>
          <w:color w:val="000000" w:themeColor="text1"/>
          <w:sz w:val="24"/>
          <w:highlight w:val="none"/>
          <w14:textFill>
            <w14:solidFill>
              <w14:schemeClr w14:val="tx1"/>
            </w14:solidFill>
          </w14:textFill>
        </w:rPr>
        <w:t>污水处理厂进水指标</w:t>
      </w:r>
      <w:r>
        <w:rPr>
          <w:rFonts w:hint="default" w:ascii="Times New Roman" w:hAnsi="Times New Roman" w:cs="Times New Roman"/>
          <w:color w:val="000000" w:themeColor="text1"/>
          <w:sz w:val="24"/>
          <w:highlight w:val="none"/>
          <w:lang w:val="en-US" w:eastAsia="zh-CN"/>
          <w14:textFill>
            <w14:solidFill>
              <w14:schemeClr w14:val="tx1"/>
            </w14:solidFill>
          </w14:textFill>
        </w:rPr>
        <w:t>后，排入兴隆镇污水处理厂，</w:t>
      </w:r>
      <w:r>
        <w:rPr>
          <w:rFonts w:hint="default" w:ascii="Times New Roman" w:hAnsi="Times New Roman" w:cs="Times New Roman"/>
          <w:color w:val="000000" w:themeColor="text1"/>
          <w:sz w:val="24"/>
          <w:highlight w:val="none"/>
          <w:lang w:eastAsia="zh-CN"/>
          <w14:textFill>
            <w14:solidFill>
              <w14:schemeClr w14:val="tx1"/>
            </w14:solidFill>
          </w14:textFill>
        </w:rPr>
        <w:t>排入泥河。</w:t>
      </w:r>
      <w:r>
        <w:rPr>
          <w:rFonts w:hint="default" w:ascii="Times New Roman" w:hAnsi="Times New Roman" w:cs="Times New Roman"/>
          <w:color w:val="000000" w:themeColor="text1"/>
          <w:sz w:val="24"/>
          <w:highlight w:val="none"/>
          <w14:textFill>
            <w14:solidFill>
              <w14:schemeClr w14:val="tx1"/>
            </w14:solidFill>
          </w14:textFill>
        </w:rPr>
        <w:t>本项目所排废水量较小，能够达到节水降污的要求。</w:t>
      </w:r>
    </w:p>
    <w:p>
      <w:pPr>
        <w:spacing w:line="360" w:lineRule="auto"/>
        <w:ind w:firstLine="480" w:firstLineChars="200"/>
        <w:jc w:val="both"/>
        <w:rPr>
          <w:rFonts w:hint="default" w:ascii="Times New Roman" w:hAnsi="Times New Roman" w:cs="Times New Roman"/>
          <w:color w:val="000000" w:themeColor="text1"/>
          <w:sz w:val="24"/>
          <w:highlight w:val="none"/>
          <w14:textFill>
            <w14:solidFill>
              <w14:schemeClr w14:val="tx1"/>
            </w14:solidFill>
          </w14:textFill>
        </w:rPr>
      </w:pPr>
      <w:bookmarkStart w:id="209" w:name="_Hlk479528944"/>
      <w:r>
        <w:rPr>
          <w:rFonts w:hint="default" w:ascii="Times New Roman" w:hAnsi="Times New Roman" w:cs="Times New Roman"/>
          <w:color w:val="000000" w:themeColor="text1"/>
          <w:sz w:val="24"/>
          <w:highlight w:val="none"/>
          <w14:textFill>
            <w14:solidFill>
              <w14:schemeClr w14:val="tx1"/>
            </w14:solidFill>
          </w14:textFill>
        </w:rPr>
        <w:t>（2）废气</w:t>
      </w:r>
    </w:p>
    <w:p>
      <w:pPr>
        <w:spacing w:line="360" w:lineRule="auto"/>
        <w:ind w:firstLine="480" w:firstLineChars="200"/>
        <w:jc w:val="both"/>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本项目待宰间封闭，</w:t>
      </w:r>
      <w:r>
        <w:rPr>
          <w:rFonts w:hint="default" w:ascii="Times New Roman" w:hAnsi="Times New Roman" w:cs="Times New Roman"/>
          <w:bCs/>
          <w:color w:val="000000" w:themeColor="text1"/>
          <w:sz w:val="24"/>
          <w:highlight w:val="none"/>
          <w14:textFill>
            <w14:solidFill>
              <w14:schemeClr w14:val="tx1"/>
            </w14:solidFill>
          </w14:textFill>
        </w:rPr>
        <w:t>及时清扫，并投加或喷洒除臭剂，产生的恶臭气体经负压集中收集后，通过活性炭吸附净化后由15m高排气筒排放</w:t>
      </w:r>
      <w:r>
        <w:rPr>
          <w:rFonts w:hint="default" w:ascii="Times New Roman" w:hAnsi="Times New Roman" w:cs="Times New Roman"/>
          <w:color w:val="000000" w:themeColor="text1"/>
          <w:sz w:val="24"/>
          <w:highlight w:val="none"/>
          <w14:textFill>
            <w14:solidFill>
              <w14:schemeClr w14:val="tx1"/>
            </w14:solidFill>
          </w14:textFill>
        </w:rPr>
        <w:t>。屠宰车间采用负压集中收集废气，负压收集的废气通过活性炭吸附净化后由1根15m高排气筒排放。污水处理站封闭，采用负压集中收集废气，负压收集的废气通过活性炭吸附净化后由1根15m高排气筒排放。</w:t>
      </w:r>
      <w:r>
        <w:rPr>
          <w:rFonts w:hint="default" w:ascii="Times New Roman" w:hAnsi="Times New Roman" w:cs="Times New Roman"/>
          <w:bCs/>
          <w:color w:val="000000" w:themeColor="text1"/>
          <w:sz w:val="24"/>
          <w:highlight w:val="none"/>
          <w14:textFill>
            <w14:solidFill>
              <w14:schemeClr w14:val="tx1"/>
            </w14:solidFill>
          </w14:textFill>
        </w:rPr>
        <w:t>本项目废弃各污染物均达标排放，</w:t>
      </w:r>
      <w:r>
        <w:rPr>
          <w:rFonts w:hint="default" w:ascii="Times New Roman" w:hAnsi="Times New Roman" w:cs="Times New Roman"/>
          <w:color w:val="000000" w:themeColor="text1"/>
          <w:sz w:val="24"/>
          <w:highlight w:val="none"/>
          <w14:textFill>
            <w14:solidFill>
              <w14:schemeClr w14:val="tx1"/>
            </w14:solidFill>
          </w14:textFill>
        </w:rPr>
        <w:t>对周围环境空气影响较小。</w:t>
      </w:r>
    </w:p>
    <w:bookmarkEnd w:id="209"/>
    <w:p>
      <w:pPr>
        <w:spacing w:line="360" w:lineRule="auto"/>
        <w:ind w:firstLine="480" w:firstLineChars="200"/>
        <w:jc w:val="both"/>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（3）固体废物</w:t>
      </w:r>
    </w:p>
    <w:p>
      <w:pPr>
        <w:spacing w:line="360" w:lineRule="auto"/>
        <w:ind w:firstLine="480" w:firstLineChars="200"/>
        <w:jc w:val="both"/>
        <w:rPr>
          <w:rFonts w:hint="default" w:ascii="Times New Roman" w:hAnsi="Times New Roman" w:cs="Times New Roman"/>
          <w:highlight w:val="none"/>
          <w:lang w:val="en-US" w:eastAsia="zh-CN"/>
        </w:rPr>
      </w:pPr>
      <w:r>
        <w:rPr>
          <w:rFonts w:hint="default" w:ascii="Times New Roman" w:hAnsi="Times New Roman" w:cs="Times New Roman"/>
          <w:color w:val="000000" w:themeColor="text1"/>
          <w:sz w:val="24"/>
          <w:highlight w:val="none"/>
          <w14:textFill>
            <w14:solidFill>
              <w14:schemeClr w14:val="tx1"/>
            </w14:solidFill>
          </w14:textFill>
        </w:rPr>
        <w:t>本项目粪便暂存于待宰间内储粪池内，日产日清，使用密闭运输车运走作为有机肥原料外卖。肠胃内容物同粪便暂存于待宰间内储粪池内，日产日清，使用密闭运输车运走作为有机肥原料外卖。检疫废物</w:t>
      </w:r>
      <w:r>
        <w:rPr>
          <w:rFonts w:hint="default" w:ascii="Times New Roman" w:hAnsi="Times New Roman" w:cs="Times New Roman"/>
          <w:bCs/>
          <w:color w:val="000000" w:themeColor="text1"/>
          <w:sz w:val="24"/>
          <w:highlight w:val="none"/>
          <w14:textFill>
            <w14:solidFill>
              <w14:schemeClr w14:val="tx1"/>
            </w14:solidFill>
          </w14:textFill>
        </w:rPr>
        <w:t>（HW01）</w:t>
      </w:r>
      <w:r>
        <w:rPr>
          <w:rFonts w:hint="default" w:ascii="Times New Roman" w:hAnsi="Times New Roman" w:cs="Times New Roman"/>
          <w:color w:val="000000" w:themeColor="text1"/>
          <w:sz w:val="24"/>
          <w:highlight w:val="none"/>
          <w14:textFill>
            <w14:solidFill>
              <w14:schemeClr w14:val="tx1"/>
            </w14:solidFill>
          </w14:textFill>
        </w:rPr>
        <w:t>单独收集，用有明显标识的塑料袋盛装，暂存于危废暂存间，交由</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哈尔滨国环医疗固体废物无害化集中处置中心有限公司</w:t>
      </w:r>
      <w:r>
        <w:rPr>
          <w:rFonts w:hint="default" w:ascii="Times New Roman" w:hAnsi="Times New Roman" w:cs="Times New Roman"/>
          <w:color w:val="000000" w:themeColor="text1"/>
          <w:sz w:val="24"/>
          <w:highlight w:val="none"/>
          <w14:textFill>
            <w14:solidFill>
              <w14:schemeClr w14:val="tx1"/>
            </w14:solidFill>
          </w14:textFill>
        </w:rPr>
        <w:t>进行处置。检疫不合格</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废物</w:t>
      </w:r>
      <w:r>
        <w:rPr>
          <w:rFonts w:hint="default" w:ascii="Times New Roman" w:hAnsi="Times New Roman" w:cs="Times New Roman"/>
          <w:color w:val="000000" w:themeColor="text1"/>
          <w:sz w:val="24"/>
          <w:highlight w:val="none"/>
          <w14:textFill>
            <w14:solidFill>
              <w14:schemeClr w14:val="tx1"/>
            </w14:solidFill>
          </w14:textFill>
        </w:rPr>
        <w:t>及病死</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猪</w:t>
      </w:r>
      <w:r>
        <w:rPr>
          <w:rFonts w:hint="default" w:ascii="Times New Roman" w:hAnsi="Times New Roman" w:cs="Times New Roman"/>
          <w:color w:val="000000" w:themeColor="text1"/>
          <w:sz w:val="24"/>
          <w:highlight w:val="none"/>
          <w14:textFill>
            <w14:solidFill>
              <w14:schemeClr w14:val="tx1"/>
            </w14:solidFill>
          </w14:textFill>
        </w:rPr>
        <w:t>委托</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巴</w:t>
      </w:r>
      <w:r>
        <w:rPr>
          <w:rFonts w:hint="eastAsia" w:ascii="Times New Roman" w:hAnsi="Times New Roman" w:cs="Times New Roman"/>
          <w:sz w:val="24"/>
          <w:szCs w:val="24"/>
          <w:highlight w:val="none"/>
          <w:lang w:val="en-US" w:eastAsia="zh-CN"/>
        </w:rPr>
        <w:t>彦县燊缘无害化处理有限公司</w:t>
      </w:r>
      <w:r>
        <w:rPr>
          <w:rFonts w:hint="default" w:ascii="Times New Roman" w:hAnsi="Times New Roman" w:cs="Times New Roman"/>
          <w:color w:val="000000" w:themeColor="text1"/>
          <w:sz w:val="24"/>
          <w:highlight w:val="none"/>
          <w14:textFill>
            <w14:solidFill>
              <w14:schemeClr w14:val="tx1"/>
            </w14:solidFill>
          </w14:textFill>
        </w:rPr>
        <w:t>处理。生活垃圾由市政部门统一处理。</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废活性炭</w:t>
      </w:r>
      <w:r>
        <w:rPr>
          <w:rFonts w:hint="default" w:ascii="Times New Roman" w:hAnsi="Times New Roman" w:cs="Times New Roman"/>
          <w:sz w:val="24"/>
          <w:szCs w:val="24"/>
          <w:highlight w:val="none"/>
          <w:lang w:val="en-US" w:eastAsia="zh-CN"/>
        </w:rPr>
        <w:t>暂存于一般固废暂存间封闭塑料箱内，</w:t>
      </w:r>
      <w:r>
        <w:rPr>
          <w:rFonts w:hint="eastAsia" w:ascii="Times New Roman" w:hAnsi="Times New Roman" w:eastAsia="宋体" w:cs="Times New Roman"/>
          <w:spacing w:val="-2"/>
          <w:sz w:val="24"/>
          <w:szCs w:val="24"/>
          <w:highlight w:val="none"/>
          <w:lang w:val="en-US" w:eastAsia="zh-CN"/>
        </w:rPr>
        <w:t>由活性炭厂家回收再生处理。</w:t>
      </w:r>
      <w:r>
        <w:rPr>
          <w:rFonts w:hint="default" w:ascii="Times New Roman" w:hAnsi="Times New Roman" w:cs="Times New Roman"/>
          <w:color w:val="000000" w:themeColor="text1"/>
          <w:sz w:val="24"/>
          <w:highlight w:val="none"/>
          <w14:textFill>
            <w14:solidFill>
              <w14:schemeClr w14:val="tx1"/>
            </w14:solidFill>
          </w14:textFill>
        </w:rPr>
        <w:t>废弃包装物集中收集，外售综合利用。污泥及栅渣暂存污泥暂存池，采用压滤机脱水后，送生活垃圾填埋场处理，压滤废水返回污水处理工艺。不可食用内脏产生后，采用专用存储桶暂存屠宰车间内，日产日清，集中收集交由</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巴</w:t>
      </w:r>
      <w:r>
        <w:rPr>
          <w:rFonts w:hint="eastAsia" w:ascii="Times New Roman" w:hAnsi="Times New Roman" w:cs="Times New Roman"/>
          <w:sz w:val="24"/>
          <w:szCs w:val="24"/>
          <w:highlight w:val="none"/>
          <w:lang w:val="en-US" w:eastAsia="zh-CN"/>
        </w:rPr>
        <w:t>彦县燊缘无害化处理有限公司</w:t>
      </w:r>
      <w:r>
        <w:rPr>
          <w:rFonts w:hint="default" w:ascii="Times New Roman" w:hAnsi="Times New Roman" w:cs="Times New Roman"/>
          <w:color w:val="000000" w:themeColor="text1"/>
          <w:sz w:val="24"/>
          <w:highlight w:val="none"/>
          <w14:textFill>
            <w14:solidFill>
              <w14:schemeClr w14:val="tx1"/>
            </w14:solidFill>
          </w14:textFill>
        </w:rPr>
        <w:t>处理。</w:t>
      </w:r>
      <w:r>
        <w:rPr>
          <w:rFonts w:hint="default" w:ascii="Times New Roman" w:hAnsi="Times New Roman" w:cs="Times New Roman"/>
          <w:bCs/>
          <w:color w:val="000000" w:themeColor="text1"/>
          <w:sz w:val="24"/>
          <w:highlight w:val="none"/>
          <w14:textFill>
            <w14:solidFill>
              <w14:schemeClr w14:val="tx1"/>
            </w14:solidFill>
          </w14:textFill>
        </w:rPr>
        <w:t>污水处理站废油脂交由</w:t>
      </w:r>
      <w:r>
        <w:rPr>
          <w:rFonts w:hint="eastAsia" w:ascii="Times New Roman" w:hAnsi="Times New Roman" w:eastAsia="宋体" w:cs="Times New Roman"/>
          <w:bCs/>
          <w:color w:val="000000" w:themeColor="text1"/>
          <w:sz w:val="24"/>
          <w:highlight w:val="none"/>
          <w:lang w:eastAsia="zh-CN"/>
          <w14:textFill>
            <w14:solidFill>
              <w14:schemeClr w14:val="tx1"/>
            </w14:solidFill>
          </w14:textFill>
        </w:rPr>
        <w:t>哈尔滨国环医疗固体废物无害化集中处置中心有限公司</w:t>
      </w:r>
      <w:r>
        <w:rPr>
          <w:rFonts w:hint="default" w:ascii="Times New Roman" w:hAnsi="Times New Roman" w:cs="Times New Roman"/>
          <w:bCs/>
          <w:color w:val="000000" w:themeColor="text1"/>
          <w:sz w:val="24"/>
          <w:highlight w:val="none"/>
          <w14:textFill>
            <w14:solidFill>
              <w14:schemeClr w14:val="tx1"/>
            </w14:solidFill>
          </w14:textFill>
        </w:rPr>
        <w:t>处置。</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506" w:firstLineChars="200"/>
        <w:jc w:val="both"/>
        <w:textAlignment w:val="baseline"/>
        <w:outlineLvl w:val="1"/>
        <w:rPr>
          <w:rFonts w:hint="default" w:ascii="Times New Roman" w:hAnsi="Times New Roman" w:eastAsia="宋体" w:cs="Times New Roman"/>
          <w:b/>
          <w:bCs/>
          <w:spacing w:val="6"/>
          <w:sz w:val="24"/>
          <w:szCs w:val="24"/>
          <w:lang w:val="en-US" w:eastAsia="zh-CN"/>
        </w:rPr>
      </w:pPr>
      <w:bookmarkStart w:id="210" w:name="_Toc32088"/>
      <w:bookmarkStart w:id="211" w:name="_Toc4535"/>
      <w:bookmarkStart w:id="212" w:name="_Toc12660"/>
      <w:r>
        <w:rPr>
          <w:rFonts w:hint="default" w:ascii="Times New Roman" w:hAnsi="Times New Roman" w:eastAsia="宋体" w:cs="Times New Roman"/>
          <w:b/>
          <w:bCs/>
          <w:spacing w:val="6"/>
          <w:sz w:val="24"/>
          <w:szCs w:val="24"/>
          <w:lang w:val="en-US" w:eastAsia="zh-CN"/>
        </w:rPr>
        <w:t>3.7.4  清洁生产方案</w:t>
      </w:r>
      <w:bookmarkEnd w:id="210"/>
      <w:bookmarkEnd w:id="211"/>
      <w:bookmarkEnd w:id="212"/>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（1）节水方案</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①安装水表、定期记录用水量、避免浪费行为。</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②洗手和刀具消毒器的水流控制采用自动控制系统。</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③安装高压、低剂量喷嘴。</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④使用内脏转动系统以避免或尽量减少水的消耗。</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⑤表面清洁采用高压冲洗而非大量清水冲洗。</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⑥将清洗操作程序产生的最终废水再应用于第二天的必要清洗环节。</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（2）减少废水所含污染物质的方案</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①通过设计使用合适的血液收集设备并给予放血足够的时间（通常为7min）最大限度的将血液分离出来。</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②在排水管上装配筛网以防止固体物质进入废水排放系统。</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（3）节约能源方案</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①</w:t>
      </w:r>
      <w:r>
        <w:rPr>
          <w:rFonts w:hint="default" w:ascii="Times New Roman" w:hAnsi="Times New Roman" w:cs="Times New Roman"/>
          <w:color w:val="000000" w:themeColor="text1"/>
          <w:sz w:val="24"/>
          <w14:textFill>
            <w14:solidFill>
              <w14:schemeClr w14:val="tx1"/>
            </w14:solidFill>
          </w14:textFill>
        </w:rPr>
        <w:t>实施能源断开项目，安装传感器以使在电灯及设备不使用时关闭电源或停止供电。</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②</w:t>
      </w:r>
      <w:r>
        <w:rPr>
          <w:rFonts w:hint="default" w:ascii="Times New Roman" w:hAnsi="Times New Roman" w:cs="Times New Roman"/>
          <w:color w:val="000000" w:themeColor="text1"/>
          <w:sz w:val="24"/>
          <w14:textFill>
            <w14:solidFill>
              <w14:schemeClr w14:val="tx1"/>
            </w14:solidFill>
          </w14:textFill>
        </w:rPr>
        <w:t>更多地采用高效能设备。</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cs="Times New Roman"/>
          <w:bCs/>
          <w:color w:val="000000" w:themeColor="text1"/>
          <w:sz w:val="24"/>
          <w14:textFill>
            <w14:solidFill>
              <w14:schemeClr w14:val="tx1"/>
            </w14:solidFill>
          </w14:textFill>
        </w:rPr>
        <w:t>③</w:t>
      </w:r>
      <w:r>
        <w:rPr>
          <w:rFonts w:hint="default" w:ascii="Times New Roman" w:hAnsi="Times New Roman" w:cs="Times New Roman"/>
          <w:color w:val="000000" w:themeColor="text1"/>
          <w:sz w:val="24"/>
          <w14:textFill>
            <w14:solidFill>
              <w14:schemeClr w14:val="tx1"/>
            </w14:solidFill>
          </w14:textFill>
        </w:rPr>
        <w:t>提高维护保养水平以实现设备能源效率最大化。</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506" w:firstLineChars="200"/>
        <w:jc w:val="both"/>
        <w:textAlignment w:val="baseline"/>
        <w:outlineLvl w:val="1"/>
        <w:rPr>
          <w:rFonts w:hint="default" w:ascii="Times New Roman" w:hAnsi="Times New Roman" w:eastAsia="宋体" w:cs="Times New Roman"/>
          <w:b/>
          <w:bCs/>
          <w:spacing w:val="6"/>
          <w:sz w:val="24"/>
          <w:szCs w:val="24"/>
          <w:lang w:val="en-US" w:eastAsia="zh-CN"/>
        </w:rPr>
      </w:pPr>
      <w:bookmarkStart w:id="213" w:name="_Toc20431"/>
      <w:bookmarkStart w:id="214" w:name="_Toc13663"/>
      <w:bookmarkStart w:id="215" w:name="_Toc4659"/>
      <w:r>
        <w:rPr>
          <w:rFonts w:hint="default" w:ascii="Times New Roman" w:hAnsi="Times New Roman" w:eastAsia="宋体" w:cs="Times New Roman"/>
          <w:b/>
          <w:bCs/>
          <w:spacing w:val="6"/>
          <w:sz w:val="24"/>
          <w:szCs w:val="24"/>
          <w:lang w:val="en-US" w:eastAsia="zh-CN"/>
        </w:rPr>
        <w:t>3.7.5  清洁生产结论</w:t>
      </w:r>
      <w:bookmarkEnd w:id="213"/>
      <w:bookmarkEnd w:id="214"/>
      <w:bookmarkEnd w:id="215"/>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color w:val="000000" w:themeColor="text1"/>
          <w:sz w:val="24"/>
          <w:szCs w:val="21"/>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的建设采用先进的工艺和设备，实现连续机械化、规模化生产，保证原料利用率、能源利用率达到较高的水平，同时提高废物资源化水平以减少污染物的产生量，可达到增效、节能、降耗、减污的清洁生产目的，在提高经济效益的同时，达到保护环境的目的。因此，本项目符合清洁生产要求，清洁生产是本企业可持续发展的必然选择，同时，清洁生产又是一个相对的、动态的概念，推行清洁生产本身是一个不断完善的过程，建议企业要适时地提出更新的目标，将清洁生产不断地、长期地进行下去，实现企业的可持续发展。</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z w:val="24"/>
          <w:szCs w:val="24"/>
        </w:rPr>
        <w:sectPr>
          <w:headerReference r:id="rId13" w:type="default"/>
          <w:pgSz w:w="11906" w:h="16839"/>
          <w:pgMar w:top="1203" w:right="1356" w:bottom="1157" w:left="1417" w:header="962" w:footer="992" w:gutter="0"/>
          <w:pgBorders>
            <w:top w:val="none" w:sz="0" w:space="0"/>
            <w:left w:val="none" w:sz="0" w:space="0"/>
            <w:bottom w:val="none" w:sz="0" w:space="0"/>
            <w:right w:val="none" w:sz="0" w:space="0"/>
          </w:pgBorders>
          <w:pgNumType w:fmt="decimal"/>
          <w:cols w:space="720" w:num="1"/>
        </w:sectPr>
      </w:pPr>
    </w:p>
    <w:p>
      <w:pPr>
        <w:spacing w:before="78" w:line="220" w:lineRule="auto"/>
        <w:ind w:left="112"/>
        <w:outlineLvl w:val="1"/>
        <w:rPr>
          <w:rFonts w:hint="default" w:ascii="Times New Roman" w:hAnsi="Times New Roman" w:eastAsia="Times New Roman" w:cs="Times New Roman"/>
          <w:b/>
          <w:bCs/>
          <w:spacing w:val="-2"/>
          <w:sz w:val="24"/>
          <w:szCs w:val="24"/>
          <w:highlight w:val="none"/>
        </w:rPr>
      </w:pPr>
      <w:bookmarkStart w:id="216" w:name="_Toc15142"/>
      <w:r>
        <w:rPr>
          <w:rFonts w:hint="default" w:ascii="Times New Roman" w:hAnsi="Times New Roman" w:eastAsia="Times New Roman" w:cs="Times New Roman"/>
          <w:b/>
          <w:bCs/>
          <w:spacing w:val="-2"/>
          <w:sz w:val="24"/>
          <w:szCs w:val="24"/>
          <w:highlight w:val="none"/>
        </w:rPr>
        <w:t>3.</w:t>
      </w:r>
      <w:r>
        <w:rPr>
          <w:rFonts w:hint="default" w:ascii="Times New Roman" w:hAnsi="Times New Roman" w:eastAsia="Times New Roman" w:cs="Times New Roman"/>
          <w:b/>
          <w:bCs/>
          <w:spacing w:val="-2"/>
          <w:sz w:val="24"/>
          <w:szCs w:val="24"/>
          <w:highlight w:val="none"/>
          <w:lang w:val="en-US" w:eastAsia="zh-CN"/>
        </w:rPr>
        <w:t>8</w:t>
      </w:r>
      <w:r>
        <w:rPr>
          <w:rFonts w:hint="default" w:ascii="Times New Roman" w:hAnsi="Times New Roman" w:eastAsia="Times New Roman" w:cs="Times New Roman"/>
          <w:b/>
          <w:bCs/>
          <w:spacing w:val="-2"/>
          <w:sz w:val="24"/>
          <w:szCs w:val="24"/>
          <w:highlight w:val="none"/>
        </w:rPr>
        <w:t xml:space="preserve"> 总量控制</w:t>
      </w:r>
      <w:bookmarkEnd w:id="216"/>
    </w:p>
    <w:p>
      <w:pPr>
        <w:spacing w:before="194" w:line="220" w:lineRule="auto"/>
        <w:ind w:left="112"/>
        <w:outlineLvl w:val="1"/>
        <w:rPr>
          <w:rFonts w:hint="default" w:ascii="Times New Roman" w:hAnsi="Times New Roman" w:eastAsia="宋体" w:cs="Times New Roman"/>
          <w:sz w:val="24"/>
          <w:szCs w:val="24"/>
          <w:highlight w:val="none"/>
        </w:rPr>
      </w:pPr>
      <w:bookmarkStart w:id="217" w:name="_Toc5323"/>
      <w:bookmarkStart w:id="218" w:name="_Toc7691"/>
      <w:bookmarkStart w:id="219" w:name="_Toc14767"/>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"3.3.7.1" </w:instrText>
      </w:r>
      <w:r>
        <w:rPr>
          <w:rFonts w:hint="default" w:ascii="Times New Roman" w:hAnsi="Times New Roman" w:cs="Times New Roman"/>
          <w:highlight w:val="none"/>
        </w:rPr>
        <w:fldChar w:fldCharType="separate"/>
      </w:r>
      <w:r>
        <w:rPr>
          <w:rFonts w:hint="default" w:ascii="Times New Roman" w:hAnsi="Times New Roman" w:eastAsia="Times New Roman" w:cs="Times New Roman"/>
          <w:b/>
          <w:bCs/>
          <w:spacing w:val="3"/>
          <w:sz w:val="24"/>
          <w:szCs w:val="24"/>
          <w:highlight w:val="none"/>
        </w:rPr>
        <w:t>3.</w:t>
      </w:r>
      <w:r>
        <w:rPr>
          <w:rFonts w:hint="default" w:ascii="Times New Roman" w:hAnsi="Times New Roman" w:eastAsia="宋体" w:cs="Times New Roman"/>
          <w:b/>
          <w:bCs/>
          <w:spacing w:val="3"/>
          <w:sz w:val="24"/>
          <w:szCs w:val="24"/>
          <w:highlight w:val="none"/>
          <w:lang w:val="en-US" w:eastAsia="zh-CN"/>
        </w:rPr>
        <w:t>8</w:t>
      </w:r>
      <w:r>
        <w:rPr>
          <w:rFonts w:hint="default" w:ascii="Times New Roman" w:hAnsi="Times New Roman" w:eastAsia="Times New Roman" w:cs="Times New Roman"/>
          <w:b/>
          <w:bCs/>
          <w:spacing w:val="3"/>
          <w:sz w:val="24"/>
          <w:szCs w:val="24"/>
          <w:highlight w:val="none"/>
        </w:rPr>
        <w:t>.1</w:t>
      </w:r>
      <w:r>
        <w:rPr>
          <w:rFonts w:hint="default" w:ascii="Times New Roman" w:hAnsi="Times New Roman" w:eastAsia="Times New Roman" w:cs="Times New Roman"/>
          <w:b/>
          <w:bCs/>
          <w:spacing w:val="3"/>
          <w:sz w:val="24"/>
          <w:szCs w:val="24"/>
          <w:highlight w:val="none"/>
        </w:rPr>
        <w:fldChar w:fldCharType="end"/>
      </w:r>
      <w:r>
        <w:rPr>
          <w:rFonts w:hint="default" w:ascii="Times New Roman" w:hAnsi="Times New Roman" w:eastAsia="Times New Roman" w:cs="Times New Roman"/>
          <w:b/>
          <w:bCs/>
          <w:spacing w:val="32"/>
          <w:w w:val="101"/>
          <w:sz w:val="24"/>
          <w:szCs w:val="24"/>
          <w:highlight w:val="none"/>
        </w:rPr>
        <w:t xml:space="preserve"> </w:t>
      </w:r>
      <w:r>
        <w:rPr>
          <w:rFonts w:hint="default" w:ascii="Times New Roman" w:hAnsi="Times New Roman" w:eastAsia="宋体" w:cs="Times New Roman"/>
          <w:spacing w:val="3"/>
          <w:sz w:val="24"/>
          <w:szCs w:val="24"/>
          <w:highlight w:val="none"/>
          <w14:textOutline w14:w="4358" w14:cap="sq" w14:cmpd="sng">
            <w14:solidFill>
              <w14:srgbClr w14:val="000000"/>
            </w14:solidFill>
            <w14:prstDash w14:val="solid"/>
            <w14:bevel/>
          </w14:textOutline>
        </w:rPr>
        <w:t>总量控制因子</w:t>
      </w:r>
      <w:bookmarkEnd w:id="217"/>
      <w:bookmarkEnd w:id="218"/>
      <w:bookmarkEnd w:id="219"/>
    </w:p>
    <w:p>
      <w:pPr>
        <w:spacing w:before="193" w:line="368" w:lineRule="auto"/>
        <w:ind w:left="121" w:right="29" w:firstLine="500"/>
        <w:jc w:val="both"/>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7"/>
          <w:sz w:val="24"/>
          <w:szCs w:val="24"/>
          <w:highlight w:val="none"/>
        </w:rPr>
        <w:t>国家重点控制的总量因子：废气中排放的</w:t>
      </w:r>
      <w:r>
        <w:rPr>
          <w:rFonts w:hint="default" w:ascii="Times New Roman" w:hAnsi="Times New Roman" w:eastAsia="宋体" w:cs="Times New Roman"/>
          <w:spacing w:val="-57"/>
          <w:sz w:val="24"/>
          <w:szCs w:val="24"/>
          <w:highlight w:val="none"/>
        </w:rPr>
        <w:t xml:space="preserve"> </w:t>
      </w:r>
      <w:r>
        <w:rPr>
          <w:rFonts w:hint="default" w:ascii="Times New Roman" w:hAnsi="Times New Roman" w:eastAsia="Times New Roman" w:cs="Times New Roman"/>
          <w:spacing w:val="-7"/>
          <w:sz w:val="24"/>
          <w:szCs w:val="24"/>
          <w:highlight w:val="none"/>
        </w:rPr>
        <w:t>NOx</w:t>
      </w:r>
      <w:r>
        <w:rPr>
          <w:rFonts w:hint="default" w:ascii="Times New Roman" w:hAnsi="Times New Roman" w:eastAsia="宋体" w:cs="Times New Roman"/>
          <w:spacing w:val="-7"/>
          <w:sz w:val="24"/>
          <w:szCs w:val="24"/>
          <w:highlight w:val="none"/>
        </w:rPr>
        <w:t>、</w:t>
      </w:r>
      <w:r>
        <w:rPr>
          <w:rFonts w:hint="default" w:ascii="Times New Roman" w:hAnsi="Times New Roman" w:eastAsia="Times New Roman" w:cs="Times New Roman"/>
          <w:spacing w:val="-7"/>
          <w:sz w:val="24"/>
          <w:szCs w:val="24"/>
          <w:highlight w:val="none"/>
        </w:rPr>
        <w:t>SO</w:t>
      </w:r>
      <w:r>
        <w:rPr>
          <w:rFonts w:hint="default" w:ascii="Times New Roman" w:hAnsi="Times New Roman" w:eastAsia="Times New Roman" w:cs="Times New Roman"/>
          <w:spacing w:val="-7"/>
          <w:position w:val="-1"/>
          <w:sz w:val="15"/>
          <w:szCs w:val="15"/>
          <w:highlight w:val="none"/>
        </w:rPr>
        <w:t>2</w:t>
      </w:r>
      <w:r>
        <w:rPr>
          <w:rFonts w:hint="default" w:ascii="Times New Roman" w:hAnsi="Times New Roman" w:eastAsia="Times New Roman" w:cs="Times New Roman"/>
          <w:spacing w:val="13"/>
          <w:position w:val="-1"/>
          <w:sz w:val="15"/>
          <w:szCs w:val="15"/>
          <w:highlight w:val="none"/>
        </w:rPr>
        <w:t xml:space="preserve"> </w:t>
      </w:r>
      <w:r>
        <w:rPr>
          <w:rFonts w:hint="default" w:ascii="Times New Roman" w:hAnsi="Times New Roman" w:eastAsia="宋体" w:cs="Times New Roman"/>
          <w:spacing w:val="-7"/>
          <w:sz w:val="24"/>
          <w:szCs w:val="24"/>
          <w:highlight w:val="none"/>
        </w:rPr>
        <w:t>和废水中排放的</w:t>
      </w:r>
      <w:r>
        <w:rPr>
          <w:rFonts w:hint="default" w:ascii="Times New Roman" w:hAnsi="Times New Roman" w:eastAsia="宋体" w:cs="Times New Roman"/>
          <w:spacing w:val="-52"/>
          <w:sz w:val="24"/>
          <w:szCs w:val="24"/>
          <w:highlight w:val="none"/>
        </w:rPr>
        <w:t xml:space="preserve"> </w:t>
      </w:r>
      <w:r>
        <w:rPr>
          <w:rFonts w:hint="default" w:ascii="Times New Roman" w:hAnsi="Times New Roman" w:eastAsia="Times New Roman" w:cs="Times New Roman"/>
          <w:spacing w:val="-7"/>
          <w:sz w:val="24"/>
          <w:szCs w:val="24"/>
          <w:highlight w:val="none"/>
        </w:rPr>
        <w:t>COD</w:t>
      </w:r>
      <w:r>
        <w:rPr>
          <w:rFonts w:hint="default" w:ascii="Times New Roman" w:hAnsi="Times New Roman" w:eastAsia="宋体" w:cs="Times New Roman"/>
          <w:spacing w:val="-7"/>
          <w:sz w:val="24"/>
          <w:szCs w:val="24"/>
          <w:highlight w:val="none"/>
        </w:rPr>
        <w:t>、</w:t>
      </w:r>
      <w:r>
        <w:rPr>
          <w:rFonts w:hint="default" w:ascii="Times New Roman" w:hAnsi="Times New Roman" w:eastAsia="Times New Roman" w:cs="Times New Roman"/>
          <w:spacing w:val="-7"/>
          <w:sz w:val="24"/>
          <w:szCs w:val="24"/>
          <w:highlight w:val="none"/>
        </w:rPr>
        <w:t>NH</w:t>
      </w:r>
      <w:r>
        <w:rPr>
          <w:rFonts w:hint="default" w:ascii="Times New Roman" w:hAnsi="Times New Roman" w:eastAsia="Times New Roman" w:cs="Times New Roman"/>
          <w:spacing w:val="-7"/>
          <w:position w:val="-1"/>
          <w:sz w:val="15"/>
          <w:szCs w:val="15"/>
          <w:highlight w:val="none"/>
        </w:rPr>
        <w:t>3</w:t>
      </w:r>
      <w:r>
        <w:rPr>
          <w:rFonts w:hint="default" w:ascii="Times New Roman" w:hAnsi="Times New Roman" w:eastAsia="Times New Roman" w:cs="Times New Roman"/>
          <w:spacing w:val="-7"/>
          <w:sz w:val="24"/>
          <w:szCs w:val="24"/>
          <w:highlight w:val="none"/>
        </w:rPr>
        <w:t>-N</w:t>
      </w:r>
      <w:r>
        <w:rPr>
          <w:rFonts w:hint="default" w:ascii="Times New Roman" w:hAnsi="Times New Roman" w:eastAsia="宋体" w:cs="Times New Roman"/>
          <w:spacing w:val="-7"/>
          <w:sz w:val="24"/>
          <w:szCs w:val="24"/>
          <w:highlight w:val="none"/>
        </w:rPr>
        <w:t>。</w:t>
      </w:r>
      <w:r>
        <w:rPr>
          <w:rFonts w:hint="default" w:ascii="Times New Roman" w:hAnsi="Times New Roman" w:eastAsia="宋体" w:cs="Times New Roman"/>
          <w:sz w:val="24"/>
          <w:szCs w:val="24"/>
          <w:highlight w:val="none"/>
        </w:rPr>
        <w:t xml:space="preserve"> </w:t>
      </w:r>
      <w:r>
        <w:rPr>
          <w:rFonts w:hint="default" w:ascii="Times New Roman" w:hAnsi="Times New Roman" w:eastAsia="宋体" w:cs="Times New Roman"/>
          <w:spacing w:val="-2"/>
          <w:sz w:val="24"/>
          <w:szCs w:val="24"/>
          <w:highlight w:val="none"/>
        </w:rPr>
        <w:t>另外，根据《大气污染防治行动计划》</w:t>
      </w:r>
      <w:r>
        <w:rPr>
          <w:rFonts w:hint="default" w:ascii="Times New Roman" w:hAnsi="Times New Roman" w:eastAsia="宋体" w:cs="Times New Roman"/>
          <w:spacing w:val="2"/>
          <w:sz w:val="24"/>
          <w:szCs w:val="24"/>
          <w:highlight w:val="none"/>
        </w:rPr>
        <w:t>，</w:t>
      </w:r>
      <w:r>
        <w:rPr>
          <w:rFonts w:hint="default" w:ascii="Times New Roman" w:hAnsi="Times New Roman" w:eastAsia="宋体" w:cs="Times New Roman"/>
          <w:spacing w:val="-2"/>
          <w:sz w:val="24"/>
          <w:szCs w:val="24"/>
          <w:highlight w:val="none"/>
        </w:rPr>
        <w:t xml:space="preserve">将烟（粉）尘列入 </w:t>
      </w:r>
      <w:r>
        <w:rPr>
          <w:rFonts w:hint="default" w:ascii="Times New Roman" w:hAnsi="Times New Roman" w:eastAsia="宋体" w:cs="Times New Roman"/>
          <w:spacing w:val="-6"/>
          <w:sz w:val="24"/>
          <w:szCs w:val="24"/>
          <w:highlight w:val="none"/>
        </w:rPr>
        <w:t>总量控制因子。本项目废气总量控制指标为</w:t>
      </w:r>
      <w:r>
        <w:rPr>
          <w:rFonts w:hint="default" w:ascii="Times New Roman" w:hAnsi="Times New Roman" w:eastAsia="宋体" w:cs="Times New Roman"/>
          <w:spacing w:val="-63"/>
          <w:sz w:val="24"/>
          <w:szCs w:val="24"/>
          <w:highlight w:val="none"/>
        </w:rPr>
        <w:t xml:space="preserve"> </w:t>
      </w:r>
      <w:r>
        <w:rPr>
          <w:rFonts w:hint="default" w:ascii="Times New Roman" w:hAnsi="Times New Roman" w:eastAsia="Times New Roman" w:cs="Times New Roman"/>
          <w:spacing w:val="-6"/>
          <w:sz w:val="24"/>
          <w:szCs w:val="24"/>
          <w:highlight w:val="none"/>
        </w:rPr>
        <w:t>NOx</w:t>
      </w:r>
      <w:r>
        <w:rPr>
          <w:rFonts w:hint="default" w:ascii="Times New Roman" w:hAnsi="Times New Roman" w:eastAsia="宋体" w:cs="Times New Roman"/>
          <w:spacing w:val="-6"/>
          <w:sz w:val="24"/>
          <w:szCs w:val="24"/>
          <w:highlight w:val="none"/>
        </w:rPr>
        <w:t>、</w:t>
      </w:r>
      <w:r>
        <w:rPr>
          <w:rFonts w:hint="default" w:ascii="Times New Roman" w:hAnsi="Times New Roman" w:eastAsia="Times New Roman" w:cs="Times New Roman"/>
          <w:spacing w:val="-6"/>
          <w:sz w:val="24"/>
          <w:szCs w:val="24"/>
          <w:highlight w:val="none"/>
        </w:rPr>
        <w:t>SO</w:t>
      </w:r>
      <w:r>
        <w:rPr>
          <w:rFonts w:hint="default" w:ascii="Times New Roman" w:hAnsi="Times New Roman" w:eastAsia="Times New Roman" w:cs="Times New Roman"/>
          <w:spacing w:val="-6"/>
          <w:position w:val="-1"/>
          <w:sz w:val="15"/>
          <w:szCs w:val="15"/>
          <w:highlight w:val="none"/>
        </w:rPr>
        <w:t>2</w:t>
      </w:r>
      <w:r>
        <w:rPr>
          <w:rFonts w:hint="default" w:ascii="Times New Roman" w:hAnsi="Times New Roman" w:eastAsia="宋体" w:cs="Times New Roman"/>
          <w:spacing w:val="-18"/>
          <w:sz w:val="24"/>
          <w:szCs w:val="24"/>
          <w:highlight w:val="none"/>
        </w:rPr>
        <w:t>、烟（粉）尘，项目废水排放</w:t>
      </w:r>
      <w:r>
        <w:rPr>
          <w:rFonts w:hint="default" w:ascii="Times New Roman" w:hAnsi="Times New Roman" w:eastAsia="宋体" w:cs="Times New Roman"/>
          <w:spacing w:val="-52"/>
          <w:sz w:val="24"/>
          <w:szCs w:val="24"/>
          <w:highlight w:val="none"/>
        </w:rPr>
        <w:t xml:space="preserve"> </w:t>
      </w:r>
      <w:r>
        <w:rPr>
          <w:rFonts w:hint="default" w:ascii="Times New Roman" w:hAnsi="Times New Roman" w:eastAsia="Times New Roman" w:cs="Times New Roman"/>
          <w:spacing w:val="-18"/>
          <w:sz w:val="24"/>
          <w:szCs w:val="24"/>
          <w:highlight w:val="none"/>
        </w:rPr>
        <w:t>COD</w:t>
      </w:r>
      <w:r>
        <w:rPr>
          <w:rFonts w:hint="default" w:ascii="Times New Roman" w:hAnsi="Times New Roman" w:eastAsia="宋体" w:cs="Times New Roman"/>
          <w:spacing w:val="-18"/>
          <w:sz w:val="24"/>
          <w:szCs w:val="24"/>
          <w:highlight w:val="none"/>
        </w:rPr>
        <w:t>、</w:t>
      </w:r>
      <w:r>
        <w:rPr>
          <w:rFonts w:hint="default" w:ascii="Times New Roman" w:hAnsi="Times New Roman" w:eastAsia="Times New Roman" w:cs="Times New Roman"/>
          <w:spacing w:val="-1"/>
          <w:sz w:val="24"/>
          <w:szCs w:val="24"/>
          <w:highlight w:val="none"/>
        </w:rPr>
        <w:t>NH</w:t>
      </w:r>
      <w:r>
        <w:rPr>
          <w:rFonts w:hint="default" w:ascii="Times New Roman" w:hAnsi="Times New Roman" w:eastAsia="Times New Roman" w:cs="Times New Roman"/>
          <w:spacing w:val="-1"/>
          <w:position w:val="-1"/>
          <w:sz w:val="15"/>
          <w:szCs w:val="15"/>
          <w:highlight w:val="none"/>
        </w:rPr>
        <w:t>3</w:t>
      </w:r>
      <w:r>
        <w:rPr>
          <w:rFonts w:hint="default" w:ascii="Times New Roman" w:hAnsi="Times New Roman" w:eastAsia="Times New Roman" w:cs="Times New Roman"/>
          <w:spacing w:val="-1"/>
          <w:sz w:val="24"/>
          <w:szCs w:val="24"/>
          <w:highlight w:val="none"/>
        </w:rPr>
        <w:t>-N</w:t>
      </w:r>
      <w:r>
        <w:rPr>
          <w:rFonts w:hint="default" w:ascii="Times New Roman" w:hAnsi="Times New Roman" w:eastAsia="Times New Roman" w:cs="Times New Roman"/>
          <w:spacing w:val="23"/>
          <w:w w:val="101"/>
          <w:sz w:val="24"/>
          <w:szCs w:val="24"/>
          <w:highlight w:val="none"/>
        </w:rPr>
        <w:t xml:space="preserve"> </w:t>
      </w:r>
      <w:r>
        <w:rPr>
          <w:rFonts w:hint="default" w:ascii="Times New Roman" w:hAnsi="Times New Roman" w:eastAsia="宋体" w:cs="Times New Roman"/>
          <w:spacing w:val="-1"/>
          <w:sz w:val="24"/>
          <w:szCs w:val="24"/>
          <w:highlight w:val="none"/>
        </w:rPr>
        <w:t>总量纳入</w:t>
      </w:r>
      <w:r>
        <w:rPr>
          <w:rFonts w:hint="default" w:ascii="Times New Roman" w:hAnsi="Times New Roman" w:eastAsia="宋体" w:cs="Times New Roman"/>
          <w:spacing w:val="-1"/>
          <w:sz w:val="24"/>
          <w:szCs w:val="24"/>
          <w:highlight w:val="none"/>
          <w:lang w:eastAsia="zh-CN"/>
        </w:rPr>
        <w:t>兴隆镇</w:t>
      </w:r>
      <w:r>
        <w:rPr>
          <w:rFonts w:hint="default" w:ascii="Times New Roman" w:hAnsi="Times New Roman" w:eastAsia="宋体" w:cs="Times New Roman"/>
          <w:spacing w:val="-1"/>
          <w:sz w:val="24"/>
          <w:szCs w:val="24"/>
          <w:highlight w:val="none"/>
        </w:rPr>
        <w:t>污水处理厂总量。</w:t>
      </w:r>
    </w:p>
    <w:p>
      <w:pPr>
        <w:spacing w:before="193" w:line="219" w:lineRule="auto"/>
        <w:ind w:left="112"/>
        <w:outlineLvl w:val="1"/>
        <w:rPr>
          <w:rFonts w:hint="default" w:ascii="Times New Roman" w:hAnsi="Times New Roman" w:eastAsia="宋体" w:cs="Times New Roman"/>
          <w:spacing w:val="-7"/>
          <w:sz w:val="24"/>
          <w:szCs w:val="24"/>
          <w:highlight w:val="none"/>
          <w:lang w:val="en-US" w:eastAsia="zh-CN"/>
        </w:rPr>
      </w:pPr>
      <w:bookmarkStart w:id="220" w:name="_Toc301"/>
      <w:bookmarkStart w:id="221" w:name="_Toc18303"/>
      <w:bookmarkStart w:id="222" w:name="_Toc12211"/>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"3.3.6.2" </w:instrText>
      </w:r>
      <w:r>
        <w:rPr>
          <w:rFonts w:hint="default" w:ascii="Times New Roman" w:hAnsi="Times New Roman" w:cs="Times New Roman"/>
          <w:highlight w:val="none"/>
        </w:rPr>
        <w:fldChar w:fldCharType="separate"/>
      </w:r>
      <w:r>
        <w:rPr>
          <w:rFonts w:hint="default" w:ascii="Times New Roman" w:hAnsi="Times New Roman" w:eastAsia="Times New Roman" w:cs="Times New Roman"/>
          <w:b/>
          <w:bCs/>
          <w:spacing w:val="4"/>
          <w:sz w:val="24"/>
          <w:szCs w:val="24"/>
          <w:highlight w:val="none"/>
        </w:rPr>
        <w:t>3.</w:t>
      </w:r>
      <w:r>
        <w:rPr>
          <w:rFonts w:hint="default" w:ascii="Times New Roman" w:hAnsi="Times New Roman" w:eastAsia="宋体" w:cs="Times New Roman"/>
          <w:b/>
          <w:bCs/>
          <w:spacing w:val="4"/>
          <w:sz w:val="24"/>
          <w:szCs w:val="24"/>
          <w:highlight w:val="none"/>
          <w:lang w:val="en-US" w:eastAsia="zh-CN"/>
        </w:rPr>
        <w:t>8</w:t>
      </w:r>
      <w:r>
        <w:rPr>
          <w:rFonts w:hint="default" w:ascii="Times New Roman" w:hAnsi="Times New Roman" w:eastAsia="Times New Roman" w:cs="Times New Roman"/>
          <w:b/>
          <w:bCs/>
          <w:spacing w:val="4"/>
          <w:sz w:val="24"/>
          <w:szCs w:val="24"/>
          <w:highlight w:val="none"/>
        </w:rPr>
        <w:t>.2</w:t>
      </w:r>
      <w:r>
        <w:rPr>
          <w:rFonts w:hint="default" w:ascii="Times New Roman" w:hAnsi="Times New Roman" w:eastAsia="Times New Roman" w:cs="Times New Roman"/>
          <w:b/>
          <w:bCs/>
          <w:spacing w:val="4"/>
          <w:sz w:val="24"/>
          <w:szCs w:val="24"/>
          <w:highlight w:val="none"/>
        </w:rPr>
        <w:fldChar w:fldCharType="end"/>
      </w:r>
      <w:r>
        <w:rPr>
          <w:rFonts w:hint="default" w:ascii="Times New Roman" w:hAnsi="Times New Roman" w:eastAsia="Times New Roman" w:cs="Times New Roman"/>
          <w:b/>
          <w:bCs/>
          <w:spacing w:val="39"/>
          <w:w w:val="101"/>
          <w:sz w:val="24"/>
          <w:szCs w:val="24"/>
          <w:highlight w:val="none"/>
        </w:rPr>
        <w:t xml:space="preserve"> </w:t>
      </w:r>
      <w:r>
        <w:rPr>
          <w:rFonts w:hint="eastAsia" w:ascii="Times New Roman" w:hAnsi="Times New Roman" w:eastAsia="宋体" w:cs="Times New Roman"/>
          <w:b/>
          <w:bCs/>
          <w:spacing w:val="39"/>
          <w:w w:val="101"/>
          <w:sz w:val="24"/>
          <w:szCs w:val="24"/>
          <w:highlight w:val="none"/>
          <w:lang w:eastAsia="zh-CN"/>
        </w:rPr>
        <w:t>“</w:t>
      </w:r>
      <w:r>
        <w:rPr>
          <w:rFonts w:hint="eastAsia" w:ascii="Times New Roman" w:hAnsi="Times New Roman" w:eastAsia="宋体" w:cs="Times New Roman"/>
          <w:spacing w:val="4"/>
          <w:sz w:val="24"/>
          <w:szCs w:val="24"/>
          <w:highlight w:val="none"/>
          <w:lang w:val="en-US" w:eastAsia="zh-CN"/>
          <w14:textOutline w14:w="4358" w14:cap="sq" w14:cmpd="sng">
            <w14:solidFill>
              <w14:srgbClr w14:val="000000"/>
            </w14:solidFill>
            <w14:prstDash w14:val="solid"/>
            <w14:bevel/>
          </w14:textOutline>
        </w:rPr>
        <w:t>三本帐</w:t>
      </w:r>
      <w:r>
        <w:rPr>
          <w:rFonts w:hint="eastAsia" w:ascii="Times New Roman" w:hAnsi="Times New Roman" w:eastAsia="宋体" w:cs="Times New Roman"/>
          <w:b/>
          <w:bCs/>
          <w:spacing w:val="39"/>
          <w:w w:val="101"/>
          <w:sz w:val="24"/>
          <w:szCs w:val="24"/>
          <w:highlight w:val="none"/>
          <w:lang w:eastAsia="zh-CN"/>
        </w:rPr>
        <w:t>”</w:t>
      </w:r>
      <w:bookmarkEnd w:id="220"/>
      <w:bookmarkEnd w:id="221"/>
      <w:bookmarkEnd w:id="222"/>
    </w:p>
    <w:p>
      <w:pPr>
        <w:spacing w:before="126" w:line="228" w:lineRule="auto"/>
        <w:ind w:left="2499"/>
        <w:rPr>
          <w:rFonts w:hint="default" w:ascii="Times New Roman" w:hAnsi="Times New Roman" w:eastAsia="Times New Roman" w:cs="Times New Roman"/>
          <w:sz w:val="20"/>
          <w:szCs w:val="20"/>
          <w:highlight w:val="none"/>
        </w:rPr>
      </w:pP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42"/>
          <w:sz w:val="20"/>
          <w:szCs w:val="20"/>
          <w:highlight w:val="none"/>
        </w:rPr>
        <w:t xml:space="preserve"> </w:t>
      </w:r>
      <w:r>
        <w:rPr>
          <w:rFonts w:hint="default" w:ascii="Times New Roman" w:hAnsi="Times New Roman" w:eastAsia="Times New Roman" w:cs="Times New Roman"/>
          <w:b/>
          <w:bCs/>
          <w:spacing w:val="7"/>
          <w:sz w:val="20"/>
          <w:szCs w:val="20"/>
          <w:highlight w:val="none"/>
        </w:rPr>
        <w:t>3.</w:t>
      </w:r>
      <w:r>
        <w:rPr>
          <w:rFonts w:hint="default" w:ascii="Times New Roman" w:hAnsi="Times New Roman" w:eastAsia="宋体" w:cs="Times New Roman"/>
          <w:b/>
          <w:bCs/>
          <w:spacing w:val="7"/>
          <w:sz w:val="20"/>
          <w:szCs w:val="20"/>
          <w:highlight w:val="none"/>
          <w:lang w:val="en-US" w:eastAsia="zh-CN"/>
        </w:rPr>
        <w:t>8</w:t>
      </w:r>
      <w:r>
        <w:rPr>
          <w:rFonts w:hint="default" w:ascii="Times New Roman" w:hAnsi="Times New Roman" w:eastAsia="Times New Roman" w:cs="Times New Roman"/>
          <w:b/>
          <w:bCs/>
          <w:spacing w:val="7"/>
          <w:sz w:val="20"/>
          <w:szCs w:val="20"/>
          <w:highlight w:val="none"/>
        </w:rPr>
        <w:t xml:space="preserve">-1    </w:t>
      </w: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项目总量控制指标</w:t>
      </w: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要求</w:t>
      </w:r>
      <w:r>
        <w:rPr>
          <w:rFonts w:hint="default" w:ascii="Times New Roman" w:hAnsi="Times New Roman" w:eastAsia="宋体" w:cs="Times New Roman"/>
          <w:spacing w:val="6"/>
          <w:sz w:val="20"/>
          <w:szCs w:val="20"/>
          <w:highlight w:val="none"/>
        </w:rPr>
        <w:t xml:space="preserve">   </w:t>
      </w: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单位：</w:t>
      </w:r>
      <w:r>
        <w:rPr>
          <w:rFonts w:hint="default" w:ascii="Times New Roman" w:hAnsi="Times New Roman" w:eastAsia="Times New Roman" w:cs="Times New Roman"/>
          <w:b/>
          <w:bCs/>
          <w:spacing w:val="6"/>
          <w:sz w:val="20"/>
          <w:szCs w:val="20"/>
          <w:highlight w:val="none"/>
        </w:rPr>
        <w:t>t/a</w:t>
      </w:r>
      <w:r>
        <w:rPr>
          <w:rFonts w:hint="eastAsia" w:ascii="Times New Roman" w:hAnsi="Times New Roman" w:eastAsia="宋体" w:cs="Times New Roman"/>
          <w:spacing w:val="-2"/>
          <w:sz w:val="24"/>
          <w:szCs w:val="24"/>
          <w:highlight w:val="none"/>
          <w:lang w:eastAsia="zh-CN"/>
        </w:rPr>
        <w:t>（</w:t>
      </w:r>
      <w:r>
        <w:rPr>
          <w:rFonts w:hint="eastAsia" w:ascii="Times New Roman" w:hAnsi="Times New Roman" w:eastAsia="宋体" w:cs="Times New Roman"/>
          <w:spacing w:val="-2"/>
          <w:sz w:val="24"/>
          <w:szCs w:val="24"/>
          <w:highlight w:val="none"/>
          <w:lang w:val="en-US" w:eastAsia="zh-CN"/>
        </w:rPr>
        <w:t>核量</w:t>
      </w:r>
      <w:r>
        <w:rPr>
          <w:rFonts w:hint="eastAsia" w:ascii="Times New Roman" w:hAnsi="Times New Roman" w:eastAsia="宋体" w:cs="Times New Roman"/>
          <w:spacing w:val="-2"/>
          <w:sz w:val="24"/>
          <w:szCs w:val="24"/>
          <w:highlight w:val="none"/>
          <w:lang w:eastAsia="zh-CN"/>
        </w:rPr>
        <w:t>）</w:t>
      </w:r>
    </w:p>
    <w:p>
      <w:pPr>
        <w:spacing w:line="18" w:lineRule="exact"/>
        <w:rPr>
          <w:rFonts w:hint="default" w:ascii="Times New Roman" w:hAnsi="Times New Roman" w:cs="Times New Roman"/>
          <w:highlight w:val="none"/>
        </w:rPr>
      </w:pPr>
    </w:p>
    <w:tbl>
      <w:tblPr>
        <w:tblStyle w:val="34"/>
        <w:tblW w:w="494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18"/>
        <w:gridCol w:w="1412"/>
        <w:gridCol w:w="1322"/>
        <w:gridCol w:w="1467"/>
        <w:gridCol w:w="1427"/>
        <w:gridCol w:w="1427"/>
        <w:gridCol w:w="142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7" w:hRule="atLeast"/>
        </w:trPr>
        <w:tc>
          <w:tcPr>
            <w:tcW w:w="390" w:type="pct"/>
            <w:vAlign w:val="top"/>
          </w:tcPr>
          <w:p>
            <w:pPr>
              <w:spacing w:before="218" w:line="228" w:lineRule="auto"/>
              <w:ind w:left="122"/>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项目</w:t>
            </w:r>
          </w:p>
        </w:tc>
        <w:tc>
          <w:tcPr>
            <w:tcW w:w="767" w:type="pct"/>
            <w:vAlign w:val="top"/>
          </w:tcPr>
          <w:p>
            <w:pPr>
              <w:spacing w:before="218" w:line="228" w:lineRule="auto"/>
              <w:ind w:left="325"/>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污染物</w:t>
            </w:r>
          </w:p>
        </w:tc>
        <w:tc>
          <w:tcPr>
            <w:tcW w:w="718" w:type="pct"/>
            <w:vAlign w:val="top"/>
          </w:tcPr>
          <w:p>
            <w:pPr>
              <w:spacing w:before="57" w:line="261" w:lineRule="auto"/>
              <w:ind w:right="175"/>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现有工程</w:t>
            </w:r>
            <w:r>
              <w:rPr>
                <w:rFonts w:hint="default" w:ascii="Times New Roman" w:hAnsi="Times New Roman" w:eastAsia="宋体" w:cs="Times New Roman"/>
                <w:spacing w:val="7"/>
                <w:sz w:val="20"/>
                <w:szCs w:val="20"/>
                <w:highlight w:val="none"/>
              </w:rPr>
              <w:t>年排放量</w:t>
            </w:r>
          </w:p>
        </w:tc>
        <w:tc>
          <w:tcPr>
            <w:tcW w:w="797" w:type="pct"/>
            <w:vAlign w:val="top"/>
          </w:tcPr>
          <w:p>
            <w:pPr>
              <w:spacing w:before="57" w:line="262" w:lineRule="auto"/>
              <w:ind w:right="134"/>
              <w:jc w:val="center"/>
              <w:rPr>
                <w:rFonts w:hint="default" w:ascii="Times New Roman" w:hAnsi="Times New Roman" w:eastAsia="宋体" w:cs="Times New Roman"/>
                <w:sz w:val="20"/>
                <w:szCs w:val="20"/>
                <w:highlight w:val="none"/>
              </w:rPr>
            </w:pPr>
            <w:r>
              <w:rPr>
                <w:rFonts w:hint="eastAsia" w:ascii="Times New Roman" w:hAnsi="Times New Roman" w:eastAsia="宋体" w:cs="Times New Roman"/>
                <w:spacing w:val="7"/>
                <w:sz w:val="20"/>
                <w:szCs w:val="20"/>
                <w:highlight w:val="none"/>
                <w:lang w:val="en-US" w:eastAsia="zh-CN"/>
              </w:rPr>
              <w:t>扩建项目预测</w:t>
            </w:r>
            <w:r>
              <w:rPr>
                <w:rFonts w:hint="default" w:ascii="Times New Roman" w:hAnsi="Times New Roman" w:eastAsia="宋体" w:cs="Times New Roman"/>
                <w:spacing w:val="7"/>
                <w:sz w:val="20"/>
                <w:szCs w:val="20"/>
                <w:highlight w:val="none"/>
              </w:rPr>
              <w:t>年排</w:t>
            </w:r>
            <w:r>
              <w:rPr>
                <w:rFonts w:hint="default" w:ascii="Times New Roman" w:hAnsi="Times New Roman" w:eastAsia="宋体" w:cs="Times New Roman"/>
                <w:spacing w:val="4"/>
                <w:sz w:val="20"/>
                <w:szCs w:val="20"/>
                <w:highlight w:val="none"/>
              </w:rPr>
              <w:t>放量</w:t>
            </w:r>
          </w:p>
        </w:tc>
        <w:tc>
          <w:tcPr>
            <w:tcW w:w="775" w:type="pct"/>
            <w:vAlign w:val="top"/>
          </w:tcPr>
          <w:p>
            <w:pPr>
              <w:spacing w:before="57" w:line="262" w:lineRule="auto"/>
              <w:ind w:right="134"/>
              <w:jc w:val="center"/>
              <w:rPr>
                <w:rFonts w:hint="eastAsia" w:ascii="Times New Roman" w:hAnsi="Times New Roman" w:eastAsia="宋体" w:cs="Times New Roman"/>
                <w:spacing w:val="7"/>
                <w:sz w:val="20"/>
                <w:szCs w:val="20"/>
                <w:highlight w:val="none"/>
                <w:lang w:val="en-US" w:eastAsia="zh-CN"/>
              </w:rPr>
            </w:pPr>
            <w:r>
              <w:rPr>
                <w:rFonts w:hint="eastAsia" w:ascii="Times New Roman" w:hAnsi="Times New Roman" w:eastAsia="宋体" w:cs="Times New Roman"/>
                <w:spacing w:val="7"/>
                <w:sz w:val="20"/>
                <w:szCs w:val="20"/>
                <w:highlight w:val="none"/>
                <w:lang w:val="en-US" w:eastAsia="zh-CN"/>
              </w:rPr>
              <w:t>扩建项目预核定</w:t>
            </w:r>
            <w:r>
              <w:rPr>
                <w:rFonts w:hint="default" w:ascii="Times New Roman" w:hAnsi="Times New Roman" w:eastAsia="宋体" w:cs="Times New Roman"/>
                <w:spacing w:val="7"/>
                <w:sz w:val="20"/>
                <w:szCs w:val="20"/>
                <w:highlight w:val="none"/>
              </w:rPr>
              <w:t>排</w:t>
            </w:r>
            <w:r>
              <w:rPr>
                <w:rFonts w:hint="default" w:ascii="Times New Roman" w:hAnsi="Times New Roman" w:eastAsia="宋体" w:cs="Times New Roman"/>
                <w:spacing w:val="4"/>
                <w:sz w:val="20"/>
                <w:szCs w:val="20"/>
                <w:highlight w:val="none"/>
              </w:rPr>
              <w:t>放量</w:t>
            </w:r>
          </w:p>
        </w:tc>
        <w:tc>
          <w:tcPr>
            <w:tcW w:w="775" w:type="pct"/>
            <w:vAlign w:val="top"/>
          </w:tcPr>
          <w:p>
            <w:pPr>
              <w:spacing w:before="57" w:line="228" w:lineRule="auto"/>
              <w:ind w:left="122"/>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扩建后全厂</w:t>
            </w:r>
            <w:r>
              <w:rPr>
                <w:rFonts w:hint="eastAsia" w:ascii="Times New Roman" w:hAnsi="Times New Roman" w:eastAsia="宋体" w:cs="Times New Roman"/>
                <w:spacing w:val="8"/>
                <w:sz w:val="20"/>
                <w:szCs w:val="20"/>
                <w:highlight w:val="none"/>
                <w:lang w:val="en-US" w:eastAsia="zh-CN"/>
              </w:rPr>
              <w:t>预测</w:t>
            </w:r>
            <w:r>
              <w:rPr>
                <w:rFonts w:hint="default" w:ascii="Times New Roman" w:hAnsi="Times New Roman" w:eastAsia="宋体" w:cs="Times New Roman"/>
                <w:spacing w:val="7"/>
                <w:sz w:val="20"/>
                <w:szCs w:val="20"/>
                <w:highlight w:val="none"/>
              </w:rPr>
              <w:t>年排放量</w:t>
            </w:r>
          </w:p>
        </w:tc>
        <w:tc>
          <w:tcPr>
            <w:tcW w:w="775" w:type="pct"/>
            <w:vAlign w:val="top"/>
          </w:tcPr>
          <w:p>
            <w:pPr>
              <w:spacing w:before="57" w:line="228" w:lineRule="auto"/>
              <w:ind w:left="122"/>
              <w:jc w:val="center"/>
              <w:rPr>
                <w:rFonts w:hint="default" w:ascii="Times New Roman" w:hAnsi="Times New Roman" w:eastAsia="宋体" w:cs="Times New Roman"/>
                <w:spacing w:val="8"/>
                <w:sz w:val="20"/>
                <w:szCs w:val="20"/>
                <w:highlight w:val="none"/>
              </w:rPr>
            </w:pPr>
            <w:r>
              <w:rPr>
                <w:rFonts w:hint="default" w:ascii="Times New Roman" w:hAnsi="Times New Roman" w:eastAsia="宋体" w:cs="Times New Roman"/>
                <w:spacing w:val="8"/>
                <w:sz w:val="20"/>
                <w:szCs w:val="20"/>
                <w:highlight w:val="none"/>
              </w:rPr>
              <w:t>扩建后全厂</w:t>
            </w:r>
            <w:r>
              <w:rPr>
                <w:rFonts w:hint="eastAsia" w:ascii="Times New Roman" w:hAnsi="Times New Roman" w:eastAsia="宋体" w:cs="Times New Roman"/>
                <w:spacing w:val="8"/>
                <w:sz w:val="20"/>
                <w:szCs w:val="20"/>
                <w:highlight w:val="none"/>
                <w:lang w:val="en-US" w:eastAsia="zh-CN"/>
              </w:rPr>
              <w:t>核定</w:t>
            </w:r>
            <w:r>
              <w:rPr>
                <w:rFonts w:hint="default" w:ascii="Times New Roman" w:hAnsi="Times New Roman" w:eastAsia="宋体" w:cs="Times New Roman"/>
                <w:spacing w:val="7"/>
                <w:sz w:val="20"/>
                <w:szCs w:val="20"/>
                <w:highlight w:val="none"/>
              </w:rPr>
              <w:t>年排放量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390" w:type="pct"/>
            <w:vMerge w:val="restart"/>
            <w:tcBorders>
              <w:bottom w:val="nil"/>
            </w:tcBorders>
            <w:vAlign w:val="top"/>
          </w:tcPr>
          <w:p>
            <w:pPr>
              <w:pStyle w:val="35"/>
              <w:spacing w:line="305" w:lineRule="auto"/>
              <w:rPr>
                <w:rFonts w:hint="default" w:ascii="Times New Roman" w:hAnsi="Times New Roman" w:cs="Times New Roman"/>
                <w:highlight w:val="none"/>
              </w:rPr>
            </w:pPr>
          </w:p>
          <w:p>
            <w:pPr>
              <w:spacing w:before="65" w:line="228" w:lineRule="auto"/>
              <w:ind w:left="118"/>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废水</w:t>
            </w:r>
          </w:p>
        </w:tc>
        <w:tc>
          <w:tcPr>
            <w:tcW w:w="767" w:type="pct"/>
            <w:vAlign w:val="top"/>
          </w:tcPr>
          <w:p>
            <w:pPr>
              <w:spacing w:before="101" w:line="195" w:lineRule="auto"/>
              <w:ind w:left="416"/>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COD</w:t>
            </w:r>
          </w:p>
        </w:tc>
        <w:tc>
          <w:tcPr>
            <w:tcW w:w="718" w:type="pct"/>
            <w:vAlign w:val="top"/>
          </w:tcPr>
          <w:p>
            <w:pPr>
              <w:spacing w:before="101" w:line="195" w:lineRule="auto"/>
              <w:ind w:left="408"/>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pacing w:val="3"/>
                <w:sz w:val="20"/>
                <w:szCs w:val="20"/>
                <w:highlight w:val="none"/>
                <w:lang w:val="en-US" w:eastAsia="zh-CN"/>
              </w:rPr>
              <w:t>1.35</w:t>
            </w:r>
          </w:p>
        </w:tc>
        <w:tc>
          <w:tcPr>
            <w:tcW w:w="797" w:type="pct"/>
            <w:vAlign w:val="top"/>
          </w:tcPr>
          <w:p>
            <w:pPr>
              <w:spacing w:before="101"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pacing w:val="2"/>
                <w:sz w:val="20"/>
                <w:szCs w:val="20"/>
                <w:highlight w:val="none"/>
                <w:lang w:val="en-US" w:eastAsia="zh-CN"/>
              </w:rPr>
              <w:t>17.67</w:t>
            </w:r>
          </w:p>
        </w:tc>
        <w:tc>
          <w:tcPr>
            <w:tcW w:w="775" w:type="pct"/>
            <w:vAlign w:val="top"/>
          </w:tcPr>
          <w:p>
            <w:pPr>
              <w:spacing w:before="101" w:line="195" w:lineRule="auto"/>
              <w:jc w:val="center"/>
              <w:rPr>
                <w:rFonts w:hint="default" w:ascii="Times New Roman" w:hAnsi="Times New Roman" w:eastAsia="宋体" w:cs="Times New Roman"/>
                <w:spacing w:val="2"/>
                <w:sz w:val="20"/>
                <w:szCs w:val="20"/>
                <w:highlight w:val="none"/>
                <w:lang w:val="en-US" w:eastAsia="zh-CN"/>
              </w:rPr>
            </w:pPr>
            <w:r>
              <w:rPr>
                <w:rFonts w:hint="eastAsia" w:ascii="Times New Roman" w:hAnsi="Times New Roman" w:eastAsia="宋体" w:cs="Times New Roman"/>
                <w:spacing w:val="2"/>
                <w:sz w:val="20"/>
                <w:szCs w:val="20"/>
                <w:highlight w:val="none"/>
                <w:lang w:val="en-US" w:eastAsia="zh-CN"/>
              </w:rPr>
              <w:t>37.73</w:t>
            </w:r>
          </w:p>
        </w:tc>
        <w:tc>
          <w:tcPr>
            <w:tcW w:w="775" w:type="pct"/>
            <w:vAlign w:val="top"/>
          </w:tcPr>
          <w:p>
            <w:pPr>
              <w:spacing w:before="101"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pacing w:val="3"/>
                <w:sz w:val="20"/>
                <w:szCs w:val="20"/>
                <w:highlight w:val="none"/>
                <w:lang w:val="en-US" w:eastAsia="zh-CN"/>
              </w:rPr>
              <w:t>19.02</w:t>
            </w:r>
          </w:p>
        </w:tc>
        <w:tc>
          <w:tcPr>
            <w:tcW w:w="775" w:type="pct"/>
            <w:vAlign w:val="top"/>
          </w:tcPr>
          <w:p>
            <w:pPr>
              <w:spacing w:before="101" w:line="195" w:lineRule="auto"/>
              <w:jc w:val="center"/>
              <w:rPr>
                <w:rFonts w:hint="default" w:ascii="Times New Roman" w:hAnsi="Times New Roman" w:eastAsia="宋体" w:cs="Times New Roman"/>
                <w:spacing w:val="3"/>
                <w:sz w:val="20"/>
                <w:szCs w:val="20"/>
                <w:highlight w:val="none"/>
                <w:lang w:val="en-US" w:eastAsia="zh-CN"/>
              </w:rPr>
            </w:pPr>
            <w:r>
              <w:rPr>
                <w:rFonts w:hint="eastAsia" w:ascii="Times New Roman" w:hAnsi="Times New Roman" w:eastAsia="宋体" w:cs="Times New Roman"/>
                <w:spacing w:val="3"/>
                <w:sz w:val="20"/>
                <w:szCs w:val="20"/>
                <w:highlight w:val="none"/>
                <w:lang w:val="en-US" w:eastAsia="zh-CN"/>
              </w:rPr>
              <w:t>39.97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1" w:hRule="atLeast"/>
        </w:trPr>
        <w:tc>
          <w:tcPr>
            <w:tcW w:w="390" w:type="pct"/>
            <w:vMerge w:val="continue"/>
            <w:tcBorders>
              <w:top w:val="nil"/>
            </w:tcBorders>
            <w:vAlign w:val="top"/>
          </w:tcPr>
          <w:p>
            <w:pPr>
              <w:pStyle w:val="35"/>
              <w:rPr>
                <w:rFonts w:hint="default" w:ascii="Times New Roman" w:hAnsi="Times New Roman" w:cs="Times New Roman"/>
                <w:highlight w:val="none"/>
              </w:rPr>
            </w:pPr>
          </w:p>
        </w:tc>
        <w:tc>
          <w:tcPr>
            <w:tcW w:w="767" w:type="pct"/>
            <w:vAlign w:val="top"/>
          </w:tcPr>
          <w:p>
            <w:pPr>
              <w:spacing w:before="237" w:line="199" w:lineRule="auto"/>
              <w:ind w:left="332"/>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NH</w:t>
            </w:r>
            <w:r>
              <w:rPr>
                <w:rFonts w:hint="default" w:ascii="Times New Roman" w:hAnsi="Times New Roman" w:eastAsia="Times New Roman" w:cs="Times New Roman"/>
                <w:spacing w:val="9"/>
                <w:position w:val="-1"/>
                <w:sz w:val="13"/>
                <w:szCs w:val="13"/>
                <w:highlight w:val="none"/>
              </w:rPr>
              <w:t>3</w:t>
            </w:r>
            <w:r>
              <w:rPr>
                <w:rFonts w:hint="default" w:ascii="Times New Roman" w:hAnsi="Times New Roman" w:eastAsia="Times New Roman" w:cs="Times New Roman"/>
                <w:spacing w:val="9"/>
                <w:sz w:val="20"/>
                <w:szCs w:val="20"/>
                <w:highlight w:val="none"/>
              </w:rPr>
              <w:t>-N</w:t>
            </w:r>
          </w:p>
        </w:tc>
        <w:tc>
          <w:tcPr>
            <w:tcW w:w="718" w:type="pct"/>
            <w:vAlign w:val="top"/>
          </w:tcPr>
          <w:p>
            <w:pPr>
              <w:spacing w:before="234" w:line="195" w:lineRule="auto"/>
              <w:ind w:left="412"/>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pacing w:val="2"/>
                <w:sz w:val="20"/>
                <w:szCs w:val="20"/>
                <w:highlight w:val="none"/>
                <w:lang w:val="en-US" w:eastAsia="zh-CN"/>
              </w:rPr>
              <w:t>0.11</w:t>
            </w:r>
          </w:p>
        </w:tc>
        <w:tc>
          <w:tcPr>
            <w:tcW w:w="797" w:type="pct"/>
            <w:vAlign w:val="top"/>
          </w:tcPr>
          <w:p>
            <w:pPr>
              <w:spacing w:before="234"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pacing w:val="2"/>
                <w:sz w:val="20"/>
                <w:szCs w:val="20"/>
                <w:highlight w:val="none"/>
                <w:lang w:val="en-US" w:eastAsia="zh-CN"/>
              </w:rPr>
              <w:t>1.38</w:t>
            </w:r>
          </w:p>
        </w:tc>
        <w:tc>
          <w:tcPr>
            <w:tcW w:w="775" w:type="pct"/>
            <w:vAlign w:val="top"/>
          </w:tcPr>
          <w:p>
            <w:pPr>
              <w:spacing w:before="234" w:line="195" w:lineRule="auto"/>
              <w:jc w:val="center"/>
              <w:rPr>
                <w:rFonts w:hint="default" w:ascii="Times New Roman" w:hAnsi="Times New Roman" w:eastAsia="宋体" w:cs="Times New Roman"/>
                <w:spacing w:val="2"/>
                <w:sz w:val="20"/>
                <w:szCs w:val="20"/>
                <w:highlight w:val="none"/>
                <w:lang w:val="en-US" w:eastAsia="zh-CN"/>
              </w:rPr>
            </w:pPr>
            <w:r>
              <w:rPr>
                <w:rFonts w:hint="eastAsia" w:ascii="Times New Roman" w:hAnsi="Times New Roman" w:eastAsia="宋体" w:cs="Times New Roman"/>
                <w:spacing w:val="2"/>
                <w:sz w:val="20"/>
                <w:szCs w:val="20"/>
                <w:highlight w:val="none"/>
                <w:lang w:val="en-US" w:eastAsia="zh-CN"/>
              </w:rPr>
              <w:t>1.38</w:t>
            </w:r>
          </w:p>
        </w:tc>
        <w:tc>
          <w:tcPr>
            <w:tcW w:w="775" w:type="pct"/>
            <w:vAlign w:val="top"/>
          </w:tcPr>
          <w:p>
            <w:pPr>
              <w:spacing w:before="234"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pacing w:val="3"/>
                <w:sz w:val="20"/>
                <w:szCs w:val="20"/>
                <w:highlight w:val="none"/>
                <w:lang w:val="en-US" w:eastAsia="zh-CN"/>
              </w:rPr>
              <w:t>1.49</w:t>
            </w:r>
          </w:p>
        </w:tc>
        <w:tc>
          <w:tcPr>
            <w:tcW w:w="775" w:type="pct"/>
            <w:vAlign w:val="top"/>
          </w:tcPr>
          <w:p>
            <w:pPr>
              <w:spacing w:before="234" w:line="195" w:lineRule="auto"/>
              <w:jc w:val="center"/>
              <w:rPr>
                <w:rFonts w:hint="default" w:ascii="Times New Roman" w:hAnsi="Times New Roman" w:eastAsia="宋体" w:cs="Times New Roman"/>
                <w:spacing w:val="3"/>
                <w:sz w:val="20"/>
                <w:szCs w:val="20"/>
                <w:highlight w:val="none"/>
                <w:lang w:val="en-US" w:eastAsia="zh-CN"/>
              </w:rPr>
            </w:pPr>
            <w:r>
              <w:rPr>
                <w:rFonts w:hint="eastAsia" w:ascii="Times New Roman" w:hAnsi="Times New Roman" w:eastAsia="宋体" w:cs="Times New Roman"/>
                <w:spacing w:val="3"/>
                <w:sz w:val="20"/>
                <w:szCs w:val="20"/>
                <w:highlight w:val="none"/>
                <w:lang w:val="en-US" w:eastAsia="zh-CN"/>
              </w:rPr>
              <w:t>1.49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390" w:type="pct"/>
            <w:vMerge w:val="restart"/>
            <w:tcBorders>
              <w:bottom w:val="nil"/>
            </w:tcBorders>
            <w:vAlign w:val="top"/>
          </w:tcPr>
          <w:p>
            <w:pPr>
              <w:pStyle w:val="35"/>
              <w:spacing w:line="261" w:lineRule="auto"/>
              <w:rPr>
                <w:rFonts w:hint="default" w:ascii="Times New Roman" w:hAnsi="Times New Roman" w:cs="Times New Roman"/>
                <w:highlight w:val="none"/>
              </w:rPr>
            </w:pPr>
          </w:p>
          <w:p>
            <w:pPr>
              <w:pStyle w:val="35"/>
              <w:spacing w:line="262" w:lineRule="auto"/>
              <w:rPr>
                <w:rFonts w:hint="default" w:ascii="Times New Roman" w:hAnsi="Times New Roman" w:cs="Times New Roman"/>
                <w:highlight w:val="none"/>
              </w:rPr>
            </w:pPr>
          </w:p>
          <w:p>
            <w:pPr>
              <w:spacing w:before="65" w:line="228" w:lineRule="auto"/>
              <w:ind w:left="118"/>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废气</w:t>
            </w:r>
          </w:p>
        </w:tc>
        <w:tc>
          <w:tcPr>
            <w:tcW w:w="767" w:type="pct"/>
            <w:vAlign w:val="top"/>
          </w:tcPr>
          <w:p>
            <w:pPr>
              <w:spacing w:before="100" w:line="205" w:lineRule="auto"/>
              <w:ind w:left="474"/>
              <w:rPr>
                <w:rFonts w:hint="default" w:ascii="Times New Roman" w:hAnsi="Times New Roman" w:eastAsia="Times New Roman" w:cs="Times New Roman"/>
                <w:sz w:val="13"/>
                <w:szCs w:val="13"/>
                <w:highlight w:val="none"/>
              </w:rPr>
            </w:pPr>
            <w:r>
              <w:rPr>
                <w:rFonts w:hint="default" w:ascii="Times New Roman" w:hAnsi="Times New Roman" w:eastAsia="Times New Roman" w:cs="Times New Roman"/>
                <w:sz w:val="20"/>
                <w:szCs w:val="20"/>
                <w:highlight w:val="none"/>
              </w:rPr>
              <w:t>SO</w:t>
            </w:r>
            <w:r>
              <w:rPr>
                <w:rFonts w:hint="default" w:ascii="Times New Roman" w:hAnsi="Times New Roman" w:eastAsia="Times New Roman" w:cs="Times New Roman"/>
                <w:spacing w:val="3"/>
                <w:position w:val="-1"/>
                <w:sz w:val="13"/>
                <w:szCs w:val="13"/>
                <w:highlight w:val="none"/>
              </w:rPr>
              <w:t>2</w:t>
            </w:r>
          </w:p>
        </w:tc>
        <w:tc>
          <w:tcPr>
            <w:tcW w:w="718" w:type="pct"/>
            <w:vAlign w:val="top"/>
          </w:tcPr>
          <w:p>
            <w:pPr>
              <w:spacing w:before="101" w:line="195" w:lineRule="auto"/>
              <w:ind w:left="362"/>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0.0017</w:t>
            </w:r>
          </w:p>
        </w:tc>
        <w:tc>
          <w:tcPr>
            <w:tcW w:w="797" w:type="pct"/>
            <w:vAlign w:val="top"/>
          </w:tcPr>
          <w:p>
            <w:pPr>
              <w:spacing w:before="101"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0.0293</w:t>
            </w:r>
          </w:p>
        </w:tc>
        <w:tc>
          <w:tcPr>
            <w:tcW w:w="775" w:type="pct"/>
            <w:vAlign w:val="top"/>
          </w:tcPr>
          <w:p>
            <w:pPr>
              <w:spacing w:before="101"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0.0755</w:t>
            </w:r>
          </w:p>
        </w:tc>
        <w:tc>
          <w:tcPr>
            <w:tcW w:w="775" w:type="pct"/>
            <w:vAlign w:val="top"/>
          </w:tcPr>
          <w:p>
            <w:pPr>
              <w:spacing w:before="101" w:line="195" w:lineRule="auto"/>
              <w:jc w:val="center"/>
              <w:rPr>
                <w:rFonts w:hint="default" w:ascii="Times New Roman" w:hAnsi="Times New Roman" w:eastAsia="Times New Roman" w:cs="Times New Roman"/>
                <w:sz w:val="20"/>
                <w:szCs w:val="20"/>
                <w:highlight w:val="none"/>
              </w:rPr>
            </w:pPr>
            <w:r>
              <w:rPr>
                <w:rFonts w:hint="eastAsia" w:ascii="Times New Roman" w:hAnsi="Times New Roman" w:eastAsia="宋体" w:cs="Times New Roman"/>
                <w:sz w:val="20"/>
                <w:szCs w:val="20"/>
                <w:highlight w:val="none"/>
                <w:lang w:val="en-US" w:eastAsia="zh-CN"/>
              </w:rPr>
              <w:t>0.031</w:t>
            </w:r>
          </w:p>
        </w:tc>
        <w:tc>
          <w:tcPr>
            <w:tcW w:w="775" w:type="pct"/>
            <w:vAlign w:val="top"/>
          </w:tcPr>
          <w:p>
            <w:pPr>
              <w:spacing w:before="101"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0.08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390" w:type="pct"/>
            <w:vMerge w:val="continue"/>
            <w:tcBorders>
              <w:top w:val="nil"/>
              <w:bottom w:val="nil"/>
            </w:tcBorders>
            <w:vAlign w:val="top"/>
          </w:tcPr>
          <w:p>
            <w:pPr>
              <w:pStyle w:val="35"/>
              <w:rPr>
                <w:rFonts w:hint="default" w:ascii="Times New Roman" w:hAnsi="Times New Roman" w:cs="Times New Roman"/>
                <w:highlight w:val="none"/>
              </w:rPr>
            </w:pPr>
          </w:p>
        </w:tc>
        <w:tc>
          <w:tcPr>
            <w:tcW w:w="767" w:type="pct"/>
            <w:vAlign w:val="top"/>
          </w:tcPr>
          <w:p>
            <w:pPr>
              <w:spacing w:before="102" w:line="202" w:lineRule="auto"/>
              <w:ind w:left="442"/>
              <w:rPr>
                <w:rFonts w:hint="default" w:ascii="Times New Roman" w:hAnsi="Times New Roman" w:eastAsia="Times New Roman" w:cs="Times New Roman"/>
                <w:sz w:val="13"/>
                <w:szCs w:val="13"/>
                <w:highlight w:val="none"/>
              </w:rPr>
            </w:pPr>
            <w:r>
              <w:rPr>
                <w:rFonts w:hint="default" w:ascii="Times New Roman" w:hAnsi="Times New Roman" w:eastAsia="Times New Roman" w:cs="Times New Roman"/>
                <w:spacing w:val="6"/>
                <w:sz w:val="20"/>
                <w:szCs w:val="20"/>
                <w:highlight w:val="none"/>
              </w:rPr>
              <w:t>NO</w:t>
            </w:r>
            <w:r>
              <w:rPr>
                <w:rFonts w:hint="default" w:ascii="Times New Roman" w:hAnsi="Times New Roman" w:eastAsia="Times New Roman" w:cs="Times New Roman"/>
                <w:spacing w:val="6"/>
                <w:position w:val="-1"/>
                <w:sz w:val="13"/>
                <w:szCs w:val="13"/>
                <w:highlight w:val="none"/>
              </w:rPr>
              <w:t>x</w:t>
            </w:r>
          </w:p>
        </w:tc>
        <w:tc>
          <w:tcPr>
            <w:tcW w:w="718" w:type="pct"/>
            <w:vAlign w:val="top"/>
          </w:tcPr>
          <w:p>
            <w:pPr>
              <w:spacing w:before="102" w:line="195" w:lineRule="auto"/>
              <w:ind w:left="362"/>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0.0055</w:t>
            </w:r>
          </w:p>
        </w:tc>
        <w:tc>
          <w:tcPr>
            <w:tcW w:w="797" w:type="pct"/>
            <w:vAlign w:val="top"/>
          </w:tcPr>
          <w:p>
            <w:pPr>
              <w:spacing w:before="102"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0.0925</w:t>
            </w:r>
          </w:p>
        </w:tc>
        <w:tc>
          <w:tcPr>
            <w:tcW w:w="775" w:type="pct"/>
            <w:vAlign w:val="top"/>
          </w:tcPr>
          <w:p>
            <w:pPr>
              <w:spacing w:before="102"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0.11325</w:t>
            </w:r>
          </w:p>
        </w:tc>
        <w:tc>
          <w:tcPr>
            <w:tcW w:w="775" w:type="pct"/>
            <w:vAlign w:val="top"/>
          </w:tcPr>
          <w:p>
            <w:pPr>
              <w:spacing w:before="102" w:line="195" w:lineRule="auto"/>
              <w:jc w:val="center"/>
              <w:rPr>
                <w:rFonts w:hint="default" w:ascii="Times New Roman" w:hAnsi="Times New Roman" w:eastAsia="Times New Roman" w:cs="Times New Roman"/>
                <w:sz w:val="20"/>
                <w:szCs w:val="20"/>
                <w:highlight w:val="none"/>
              </w:rPr>
            </w:pPr>
            <w:r>
              <w:rPr>
                <w:rFonts w:hint="eastAsia" w:ascii="Times New Roman" w:hAnsi="Times New Roman" w:eastAsia="宋体" w:cs="Times New Roman"/>
                <w:sz w:val="20"/>
                <w:szCs w:val="20"/>
                <w:highlight w:val="none"/>
                <w:lang w:val="en-US" w:eastAsia="zh-CN"/>
              </w:rPr>
              <w:t>0.098</w:t>
            </w:r>
          </w:p>
        </w:tc>
        <w:tc>
          <w:tcPr>
            <w:tcW w:w="775" w:type="pct"/>
            <w:vAlign w:val="top"/>
          </w:tcPr>
          <w:p>
            <w:pPr>
              <w:spacing w:before="102"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390" w:type="pct"/>
            <w:vMerge w:val="continue"/>
            <w:tcBorders>
              <w:top w:val="nil"/>
              <w:bottom w:val="nil"/>
            </w:tcBorders>
            <w:vAlign w:val="top"/>
          </w:tcPr>
          <w:p>
            <w:pPr>
              <w:pStyle w:val="35"/>
              <w:rPr>
                <w:rFonts w:hint="default" w:ascii="Times New Roman" w:hAnsi="Times New Roman" w:cs="Times New Roman"/>
                <w:highlight w:val="none"/>
              </w:rPr>
            </w:pPr>
          </w:p>
        </w:tc>
        <w:tc>
          <w:tcPr>
            <w:tcW w:w="767" w:type="pct"/>
            <w:vAlign w:val="top"/>
          </w:tcPr>
          <w:p>
            <w:pPr>
              <w:spacing w:before="67" w:line="228" w:lineRule="auto"/>
              <w:ind w:left="115"/>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烟（粉）尘</w:t>
            </w:r>
          </w:p>
        </w:tc>
        <w:tc>
          <w:tcPr>
            <w:tcW w:w="718" w:type="pct"/>
            <w:vAlign w:val="top"/>
          </w:tcPr>
          <w:p>
            <w:pPr>
              <w:spacing w:before="103"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0.00056</w:t>
            </w:r>
          </w:p>
        </w:tc>
        <w:tc>
          <w:tcPr>
            <w:tcW w:w="797" w:type="pct"/>
            <w:vAlign w:val="top"/>
          </w:tcPr>
          <w:p>
            <w:pPr>
              <w:spacing w:before="103"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0.00944</w:t>
            </w:r>
          </w:p>
        </w:tc>
        <w:tc>
          <w:tcPr>
            <w:tcW w:w="775" w:type="pct"/>
            <w:vAlign w:val="top"/>
          </w:tcPr>
          <w:p>
            <w:pPr>
              <w:spacing w:before="103"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0.0142</w:t>
            </w:r>
          </w:p>
        </w:tc>
        <w:tc>
          <w:tcPr>
            <w:tcW w:w="775" w:type="pct"/>
            <w:vAlign w:val="top"/>
          </w:tcPr>
          <w:p>
            <w:pPr>
              <w:spacing w:before="103" w:line="195" w:lineRule="auto"/>
              <w:jc w:val="center"/>
              <w:rPr>
                <w:rFonts w:hint="default" w:ascii="Times New Roman" w:hAnsi="Times New Roman" w:eastAsia="Times New Roman" w:cs="Times New Roman"/>
                <w:sz w:val="20"/>
                <w:szCs w:val="20"/>
                <w:highlight w:val="none"/>
              </w:rPr>
            </w:pPr>
            <w:r>
              <w:rPr>
                <w:rFonts w:hint="eastAsia" w:ascii="Times New Roman" w:hAnsi="Times New Roman" w:eastAsia="宋体" w:cs="Times New Roman"/>
                <w:sz w:val="20"/>
                <w:szCs w:val="20"/>
                <w:highlight w:val="none"/>
                <w:lang w:val="en-US" w:eastAsia="zh-CN"/>
              </w:rPr>
              <w:t>0.01</w:t>
            </w:r>
          </w:p>
        </w:tc>
        <w:tc>
          <w:tcPr>
            <w:tcW w:w="775" w:type="pct"/>
            <w:vAlign w:val="top"/>
          </w:tcPr>
          <w:p>
            <w:pPr>
              <w:spacing w:before="103"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0.015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390" w:type="pct"/>
            <w:vMerge w:val="continue"/>
            <w:tcBorders>
              <w:top w:val="nil"/>
            </w:tcBorders>
            <w:vAlign w:val="top"/>
          </w:tcPr>
          <w:p>
            <w:pPr>
              <w:pStyle w:val="35"/>
              <w:rPr>
                <w:rFonts w:hint="default" w:ascii="Times New Roman" w:hAnsi="Times New Roman" w:cs="Times New Roman"/>
                <w:highlight w:val="none"/>
              </w:rPr>
            </w:pPr>
          </w:p>
        </w:tc>
        <w:tc>
          <w:tcPr>
            <w:tcW w:w="767" w:type="pct"/>
            <w:vAlign w:val="top"/>
          </w:tcPr>
          <w:p>
            <w:pPr>
              <w:spacing w:before="104" w:line="195" w:lineRule="auto"/>
              <w:ind w:left="370"/>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5"/>
                <w:sz w:val="20"/>
                <w:szCs w:val="20"/>
                <w:highlight w:val="none"/>
              </w:rPr>
              <w:t>VOCs</w:t>
            </w:r>
          </w:p>
        </w:tc>
        <w:tc>
          <w:tcPr>
            <w:tcW w:w="718" w:type="pct"/>
            <w:vAlign w:val="top"/>
          </w:tcPr>
          <w:p>
            <w:pPr>
              <w:spacing w:before="104"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0.000039</w:t>
            </w:r>
          </w:p>
        </w:tc>
        <w:tc>
          <w:tcPr>
            <w:tcW w:w="797" w:type="pct"/>
            <w:vAlign w:val="top"/>
          </w:tcPr>
          <w:p>
            <w:pPr>
              <w:spacing w:before="104"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0.000662</w:t>
            </w:r>
          </w:p>
        </w:tc>
        <w:tc>
          <w:tcPr>
            <w:tcW w:w="775" w:type="pct"/>
            <w:vAlign w:val="top"/>
          </w:tcPr>
          <w:p>
            <w:pPr>
              <w:spacing w:before="104"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0.0189</w:t>
            </w:r>
          </w:p>
        </w:tc>
        <w:tc>
          <w:tcPr>
            <w:tcW w:w="775" w:type="pct"/>
            <w:vAlign w:val="top"/>
          </w:tcPr>
          <w:p>
            <w:pPr>
              <w:spacing w:before="104" w:line="195" w:lineRule="auto"/>
              <w:jc w:val="center"/>
              <w:outlineLvl w:val="0"/>
              <w:rPr>
                <w:rFonts w:hint="default" w:ascii="Times New Roman" w:hAnsi="Times New Roman" w:eastAsia="宋体" w:cs="Times New Roman"/>
                <w:sz w:val="20"/>
                <w:szCs w:val="20"/>
                <w:highlight w:val="none"/>
                <w:lang w:val="en-US" w:eastAsia="zh-CN"/>
              </w:rPr>
            </w:pPr>
            <w:bookmarkStart w:id="223" w:name="_Toc17951"/>
            <w:bookmarkStart w:id="224" w:name="_Toc18775"/>
            <w:bookmarkStart w:id="225" w:name="_Toc4211"/>
            <w:r>
              <w:rPr>
                <w:rFonts w:hint="eastAsia" w:ascii="Times New Roman" w:hAnsi="Times New Roman" w:eastAsia="宋体" w:cs="Times New Roman"/>
                <w:sz w:val="20"/>
                <w:szCs w:val="20"/>
                <w:highlight w:val="none"/>
                <w:lang w:val="en-US" w:eastAsia="zh-CN"/>
              </w:rPr>
              <w:t>0.000701</w:t>
            </w:r>
            <w:bookmarkEnd w:id="223"/>
            <w:bookmarkEnd w:id="224"/>
            <w:bookmarkEnd w:id="225"/>
          </w:p>
        </w:tc>
        <w:tc>
          <w:tcPr>
            <w:tcW w:w="775" w:type="pct"/>
            <w:vAlign w:val="top"/>
          </w:tcPr>
          <w:p>
            <w:pPr>
              <w:spacing w:before="104" w:line="195" w:lineRule="auto"/>
              <w:jc w:val="center"/>
              <w:outlineLvl w:val="0"/>
              <w:rPr>
                <w:rFonts w:hint="default" w:ascii="Times New Roman" w:hAnsi="Times New Roman" w:eastAsia="宋体" w:cs="Times New Roman"/>
                <w:sz w:val="20"/>
                <w:szCs w:val="20"/>
                <w:highlight w:val="none"/>
                <w:lang w:val="en-US" w:eastAsia="zh-CN"/>
              </w:rPr>
            </w:pPr>
            <w:bookmarkStart w:id="226" w:name="_Toc29559"/>
            <w:bookmarkStart w:id="227" w:name="_Toc7450"/>
            <w:bookmarkStart w:id="228" w:name="_Toc7998"/>
            <w:r>
              <w:rPr>
                <w:rFonts w:hint="eastAsia" w:ascii="Times New Roman" w:hAnsi="Times New Roman" w:eastAsia="宋体" w:cs="Times New Roman"/>
                <w:sz w:val="20"/>
                <w:szCs w:val="20"/>
                <w:highlight w:val="none"/>
                <w:lang w:val="en-US" w:eastAsia="zh-CN"/>
              </w:rPr>
              <w:t>0.02</w:t>
            </w:r>
            <w:bookmarkEnd w:id="226"/>
            <w:bookmarkEnd w:id="227"/>
            <w:bookmarkEnd w:id="228"/>
          </w:p>
        </w:tc>
      </w:tr>
    </w:tbl>
    <w:p>
      <w:pPr>
        <w:pStyle w:val="6"/>
        <w:rPr>
          <w:rFonts w:hint="default" w:ascii="Times New Roman" w:hAnsi="Times New Roman" w:cs="Times New Roman"/>
          <w:highlight w:val="none"/>
        </w:rPr>
      </w:pPr>
    </w:p>
    <w:p>
      <w:pPr>
        <w:widowControl/>
        <w:tabs>
          <w:tab w:val="left" w:leader="middleDot" w:pos="7371"/>
        </w:tabs>
        <w:kinsoku/>
        <w:autoSpaceDE/>
        <w:autoSpaceDN/>
        <w:adjustRightInd/>
        <w:snapToGrid/>
        <w:spacing w:line="360" w:lineRule="auto"/>
        <w:jc w:val="left"/>
        <w:textAlignment w:val="auto"/>
        <w:outlineLvl w:val="9"/>
        <w:rPr>
          <w:rFonts w:hint="default" w:ascii="Times New Roman" w:hAnsi="Times New Roman" w:eastAsia="宋体" w:cs="Times New Roman"/>
          <w:b/>
          <w:snapToGrid/>
          <w:color w:val="auto"/>
          <w:kern w:val="0"/>
          <w:sz w:val="32"/>
          <w:szCs w:val="32"/>
          <w:highlight w:val="none"/>
          <w:lang w:eastAsia="zh-CN"/>
        </w:rPr>
        <w:sectPr>
          <w:pgSz w:w="11906" w:h="16839"/>
          <w:pgMar w:top="1203" w:right="1308" w:bottom="1157" w:left="1307" w:header="962" w:footer="992" w:gutter="0"/>
          <w:pgBorders>
            <w:top w:val="none" w:sz="0" w:space="0"/>
            <w:left w:val="none" w:sz="0" w:space="0"/>
            <w:bottom w:val="none" w:sz="0" w:space="0"/>
            <w:right w:val="none" w:sz="0" w:space="0"/>
          </w:pgBorders>
          <w:pgNumType w:fmt="decimal"/>
          <w:cols w:space="720" w:num="1"/>
        </w:sectPr>
      </w:pPr>
    </w:p>
    <w:p>
      <w:pPr>
        <w:widowControl/>
        <w:tabs>
          <w:tab w:val="left" w:leader="middleDot" w:pos="7371"/>
        </w:tabs>
        <w:kinsoku/>
        <w:autoSpaceDE/>
        <w:autoSpaceDN/>
        <w:adjustRightInd/>
        <w:snapToGrid/>
        <w:spacing w:line="360" w:lineRule="auto"/>
        <w:jc w:val="left"/>
        <w:textAlignment w:val="auto"/>
        <w:outlineLvl w:val="0"/>
        <w:rPr>
          <w:rFonts w:hint="default" w:ascii="Times New Roman" w:hAnsi="Times New Roman" w:eastAsia="宋体" w:cs="Times New Roman"/>
          <w:b/>
          <w:snapToGrid/>
          <w:color w:val="auto"/>
          <w:kern w:val="0"/>
          <w:sz w:val="32"/>
          <w:szCs w:val="32"/>
          <w:highlight w:val="none"/>
          <w:lang w:eastAsia="zh-CN"/>
        </w:rPr>
      </w:pPr>
      <w:bookmarkStart w:id="229" w:name="_Toc17527"/>
      <w:r>
        <w:rPr>
          <w:rFonts w:hint="default" w:ascii="Times New Roman" w:hAnsi="Times New Roman" w:eastAsia="宋体" w:cs="Times New Roman"/>
          <w:b/>
          <w:snapToGrid/>
          <w:color w:val="auto"/>
          <w:kern w:val="0"/>
          <w:sz w:val="32"/>
          <w:szCs w:val="32"/>
          <w:highlight w:val="none"/>
          <w:lang w:eastAsia="zh-CN"/>
        </w:rPr>
        <w:t>4  环境现状调查与评价</w:t>
      </w:r>
      <w:bookmarkEnd w:id="229"/>
    </w:p>
    <w:p>
      <w:pPr>
        <w:widowControl w:val="0"/>
        <w:kinsoku/>
        <w:autoSpaceDE/>
        <w:autoSpaceDN/>
        <w:adjustRightInd/>
        <w:snapToGrid/>
        <w:spacing w:line="360" w:lineRule="auto"/>
        <w:jc w:val="left"/>
        <w:textAlignment w:val="auto"/>
        <w:outlineLvl w:val="1"/>
        <w:rPr>
          <w:rFonts w:hint="default" w:ascii="Times New Roman" w:hAnsi="Times New Roman" w:eastAsia="宋体" w:cs="Times New Roman"/>
          <w:b/>
          <w:bCs/>
          <w:snapToGrid/>
          <w:color w:val="auto"/>
          <w:kern w:val="44"/>
          <w:sz w:val="30"/>
          <w:szCs w:val="30"/>
          <w:lang w:eastAsia="zh-CN"/>
        </w:rPr>
      </w:pPr>
      <w:bookmarkStart w:id="230" w:name="_Toc12317"/>
      <w:r>
        <w:rPr>
          <w:rFonts w:hint="default" w:ascii="Times New Roman" w:hAnsi="Times New Roman" w:eastAsia="宋体" w:cs="Times New Roman"/>
          <w:b/>
          <w:bCs/>
          <w:snapToGrid/>
          <w:color w:val="auto"/>
          <w:kern w:val="44"/>
          <w:sz w:val="30"/>
          <w:szCs w:val="30"/>
          <w:lang w:eastAsia="zh-CN"/>
        </w:rPr>
        <w:t>4.1自然环境现状调查与评价</w:t>
      </w:r>
      <w:bookmarkEnd w:id="230"/>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eastAsia="zh-CN"/>
        </w:rPr>
      </w:pPr>
      <w:r>
        <w:rPr>
          <w:rFonts w:hint="default" w:ascii="Times New Roman" w:hAnsi="Times New Roman" w:eastAsia="宋体" w:cs="Times New Roman"/>
          <w:b/>
          <w:bCs w:val="0"/>
          <w:snapToGrid/>
          <w:color w:val="auto"/>
          <w:kern w:val="2"/>
          <w:sz w:val="28"/>
          <w:szCs w:val="28"/>
          <w:lang w:eastAsia="zh-CN"/>
        </w:rPr>
        <w:t>4.1.1</w:t>
      </w:r>
      <w:r>
        <w:rPr>
          <w:rFonts w:hint="default" w:ascii="Times New Roman" w:hAnsi="Times New Roman" w:eastAsia="宋体" w:cs="Times New Roman"/>
          <w:b/>
          <w:bCs w:val="0"/>
          <w:snapToGrid/>
          <w:color w:val="auto"/>
          <w:kern w:val="2"/>
          <w:sz w:val="28"/>
          <w:szCs w:val="28"/>
          <w:lang w:val="en-US" w:eastAsia="zh-CN"/>
        </w:rPr>
        <w:t xml:space="preserve">  </w:t>
      </w:r>
      <w:r>
        <w:rPr>
          <w:rFonts w:hint="default" w:ascii="Times New Roman" w:hAnsi="Times New Roman" w:eastAsia="宋体" w:cs="Times New Roman"/>
          <w:b/>
          <w:bCs w:val="0"/>
          <w:snapToGrid/>
          <w:color w:val="auto"/>
          <w:kern w:val="2"/>
          <w:sz w:val="28"/>
          <w:szCs w:val="28"/>
          <w:lang w:eastAsia="zh-CN"/>
        </w:rPr>
        <w:t>地理位置</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巴彦县地处黑龙江省中部偏南，松花江中游北岸，松嫩平原东部的边缘地带。地理坐标为东经126°45′53″～127°42′16″、北纬45°54′28″～46°40′18″之间。县之四邻南靠松花江与宾县为一水之隔，西依漂河与呼兰区为邻，北依泥河与绥化市、庆安县交界，东接骆驼砬子山及黄泥河与木兰县划疆而治。县境内南北最大间距 85km，东西跨度最宽75.4km，边界周长338km。总幅员面积3137.7km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。县境距省会哈尔滨市97km，是哈尔滨市郊区县。</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pacing w:val="7"/>
          <w:sz w:val="24"/>
          <w:szCs w:val="24"/>
          <w:lang w:val="en-US" w:eastAsia="zh-CN"/>
        </w:rPr>
      </w:pPr>
      <w:r>
        <w:rPr>
          <w:rFonts w:hint="default" w:ascii="Times New Roman" w:hAnsi="Times New Roman" w:eastAsia="宋体" w:cs="Times New Roman"/>
          <w:spacing w:val="7"/>
          <w:sz w:val="24"/>
          <w:szCs w:val="24"/>
        </w:rPr>
        <w:t>本项目位于</w:t>
      </w:r>
      <w:r>
        <w:rPr>
          <w:rFonts w:hint="default" w:ascii="Times New Roman" w:hAnsi="Times New Roman" w:eastAsia="宋体" w:cs="Times New Roman"/>
          <w:spacing w:val="7"/>
          <w:sz w:val="24"/>
          <w:szCs w:val="24"/>
          <w:lang w:eastAsia="zh-CN"/>
        </w:rPr>
        <w:t>哈尔滨市巴彦县兴隆镇中兴村南门外哈尔滨华康肉制品加工有限责任公司</w:t>
      </w:r>
      <w:r>
        <w:rPr>
          <w:rFonts w:hint="default" w:ascii="Times New Roman" w:hAnsi="Times New Roman" w:eastAsia="宋体" w:cs="Times New Roman"/>
          <w:spacing w:val="7"/>
          <w:sz w:val="24"/>
          <w:szCs w:val="24"/>
        </w:rPr>
        <w:t>内。</w:t>
      </w:r>
      <w:r>
        <w:rPr>
          <w:rFonts w:hint="default" w:ascii="Times New Roman" w:hAnsi="Times New Roman" w:eastAsia="宋体" w:cs="Times New Roman"/>
          <w:spacing w:val="7"/>
          <w:sz w:val="24"/>
          <w:szCs w:val="24"/>
          <w:lang w:val="en-US" w:eastAsia="zh-CN"/>
        </w:rPr>
        <w:t>项目所在位置见图4-1-4。</w:t>
      </w:r>
    </w:p>
    <w:p>
      <w:pPr>
        <w:pStyle w:val="29"/>
        <w:ind w:left="0" w:leftChars="0" w:firstLine="0" w:firstLineChars="0"/>
        <w:rPr>
          <w:rFonts w:hint="default" w:ascii="Times New Roman" w:hAnsi="Times New Roman" w:cs="Times New Roman"/>
        </w:rPr>
      </w:pPr>
      <w:r>
        <w:rPr>
          <w:rFonts w:hint="default" w:ascii="Times New Roman" w:hAnsi="Times New Roman" w:cs="Times New Roman"/>
        </w:rPr>
        <w:drawing>
          <wp:inline distT="0" distB="0" distL="114300" distR="114300">
            <wp:extent cx="5901690" cy="3720465"/>
            <wp:effectExtent l="0" t="0" r="3810" b="13335"/>
            <wp:docPr id="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1"/>
                    </pic:cNvPicPr>
                  </pic:nvPicPr>
                  <pic:blipFill>
                    <a:blip r:embed="rId49"/>
                    <a:stretch>
                      <a:fillRect/>
                    </a:stretch>
                  </pic:blipFill>
                  <pic:spPr>
                    <a:xfrm>
                      <a:off x="0" y="0"/>
                      <a:ext cx="5901690" cy="372046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pPr>
      <w:r>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图4-1-1 项目地理位置图</w:t>
      </w:r>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eastAsia="zh-CN"/>
        </w:rPr>
        <w:t>4.1.2</w:t>
      </w:r>
      <w:r>
        <w:rPr>
          <w:rFonts w:hint="default" w:ascii="Times New Roman" w:hAnsi="Times New Roman" w:eastAsia="宋体" w:cs="Times New Roman"/>
          <w:b/>
          <w:bCs w:val="0"/>
          <w:snapToGrid/>
          <w:color w:val="auto"/>
          <w:kern w:val="2"/>
          <w:sz w:val="28"/>
          <w:szCs w:val="28"/>
          <w:lang w:val="en-US" w:eastAsia="zh-CN"/>
        </w:rPr>
        <w:t xml:space="preserve">  地形地貌</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08" w:firstLineChars="200"/>
        <w:jc w:val="both"/>
        <w:textAlignment w:val="baseline"/>
        <w:rPr>
          <w:rFonts w:hint="default" w:ascii="Times New Roman" w:hAnsi="Times New Roman" w:eastAsia="宋体" w:cs="Times New Roman"/>
          <w:spacing w:val="7"/>
          <w:sz w:val="24"/>
          <w:szCs w:val="24"/>
          <w:lang w:val="en-US" w:eastAsia="zh-CN"/>
        </w:rPr>
      </w:pPr>
      <w:r>
        <w:rPr>
          <w:rFonts w:hint="default" w:ascii="Times New Roman" w:hAnsi="Times New Roman" w:eastAsia="宋体" w:cs="Times New Roman"/>
          <w:spacing w:val="7"/>
          <w:sz w:val="24"/>
          <w:szCs w:val="24"/>
        </w:rPr>
        <w:t>巴彦县位于松嫩平原与小兴安岭西南山麓接壤地带，小兴安岭余脉呈现“马蹄形”坐落在该县东部，使全县总地势有东北向西南倾斜，形成了东高西低、南平北岗中部多丘陵的地形地貌，海拔高度为110~564.3m。县境内有大小山峰29座。在全县土地面积中，地貌形态组成分6个地貌内型区。低山丘陵残山区占11.3%，低山丘陵边缘坡岗地占23.5%，波状缓坡漫岗地占28.6%，松花江阶地占9.2%，河谷滩地占11%，沟谷滩地占16.4%。农用地269391.24hm</w:t>
      </w:r>
      <w:r>
        <w:rPr>
          <w:rFonts w:hint="default" w:ascii="Times New Roman" w:hAnsi="Times New Roman" w:eastAsia="宋体" w:cs="Times New Roman"/>
          <w:spacing w:val="7"/>
          <w:sz w:val="24"/>
          <w:szCs w:val="24"/>
          <w:vertAlign w:val="superscript"/>
        </w:rPr>
        <w:t>2</w:t>
      </w:r>
      <w:r>
        <w:rPr>
          <w:rFonts w:hint="default" w:ascii="Times New Roman" w:hAnsi="Times New Roman" w:eastAsia="宋体" w:cs="Times New Roman"/>
          <w:spacing w:val="7"/>
          <w:sz w:val="24"/>
          <w:szCs w:val="24"/>
        </w:rPr>
        <w:t>，占土地总面积的85.92%。耕地211490.19hm</w:t>
      </w:r>
      <w:r>
        <w:rPr>
          <w:rFonts w:hint="default" w:ascii="Times New Roman" w:hAnsi="Times New Roman" w:eastAsia="宋体" w:cs="Times New Roman"/>
          <w:spacing w:val="7"/>
          <w:sz w:val="24"/>
          <w:szCs w:val="24"/>
          <w:vertAlign w:val="superscript"/>
        </w:rPr>
        <w:t>2</w:t>
      </w:r>
      <w:r>
        <w:rPr>
          <w:rFonts w:hint="default" w:ascii="Times New Roman" w:hAnsi="Times New Roman" w:eastAsia="宋体" w:cs="Times New Roman"/>
          <w:spacing w:val="7"/>
          <w:sz w:val="24"/>
          <w:szCs w:val="24"/>
        </w:rPr>
        <w:t>，占土地总面积的67.46%。</w:t>
      </w:r>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4.1.3  气候、气象</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巴彦县属中温带大陆性季风气候。由于受季风气候的影响，春季多风少雨，温暖舒适；夏季气候炎热，雨量充沛；秋季温凉适度，天高气爽；冬季岁月漫长，少雪寒冷。四季分明，温差较大。年平均气温2.9℃。1月平均气温-20.9℃，7月平均气温22.4℃；年平均日照占总时数的46.9%。太阳辐射资源丰富，年辐射总量为44×108焦耳/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左右，农作物生产季节辐射总量占全年55～60%；累计平均降水量582.2mm，最小372.5mm；全年无霜期一般在115～135天之间，最长的151天，最短112天。根据多年资料，兴隆镇主导风向不明显，全年最多风向为E~SE和W~SW。</w:t>
      </w:r>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4.1.4  水文地质</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jc w:val="both"/>
        <w:textAlignment w:val="baseline"/>
        <w:outlineLvl w:val="3"/>
        <w:rPr>
          <w:rFonts w:hint="default" w:ascii="Times New Roman" w:hAnsi="Times New Roman" w:eastAsia="黑体" w:cs="Times New Roman"/>
          <w:spacing w:val="-1"/>
          <w:sz w:val="24"/>
          <w:szCs w:val="24"/>
        </w:rPr>
      </w:pPr>
      <w:r>
        <w:rPr>
          <w:rFonts w:hint="default" w:ascii="Times New Roman" w:hAnsi="Times New Roman" w:eastAsia="宋体" w:cs="Times New Roman"/>
          <w:b/>
          <w:bCs w:val="0"/>
          <w:snapToGrid/>
          <w:color w:val="auto"/>
          <w:kern w:val="2"/>
          <w:sz w:val="24"/>
          <w:szCs w:val="24"/>
          <w:lang w:val="en-US" w:eastAsia="zh-CN" w:bidi="ar-SA"/>
        </w:rPr>
        <w:fldChar w:fldCharType="begin"/>
      </w:r>
      <w:r>
        <w:rPr>
          <w:rFonts w:hint="default" w:ascii="Times New Roman" w:hAnsi="Times New Roman" w:eastAsia="宋体" w:cs="Times New Roman"/>
          <w:b/>
          <w:bCs w:val="0"/>
          <w:snapToGrid/>
          <w:color w:val="auto"/>
          <w:kern w:val="2"/>
          <w:sz w:val="24"/>
          <w:szCs w:val="24"/>
          <w:lang w:val="en-US" w:eastAsia="zh-CN" w:bidi="ar-SA"/>
        </w:rPr>
        <w:instrText xml:space="preserve"> HYPERLINK "4.1.4.1" </w:instrText>
      </w:r>
      <w:r>
        <w:rPr>
          <w:rFonts w:hint="default" w:ascii="Times New Roman" w:hAnsi="Times New Roman" w:eastAsia="宋体" w:cs="Times New Roman"/>
          <w:b/>
          <w:bCs w:val="0"/>
          <w:snapToGrid/>
          <w:color w:val="auto"/>
          <w:kern w:val="2"/>
          <w:sz w:val="24"/>
          <w:szCs w:val="24"/>
          <w:lang w:val="en-US" w:eastAsia="zh-CN" w:bidi="ar-SA"/>
        </w:rPr>
        <w:fldChar w:fldCharType="separate"/>
      </w:r>
      <w:r>
        <w:rPr>
          <w:rFonts w:hint="default" w:ascii="Times New Roman" w:hAnsi="Times New Roman" w:eastAsia="宋体" w:cs="Times New Roman"/>
          <w:b/>
          <w:bCs w:val="0"/>
          <w:snapToGrid/>
          <w:color w:val="auto"/>
          <w:kern w:val="2"/>
          <w:sz w:val="24"/>
          <w:szCs w:val="24"/>
          <w:lang w:val="en-US" w:eastAsia="zh-CN" w:bidi="ar-SA"/>
        </w:rPr>
        <w:t>4.1.4.1</w:t>
      </w:r>
      <w:r>
        <w:rPr>
          <w:rFonts w:hint="default" w:ascii="Times New Roman" w:hAnsi="Times New Roman" w:eastAsia="宋体" w:cs="Times New Roman"/>
          <w:b/>
          <w:bCs w:val="0"/>
          <w:snapToGrid/>
          <w:color w:val="auto"/>
          <w:kern w:val="2"/>
          <w:sz w:val="24"/>
          <w:szCs w:val="24"/>
          <w:lang w:val="en-US" w:eastAsia="zh-CN" w:bidi="ar-SA"/>
        </w:rPr>
        <w:fldChar w:fldCharType="end"/>
      </w:r>
      <w:r>
        <w:rPr>
          <w:rFonts w:hint="default" w:ascii="Times New Roman" w:hAnsi="Times New Roman" w:eastAsia="宋体" w:cs="Times New Roman"/>
          <w:b/>
          <w:bCs w:val="0"/>
          <w:snapToGrid/>
          <w:color w:val="auto"/>
          <w:kern w:val="2"/>
          <w:sz w:val="24"/>
          <w:szCs w:val="24"/>
          <w:lang w:val="en-US" w:eastAsia="zh-CN" w:bidi="ar-SA"/>
        </w:rPr>
        <w:t xml:space="preserve">  地表水文概况</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巴彦县过境河流有松花江，境内有少陵河、泥河、漂河、五岳河、泉眼河、小柳河、猪蹄河、拉三太河、大荒沟、黄泥河、龙泉河、小金河、小银河和双林河共14条主要河流。河道总长475.5km。</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highlight w:val="none"/>
          <w:lang w:val="en-US" w:eastAsia="zh-CN"/>
        </w:rPr>
        <w:t>厂区内</w:t>
      </w:r>
      <w:r>
        <w:rPr>
          <w:rFonts w:hint="default" w:ascii="Times New Roman" w:hAnsi="Times New Roman" w:eastAsia="宋体" w:cs="Times New Roman"/>
          <w:sz w:val="24"/>
          <w:szCs w:val="24"/>
          <w:highlight w:val="none"/>
          <w:lang w:val="en-US" w:eastAsia="zh-CN"/>
        </w:rPr>
        <w:t>无地表水系</w:t>
      </w:r>
      <w:r>
        <w:rPr>
          <w:rFonts w:hint="default" w:ascii="Times New Roman" w:hAnsi="Times New Roman" w:eastAsia="宋体" w:cs="Times New Roman"/>
          <w:sz w:val="24"/>
          <w:szCs w:val="24"/>
          <w:lang w:val="en-US" w:eastAsia="zh-CN"/>
        </w:rPr>
        <w:t>分布，周边主要河流为漂河、泥河支流，均属于松花江二级支流且均为季节性河流与本区地下水水力联系较弱。</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漂河发源于巴彦县东北部，自北东南西向流经兴隆镇、德祥乡、丰乐乡、西集镇，最终汇入少陵河，为巴彦县、哈尔滨市呼兰区界河。巴彦境内总流长约为85km，流域面积785km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。该河流自北东南西向经兴隆镇东南流过。河槽弯曲异常，洪峰水位过后，河槽时常移位，遂有漂河之名。境内折曲系数平均1.78，主横断面宽3-5m左右，多年平均径流深50mm，多年平均流量1.02m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/s，年均径流量0.285亿m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。冬季干涸。</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泥河：发源于小兴安岭，为巴彦县、绥化市界河。在巴彦县境内流长102.5km，多年平均流量1.65m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/s，年均径流量0.36亿m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。泥河支流发育于园区北部年径流量极小。</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2" w:firstLineChars="200"/>
        <w:jc w:val="both"/>
        <w:textAlignment w:val="baseline"/>
        <w:outlineLvl w:val="3"/>
        <w:rPr>
          <w:rFonts w:hint="default" w:ascii="Times New Roman" w:hAnsi="Times New Roman" w:eastAsia="宋体" w:cs="Times New Roman"/>
          <w:sz w:val="24"/>
          <w:szCs w:val="24"/>
        </w:rPr>
      </w:pPr>
      <w:r>
        <w:rPr>
          <w:rFonts w:hint="default" w:ascii="Times New Roman" w:hAnsi="Times New Roman" w:eastAsia="宋体" w:cs="Times New Roman"/>
          <w:b/>
          <w:bCs w:val="0"/>
          <w:snapToGrid/>
          <w:color w:val="auto"/>
          <w:kern w:val="2"/>
          <w:sz w:val="24"/>
          <w:szCs w:val="24"/>
          <w:lang w:val="en-US" w:eastAsia="zh-CN" w:bidi="ar-SA"/>
        </w:rPr>
        <w:fldChar w:fldCharType="begin"/>
      </w:r>
      <w:r>
        <w:rPr>
          <w:rFonts w:hint="default" w:ascii="Times New Roman" w:hAnsi="Times New Roman" w:eastAsia="宋体" w:cs="Times New Roman"/>
          <w:b/>
          <w:bCs w:val="0"/>
          <w:snapToGrid/>
          <w:color w:val="auto"/>
          <w:kern w:val="2"/>
          <w:sz w:val="24"/>
          <w:szCs w:val="24"/>
          <w:lang w:val="en-US" w:eastAsia="zh-CN" w:bidi="ar-SA"/>
        </w:rPr>
        <w:instrText xml:space="preserve"> HYPERLINK "4.1.4.2" </w:instrText>
      </w:r>
      <w:r>
        <w:rPr>
          <w:rFonts w:hint="default" w:ascii="Times New Roman" w:hAnsi="Times New Roman" w:eastAsia="宋体" w:cs="Times New Roman"/>
          <w:b/>
          <w:bCs w:val="0"/>
          <w:snapToGrid/>
          <w:color w:val="auto"/>
          <w:kern w:val="2"/>
          <w:sz w:val="24"/>
          <w:szCs w:val="24"/>
          <w:lang w:val="en-US" w:eastAsia="zh-CN" w:bidi="ar-SA"/>
        </w:rPr>
        <w:fldChar w:fldCharType="separate"/>
      </w:r>
      <w:r>
        <w:rPr>
          <w:rFonts w:hint="default" w:ascii="Times New Roman" w:hAnsi="Times New Roman" w:eastAsia="宋体" w:cs="Times New Roman"/>
          <w:b/>
          <w:bCs w:val="0"/>
          <w:snapToGrid/>
          <w:color w:val="auto"/>
          <w:kern w:val="2"/>
          <w:sz w:val="24"/>
          <w:szCs w:val="24"/>
          <w:lang w:val="en-US" w:eastAsia="zh-CN" w:bidi="ar-SA"/>
        </w:rPr>
        <w:t>4.1.4.2</w:t>
      </w:r>
      <w:r>
        <w:rPr>
          <w:rFonts w:hint="default" w:ascii="Times New Roman" w:hAnsi="Times New Roman" w:eastAsia="宋体" w:cs="Times New Roman"/>
          <w:b/>
          <w:bCs w:val="0"/>
          <w:snapToGrid/>
          <w:color w:val="auto"/>
          <w:kern w:val="2"/>
          <w:sz w:val="24"/>
          <w:szCs w:val="24"/>
          <w:lang w:val="en-US" w:eastAsia="zh-CN" w:bidi="ar-SA"/>
        </w:rPr>
        <w:fldChar w:fldCharType="end"/>
      </w:r>
      <w:r>
        <w:rPr>
          <w:rFonts w:hint="default" w:ascii="Times New Roman" w:hAnsi="Times New Roman" w:eastAsia="宋体" w:cs="Times New Roman"/>
          <w:b/>
          <w:bCs w:val="0"/>
          <w:snapToGrid/>
          <w:color w:val="auto"/>
          <w:kern w:val="2"/>
          <w:sz w:val="24"/>
          <w:szCs w:val="24"/>
          <w:lang w:val="en-US" w:eastAsia="zh-CN" w:bidi="ar-SA"/>
        </w:rPr>
        <w:t xml:space="preserve">  水文地质条件</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6"/>
          <w:sz w:val="24"/>
          <w:szCs w:val="24"/>
        </w:rPr>
        <w:t>（一）前第四系</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（1）上古生界（PZ2）变质岩系</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0" w:firstLineChars="200"/>
        <w:jc w:val="both"/>
        <w:textAlignment w:val="baseline"/>
        <w:rPr>
          <w:rFonts w:hint="default" w:ascii="Times New Roman" w:hAnsi="Times New Roman" w:eastAsia="宋体" w:cs="Times New Roman"/>
          <w:sz w:val="24"/>
          <w:szCs w:val="24"/>
        </w:rPr>
      </w:pPr>
      <w:r>
        <w:rPr>
          <w:rFonts w:hint="eastAsia" w:ascii="Times New Roman" w:hAnsi="Times New Roman" w:eastAsia="宋体" w:cs="Times New Roman"/>
          <w:spacing w:val="-10"/>
          <w:sz w:val="24"/>
          <w:szCs w:val="24"/>
          <w:lang w:val="en-US" w:eastAsia="zh-CN"/>
        </w:rPr>
        <w:t>县内</w:t>
      </w:r>
      <w:r>
        <w:rPr>
          <w:rFonts w:hint="default" w:ascii="Times New Roman" w:hAnsi="Times New Roman" w:eastAsia="宋体" w:cs="Times New Roman"/>
          <w:spacing w:val="-10"/>
          <w:sz w:val="24"/>
          <w:szCs w:val="24"/>
        </w:rPr>
        <w:t>见到的岩层主要有：石墨片岩、大理岩、矽化灰岩、石英岩、</w:t>
      </w:r>
      <w:r>
        <w:rPr>
          <w:rFonts w:hint="default" w:ascii="Times New Roman" w:hAnsi="Times New Roman" w:eastAsia="宋体" w:cs="Times New Roman"/>
          <w:sz w:val="24"/>
          <w:szCs w:val="24"/>
        </w:rPr>
        <w:t>板岩、千枚岩、二云母片岩及变质砂岩等，构造上组成背斜轴部。下</w:t>
      </w:r>
      <w:r>
        <w:rPr>
          <w:rFonts w:hint="default" w:ascii="Times New Roman" w:hAnsi="Times New Roman" w:eastAsia="宋体" w:cs="Times New Roman"/>
          <w:spacing w:val="-4"/>
          <w:sz w:val="24"/>
          <w:szCs w:val="24"/>
        </w:rPr>
        <w:t>面对几种分布较广的岩层加以分别叙述：</w:t>
      </w:r>
    </w:p>
    <w:p>
      <w:pPr>
        <w:pStyle w:val="6"/>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3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1"/>
          <w:sz w:val="24"/>
          <w:szCs w:val="24"/>
        </w:rPr>
        <w:t>①大理岩及石墨片岩：大理岩为白色或灰白色，具等粒变晶结构，</w:t>
      </w:r>
      <w:r>
        <w:rPr>
          <w:rFonts w:hint="default" w:ascii="Times New Roman" w:hAnsi="Times New Roman" w:eastAsia="宋体" w:cs="Times New Roman"/>
          <w:spacing w:val="-9"/>
          <w:sz w:val="24"/>
          <w:szCs w:val="24"/>
        </w:rPr>
        <w:t>地层走向为南西30度，倾向南东，倾角60—80度，节理发育，一</w:t>
      </w:r>
      <w:r>
        <w:rPr>
          <w:rFonts w:hint="default" w:ascii="Times New Roman" w:hAnsi="Times New Roman" w:eastAsia="宋体" w:cs="Times New Roman"/>
          <w:spacing w:val="-8"/>
          <w:sz w:val="24"/>
          <w:szCs w:val="24"/>
        </w:rPr>
        <w:t>组为倾向南东80度，倾角40度，另一组为倾</w:t>
      </w:r>
      <w:r>
        <w:rPr>
          <w:rFonts w:hint="default" w:ascii="Times New Roman" w:hAnsi="Times New Roman" w:eastAsia="宋体" w:cs="Times New Roman"/>
          <w:spacing w:val="-9"/>
          <w:sz w:val="24"/>
          <w:szCs w:val="24"/>
        </w:rPr>
        <w:t>向南西50度，倾角65</w:t>
      </w:r>
      <w:r>
        <w:rPr>
          <w:rFonts w:hint="default" w:ascii="Times New Roman" w:hAnsi="Times New Roman" w:eastAsia="宋体" w:cs="Times New Roman"/>
          <w:spacing w:val="-5"/>
          <w:sz w:val="24"/>
          <w:szCs w:val="24"/>
        </w:rPr>
        <w:t>度，上覆为灰黑色石墨片岩；由于岩层经受错动作用使其发生</w:t>
      </w:r>
      <w:r>
        <w:rPr>
          <w:rFonts w:hint="default" w:ascii="Times New Roman" w:hAnsi="Times New Roman" w:eastAsia="宋体" w:cs="Times New Roman"/>
          <w:spacing w:val="-6"/>
          <w:sz w:val="24"/>
          <w:szCs w:val="24"/>
        </w:rPr>
        <w:t>小的褶</w:t>
      </w:r>
      <w:r>
        <w:rPr>
          <w:rFonts w:hint="default" w:ascii="Times New Roman" w:hAnsi="Times New Roman" w:eastAsia="宋体" w:cs="Times New Roman"/>
          <w:spacing w:val="-1"/>
          <w:sz w:val="24"/>
          <w:szCs w:val="24"/>
        </w:rPr>
        <w:t>皱和拗曲，沿大理岩节理有裂隙水渗出，表面风化较甚。</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②石英岩：灰绿色、黑褐色、致密坚硬，粒径结</w:t>
      </w:r>
      <w:r>
        <w:rPr>
          <w:rFonts w:hint="default" w:ascii="Times New Roman" w:hAnsi="Times New Roman" w:eastAsia="宋体" w:cs="Times New Roman"/>
          <w:spacing w:val="-10"/>
          <w:sz w:val="24"/>
          <w:szCs w:val="24"/>
        </w:rPr>
        <w:t>构，矿物成份主</w:t>
      </w:r>
      <w:r>
        <w:rPr>
          <w:rFonts w:hint="default" w:ascii="Times New Roman" w:hAnsi="Times New Roman" w:eastAsia="宋体" w:cs="Times New Roman"/>
          <w:spacing w:val="-7"/>
          <w:sz w:val="24"/>
          <w:szCs w:val="24"/>
        </w:rPr>
        <w:t>要有石英及透闪石，呈纤维状变质结构造节理发育，地层产状为，走</w:t>
      </w:r>
      <w:r>
        <w:rPr>
          <w:rFonts w:hint="default" w:ascii="Times New Roman" w:hAnsi="Times New Roman" w:eastAsia="宋体" w:cs="Times New Roman"/>
          <w:spacing w:val="-9"/>
          <w:sz w:val="24"/>
          <w:szCs w:val="24"/>
        </w:rPr>
        <w:t>向北西70度，倾向南西，倾角30</w:t>
      </w:r>
      <w:r>
        <w:rPr>
          <w:rFonts w:hint="default" w:ascii="Times New Roman" w:hAnsi="Times New Roman" w:eastAsia="宋体" w:cs="Times New Roman"/>
          <w:spacing w:val="-10"/>
          <w:sz w:val="24"/>
          <w:szCs w:val="24"/>
        </w:rPr>
        <w:t>-57度。</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③矽化灰岩；灰绿色、灰白色、致密坚硬，具条带状构造，局部</w:t>
      </w:r>
      <w:r>
        <w:rPr>
          <w:rFonts w:hint="default" w:ascii="Times New Roman" w:hAnsi="Times New Roman" w:eastAsia="宋体" w:cs="Times New Roman"/>
          <w:spacing w:val="-5"/>
          <w:sz w:val="24"/>
          <w:szCs w:val="24"/>
        </w:rPr>
        <w:t>己千枚岩化，分布于石英岩外围，与石英岩呈渐变关系。地层走向北</w:t>
      </w:r>
      <w:r>
        <w:rPr>
          <w:rFonts w:hint="default" w:ascii="Times New Roman" w:hAnsi="Times New Roman" w:eastAsia="宋体" w:cs="Times New Roman"/>
          <w:spacing w:val="-3"/>
          <w:sz w:val="24"/>
          <w:szCs w:val="24"/>
        </w:rPr>
        <w:t>西20~60度，倾向南西，倾角35-68度。</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（2）中生界</w:t>
      </w:r>
    </w:p>
    <w:p>
      <w:pPr>
        <w:pStyle w:val="6"/>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主要由侏罗系上统煤系地层及白垩系碎屑沉积岩、中酸性火山岩系组成。现根据其分布不同地点加以叙述。</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①侏罗系上统（J3）</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主要岩性为细砾岩、砂砾岩、砂岩、砂质页岩、页岩和薄层的碳</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8"/>
          <w:sz w:val="24"/>
          <w:szCs w:val="24"/>
        </w:rPr>
        <w:t>质页岩及薄煤层组成。其中粗粒砂质岩类为主，颗粒一般</w:t>
      </w:r>
      <w:r>
        <w:rPr>
          <w:rFonts w:hint="default" w:ascii="Times New Roman" w:hAnsi="Times New Roman" w:eastAsia="宋体" w:cs="Times New Roman"/>
          <w:spacing w:val="-9"/>
          <w:sz w:val="24"/>
          <w:szCs w:val="24"/>
        </w:rPr>
        <w:t>分选不好，</w:t>
      </w:r>
      <w:r>
        <w:rPr>
          <w:rFonts w:hint="default" w:ascii="Times New Roman" w:hAnsi="Times New Roman" w:eastAsia="宋体" w:cs="Times New Roman"/>
          <w:spacing w:val="-5"/>
          <w:sz w:val="24"/>
          <w:szCs w:val="24"/>
        </w:rPr>
        <w:t>为灰白色高岭土质胶结，呈松散状，仅钙质胶结的砂砾</w:t>
      </w:r>
      <w:r>
        <w:rPr>
          <w:rFonts w:hint="default" w:ascii="Times New Roman" w:hAnsi="Times New Roman" w:eastAsia="宋体" w:cs="Times New Roman"/>
          <w:spacing w:val="-6"/>
          <w:sz w:val="24"/>
          <w:szCs w:val="24"/>
        </w:rPr>
        <w:t>岩较坚硬，其</w:t>
      </w:r>
      <w:r>
        <w:rPr>
          <w:rFonts w:hint="default" w:ascii="Times New Roman" w:hAnsi="Times New Roman" w:eastAsia="宋体" w:cs="Times New Roman"/>
          <w:spacing w:val="-1"/>
          <w:sz w:val="24"/>
          <w:szCs w:val="24"/>
        </w:rPr>
        <w:t>矿物成分为石英、钾钠长石、粒状高岭土及变质岩的碎屑；和少量的</w:t>
      </w:r>
      <w:r>
        <w:rPr>
          <w:rFonts w:hint="default" w:ascii="Times New Roman" w:hAnsi="Times New Roman" w:eastAsia="宋体" w:cs="Times New Roman"/>
          <w:sz w:val="24"/>
          <w:szCs w:val="24"/>
        </w:rPr>
        <w:t>黑云母、角闪石、绿帘石等。砂粒直径一般为0.1~1毫米，少部分为</w:t>
      </w:r>
      <w:r>
        <w:rPr>
          <w:rFonts w:hint="default" w:ascii="Times New Roman" w:hAnsi="Times New Roman" w:eastAsia="宋体" w:cs="Times New Roman"/>
          <w:spacing w:val="-9"/>
          <w:sz w:val="24"/>
          <w:szCs w:val="24"/>
        </w:rPr>
        <w:t>2~10毫米。在砂质页岩中含有中粗砂颗粒，含量占</w:t>
      </w:r>
      <w:r>
        <w:rPr>
          <w:rFonts w:hint="default" w:ascii="Times New Roman" w:hAnsi="Times New Roman" w:eastAsia="宋体" w:cs="Times New Roman"/>
          <w:spacing w:val="-10"/>
          <w:sz w:val="24"/>
          <w:szCs w:val="24"/>
        </w:rPr>
        <w:t>10%，本层中含有</w:t>
      </w:r>
      <w:r>
        <w:rPr>
          <w:rFonts w:hint="default" w:ascii="Times New Roman" w:hAnsi="Times New Roman" w:eastAsia="宋体" w:cs="Times New Roman"/>
          <w:spacing w:val="-6"/>
          <w:sz w:val="24"/>
          <w:szCs w:val="24"/>
        </w:rPr>
        <w:t>较多的植物化石。地层走向北西70度，倾向南西，倾角15度。</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4"/>
          <w:sz w:val="24"/>
          <w:szCs w:val="24"/>
        </w:rPr>
        <w:t>②白垩系下统</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jc w:val="both"/>
        <w:textAlignment w:val="baseline"/>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在山区和平原区分布有两套不同的沉积物，以桦山组（K1h）砂砾岩及中酸性火山岩（K1）为主。</w:t>
      </w:r>
    </w:p>
    <w:p>
      <w:pPr>
        <w:pStyle w:val="6"/>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lang w:val="en-US" w:eastAsia="zh-CN"/>
        </w:rPr>
        <w:t>a</w:t>
      </w:r>
      <w:r>
        <w:rPr>
          <w:rFonts w:hint="default" w:ascii="Times New Roman" w:hAnsi="Times New Roman" w:eastAsia="宋体" w:cs="Times New Roman"/>
          <w:spacing w:val="-9"/>
          <w:sz w:val="24"/>
          <w:szCs w:val="24"/>
        </w:rPr>
        <w:t>)桦山组(K1h)：主要由砂砾岩组成，地表露头较好，大体呈北东方向分布，为灰黄与黄褐色，总厚度约1500米。除砂砾岩外，尚有</w:t>
      </w:r>
      <w:r>
        <w:rPr>
          <w:rFonts w:hint="default" w:ascii="Times New Roman" w:hAnsi="Times New Roman" w:eastAsia="宋体" w:cs="Times New Roman"/>
          <w:spacing w:val="-14"/>
          <w:sz w:val="24"/>
          <w:szCs w:val="24"/>
        </w:rPr>
        <w:t>砂岩夹层，巨砾直径达1米，砂粒直径一般为0.5~5毫米，分选不好，</w:t>
      </w:r>
      <w:r>
        <w:rPr>
          <w:rFonts w:hint="default" w:ascii="Times New Roman" w:hAnsi="Times New Roman" w:eastAsia="宋体" w:cs="Times New Roman"/>
          <w:sz w:val="24"/>
          <w:szCs w:val="24"/>
        </w:rPr>
        <w:t>磨圆度极差，其成分为花岗岩、石英岩变质岩、火山岩及石英、长石</w:t>
      </w:r>
      <w:r>
        <w:rPr>
          <w:rFonts w:hint="default" w:ascii="Times New Roman" w:hAnsi="Times New Roman" w:eastAsia="宋体" w:cs="Times New Roman"/>
          <w:spacing w:val="-15"/>
          <w:sz w:val="24"/>
          <w:szCs w:val="24"/>
        </w:rPr>
        <w:t>等，多为矽质胶结，极坚硬，沿裂隙有石英脉充填，地层走向北东70</w:t>
      </w:r>
      <w:r>
        <w:rPr>
          <w:rFonts w:hint="default" w:ascii="Times New Roman" w:hAnsi="Times New Roman" w:eastAsia="宋体" w:cs="Times New Roman"/>
          <w:spacing w:val="-12"/>
          <w:sz w:val="24"/>
          <w:szCs w:val="24"/>
        </w:rPr>
        <w:t>度，倾向南东，倾角18~50度。</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6"/>
          <w:sz w:val="24"/>
          <w:szCs w:val="24"/>
        </w:rPr>
        <w:t>b)中酸性火山岩系（K1</w:t>
      </w:r>
      <w:r>
        <w:rPr>
          <w:rFonts w:hint="default" w:ascii="Times New Roman" w:hAnsi="Times New Roman" w:eastAsia="宋体" w:cs="Times New Roman"/>
          <w:spacing w:val="-11"/>
          <w:sz w:val="24"/>
          <w:szCs w:val="24"/>
        </w:rPr>
        <w:t>）：</w:t>
      </w:r>
      <w:r>
        <w:rPr>
          <w:rFonts w:hint="default" w:ascii="Times New Roman" w:hAnsi="Times New Roman" w:eastAsia="宋体" w:cs="Times New Roman"/>
          <w:spacing w:val="-6"/>
          <w:sz w:val="24"/>
          <w:szCs w:val="24"/>
        </w:rPr>
        <w:t>以流纹斑岩、石英斑岩为主，花岗斑</w:t>
      </w:r>
      <w:r>
        <w:rPr>
          <w:rFonts w:hint="default" w:ascii="Times New Roman" w:hAnsi="Times New Roman" w:eastAsia="宋体" w:cs="Times New Roman"/>
          <w:spacing w:val="-7"/>
          <w:sz w:val="24"/>
          <w:szCs w:val="24"/>
        </w:rPr>
        <w:t>岩次之，由中性到酸性均有，但以酸性为主，于燕山运</w:t>
      </w:r>
      <w:r>
        <w:rPr>
          <w:rFonts w:hint="default" w:ascii="Times New Roman" w:hAnsi="Times New Roman" w:eastAsia="宋体" w:cs="Times New Roman"/>
          <w:spacing w:val="-8"/>
          <w:sz w:val="24"/>
          <w:szCs w:val="24"/>
        </w:rPr>
        <w:t>动时与花岗岩</w:t>
      </w:r>
      <w:r>
        <w:rPr>
          <w:rFonts w:hint="default" w:ascii="Times New Roman" w:hAnsi="Times New Roman" w:eastAsia="宋体" w:cs="Times New Roman"/>
          <w:spacing w:val="3"/>
          <w:sz w:val="24"/>
          <w:szCs w:val="24"/>
        </w:rPr>
        <w:t xml:space="preserve">相伴产生。上述之中酸性火山岩都微显流纹构造。颜色主要为灰色或 </w:t>
      </w:r>
      <w:r>
        <w:rPr>
          <w:rFonts w:hint="default" w:ascii="Times New Roman" w:hAnsi="Times New Roman" w:eastAsia="宋体" w:cs="Times New Roman"/>
          <w:spacing w:val="-3"/>
          <w:sz w:val="24"/>
          <w:szCs w:val="24"/>
        </w:rPr>
        <w:t>棕灰色，风化面为黄褐色，致密坚硬。流纹斑岩之斑晶以长石为</w:t>
      </w:r>
      <w:r>
        <w:rPr>
          <w:rFonts w:hint="default" w:ascii="Times New Roman" w:hAnsi="Times New Roman" w:eastAsia="宋体" w:cs="Times New Roman"/>
          <w:spacing w:val="-4"/>
          <w:sz w:val="24"/>
          <w:szCs w:val="24"/>
        </w:rPr>
        <w:t>主，</w:t>
      </w:r>
      <w:r>
        <w:rPr>
          <w:rFonts w:hint="default" w:ascii="Times New Roman" w:hAnsi="Times New Roman" w:eastAsia="宋体" w:cs="Times New Roman"/>
          <w:spacing w:val="-11"/>
          <w:sz w:val="24"/>
          <w:szCs w:val="24"/>
        </w:rPr>
        <w:t>石英次之，石墨为隐晶质或玻璃质，并有黄铁矿斑点，性脆坚硬，断</w:t>
      </w:r>
      <w:r>
        <w:rPr>
          <w:rFonts w:hint="default" w:ascii="Times New Roman" w:hAnsi="Times New Roman" w:eastAsia="宋体" w:cs="Times New Roman"/>
          <w:spacing w:val="-7"/>
          <w:sz w:val="24"/>
          <w:szCs w:val="24"/>
        </w:rPr>
        <w:t>口贝壳状，节理裂隙少。石英斑岩，石英为自形晶状的</w:t>
      </w:r>
      <w:r>
        <w:rPr>
          <w:rFonts w:hint="default" w:ascii="Times New Roman" w:hAnsi="Times New Roman" w:eastAsia="宋体" w:cs="Times New Roman"/>
          <w:spacing w:val="-8"/>
          <w:sz w:val="24"/>
          <w:szCs w:val="24"/>
        </w:rPr>
        <w:t>斑晶，石基以</w:t>
      </w:r>
      <w:r>
        <w:rPr>
          <w:rFonts w:hint="default" w:ascii="Times New Roman" w:hAnsi="Times New Roman" w:eastAsia="宋体" w:cs="Times New Roman"/>
          <w:spacing w:val="-6"/>
          <w:sz w:val="24"/>
          <w:szCs w:val="24"/>
        </w:rPr>
        <w:t>矽质为主，多暗色矿物，偶见铁质，致密坚硬。</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c)泉头组（K1q</w:t>
      </w:r>
      <w:r>
        <w:rPr>
          <w:rFonts w:hint="default" w:ascii="Times New Roman" w:hAnsi="Times New Roman" w:eastAsia="宋体" w:cs="Times New Roman"/>
          <w:spacing w:val="-14"/>
          <w:sz w:val="24"/>
          <w:szCs w:val="24"/>
        </w:rPr>
        <w:t>）：</w:t>
      </w:r>
      <w:r>
        <w:rPr>
          <w:rFonts w:hint="default" w:ascii="Times New Roman" w:hAnsi="Times New Roman" w:eastAsia="宋体" w:cs="Times New Roman"/>
          <w:spacing w:val="-1"/>
          <w:sz w:val="24"/>
          <w:szCs w:val="24"/>
        </w:rPr>
        <w:t>此层主要见于钻孔中，仅在丘陵边缘有所出</w:t>
      </w:r>
      <w:r>
        <w:rPr>
          <w:rFonts w:hint="default" w:ascii="Times New Roman" w:hAnsi="Times New Roman" w:eastAsia="宋体" w:cs="Times New Roman"/>
          <w:spacing w:val="-2"/>
          <w:sz w:val="24"/>
          <w:szCs w:val="24"/>
        </w:rPr>
        <w:t>露。其岩性主要为灰色、灰黄色砂岩和砂砾岩</w:t>
      </w:r>
      <w:r>
        <w:rPr>
          <w:rFonts w:hint="default" w:ascii="Times New Roman" w:hAnsi="Times New Roman" w:eastAsia="宋体" w:cs="Times New Roman"/>
          <w:spacing w:val="-3"/>
          <w:sz w:val="24"/>
          <w:szCs w:val="24"/>
        </w:rPr>
        <w:t>，倾角5~10度，该层</w:t>
      </w:r>
      <w:r>
        <w:rPr>
          <w:rFonts w:hint="default" w:ascii="Times New Roman" w:hAnsi="Times New Roman" w:eastAsia="宋体" w:cs="Times New Roman"/>
          <w:spacing w:val="-2"/>
          <w:sz w:val="24"/>
          <w:szCs w:val="24"/>
        </w:rPr>
        <w:t>可能相当于本组底部。向上逐渐变为棕红色、猪肝色的砂岩及泥岩互</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7"/>
          <w:sz w:val="24"/>
          <w:szCs w:val="24"/>
        </w:rPr>
        <w:t>层，再向上变为灰色和灰绿色的泥岩、砂质泥岩，偶夹有粉细砂岩薄</w:t>
      </w:r>
      <w:r>
        <w:rPr>
          <w:rFonts w:hint="default" w:ascii="Times New Roman" w:hAnsi="Times New Roman" w:eastAsia="宋体" w:cs="Times New Roman"/>
          <w:spacing w:val="-19"/>
          <w:sz w:val="24"/>
          <w:szCs w:val="24"/>
        </w:rPr>
        <w:t>层。</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4"/>
          <w:sz w:val="24"/>
          <w:szCs w:val="24"/>
        </w:rPr>
        <w:t>d)青山组（K1qn</w:t>
      </w:r>
      <w:r>
        <w:rPr>
          <w:rFonts w:hint="default" w:ascii="Times New Roman" w:hAnsi="Times New Roman" w:eastAsia="宋体" w:cs="Times New Roman"/>
          <w:spacing w:val="-17"/>
          <w:sz w:val="24"/>
          <w:szCs w:val="24"/>
        </w:rPr>
        <w:t>）</w:t>
      </w:r>
      <w:r>
        <w:rPr>
          <w:rFonts w:hint="default" w:ascii="Times New Roman" w:hAnsi="Times New Roman" w:eastAsia="宋体" w:cs="Times New Roman"/>
          <w:spacing w:val="-17"/>
          <w:sz w:val="24"/>
          <w:szCs w:val="24"/>
          <w:lang w:eastAsia="zh-CN"/>
        </w:rPr>
        <w:t>：</w:t>
      </w:r>
      <w:r>
        <w:rPr>
          <w:rFonts w:hint="default" w:ascii="Times New Roman" w:hAnsi="Times New Roman" w:eastAsia="宋体" w:cs="Times New Roman"/>
          <w:spacing w:val="-4"/>
          <w:sz w:val="24"/>
          <w:szCs w:val="24"/>
        </w:rPr>
        <w:t>本组岩层主要见于钻孔</w:t>
      </w:r>
      <w:r>
        <w:rPr>
          <w:rFonts w:hint="default" w:ascii="Times New Roman" w:hAnsi="Times New Roman" w:eastAsia="宋体" w:cs="Times New Roman"/>
          <w:spacing w:val="-5"/>
          <w:sz w:val="24"/>
          <w:szCs w:val="24"/>
        </w:rPr>
        <w:t>中，其岩性主要为灰</w:t>
      </w:r>
      <w:r>
        <w:rPr>
          <w:rFonts w:hint="default" w:ascii="Times New Roman" w:hAnsi="Times New Roman" w:eastAsia="宋体" w:cs="Times New Roman"/>
          <w:spacing w:val="-3"/>
          <w:sz w:val="24"/>
          <w:szCs w:val="24"/>
        </w:rPr>
        <w:t>黑免、灰绿色泥岩、页岩，并夹有薄层的砂质泥岩及泥灰岩</w:t>
      </w:r>
      <w:r>
        <w:rPr>
          <w:rFonts w:hint="default" w:ascii="Times New Roman" w:hAnsi="Times New Roman" w:eastAsia="宋体" w:cs="Times New Roman"/>
          <w:spacing w:val="-4"/>
          <w:sz w:val="24"/>
          <w:szCs w:val="24"/>
        </w:rPr>
        <w:t>，含有少</w:t>
      </w:r>
      <w:r>
        <w:rPr>
          <w:rFonts w:hint="default" w:ascii="Times New Roman" w:hAnsi="Times New Roman" w:eastAsia="宋体" w:cs="Times New Roman"/>
          <w:spacing w:val="-1"/>
          <w:sz w:val="24"/>
          <w:szCs w:val="24"/>
        </w:rPr>
        <w:t>量的黄铁矿晶粒，普遍含叶肢介、介形虫、鱼化石碎片及植物碎屑，</w:t>
      </w:r>
      <w:r>
        <w:rPr>
          <w:rFonts w:hint="default" w:ascii="Times New Roman" w:hAnsi="Times New Roman" w:eastAsia="宋体" w:cs="Times New Roman"/>
          <w:spacing w:val="-5"/>
          <w:sz w:val="24"/>
          <w:szCs w:val="24"/>
        </w:rPr>
        <w:t>介形虫化石局部富集成层。</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e)姚家组（K1y</w:t>
      </w:r>
      <w:r>
        <w:rPr>
          <w:rFonts w:hint="default" w:ascii="Times New Roman" w:hAnsi="Times New Roman" w:eastAsia="宋体" w:cs="Times New Roman"/>
          <w:spacing w:val="-18"/>
          <w:sz w:val="24"/>
          <w:szCs w:val="24"/>
        </w:rPr>
        <w:t>）：</w:t>
      </w:r>
      <w:r>
        <w:rPr>
          <w:rFonts w:hint="default" w:ascii="Times New Roman" w:hAnsi="Times New Roman" w:eastAsia="宋体" w:cs="Times New Roman"/>
          <w:spacing w:val="-3"/>
          <w:sz w:val="24"/>
          <w:szCs w:val="24"/>
        </w:rPr>
        <w:t>本组岩层以棕红色夹有浅</w:t>
      </w:r>
      <w:r>
        <w:rPr>
          <w:rFonts w:hint="default" w:ascii="Times New Roman" w:hAnsi="Times New Roman" w:eastAsia="宋体" w:cs="Times New Roman"/>
          <w:spacing w:val="-4"/>
          <w:sz w:val="24"/>
          <w:szCs w:val="24"/>
        </w:rPr>
        <w:t>灰绿色的泥岩为主，</w:t>
      </w:r>
      <w:r>
        <w:rPr>
          <w:rFonts w:hint="default" w:ascii="Times New Roman" w:hAnsi="Times New Roman" w:eastAsia="宋体" w:cs="Times New Roman"/>
          <w:spacing w:val="-6"/>
          <w:sz w:val="24"/>
          <w:szCs w:val="24"/>
        </w:rPr>
        <w:t>其中夹有薄层的泥质粉砂岩，性脆，节理发育，含</w:t>
      </w:r>
      <w:r>
        <w:rPr>
          <w:rFonts w:hint="default" w:ascii="Times New Roman" w:hAnsi="Times New Roman" w:eastAsia="宋体" w:cs="Times New Roman"/>
          <w:spacing w:val="-7"/>
          <w:sz w:val="24"/>
          <w:szCs w:val="24"/>
        </w:rPr>
        <w:t>钙质及钙质结核，</w:t>
      </w:r>
      <w:r>
        <w:rPr>
          <w:rFonts w:hint="default" w:ascii="Times New Roman" w:hAnsi="Times New Roman" w:eastAsia="宋体" w:cs="Times New Roman"/>
          <w:spacing w:val="-1"/>
          <w:sz w:val="24"/>
          <w:szCs w:val="24"/>
        </w:rPr>
        <w:t>分布不均匀，见有少量的介形虫化石。本组岩层主要见于钻孔中。地</w:t>
      </w:r>
      <w:r>
        <w:rPr>
          <w:rFonts w:hint="default" w:ascii="Times New Roman" w:hAnsi="Times New Roman" w:eastAsia="宋体" w:cs="Times New Roman"/>
          <w:spacing w:val="-8"/>
          <w:sz w:val="24"/>
          <w:szCs w:val="24"/>
        </w:rPr>
        <w:t>层走向为南东70度，倾向南西，倾角2度。</w:t>
      </w:r>
    </w:p>
    <w:p>
      <w:pPr>
        <w:pStyle w:val="6"/>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000000"/>
          <w:spacing w:val="-1"/>
          <w:kern w:val="0"/>
          <w:sz w:val="24"/>
          <w:szCs w:val="24"/>
          <w:lang w:val="en-US" w:eastAsia="en-US" w:bidi="ar-SA"/>
        </w:rPr>
      </w:pPr>
      <w:r>
        <w:rPr>
          <w:rFonts w:hint="default" w:ascii="Times New Roman" w:hAnsi="Times New Roman" w:eastAsia="宋体" w:cs="Times New Roman"/>
          <w:snapToGrid w:val="0"/>
          <w:color w:val="000000"/>
          <w:spacing w:val="-1"/>
          <w:kern w:val="0"/>
          <w:sz w:val="24"/>
          <w:szCs w:val="24"/>
          <w:lang w:val="en-US" w:eastAsia="zh-CN" w:bidi="ar-SA"/>
        </w:rPr>
        <w:t>f</w:t>
      </w:r>
      <w:r>
        <w:rPr>
          <w:rFonts w:hint="default" w:ascii="Times New Roman" w:hAnsi="Times New Roman" w:eastAsia="宋体" w:cs="Times New Roman"/>
          <w:snapToGrid w:val="0"/>
          <w:color w:val="000000"/>
          <w:spacing w:val="-1"/>
          <w:kern w:val="0"/>
          <w:sz w:val="24"/>
          <w:szCs w:val="24"/>
          <w:lang w:val="en-US" w:eastAsia="en-US" w:bidi="ar-SA"/>
        </w:rPr>
        <w:t>)伏龙泉组（K1f）：主要为灰色、灰绿色的泥岩、砂质泥岩夹有粉细砂岩。本组岩层绝大部分见于钻孔中。依据岩性在垂直方向上的变化情况，分别加以描述：</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d.1第一段（K1f1</w:t>
      </w:r>
      <w:r>
        <w:rPr>
          <w:rFonts w:hint="default" w:ascii="Times New Roman" w:hAnsi="Times New Roman" w:eastAsia="宋体" w:cs="Times New Roman"/>
          <w:spacing w:val="-18"/>
          <w:sz w:val="24"/>
          <w:szCs w:val="24"/>
        </w:rPr>
        <w:t>）：</w:t>
      </w:r>
      <w:r>
        <w:rPr>
          <w:rFonts w:hint="default" w:ascii="Times New Roman" w:hAnsi="Times New Roman" w:eastAsia="宋体" w:cs="Times New Roman"/>
          <w:spacing w:val="-1"/>
          <w:sz w:val="24"/>
          <w:szCs w:val="24"/>
        </w:rPr>
        <w:t>灰黑色、灰绿色的泥页岩夹沥青质</w:t>
      </w:r>
      <w:r>
        <w:rPr>
          <w:rFonts w:hint="default" w:ascii="Times New Roman" w:hAnsi="Times New Roman" w:eastAsia="宋体" w:cs="Times New Roman"/>
          <w:spacing w:val="-2"/>
          <w:sz w:val="24"/>
          <w:szCs w:val="24"/>
        </w:rPr>
        <w:t>页岩及</w:t>
      </w:r>
      <w:r>
        <w:rPr>
          <w:rFonts w:hint="default" w:ascii="Times New Roman" w:hAnsi="Times New Roman" w:eastAsia="宋体" w:cs="Times New Roman"/>
          <w:spacing w:val="4"/>
          <w:sz w:val="24"/>
          <w:szCs w:val="24"/>
        </w:rPr>
        <w:t>泥质粉砂岩，普遍含有钙质及介形虫、叶肢介、鱼化石碎片，厚度</w:t>
      </w:r>
      <w:r>
        <w:rPr>
          <w:rFonts w:hint="default" w:ascii="Times New Roman" w:hAnsi="Times New Roman" w:eastAsia="宋体" w:cs="Times New Roman"/>
          <w:spacing w:val="-4"/>
          <w:sz w:val="24"/>
          <w:szCs w:val="24"/>
        </w:rPr>
        <w:t>100~130米。d.2第二段（K1f2</w:t>
      </w:r>
      <w:r>
        <w:rPr>
          <w:rFonts w:hint="default" w:ascii="Times New Roman" w:hAnsi="Times New Roman" w:eastAsia="宋体" w:cs="Times New Roman"/>
          <w:spacing w:val="-17"/>
          <w:sz w:val="24"/>
          <w:szCs w:val="24"/>
        </w:rPr>
        <w:t>）：</w:t>
      </w:r>
      <w:r>
        <w:rPr>
          <w:rFonts w:hint="default" w:ascii="Times New Roman" w:hAnsi="Times New Roman" w:eastAsia="宋体" w:cs="Times New Roman"/>
          <w:spacing w:val="-4"/>
          <w:sz w:val="24"/>
          <w:szCs w:val="24"/>
        </w:rPr>
        <w:t>灰黑色</w:t>
      </w:r>
      <w:r>
        <w:rPr>
          <w:rFonts w:hint="default" w:ascii="Times New Roman" w:hAnsi="Times New Roman" w:eastAsia="宋体" w:cs="Times New Roman"/>
          <w:spacing w:val="-5"/>
          <w:sz w:val="24"/>
          <w:szCs w:val="24"/>
        </w:rPr>
        <w:t>泥岩、页岩夹沥青质页岩，</w:t>
      </w:r>
      <w:r>
        <w:rPr>
          <w:rFonts w:hint="default" w:ascii="Times New Roman" w:hAnsi="Times New Roman" w:eastAsia="宋体" w:cs="Times New Roman"/>
          <w:sz w:val="24"/>
          <w:szCs w:val="24"/>
        </w:rPr>
        <w:t>向上部砂质含量稍有增多，在页岩中含植物碎屑及形虫化石。本</w:t>
      </w:r>
      <w:r>
        <w:rPr>
          <w:rFonts w:hint="default" w:ascii="Times New Roman" w:hAnsi="Times New Roman" w:eastAsia="宋体" w:cs="Times New Roman"/>
          <w:spacing w:val="-1"/>
          <w:sz w:val="24"/>
          <w:szCs w:val="24"/>
        </w:rPr>
        <w:t>段底</w:t>
      </w:r>
      <w:r>
        <w:rPr>
          <w:rFonts w:hint="default" w:ascii="Times New Roman" w:hAnsi="Times New Roman" w:eastAsia="宋体" w:cs="Times New Roman"/>
          <w:spacing w:val="-2"/>
          <w:sz w:val="24"/>
          <w:szCs w:val="24"/>
        </w:rPr>
        <w:t>部盛产介形虫及叶肢介化石，厚度为118~195米。</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4"/>
          <w:sz w:val="24"/>
          <w:szCs w:val="24"/>
        </w:rPr>
        <w:t>③白垩系上统</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a)山区白垩系上统（K2）为赤色层，主要由</w:t>
      </w:r>
      <w:r>
        <w:rPr>
          <w:rFonts w:hint="default" w:ascii="Times New Roman" w:hAnsi="Times New Roman" w:eastAsia="宋体" w:cs="Times New Roman"/>
          <w:spacing w:val="-3"/>
          <w:sz w:val="24"/>
          <w:szCs w:val="24"/>
        </w:rPr>
        <w:t>紫红色页岩、砂岩及灰白色凝灰质页岩组成。砂岩疏松，分选不好。凝灰质页岩致密，多呈不规则的块状。</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b)白垩系上统四方台组（K2s</w:t>
      </w:r>
      <w:r>
        <w:rPr>
          <w:rFonts w:hint="default" w:ascii="Times New Roman" w:hAnsi="Times New Roman" w:eastAsia="宋体" w:cs="Times New Roman"/>
          <w:spacing w:val="-18"/>
          <w:sz w:val="24"/>
          <w:szCs w:val="24"/>
        </w:rPr>
        <w:t>），</w:t>
      </w:r>
      <w:r>
        <w:rPr>
          <w:rFonts w:hint="default" w:ascii="Times New Roman" w:hAnsi="Times New Roman" w:eastAsia="宋体" w:cs="Times New Roman"/>
          <w:spacing w:val="1"/>
          <w:sz w:val="24"/>
          <w:szCs w:val="24"/>
        </w:rPr>
        <w:t>自下而上分为</w:t>
      </w:r>
      <w:r>
        <w:rPr>
          <w:rFonts w:hint="default" w:ascii="Times New Roman" w:hAnsi="Times New Roman" w:eastAsia="宋体" w:cs="Times New Roman"/>
          <w:sz w:val="24"/>
          <w:szCs w:val="24"/>
        </w:rPr>
        <w:t>三段：</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b.1第一段（K2s1</w:t>
      </w:r>
      <w:r>
        <w:rPr>
          <w:rFonts w:hint="default" w:ascii="Times New Roman" w:hAnsi="Times New Roman" w:eastAsia="宋体" w:cs="Times New Roman"/>
          <w:spacing w:val="-15"/>
          <w:sz w:val="24"/>
          <w:szCs w:val="24"/>
        </w:rPr>
        <w:t>）：</w:t>
      </w:r>
      <w:r>
        <w:rPr>
          <w:rFonts w:hint="default" w:ascii="Times New Roman" w:hAnsi="Times New Roman" w:eastAsia="宋体" w:cs="Times New Roman"/>
          <w:spacing w:val="-1"/>
          <w:sz w:val="24"/>
          <w:szCs w:val="24"/>
        </w:rPr>
        <w:t>主要由砂质泥岩、泥质砂岩及砂砾岩组成</w:t>
      </w:r>
      <w:r>
        <w:rPr>
          <w:rFonts w:hint="default" w:ascii="Times New Roman" w:hAnsi="Times New Roman" w:eastAsia="宋体" w:cs="Times New Roman"/>
          <w:spacing w:val="-7"/>
          <w:sz w:val="24"/>
          <w:szCs w:val="24"/>
        </w:rPr>
        <w:t>明显的韵律层，上部以灰绿色为主，下砂岩部为棕红色，砂岩</w:t>
      </w:r>
      <w:r>
        <w:rPr>
          <w:rFonts w:hint="default" w:ascii="Times New Roman" w:hAnsi="Times New Roman" w:eastAsia="宋体" w:cs="Times New Roman"/>
          <w:spacing w:val="-8"/>
          <w:sz w:val="24"/>
          <w:szCs w:val="24"/>
        </w:rPr>
        <w:t>为灰绿</w:t>
      </w:r>
      <w:r>
        <w:rPr>
          <w:rFonts w:hint="default" w:ascii="Times New Roman" w:hAnsi="Times New Roman" w:eastAsia="宋体" w:cs="Times New Roman"/>
          <w:spacing w:val="-5"/>
          <w:sz w:val="24"/>
          <w:szCs w:val="24"/>
        </w:rPr>
        <w:t>色，厚度约50米左右。</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0"/>
          <w:sz w:val="24"/>
          <w:szCs w:val="24"/>
        </w:rPr>
        <w:t>b.2第二段（K2s2</w:t>
      </w:r>
      <w:r>
        <w:rPr>
          <w:rFonts w:hint="default" w:ascii="Times New Roman" w:hAnsi="Times New Roman" w:eastAsia="宋体" w:cs="Times New Roman"/>
          <w:spacing w:val="-10"/>
          <w:sz w:val="24"/>
          <w:szCs w:val="24"/>
          <w:lang w:eastAsia="zh-CN"/>
        </w:rPr>
        <w:t>）</w:t>
      </w:r>
      <w:r>
        <w:rPr>
          <w:rFonts w:hint="default" w:ascii="Times New Roman" w:hAnsi="Times New Roman" w:eastAsia="宋体" w:cs="Times New Roman"/>
          <w:spacing w:val="-10"/>
          <w:sz w:val="24"/>
          <w:szCs w:val="24"/>
        </w:rPr>
        <w:t>：下部为灰绿色及黄绿色的砂质泥岩及砂岩互层，</w:t>
      </w:r>
      <w:r>
        <w:rPr>
          <w:rFonts w:hint="default" w:ascii="Times New Roman" w:hAnsi="Times New Roman" w:eastAsia="宋体" w:cs="Times New Roman"/>
          <w:spacing w:val="-3"/>
          <w:sz w:val="24"/>
          <w:szCs w:val="24"/>
        </w:rPr>
        <w:t>其中夹有薄层灰及灰绿色的砂质页岩，含叶肢介化石；</w:t>
      </w:r>
      <w:r>
        <w:rPr>
          <w:rFonts w:hint="default" w:ascii="Times New Roman" w:hAnsi="Times New Roman" w:eastAsia="宋体" w:cs="Times New Roman"/>
          <w:spacing w:val="-4"/>
          <w:sz w:val="24"/>
          <w:szCs w:val="24"/>
        </w:rPr>
        <w:t>上部为灰绿的</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3"/>
          <w:sz w:val="24"/>
          <w:szCs w:val="24"/>
        </w:rPr>
        <w:t>砂质泥岩与泥质砂岩及粉砂岩互层，含黄铁矿晶粒及泥砺，在其顶端</w:t>
      </w:r>
      <w:r>
        <w:rPr>
          <w:rFonts w:hint="default" w:ascii="Times New Roman" w:hAnsi="Times New Roman" w:eastAsia="宋体" w:cs="Times New Roman"/>
          <w:spacing w:val="-11"/>
          <w:sz w:val="24"/>
          <w:szCs w:val="24"/>
        </w:rPr>
        <w:t>分布一薄层暗灰、灰黑色泥质页岩，含介形化石，厚度约100~140</w:t>
      </w:r>
      <w:r>
        <w:rPr>
          <w:rFonts w:hint="default" w:ascii="Times New Roman" w:hAnsi="Times New Roman" w:eastAsia="宋体" w:cs="Times New Roman"/>
          <w:spacing w:val="-12"/>
          <w:sz w:val="24"/>
          <w:szCs w:val="24"/>
        </w:rPr>
        <w:t>米。</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b.3第三段（K2s3</w:t>
      </w:r>
      <w:r>
        <w:rPr>
          <w:rFonts w:hint="default" w:ascii="Times New Roman" w:hAnsi="Times New Roman" w:eastAsia="宋体" w:cs="Times New Roman"/>
          <w:spacing w:val="-15"/>
          <w:sz w:val="24"/>
          <w:szCs w:val="24"/>
        </w:rPr>
        <w:t>）：</w:t>
      </w:r>
      <w:r>
        <w:rPr>
          <w:rFonts w:hint="default" w:ascii="Times New Roman" w:hAnsi="Times New Roman" w:eastAsia="宋体" w:cs="Times New Roman"/>
          <w:spacing w:val="-1"/>
          <w:sz w:val="24"/>
          <w:szCs w:val="24"/>
        </w:rPr>
        <w:t>下部为泥岩、砂质泥岩与砂岩、砂砾岩组</w:t>
      </w:r>
      <w:r>
        <w:rPr>
          <w:rFonts w:hint="default" w:ascii="Times New Roman" w:hAnsi="Times New Roman" w:eastAsia="宋体" w:cs="Times New Roman"/>
          <w:spacing w:val="-6"/>
          <w:sz w:val="24"/>
          <w:szCs w:val="24"/>
        </w:rPr>
        <w:t>成的多韵律层，泥质岩以灰绿色为主，含朦脱质及朦脱岩薄层，砂质</w:t>
      </w:r>
      <w:r>
        <w:rPr>
          <w:rFonts w:hint="default" w:ascii="Times New Roman" w:hAnsi="Times New Roman" w:eastAsia="宋体" w:cs="Times New Roman"/>
          <w:spacing w:val="-1"/>
          <w:sz w:val="24"/>
          <w:szCs w:val="24"/>
        </w:rPr>
        <w:t>岩为灰白色；上部为棕红色的泥岩、砂质泥岩与灰白色的砂岩、砂砾</w:t>
      </w:r>
      <w:r>
        <w:rPr>
          <w:rFonts w:hint="default" w:ascii="Times New Roman" w:hAnsi="Times New Roman" w:eastAsia="宋体" w:cs="Times New Roman"/>
          <w:spacing w:val="-2"/>
          <w:sz w:val="24"/>
          <w:szCs w:val="24"/>
        </w:rPr>
        <w:t>岩组成的多韵律层，泥岩中含钙质及石英砂砾，厚度约110~175米。</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根据有关资料，白垩系上统四方台组与白垩系下统有较大的沉积间断，故形成明显的不整合接触关系。</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(3)火成岩</w:t>
      </w:r>
    </w:p>
    <w:p>
      <w:pPr>
        <w:pStyle w:val="6"/>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napToGrid w:val="0"/>
          <w:color w:val="000000"/>
          <w:spacing w:val="-1"/>
          <w:kern w:val="0"/>
          <w:sz w:val="24"/>
          <w:szCs w:val="24"/>
          <w:lang w:val="en-US" w:eastAsia="en-US" w:bidi="ar-SA"/>
        </w:rPr>
        <w:t>①海西期花岗岩(γ4）：表面多风化破碎，未风化者为灰白色，中粗粒结构，主要矿物为石英、长石、云母及黄铁矿，其中云母颗粒</w:t>
      </w:r>
      <w:r>
        <w:rPr>
          <w:rFonts w:hint="default" w:ascii="Times New Roman" w:hAnsi="Times New Roman" w:eastAsia="宋体" w:cs="Times New Roman"/>
          <w:spacing w:val="-2"/>
          <w:sz w:val="24"/>
          <w:szCs w:val="24"/>
        </w:rPr>
        <w:t>较为显著，分布于东部山区。</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②燕山期花岗岩(γ5</w:t>
      </w:r>
      <w:r>
        <w:rPr>
          <w:rFonts w:hint="default" w:ascii="Times New Roman" w:hAnsi="Times New Roman" w:eastAsia="宋体" w:cs="Times New Roman"/>
          <w:spacing w:val="-18"/>
          <w:sz w:val="24"/>
          <w:szCs w:val="24"/>
        </w:rPr>
        <w:t>）：</w:t>
      </w:r>
      <w:r>
        <w:rPr>
          <w:rFonts w:hint="default" w:ascii="Times New Roman" w:hAnsi="Times New Roman" w:eastAsia="宋体" w:cs="Times New Roman"/>
          <w:spacing w:val="1"/>
          <w:sz w:val="24"/>
          <w:szCs w:val="24"/>
        </w:rPr>
        <w:t>分布范围较小，在孙教营子、于万泉等</w:t>
      </w:r>
      <w:r>
        <w:rPr>
          <w:rFonts w:hint="default" w:ascii="Times New Roman" w:hAnsi="Times New Roman" w:eastAsia="宋体" w:cs="Times New Roman"/>
          <w:spacing w:val="-22"/>
          <w:sz w:val="24"/>
          <w:szCs w:val="24"/>
        </w:rPr>
        <w:t>地均有出露，肉红色，结构紧密，坚硬，多中细粒，</w:t>
      </w:r>
      <w:r>
        <w:rPr>
          <w:rFonts w:hint="default" w:ascii="Times New Roman" w:hAnsi="Times New Roman" w:eastAsia="宋体" w:cs="Times New Roman"/>
          <w:spacing w:val="-23"/>
          <w:sz w:val="24"/>
          <w:szCs w:val="24"/>
        </w:rPr>
        <w:t>矿物成分以长石、</w:t>
      </w:r>
      <w:r>
        <w:rPr>
          <w:rFonts w:hint="default" w:ascii="Times New Roman" w:hAnsi="Times New Roman" w:eastAsia="宋体" w:cs="Times New Roman"/>
          <w:spacing w:val="-8"/>
          <w:sz w:val="24"/>
          <w:szCs w:val="24"/>
        </w:rPr>
        <w:t>石英为主，云母次之，沿裂隙有石英脉充填，有时形成峭壁。</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rPr>
        <w:t>③燕山期闪长岩(δ4</w:t>
      </w:r>
      <w:r>
        <w:rPr>
          <w:rFonts w:hint="default" w:ascii="Times New Roman" w:hAnsi="Times New Roman" w:eastAsia="宋体" w:cs="Times New Roman"/>
          <w:spacing w:val="-17"/>
          <w:sz w:val="24"/>
          <w:szCs w:val="24"/>
        </w:rPr>
        <w:t>）：</w:t>
      </w:r>
      <w:r>
        <w:rPr>
          <w:rFonts w:hint="default" w:ascii="Times New Roman" w:hAnsi="Times New Roman" w:eastAsia="宋体" w:cs="Times New Roman"/>
          <w:sz w:val="24"/>
          <w:szCs w:val="24"/>
        </w:rPr>
        <w:t>暗灰绿色，矿物成分为长石、角闪石和</w:t>
      </w:r>
      <w:r>
        <w:rPr>
          <w:rFonts w:hint="default" w:ascii="Times New Roman" w:hAnsi="Times New Roman" w:eastAsia="宋体" w:cs="Times New Roman"/>
          <w:spacing w:val="-12"/>
          <w:sz w:val="24"/>
          <w:szCs w:val="24"/>
        </w:rPr>
        <w:t>辉石，结晶颗粒较粗大，岩质坚硬，以小块岩脉状出露，见于松</w:t>
      </w:r>
      <w:r>
        <w:rPr>
          <w:rFonts w:hint="default" w:ascii="Times New Roman" w:hAnsi="Times New Roman" w:eastAsia="宋体" w:cs="Times New Roman"/>
          <w:spacing w:val="-12"/>
          <w:sz w:val="24"/>
          <w:szCs w:val="24"/>
          <w:highlight w:val="none"/>
        </w:rPr>
        <w:t>花江</w:t>
      </w:r>
      <w:r>
        <w:rPr>
          <w:rFonts w:hint="default" w:ascii="Times New Roman" w:hAnsi="Times New Roman" w:eastAsia="宋体" w:cs="Times New Roman"/>
          <w:spacing w:val="-3"/>
          <w:sz w:val="24"/>
          <w:szCs w:val="24"/>
          <w:highlight w:val="none"/>
        </w:rPr>
        <w:t>南岸老山头一带。</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（二）第四纪地层</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第四纪是</w:t>
      </w:r>
      <w:r>
        <w:rPr>
          <w:rFonts w:hint="eastAsia" w:ascii="Times New Roman" w:hAnsi="Times New Roman" w:eastAsia="宋体" w:cs="Times New Roman"/>
          <w:spacing w:val="-8"/>
          <w:sz w:val="24"/>
          <w:szCs w:val="24"/>
          <w:highlight w:val="none"/>
          <w:lang w:val="en-US" w:eastAsia="zh-CN"/>
        </w:rPr>
        <w:t>县内</w:t>
      </w:r>
      <w:r>
        <w:rPr>
          <w:rFonts w:hint="default" w:ascii="Times New Roman" w:hAnsi="Times New Roman" w:eastAsia="宋体" w:cs="Times New Roman"/>
          <w:spacing w:val="-8"/>
          <w:sz w:val="24"/>
          <w:szCs w:val="24"/>
          <w:highlight w:val="none"/>
        </w:rPr>
        <w:t>分</w:t>
      </w:r>
      <w:r>
        <w:rPr>
          <w:rFonts w:hint="default" w:ascii="Times New Roman" w:hAnsi="Times New Roman" w:eastAsia="宋体" w:cs="Times New Roman"/>
          <w:spacing w:val="-8"/>
          <w:sz w:val="24"/>
          <w:szCs w:val="24"/>
        </w:rPr>
        <w:t>布最广泛的地层，现分述如下：</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（1）中更新统</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①坡积洪积层（dl+plQ2）</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呈弧状分布于山区外围。岩性主要为黄色、褐黄色</w:t>
      </w:r>
      <w:r>
        <w:rPr>
          <w:rFonts w:hint="default" w:ascii="Times New Roman" w:hAnsi="Times New Roman" w:eastAsia="宋体" w:cs="Times New Roman"/>
          <w:spacing w:val="2"/>
          <w:sz w:val="24"/>
          <w:szCs w:val="24"/>
        </w:rPr>
        <w:t>亚粘土、亚粘</w:t>
      </w:r>
      <w:r>
        <w:rPr>
          <w:rFonts w:hint="default" w:ascii="Times New Roman" w:hAnsi="Times New Roman" w:eastAsia="宋体" w:cs="Times New Roman"/>
          <w:spacing w:val="-6"/>
          <w:sz w:val="24"/>
          <w:szCs w:val="24"/>
        </w:rPr>
        <w:t>土夹砂及粘土夹泥砾层。其中夹有薄层的砂及亚砂上透镜体，厚5米左右。岩层总的厚度变化由山前向平原方向增大，一般为</w:t>
      </w:r>
      <w:r>
        <w:rPr>
          <w:rFonts w:hint="default" w:ascii="Times New Roman" w:hAnsi="Times New Roman" w:eastAsia="宋体" w:cs="Times New Roman"/>
          <w:spacing w:val="-7"/>
          <w:sz w:val="24"/>
          <w:szCs w:val="24"/>
        </w:rPr>
        <w:t>30~50米，</w:t>
      </w:r>
      <w:r>
        <w:rPr>
          <w:rFonts w:hint="default" w:ascii="Times New Roman" w:hAnsi="Times New Roman" w:eastAsia="宋体" w:cs="Times New Roman"/>
          <w:spacing w:val="-1"/>
          <w:sz w:val="24"/>
          <w:szCs w:val="24"/>
        </w:rPr>
        <w:t>仅在局部地区厚度显著增大。</w:t>
      </w:r>
    </w:p>
    <w:p>
      <w:pPr>
        <w:pStyle w:val="6"/>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000000"/>
          <w:spacing w:val="-1"/>
          <w:kern w:val="0"/>
          <w:sz w:val="24"/>
          <w:szCs w:val="24"/>
          <w:lang w:val="en-US" w:eastAsia="en-US" w:bidi="ar-SA"/>
        </w:rPr>
      </w:pPr>
      <w:r>
        <w:rPr>
          <w:rFonts w:hint="default" w:ascii="Times New Roman" w:hAnsi="Times New Roman" w:eastAsia="宋体" w:cs="Times New Roman"/>
          <w:snapToGrid w:val="0"/>
          <w:color w:val="000000"/>
          <w:spacing w:val="-1"/>
          <w:kern w:val="0"/>
          <w:sz w:val="24"/>
          <w:szCs w:val="24"/>
          <w:lang w:val="en-US" w:eastAsia="en-US" w:bidi="ar-SA"/>
        </w:rPr>
        <w:t>②冲积洪积层（al＋plQ2）</w:t>
      </w:r>
    </w:p>
    <w:p>
      <w:pPr>
        <w:pStyle w:val="6"/>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napToGrid w:val="0"/>
          <w:color w:val="000000"/>
          <w:spacing w:val="-1"/>
          <w:kern w:val="0"/>
          <w:sz w:val="24"/>
          <w:szCs w:val="24"/>
          <w:lang w:val="en-US" w:eastAsia="en-US" w:bidi="ar-SA"/>
        </w:rPr>
      </w:pPr>
      <w:r>
        <w:rPr>
          <w:rFonts w:hint="default" w:ascii="Times New Roman" w:hAnsi="Times New Roman" w:eastAsia="宋体" w:cs="Times New Roman"/>
          <w:snapToGrid w:val="0"/>
          <w:color w:val="000000"/>
          <w:spacing w:val="-1"/>
          <w:kern w:val="0"/>
          <w:sz w:val="24"/>
          <w:szCs w:val="24"/>
          <w:lang w:val="en-US" w:eastAsia="en-US" w:bidi="ar-SA"/>
        </w:rPr>
        <w:t>普遍分布于山前冲积洪积倾斜平原下部，与中更新统坡积洪积层呈相变关系。此层在岩性上可明显划分为上下两部份：</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4"/>
          <w:sz w:val="24"/>
          <w:szCs w:val="24"/>
        </w:rPr>
        <w:t>a.冲积洪积层下部（</w:t>
      </w:r>
      <w:r>
        <w:rPr>
          <w:rFonts w:hint="default" w:ascii="Times New Roman" w:hAnsi="Times New Roman" w:eastAsia="宋体" w:cs="Times New Roman"/>
          <w:sz w:val="24"/>
          <w:szCs w:val="24"/>
        </w:rPr>
        <w:t>al</w:t>
      </w:r>
      <w:r>
        <w:rPr>
          <w:rFonts w:hint="default" w:ascii="Times New Roman" w:hAnsi="Times New Roman" w:eastAsia="宋体" w:cs="Times New Roman"/>
          <w:spacing w:val="4"/>
          <w:sz w:val="24"/>
          <w:szCs w:val="24"/>
        </w:rPr>
        <w:t>＋</w:t>
      </w:r>
      <w:r>
        <w:rPr>
          <w:rFonts w:hint="default" w:ascii="Times New Roman" w:hAnsi="Times New Roman" w:eastAsia="宋体" w:cs="Times New Roman"/>
          <w:sz w:val="24"/>
          <w:szCs w:val="24"/>
        </w:rPr>
        <w:t>plQ</w:t>
      </w:r>
      <w:r>
        <w:rPr>
          <w:rFonts w:hint="default" w:ascii="Times New Roman" w:hAnsi="Times New Roman" w:eastAsia="宋体" w:cs="Times New Roman"/>
          <w:spacing w:val="4"/>
          <w:sz w:val="24"/>
          <w:szCs w:val="24"/>
        </w:rPr>
        <w:t>21）：岩性主要为灰白色、褐黄和棕</w:t>
      </w:r>
      <w:r>
        <w:rPr>
          <w:rFonts w:hint="default" w:ascii="Times New Roman" w:hAnsi="Times New Roman" w:eastAsia="宋体" w:cs="Times New Roman"/>
          <w:spacing w:val="-9"/>
          <w:sz w:val="24"/>
          <w:szCs w:val="24"/>
        </w:rPr>
        <w:t>黄色砂砾石，其中夹亚粘土透镜体，呈断续分布，磨园度差，多呈半</w:t>
      </w:r>
      <w:r>
        <w:rPr>
          <w:rFonts w:hint="default" w:ascii="Times New Roman" w:hAnsi="Times New Roman" w:eastAsia="宋体" w:cs="Times New Roman"/>
          <w:spacing w:val="-15"/>
          <w:sz w:val="24"/>
          <w:szCs w:val="24"/>
        </w:rPr>
        <w:t>棱角状，分选不佳，内参杂一些粘土成份，砾石含量约</w:t>
      </w:r>
      <w:r>
        <w:rPr>
          <w:rFonts w:hint="default" w:ascii="Times New Roman" w:hAnsi="Times New Roman" w:eastAsia="宋体" w:cs="Times New Roman"/>
          <w:spacing w:val="-16"/>
          <w:sz w:val="24"/>
          <w:szCs w:val="24"/>
        </w:rPr>
        <w:t>占30~40</w:t>
      </w:r>
      <w:r>
        <w:rPr>
          <w:rFonts w:hint="default" w:ascii="Times New Roman" w:hAnsi="Times New Roman" w:eastAsia="宋体" w:cs="Times New Roman"/>
          <w:spacing w:val="-51"/>
          <w:sz w:val="24"/>
          <w:szCs w:val="24"/>
        </w:rPr>
        <w:t>％，</w:t>
      </w:r>
      <w:r>
        <w:rPr>
          <w:rFonts w:hint="default" w:ascii="Times New Roman" w:hAnsi="Times New Roman" w:eastAsia="宋体" w:cs="Times New Roman"/>
          <w:spacing w:val="-16"/>
          <w:sz w:val="24"/>
          <w:szCs w:val="24"/>
        </w:rPr>
        <w:t>矿</w:t>
      </w:r>
      <w:r>
        <w:rPr>
          <w:rFonts w:hint="default" w:ascii="Times New Roman" w:hAnsi="Times New Roman" w:eastAsia="宋体" w:cs="Times New Roman"/>
          <w:spacing w:val="-2"/>
          <w:sz w:val="24"/>
          <w:szCs w:val="24"/>
        </w:rPr>
        <w:t>物成份主要为石英、长石及火山岩等。</w:t>
      </w:r>
    </w:p>
    <w:p>
      <w:pPr>
        <w:pStyle w:val="6"/>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b.冲积洪积层上部（</w:t>
      </w:r>
      <w:r>
        <w:rPr>
          <w:rFonts w:hint="default" w:ascii="Times New Roman" w:hAnsi="Times New Roman" w:eastAsia="宋体" w:cs="Times New Roman"/>
          <w:sz w:val="24"/>
          <w:szCs w:val="24"/>
        </w:rPr>
        <w:t>al</w:t>
      </w:r>
      <w:r>
        <w:rPr>
          <w:rFonts w:hint="default" w:ascii="Times New Roman" w:hAnsi="Times New Roman" w:eastAsia="宋体" w:cs="Times New Roman"/>
          <w:spacing w:val="3"/>
          <w:sz w:val="24"/>
          <w:szCs w:val="24"/>
        </w:rPr>
        <w:t>＋</w:t>
      </w:r>
      <w:r>
        <w:rPr>
          <w:rFonts w:hint="default" w:ascii="Times New Roman" w:hAnsi="Times New Roman" w:eastAsia="宋体" w:cs="Times New Roman"/>
          <w:sz w:val="24"/>
          <w:szCs w:val="24"/>
        </w:rPr>
        <w:t>plQ</w:t>
      </w:r>
      <w:r>
        <w:rPr>
          <w:rFonts w:hint="default" w:ascii="Times New Roman" w:hAnsi="Times New Roman" w:eastAsia="宋体" w:cs="Times New Roman"/>
          <w:spacing w:val="3"/>
          <w:sz w:val="24"/>
          <w:szCs w:val="24"/>
        </w:rPr>
        <w:t>22</w:t>
      </w:r>
      <w:r>
        <w:rPr>
          <w:rFonts w:hint="default" w:ascii="Times New Roman" w:hAnsi="Times New Roman" w:eastAsia="宋体" w:cs="Times New Roman"/>
          <w:spacing w:val="-40"/>
          <w:sz w:val="24"/>
          <w:szCs w:val="24"/>
        </w:rPr>
        <w:t>）：</w:t>
      </w:r>
      <w:r>
        <w:rPr>
          <w:rFonts w:hint="default" w:ascii="Times New Roman" w:hAnsi="Times New Roman" w:eastAsia="宋体" w:cs="Times New Roman"/>
          <w:spacing w:val="3"/>
          <w:sz w:val="24"/>
          <w:szCs w:val="24"/>
        </w:rPr>
        <w:t>岩性主要为黄褐色亚粘土及亚</w:t>
      </w:r>
      <w:r>
        <w:rPr>
          <w:rFonts w:hint="default" w:ascii="Times New Roman" w:hAnsi="Times New Roman" w:eastAsia="宋体" w:cs="Times New Roman"/>
          <w:spacing w:val="-1"/>
          <w:sz w:val="24"/>
          <w:szCs w:val="24"/>
        </w:rPr>
        <w:t>粘土夹砂砾夹石层中夹有灰黑色及灰绿色淤泥质亚粘上透镜体，总厚</w:t>
      </w:r>
      <w:r>
        <w:rPr>
          <w:rFonts w:hint="default" w:ascii="Times New Roman" w:hAnsi="Times New Roman" w:eastAsia="宋体" w:cs="Times New Roman"/>
          <w:spacing w:val="-8"/>
          <w:sz w:val="24"/>
          <w:szCs w:val="24"/>
        </w:rPr>
        <w:t>度约5~30米。亚粘土层分布最为广泛，颜色为</w:t>
      </w:r>
      <w:r>
        <w:rPr>
          <w:rFonts w:hint="default" w:ascii="Times New Roman" w:hAnsi="Times New Roman" w:eastAsia="宋体" w:cs="Times New Roman"/>
          <w:spacing w:val="-9"/>
          <w:sz w:val="24"/>
          <w:szCs w:val="24"/>
        </w:rPr>
        <w:t>黄褐色及棕黄色，结</w:t>
      </w:r>
      <w:r>
        <w:rPr>
          <w:rFonts w:hint="default" w:ascii="Times New Roman" w:hAnsi="Times New Roman" w:eastAsia="宋体" w:cs="Times New Roman"/>
          <w:spacing w:val="-17"/>
          <w:sz w:val="24"/>
          <w:szCs w:val="24"/>
        </w:rPr>
        <w:t>构紧密、块状，具较大粘塑性，微显层理，普遍</w:t>
      </w:r>
      <w:r>
        <w:rPr>
          <w:rFonts w:hint="default" w:ascii="Times New Roman" w:hAnsi="Times New Roman" w:eastAsia="宋体" w:cs="Times New Roman"/>
          <w:spacing w:val="-18"/>
          <w:sz w:val="24"/>
          <w:szCs w:val="24"/>
        </w:rPr>
        <w:t>含铁锰结核（直经达3~5</w:t>
      </w:r>
      <w:r>
        <w:rPr>
          <w:rFonts w:hint="default" w:ascii="Times New Roman" w:hAnsi="Times New Roman" w:eastAsia="宋体" w:cs="Times New Roman"/>
          <w:spacing w:val="-9"/>
          <w:sz w:val="24"/>
          <w:szCs w:val="24"/>
        </w:rPr>
        <w:t>毫米）厚度一般约10~20米。亚粘土夹砂砾石层，位于亚粘土层之下，</w:t>
      </w:r>
      <w:r>
        <w:rPr>
          <w:rFonts w:hint="default" w:ascii="Times New Roman" w:hAnsi="Times New Roman" w:eastAsia="宋体" w:cs="Times New Roman"/>
          <w:sz w:val="24"/>
          <w:szCs w:val="24"/>
        </w:rPr>
        <w:t>呈断续分布，厚度一般为5~10米，颜</w:t>
      </w:r>
      <w:r>
        <w:rPr>
          <w:rFonts w:hint="default" w:ascii="Times New Roman" w:hAnsi="Times New Roman" w:eastAsia="宋体" w:cs="Times New Roman"/>
          <w:spacing w:val="-1"/>
          <w:sz w:val="24"/>
          <w:szCs w:val="24"/>
        </w:rPr>
        <w:t>色主要为褐黄色、棕黄或棕红</w:t>
      </w:r>
      <w:r>
        <w:rPr>
          <w:rFonts w:hint="default" w:ascii="Times New Roman" w:hAnsi="Times New Roman" w:eastAsia="宋体" w:cs="Times New Roman"/>
          <w:spacing w:val="-4"/>
          <w:sz w:val="24"/>
          <w:szCs w:val="24"/>
        </w:rPr>
        <w:t>色。砂砾石磨圆不好，多呈棱角状，最大粒径达1厘米，矿物</w:t>
      </w:r>
      <w:r>
        <w:rPr>
          <w:rFonts w:hint="default" w:ascii="Times New Roman" w:hAnsi="Times New Roman" w:eastAsia="宋体" w:cs="Times New Roman"/>
          <w:spacing w:val="-5"/>
          <w:sz w:val="24"/>
          <w:szCs w:val="24"/>
        </w:rPr>
        <w:t>成份主</w:t>
      </w:r>
      <w:r>
        <w:rPr>
          <w:rFonts w:hint="default" w:ascii="Times New Roman" w:hAnsi="Times New Roman" w:eastAsia="宋体" w:cs="Times New Roman"/>
          <w:spacing w:val="-2"/>
          <w:sz w:val="24"/>
          <w:szCs w:val="24"/>
        </w:rPr>
        <w:t>要为石英、长石及火山岩碎块。亚粘土中含有铁锰质结核。</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③湖沼沉积层（1+hQ22）</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4"/>
          <w:sz w:val="24"/>
          <w:szCs w:val="24"/>
        </w:rPr>
        <w:t>淤泥质亚粘土层，多呈透镜体状夹于冲洪积亚粘土层中，颜色为</w:t>
      </w:r>
      <w:r>
        <w:rPr>
          <w:rFonts w:hint="default" w:ascii="Times New Roman" w:hAnsi="Times New Roman" w:eastAsia="宋体" w:cs="Times New Roman"/>
          <w:spacing w:val="-12"/>
          <w:sz w:val="24"/>
          <w:szCs w:val="24"/>
        </w:rPr>
        <w:t>灰黑及灰绿色，粘性大，富含有机质，有时见铁矿斑点，具臭味，微</w:t>
      </w:r>
      <w:r>
        <w:rPr>
          <w:rFonts w:hint="default" w:ascii="Times New Roman" w:hAnsi="Times New Roman" w:eastAsia="宋体" w:cs="Times New Roman"/>
          <w:spacing w:val="-11"/>
          <w:sz w:val="24"/>
          <w:szCs w:val="24"/>
        </w:rPr>
        <w:t>显层理，其中掺杂有小的石英砂粒。</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（2）上更新统哈尔滨组冲积洪积层（al+</w:t>
      </w:r>
      <w:r>
        <w:rPr>
          <w:rFonts w:hint="default" w:ascii="Times New Roman" w:hAnsi="Times New Roman" w:eastAsia="宋体" w:cs="Times New Roman"/>
          <w:spacing w:val="-4"/>
          <w:sz w:val="24"/>
          <w:szCs w:val="24"/>
        </w:rPr>
        <w:t>plQ3）分布于西集厂兴隆</w:t>
      </w:r>
      <w:r>
        <w:rPr>
          <w:rFonts w:hint="default" w:ascii="Times New Roman" w:hAnsi="Times New Roman" w:eastAsia="宋体" w:cs="Times New Roman"/>
          <w:spacing w:val="-13"/>
          <w:sz w:val="24"/>
          <w:szCs w:val="24"/>
        </w:rPr>
        <w:t>镇一带，黄褐色，结构松散，成份以粘土为主</w:t>
      </w:r>
      <w:r>
        <w:rPr>
          <w:rFonts w:hint="default" w:ascii="Times New Roman" w:hAnsi="Times New Roman" w:eastAsia="宋体" w:cs="Times New Roman"/>
          <w:spacing w:val="-14"/>
          <w:sz w:val="24"/>
          <w:szCs w:val="24"/>
        </w:rPr>
        <w:t>，粉土次之，粘塑性较</w:t>
      </w:r>
      <w:r>
        <w:rPr>
          <w:rFonts w:hint="default" w:ascii="Times New Roman" w:hAnsi="Times New Roman" w:eastAsia="宋体" w:cs="Times New Roman"/>
          <w:spacing w:val="-2"/>
          <w:sz w:val="24"/>
          <w:szCs w:val="24"/>
        </w:rPr>
        <w:t>强，含铁锰质结核，其粒径一般为1~3毫米，并具有粉沫状及菌丝状</w:t>
      </w:r>
      <w:r>
        <w:rPr>
          <w:rFonts w:hint="default" w:ascii="Times New Roman" w:hAnsi="Times New Roman" w:eastAsia="宋体" w:cs="Times New Roman"/>
          <w:spacing w:val="-4"/>
          <w:sz w:val="24"/>
          <w:szCs w:val="24"/>
        </w:rPr>
        <w:t>之钙质结核，厚度为8~15米。</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（3）上更新统顾乡屯组（alQ3）</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分布于各河流两岸</w:t>
      </w:r>
      <w:r>
        <w:rPr>
          <w:rFonts w:hint="default" w:ascii="Times New Roman" w:hAnsi="Times New Roman" w:eastAsia="宋体" w:cs="Times New Roman"/>
          <w:spacing w:val="-38"/>
          <w:sz w:val="24"/>
          <w:szCs w:val="24"/>
        </w:rPr>
        <w:t xml:space="preserve"> </w:t>
      </w:r>
      <w:r>
        <w:rPr>
          <w:rFonts w:hint="default" w:ascii="Times New Roman" w:hAnsi="Times New Roman" w:eastAsia="宋体" w:cs="Times New Roman"/>
          <w:spacing w:val="-1"/>
          <w:sz w:val="24"/>
          <w:szCs w:val="24"/>
        </w:rPr>
        <w:t>一级阶地上部，其岩性组成上部为黄或灰黄色</w:t>
      </w:r>
      <w:r>
        <w:rPr>
          <w:rFonts w:hint="default" w:ascii="Times New Roman" w:hAnsi="Times New Roman" w:eastAsia="宋体" w:cs="Times New Roman"/>
          <w:spacing w:val="-8"/>
          <w:sz w:val="24"/>
          <w:szCs w:val="24"/>
        </w:rPr>
        <w:t>的黄土状亚粘土，较致密，具粘塑性，微显</w:t>
      </w:r>
      <w:r>
        <w:rPr>
          <w:rFonts w:hint="default" w:ascii="Times New Roman" w:hAnsi="Times New Roman" w:eastAsia="宋体" w:cs="Times New Roman"/>
          <w:spacing w:val="-9"/>
          <w:sz w:val="24"/>
          <w:szCs w:val="24"/>
        </w:rPr>
        <w:t>层理，含钙质和铁锰质结</w:t>
      </w:r>
      <w:r>
        <w:rPr>
          <w:rFonts w:hint="default" w:ascii="Times New Roman" w:hAnsi="Times New Roman" w:eastAsia="宋体" w:cs="Times New Roman"/>
          <w:spacing w:val="-12"/>
          <w:sz w:val="24"/>
          <w:szCs w:val="24"/>
        </w:rPr>
        <w:t>核，厚约5~15米，下部为灰黄色或褐黄色的砂及砂砾石层，分选及磨</w:t>
      </w:r>
      <w:r>
        <w:rPr>
          <w:rFonts w:hint="default" w:ascii="Times New Roman" w:hAnsi="Times New Roman" w:eastAsia="宋体" w:cs="Times New Roman"/>
          <w:spacing w:val="-1"/>
          <w:sz w:val="24"/>
          <w:szCs w:val="24"/>
        </w:rPr>
        <w:t>圆度较差，粒径最大5厘米，矿物成份主要为石英、长</w:t>
      </w:r>
      <w:r>
        <w:rPr>
          <w:rFonts w:hint="default" w:ascii="Times New Roman" w:hAnsi="Times New Roman" w:eastAsia="宋体" w:cs="Times New Roman"/>
          <w:spacing w:val="-2"/>
          <w:sz w:val="24"/>
          <w:szCs w:val="24"/>
        </w:rPr>
        <w:t>石、次为火山</w:t>
      </w:r>
      <w:r>
        <w:rPr>
          <w:rFonts w:hint="default" w:ascii="Times New Roman" w:hAnsi="Times New Roman" w:eastAsia="宋体" w:cs="Times New Roman"/>
          <w:spacing w:val="-16"/>
          <w:sz w:val="24"/>
          <w:szCs w:val="24"/>
        </w:rPr>
        <w:t>岩碎屑，厚约25米左右。</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position w:val="19"/>
          <w:sz w:val="24"/>
          <w:szCs w:val="24"/>
        </w:rPr>
        <w:t>（4）全新统</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6"/>
          <w:sz w:val="24"/>
          <w:szCs w:val="24"/>
        </w:rPr>
        <w:t>①冲积层</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分上下两部：</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a.下部冲积层（</w:t>
      </w:r>
      <w:r>
        <w:rPr>
          <w:rFonts w:hint="default" w:ascii="Times New Roman" w:hAnsi="Times New Roman" w:eastAsia="宋体" w:cs="Times New Roman"/>
          <w:sz w:val="24"/>
          <w:szCs w:val="24"/>
        </w:rPr>
        <w:t>alQ</w:t>
      </w:r>
      <w:r>
        <w:rPr>
          <w:rFonts w:hint="default" w:ascii="Times New Roman" w:hAnsi="Times New Roman" w:eastAsia="宋体" w:cs="Times New Roman"/>
          <w:spacing w:val="1"/>
          <w:sz w:val="24"/>
          <w:szCs w:val="24"/>
        </w:rPr>
        <w:t>41</w:t>
      </w:r>
      <w:r>
        <w:rPr>
          <w:rFonts w:hint="default" w:ascii="Times New Roman" w:hAnsi="Times New Roman" w:eastAsia="宋体" w:cs="Times New Roman"/>
          <w:spacing w:val="-40"/>
          <w:sz w:val="24"/>
          <w:szCs w:val="24"/>
        </w:rPr>
        <w:t>）：</w:t>
      </w:r>
      <w:r>
        <w:rPr>
          <w:rFonts w:hint="default" w:ascii="Times New Roman" w:hAnsi="Times New Roman" w:eastAsia="宋体" w:cs="Times New Roman"/>
          <w:spacing w:val="1"/>
          <w:sz w:val="24"/>
          <w:szCs w:val="24"/>
        </w:rPr>
        <w:t>岩性为亚粘土、亚砂土、砂砾石、淤泥</w:t>
      </w:r>
      <w:r>
        <w:rPr>
          <w:rFonts w:hint="default" w:ascii="Times New Roman" w:hAnsi="Times New Roman" w:eastAsia="宋体" w:cs="Times New Roman"/>
          <w:spacing w:val="-7"/>
          <w:sz w:val="24"/>
          <w:szCs w:val="24"/>
        </w:rPr>
        <w:t>质亚粘土，厚度5~50米，分布于河流高漫滩上。松花江高漫滩岩性和</w:t>
      </w:r>
      <w:r>
        <w:rPr>
          <w:rFonts w:hint="default" w:ascii="Times New Roman" w:hAnsi="Times New Roman" w:eastAsia="宋体" w:cs="Times New Roman"/>
          <w:spacing w:val="-2"/>
          <w:sz w:val="24"/>
          <w:szCs w:val="24"/>
        </w:rPr>
        <w:t>厚度与其支流不同。松花江高漫滩堆积物较厚，且以粗砂砾石为主。</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b.上部冲积层（alQ42）：为磨圆度和分选性较好的棕黄色细砂、砂砾石，分布于松花江及支流低漫滩上。</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②冲积沼泽沉积层（al+hQ4）</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分布于盐沼化河谷底地的上部及闭流洼地内，岩性为灰及灰黑色</w:t>
      </w:r>
      <w:r>
        <w:rPr>
          <w:rFonts w:hint="default" w:ascii="Times New Roman" w:hAnsi="Times New Roman" w:eastAsia="宋体" w:cs="Times New Roman"/>
          <w:spacing w:val="-10"/>
          <w:sz w:val="24"/>
          <w:szCs w:val="24"/>
        </w:rPr>
        <w:t>的亚粘土层，粘塑性大，富含有机质，夹有少量的粉细砂粒，偶见螺</w:t>
      </w:r>
      <w:r>
        <w:rPr>
          <w:rFonts w:hint="default" w:ascii="Times New Roman" w:hAnsi="Times New Roman" w:eastAsia="宋体" w:cs="Times New Roman"/>
          <w:spacing w:val="-8"/>
          <w:sz w:val="24"/>
          <w:szCs w:val="24"/>
        </w:rPr>
        <w:t>壳，厚2~3米。</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（5）第四系不分层</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①残积层（elQ）</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分布于低山丘陵区顶部，由花岗岩、砂砾岩及砂页岩风化的碎块</w:t>
      </w:r>
      <w:r>
        <w:rPr>
          <w:rFonts w:hint="default" w:ascii="Times New Roman" w:hAnsi="Times New Roman" w:eastAsia="宋体" w:cs="Times New Roman"/>
          <w:spacing w:val="-6"/>
          <w:sz w:val="24"/>
          <w:szCs w:val="24"/>
        </w:rPr>
        <w:t>与粘土混合而成的风化破碎物质就地堆积，因此各处岩性不一，随母</w:t>
      </w:r>
      <w:r>
        <w:rPr>
          <w:rFonts w:hint="default" w:ascii="Times New Roman" w:hAnsi="Times New Roman" w:eastAsia="宋体" w:cs="Times New Roman"/>
          <w:spacing w:val="-8"/>
          <w:sz w:val="24"/>
          <w:szCs w:val="24"/>
        </w:rPr>
        <w:t>岩变化而异。</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②残积坡积层（el+dlQ）</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分布于低山丘陵区的斜坡上，岩性为黄褐色亚粘土或亚砂土夹碎</w:t>
      </w:r>
      <w:r>
        <w:rPr>
          <w:rFonts w:hint="default" w:ascii="Times New Roman" w:hAnsi="Times New Roman" w:eastAsia="宋体" w:cs="Times New Roman"/>
          <w:spacing w:val="-5"/>
          <w:sz w:val="24"/>
          <w:szCs w:val="24"/>
        </w:rPr>
        <w:t>石，碎石成分为花岗岩、变质岩和火成岩等，直径0.5~10</w:t>
      </w:r>
      <w:r>
        <w:rPr>
          <w:rFonts w:hint="default" w:ascii="Times New Roman" w:hAnsi="Times New Roman" w:eastAsia="宋体" w:cs="Times New Roman"/>
          <w:spacing w:val="-6"/>
          <w:sz w:val="24"/>
          <w:szCs w:val="24"/>
        </w:rPr>
        <w:t>厘米，厚度</w:t>
      </w:r>
      <w:r>
        <w:rPr>
          <w:rFonts w:hint="default" w:ascii="Times New Roman" w:hAnsi="Times New Roman" w:eastAsia="宋体" w:cs="Times New Roman"/>
          <w:spacing w:val="-9"/>
          <w:sz w:val="24"/>
          <w:szCs w:val="24"/>
        </w:rPr>
        <w:t>5~10米。</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32" w:firstLineChars="200"/>
        <w:jc w:val="both"/>
        <w:textAlignment w:val="baseline"/>
        <w:rPr>
          <w:rFonts w:hint="default" w:ascii="Times New Roman" w:hAnsi="Times New Roman" w:eastAsia="宋体" w:cs="Times New Roman"/>
          <w:spacing w:val="-4"/>
          <w:sz w:val="24"/>
          <w:szCs w:val="24"/>
        </w:rPr>
      </w:pPr>
      <w:r>
        <w:rPr>
          <w:rFonts w:hint="default" w:ascii="Times New Roman" w:hAnsi="Times New Roman" w:eastAsia="宋体" w:cs="Times New Roman"/>
          <w:spacing w:val="-12"/>
          <w:sz w:val="24"/>
          <w:szCs w:val="24"/>
        </w:rPr>
        <w:t>③残积坡积层（dl+alQ）分布于山间盆地上，上部为黄褐色亚粘土，</w:t>
      </w:r>
      <w:r>
        <w:rPr>
          <w:rFonts w:hint="default" w:ascii="Times New Roman" w:hAnsi="Times New Roman" w:eastAsia="宋体" w:cs="Times New Roman"/>
          <w:spacing w:val="-7"/>
          <w:sz w:val="24"/>
          <w:szCs w:val="24"/>
        </w:rPr>
        <w:t>一般厚度1~5米；下部岩性变化较大，由淤泥质亚粘土、亚砂土及粉</w:t>
      </w:r>
      <w:r>
        <w:rPr>
          <w:rFonts w:hint="default" w:ascii="Times New Roman" w:hAnsi="Times New Roman" w:eastAsia="宋体" w:cs="Times New Roman"/>
          <w:spacing w:val="-4"/>
          <w:sz w:val="24"/>
          <w:szCs w:val="24"/>
        </w:rPr>
        <w:t>细砂组成，总厚度约5~35米。</w:t>
      </w:r>
    </w:p>
    <w:p>
      <w:pPr>
        <w:pStyle w:val="29"/>
        <w:rPr>
          <w:rFonts w:hint="default" w:ascii="Times New Roman" w:hAnsi="Times New Roman" w:eastAsia="宋体" w:cs="Times New Roman"/>
          <w:b/>
          <w:bCs w:val="0"/>
          <w:snapToGrid/>
          <w:color w:val="auto"/>
          <w:kern w:val="2"/>
          <w:sz w:val="24"/>
          <w:szCs w:val="24"/>
          <w:lang w:val="en-US" w:eastAsia="zh-CN" w:bidi="ar-SA"/>
        </w:rPr>
      </w:pPr>
      <w:r>
        <w:rPr>
          <w:rFonts w:hint="default" w:ascii="Times New Roman" w:hAnsi="Times New Roman" w:eastAsia="宋体" w:cs="Times New Roman"/>
          <w:b/>
          <w:bCs w:val="0"/>
          <w:snapToGrid/>
          <w:color w:val="auto"/>
          <w:kern w:val="2"/>
          <w:sz w:val="24"/>
          <w:szCs w:val="24"/>
          <w:lang w:val="en-US" w:eastAsia="zh-CN" w:bidi="ar-SA"/>
        </w:rPr>
        <w:t>4.1.4.3地下水形成条件于赋存规律</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项目区属于松嫩平原东部补给区的一部分，地下水主要类型为松 嫩平原东部高平原区第四系中更新统下荒山组孔隙承压水；白垩系泥岩、页岩构成第四系含水层的隔水底板。</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自然地理与地质环境决定</w:t>
      </w:r>
      <w:r>
        <w:rPr>
          <w:rFonts w:hint="default" w:ascii="Times New Roman" w:hAnsi="Times New Roman" w:eastAsia="宋体" w:cs="Times New Roman"/>
          <w:spacing w:val="-1"/>
          <w:sz w:val="24"/>
          <w:szCs w:val="24"/>
          <w:highlight w:val="none"/>
        </w:rPr>
        <w:t>了本</w:t>
      </w:r>
      <w:r>
        <w:rPr>
          <w:rFonts w:hint="eastAsia" w:ascii="Times New Roman" w:hAnsi="Times New Roman" w:eastAsia="宋体" w:cs="Times New Roman"/>
          <w:spacing w:val="-1"/>
          <w:sz w:val="24"/>
          <w:szCs w:val="24"/>
          <w:highlight w:val="none"/>
          <w:lang w:val="en-US" w:eastAsia="zh-CN"/>
        </w:rPr>
        <w:t>县</w:t>
      </w:r>
      <w:r>
        <w:rPr>
          <w:rFonts w:hint="default" w:ascii="Times New Roman" w:hAnsi="Times New Roman" w:eastAsia="宋体" w:cs="Times New Roman"/>
          <w:spacing w:val="-1"/>
          <w:sz w:val="24"/>
          <w:szCs w:val="24"/>
          <w:highlight w:val="none"/>
        </w:rPr>
        <w:t>具有平原区域水文地质特征。地表河水的补给量少（</w:t>
      </w:r>
      <w:r>
        <w:rPr>
          <w:rFonts w:hint="eastAsia" w:ascii="Times New Roman" w:hAnsi="Times New Roman" w:eastAsia="宋体" w:cs="Times New Roman"/>
          <w:spacing w:val="-1"/>
          <w:sz w:val="24"/>
          <w:szCs w:val="24"/>
          <w:highlight w:val="none"/>
          <w:lang w:val="en-US" w:eastAsia="zh-CN"/>
        </w:rPr>
        <w:t>县</w:t>
      </w:r>
      <w:r>
        <w:rPr>
          <w:rFonts w:hint="default" w:ascii="Times New Roman" w:hAnsi="Times New Roman" w:eastAsia="宋体" w:cs="Times New Roman"/>
          <w:spacing w:val="-1"/>
          <w:sz w:val="24"/>
          <w:szCs w:val="24"/>
          <w:highlight w:val="none"/>
        </w:rPr>
        <w:t>内仅有漂河及泥河支流在丰</w:t>
      </w:r>
      <w:r>
        <w:rPr>
          <w:rFonts w:hint="default" w:ascii="Times New Roman" w:hAnsi="Times New Roman" w:eastAsia="宋体" w:cs="Times New Roman"/>
          <w:spacing w:val="-1"/>
          <w:sz w:val="24"/>
          <w:szCs w:val="24"/>
        </w:rPr>
        <w:t>水季节能够补给地下水，冬季断流）。所以本区地下水的补给主要以大气降水渗入补给及邻区侧向径流补给为主。</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第四纪以来本区缓慢沉降，沉积了近60-100m厚的粉质粘土与砂、砂砾、卵石层</w:t>
      </w:r>
      <w:r>
        <w:rPr>
          <w:rFonts w:hint="default" w:ascii="Times New Roman" w:hAnsi="Times New Roman" w:eastAsia="宋体" w:cs="Times New Roman"/>
          <w:spacing w:val="-1"/>
          <w:sz w:val="24"/>
          <w:szCs w:val="24"/>
          <w:lang w:eastAsia="zh-CN"/>
        </w:rPr>
        <w:t>，</w:t>
      </w:r>
      <w:r>
        <w:rPr>
          <w:rFonts w:hint="default" w:ascii="Times New Roman" w:hAnsi="Times New Roman" w:eastAsia="宋体" w:cs="Times New Roman"/>
          <w:spacing w:val="-1"/>
          <w:sz w:val="24"/>
          <w:szCs w:val="24"/>
        </w:rPr>
        <w:t>该层具有上细下粗的双层结构特征，即上部为粉质粘土，下部为砂、砂砾石，这一结构特征，使得高平原区顶部的哈尔滨组黄土状粉质粘土层中微孔隙裂隙局部赋存微裂隙孔隙潜水，但富水性差，水量不丰富。而下部砂、砂砾石松散，孔隙发育，为第四系松散岩类孔隙承压水的赋存形成有利场所，所以该区第四系下部发育的中更新统下荒山组中粗砂，砂砾卵石层为本区主要赋水层位，砂砾卵石层厚度为9.0-24.0m。含水层厚度有自东向西逐渐增厚的趋势。含水层顶板埋深在60.0-76.0m左右，含水层顶板埋深自西向东逐渐增大，赋存有孔隙承压水。</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前第四系主要为白垩系嫩江组紫红色泥岩，埋藏于中更新统下荒山组砂、砂砾卵石层下部，风化、构造裂隙不发育，鉴于本区无岩浆岩分布、未发现有大的构造带穿越，因此本区前第四系风化裂隙水及构造裂隙水均不甚发育。白垩系碎屑岩构成区域第四系含水层的隔水底板。</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承压水盆地地下水流向总体由东北向西南，地下水位埋深、水头高度、水力坡度等随地势和基底起伏变化较为复杂。其排泄方式主要为人工开采和侧向径流排泄。</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pacing w:val="-1"/>
          <w:sz w:val="24"/>
          <w:szCs w:val="24"/>
        </w:rPr>
        <w:sectPr>
          <w:pgSz w:w="11906" w:h="16839"/>
          <w:pgMar w:top="1203" w:right="1305" w:bottom="1156" w:left="1305" w:header="962" w:footer="992" w:gutter="0"/>
          <w:pgBorders>
            <w:top w:val="none" w:sz="0" w:space="0"/>
            <w:left w:val="none" w:sz="0" w:space="0"/>
            <w:bottom w:val="none" w:sz="0" w:space="0"/>
            <w:right w:val="none" w:sz="0" w:space="0"/>
          </w:pgBorders>
          <w:pgNumType w:fmt="decimal"/>
          <w:cols w:space="720" w:num="1"/>
        </w:sectPr>
      </w:pPr>
      <w:r>
        <w:rPr>
          <w:rFonts w:hint="default" w:ascii="Times New Roman" w:hAnsi="Times New Roman" w:eastAsia="宋体" w:cs="Times New Roman"/>
          <w:spacing w:val="-1"/>
          <w:sz w:val="24"/>
          <w:szCs w:val="24"/>
        </w:rPr>
        <w:t>兴隆承压水盆地砂砾石含水层连续分布，透水性强，补给较充沛，径流通畅，循环交替较强烈，水质总体较好，水化学类型较单一，以HCO</w:t>
      </w:r>
      <w:r>
        <w:rPr>
          <w:rFonts w:hint="default" w:ascii="Times New Roman" w:hAnsi="Times New Roman" w:eastAsia="宋体" w:cs="Times New Roman"/>
          <w:spacing w:val="-1"/>
          <w:sz w:val="24"/>
          <w:szCs w:val="24"/>
          <w:vertAlign w:val="subscript"/>
        </w:rPr>
        <w:t>3</w:t>
      </w:r>
      <w:r>
        <w:rPr>
          <w:rFonts w:hint="default" w:ascii="Times New Roman" w:hAnsi="Times New Roman" w:eastAsia="宋体" w:cs="Times New Roman"/>
          <w:spacing w:val="-1"/>
          <w:sz w:val="24"/>
          <w:szCs w:val="24"/>
        </w:rPr>
        <w:t>－Ca型水为主，矿化度低，属中性、偏弱碱性水，矿化度0.161-0.990g/L，属低矿化度淡水。总硬度57.55-650.74mg/L，属极软水-较硬水。铁、锰指标普遍超标，为黑龙江省区域背景所致，其余离子含量多符合饮用水水质标准。</w:t>
      </w:r>
    </w:p>
    <w:p>
      <w:pPr>
        <w:pStyle w:val="2"/>
        <w:ind w:left="0" w:leftChars="0" w:firstLine="0" w:firstLineChars="0"/>
        <w:jc w:val="center"/>
        <w:rPr>
          <w:rFonts w:hint="eastAsia" w:eastAsia="宋体"/>
          <w:lang w:eastAsia="zh-CN"/>
        </w:rPr>
      </w:pPr>
      <w:r>
        <w:rPr>
          <w:color w:val="FF0000"/>
        </w:rPr>
        <mc:AlternateContent>
          <mc:Choice Requires="wps">
            <w:drawing>
              <wp:anchor distT="0" distB="0" distL="114300" distR="114300" simplePos="0" relativeHeight="251949056" behindDoc="0" locked="0" layoutInCell="1" allowOverlap="1">
                <wp:simplePos x="0" y="0"/>
                <wp:positionH relativeFrom="column">
                  <wp:posOffset>3263265</wp:posOffset>
                </wp:positionH>
                <wp:positionV relativeFrom="paragraph">
                  <wp:posOffset>1822450</wp:posOffset>
                </wp:positionV>
                <wp:extent cx="862965" cy="310515"/>
                <wp:effectExtent l="0" t="0" r="0" b="0"/>
                <wp:wrapNone/>
                <wp:docPr id="19" name="矩形 590"/>
                <wp:cNvGraphicFramePr/>
                <a:graphic xmlns:a="http://schemas.openxmlformats.org/drawingml/2006/main">
                  <a:graphicData uri="http://schemas.microsoft.com/office/word/2010/wordprocessingShape">
                    <wps:wsp>
                      <wps:cNvSpPr/>
                      <wps:spPr>
                        <a:xfrm>
                          <a:off x="0" y="0"/>
                          <a:ext cx="862965" cy="310515"/>
                        </a:xfrm>
                        <a:prstGeom prst="rect">
                          <a:avLst/>
                        </a:prstGeom>
                        <a:noFill/>
                        <a:ln>
                          <a:noFill/>
                        </a:ln>
                      </wps:spPr>
                      <wps:txbx>
                        <w:txbxContent>
                          <w:p>
                            <w:pPr>
                              <w:jc w:val="center"/>
                              <w:rPr>
                                <w:color w:val="FF0000"/>
                              </w:rPr>
                            </w:pPr>
                            <w:r>
                              <w:rPr>
                                <w:rFonts w:hint="eastAsia"/>
                                <w:color w:val="FF0000"/>
                              </w:rPr>
                              <w:t>本项目</w:t>
                            </w:r>
                          </w:p>
                        </w:txbxContent>
                      </wps:txbx>
                      <wps:bodyPr upright="1"/>
                    </wps:wsp>
                  </a:graphicData>
                </a:graphic>
              </wp:anchor>
            </w:drawing>
          </mc:Choice>
          <mc:Fallback>
            <w:pict>
              <v:rect id="矩形 590" o:spid="_x0000_s1026" o:spt="1" style="position:absolute;left:0pt;margin-left:256.95pt;margin-top:143.5pt;height:24.45pt;width:67.95pt;z-index:251949056;mso-width-relative:page;mso-height-relative:page;" filled="f" stroked="f" coordsize="21600,21600" o:gfxdata="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IEdndwAAAALAQAA&#10;DwAAAAAAAAABACAAAAAiAAAAZHJzL2Rvd25yZXYueG1sUEsBAhQAFAAAAAgAh07iQLH+nKmjAQAA&#10;QwMAAA4AAAAAAAAAAQAgAAAAKwEAAGRycy9lMm9Eb2MueG1sUEsFBgAAAAAGAAYAWQEAAEAFAAAA&#10;AA==&#10;">
                <v:fill on="f" focussize="0,0"/>
                <v:stroke on="f"/>
                <v:imagedata o:title=""/>
                <o:lock v:ext="edit" aspectratio="f"/>
                <v:textbox>
                  <w:txbxContent>
                    <w:p>
                      <w:pPr>
                        <w:jc w:val="center"/>
                        <w:rPr>
                          <w:color w:val="FF0000"/>
                        </w:rPr>
                      </w:pPr>
                      <w:r>
                        <w:rPr>
                          <w:rFonts w:hint="eastAsia"/>
                          <w:color w:val="FF0000"/>
                        </w:rPr>
                        <w:t>本项目</w:t>
                      </w:r>
                    </w:p>
                  </w:txbxContent>
                </v:textbox>
              </v:rect>
            </w:pict>
          </mc:Fallback>
        </mc:AlternateContent>
      </w:r>
      <w:r>
        <w:rPr>
          <w:color w:val="FF0000"/>
        </w:rPr>
        <mc:AlternateContent>
          <mc:Choice Requires="wps">
            <w:drawing>
              <wp:anchor distT="0" distB="0" distL="114300" distR="114300" simplePos="0" relativeHeight="251948032" behindDoc="0" locked="0" layoutInCell="1" allowOverlap="1">
                <wp:simplePos x="0" y="0"/>
                <wp:positionH relativeFrom="column">
                  <wp:posOffset>3627755</wp:posOffset>
                </wp:positionH>
                <wp:positionV relativeFrom="paragraph">
                  <wp:posOffset>1630045</wp:posOffset>
                </wp:positionV>
                <wp:extent cx="172720" cy="180975"/>
                <wp:effectExtent l="13335" t="17145" r="23495" b="30480"/>
                <wp:wrapNone/>
                <wp:docPr id="18" name="五角星 18"/>
                <wp:cNvGraphicFramePr/>
                <a:graphic xmlns:a="http://schemas.openxmlformats.org/drawingml/2006/main">
                  <a:graphicData uri="http://schemas.microsoft.com/office/word/2010/wordprocessingShape">
                    <wps:wsp>
                      <wps:cNvSpPr/>
                      <wps:spPr>
                        <a:xfrm>
                          <a:off x="0" y="0"/>
                          <a:ext cx="172720" cy="180975"/>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285.65pt;margin-top:128.35pt;height:14.25pt;width:13.6pt;z-index:251948032;mso-width-relative:page;mso-height-relative:page;" fillcolor="#FF0000" filled="t" stroked="t" coordsize="172720,180975" o:gfxdata="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FeSqLcAAAACwEAAA8AAAAAAAAAAQAgAAAAIgAA&#10;AGRycy9kb3ducmV2LnhtbFBLAQIUABQAAAAIAIdO4kBhOVFNBAIAACMEAAAOAAAAAAAAAAEAIAAA&#10;ACsBAABkcnMvZTJvRG9jLnhtbFBLBQYAAAAABgAGAFkBAAChBQAAAAA=&#10;" path="m0,69126l65973,69126,86360,0,106746,69126,172719,69126,119345,111848,139733,180974,86360,138251,32986,180974,53374,111848xe">
                <v:path o:connectlocs="86360,0;0,69126;32986,180974;139733,180974;172719,69126" o:connectangles="247,164,82,82,0"/>
                <v:fill on="t" focussize="0,0"/>
                <v:stroke color="#000000" joinstyle="miter"/>
                <v:imagedata o:title=""/>
                <o:lock v:ext="edit" aspectratio="f"/>
              </v:shape>
            </w:pict>
          </mc:Fallback>
        </mc:AlternateContent>
      </w:r>
      <w:r>
        <w:rPr>
          <w:rFonts w:hint="eastAsia" w:eastAsia="宋体"/>
          <w:lang w:eastAsia="zh-CN"/>
        </w:rPr>
        <w:drawing>
          <wp:inline distT="0" distB="0" distL="114300" distR="114300">
            <wp:extent cx="8322310" cy="5258435"/>
            <wp:effectExtent l="0" t="0" r="2540" b="18415"/>
            <wp:docPr id="17" name="图片 17" descr="4fd24d93ceaad6a072590b01e0a7c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4fd24d93ceaad6a072590b01e0a7cfb"/>
                    <pic:cNvPicPr>
                      <a:picLocks noChangeAspect="1"/>
                    </pic:cNvPicPr>
                  </pic:nvPicPr>
                  <pic:blipFill>
                    <a:blip r:embed="rId50"/>
                    <a:stretch>
                      <a:fillRect/>
                    </a:stretch>
                  </pic:blipFill>
                  <pic:spPr>
                    <a:xfrm>
                      <a:off x="0" y="0"/>
                      <a:ext cx="8322310" cy="525843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sectPr>
          <w:pgSz w:w="16839" w:h="11906" w:orient="landscape"/>
          <w:pgMar w:top="1305" w:right="1203" w:bottom="1305" w:left="1156" w:header="962" w:footer="992" w:gutter="0"/>
          <w:pgBorders>
            <w:top w:val="none" w:sz="0" w:space="0"/>
            <w:left w:val="none" w:sz="0" w:space="0"/>
            <w:bottom w:val="none" w:sz="0" w:space="0"/>
            <w:right w:val="none" w:sz="0" w:space="0"/>
          </w:pgBorders>
          <w:pgNumType w:fmt="decimal"/>
          <w:cols w:space="720" w:num="1"/>
        </w:sectPr>
      </w:pPr>
      <w:r>
        <w:rPr>
          <w:rFonts w:hint="eastAsia"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图4-1-2 水文地质图</w:t>
      </w:r>
    </w:p>
    <w:p>
      <w:pPr>
        <w:pStyle w:val="5"/>
        <w:rPr>
          <w:rFonts w:hint="default"/>
        </w:rPr>
      </w:pPr>
    </w:p>
    <w:p>
      <w:pPr>
        <w:pStyle w:val="11"/>
        <w:pageBreakBefore w:val="0"/>
        <w:widowControl/>
        <w:numPr>
          <w:ilvl w:val="2"/>
          <w:numId w:val="0"/>
        </w:numPr>
        <w:kinsoku w:val="0"/>
        <w:wordWrap/>
        <w:overflowPunct/>
        <w:topLinePunct w:val="0"/>
        <w:autoSpaceDE w:val="0"/>
        <w:autoSpaceDN w:val="0"/>
        <w:bidi w:val="0"/>
        <w:adjustRightInd w:val="0"/>
        <w:snapToGrid w:val="0"/>
        <w:spacing w:before="0" w:after="0" w:line="360" w:lineRule="auto"/>
        <w:jc w:val="both"/>
        <w:textAlignment w:val="baseline"/>
        <w:rPr>
          <w:rFonts w:hint="default" w:ascii="Times New Roman" w:hAnsi="Times New Roman" w:cs="Times New Roman"/>
          <w:b/>
          <w:color w:val="auto"/>
          <w:sz w:val="28"/>
          <w:szCs w:val="28"/>
        </w:rPr>
      </w:pPr>
      <w:r>
        <w:rPr>
          <w:rFonts w:hint="default" w:ascii="Times New Roman" w:hAnsi="Times New Roman" w:cs="Times New Roman"/>
          <w:b/>
          <w:color w:val="auto"/>
          <w:sz w:val="28"/>
          <w:szCs w:val="28"/>
        </w:rPr>
        <w:t>4.1.</w:t>
      </w:r>
      <w:r>
        <w:rPr>
          <w:rFonts w:hint="default" w:ascii="Times New Roman" w:hAnsi="Times New Roman" w:eastAsia="宋体" w:cs="Times New Roman"/>
          <w:b/>
          <w:color w:val="auto"/>
          <w:sz w:val="28"/>
          <w:szCs w:val="28"/>
          <w:lang w:val="en-US" w:eastAsia="zh-CN"/>
        </w:rPr>
        <w:t>5</w:t>
      </w:r>
      <w:r>
        <w:rPr>
          <w:rFonts w:hint="default" w:ascii="Times New Roman" w:hAnsi="Times New Roman" w:cs="Times New Roman"/>
          <w:b/>
          <w:color w:val="auto"/>
          <w:sz w:val="28"/>
          <w:szCs w:val="28"/>
        </w:rPr>
        <w:t>地面气象特征</w:t>
      </w:r>
    </w:p>
    <w:p>
      <w:pPr>
        <w:pageBreakBefore w:val="0"/>
        <w:widowControl/>
        <w:kinsoku w:val="0"/>
        <w:wordWrap/>
        <w:overflowPunct/>
        <w:topLinePunct w:val="0"/>
        <w:autoSpaceDE w:val="0"/>
        <w:autoSpaceDN w:val="0"/>
        <w:bidi w:val="0"/>
        <w:adjustRightInd w:val="0"/>
        <w:snapToGrid w:val="0"/>
        <w:spacing w:line="360" w:lineRule="auto"/>
        <w:jc w:val="both"/>
        <w:textAlignment w:val="baseline"/>
        <w:outlineLvl w:val="3"/>
        <w:rPr>
          <w:rFonts w:hint="default" w:ascii="Times New Roman" w:hAnsi="Times New Roman" w:cs="Times New Roman"/>
          <w:b/>
          <w:color w:val="auto"/>
          <w:sz w:val="24"/>
        </w:rPr>
      </w:pPr>
      <w:r>
        <w:rPr>
          <w:rFonts w:hint="default" w:ascii="Times New Roman" w:hAnsi="Times New Roman" w:cs="Times New Roman"/>
          <w:b/>
          <w:color w:val="auto"/>
          <w:sz w:val="24"/>
        </w:rPr>
        <w:t>4.1.</w:t>
      </w:r>
      <w:r>
        <w:rPr>
          <w:rFonts w:hint="default" w:ascii="Times New Roman" w:hAnsi="Times New Roman" w:eastAsia="宋体" w:cs="Times New Roman"/>
          <w:b/>
          <w:color w:val="auto"/>
          <w:sz w:val="24"/>
          <w:lang w:val="en-US" w:eastAsia="zh-CN"/>
        </w:rPr>
        <w:t>5</w:t>
      </w:r>
      <w:r>
        <w:rPr>
          <w:rFonts w:hint="default" w:ascii="Times New Roman" w:hAnsi="Times New Roman" w:cs="Times New Roman"/>
          <w:b/>
          <w:color w:val="auto"/>
          <w:sz w:val="24"/>
        </w:rPr>
        <w:t>.1资料来源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本评价区地面历史资料利用哈尔滨市（国家级）气象台气象观测站地面多年（大于20年）观测资料。</w:t>
      </w:r>
    </w:p>
    <w:p>
      <w:pPr>
        <w:pageBreakBefore w:val="0"/>
        <w:widowControl/>
        <w:kinsoku w:val="0"/>
        <w:wordWrap/>
        <w:overflowPunct/>
        <w:topLinePunct w:val="0"/>
        <w:autoSpaceDE w:val="0"/>
        <w:autoSpaceDN w:val="0"/>
        <w:bidi w:val="0"/>
        <w:adjustRightInd w:val="0"/>
        <w:snapToGrid w:val="0"/>
        <w:spacing w:line="360" w:lineRule="auto"/>
        <w:jc w:val="both"/>
        <w:textAlignment w:val="baseline"/>
        <w:outlineLvl w:val="3"/>
        <w:rPr>
          <w:rFonts w:hint="default" w:ascii="Times New Roman" w:hAnsi="Times New Roman" w:cs="Times New Roman"/>
          <w:b/>
          <w:color w:val="auto"/>
          <w:sz w:val="24"/>
        </w:rPr>
      </w:pPr>
      <w:r>
        <w:rPr>
          <w:rFonts w:hint="default" w:ascii="Times New Roman" w:hAnsi="Times New Roman" w:cs="Times New Roman"/>
          <w:b/>
          <w:color w:val="auto"/>
          <w:sz w:val="24"/>
        </w:rPr>
        <w:t>4.1.</w:t>
      </w:r>
      <w:r>
        <w:rPr>
          <w:rFonts w:hint="default" w:ascii="Times New Roman" w:hAnsi="Times New Roman" w:eastAsia="宋体" w:cs="Times New Roman"/>
          <w:b/>
          <w:color w:val="auto"/>
          <w:sz w:val="24"/>
          <w:lang w:val="en-US" w:eastAsia="zh-CN"/>
        </w:rPr>
        <w:t>5</w:t>
      </w:r>
      <w:r>
        <w:rPr>
          <w:rFonts w:hint="default" w:ascii="Times New Roman" w:hAnsi="Times New Roman" w:cs="Times New Roman"/>
          <w:b/>
          <w:color w:val="auto"/>
          <w:sz w:val="24"/>
        </w:rPr>
        <w:t>.2风向</w:t>
      </w:r>
    </w:p>
    <w:p>
      <w:pPr>
        <w:pageBreakBefore w:val="0"/>
        <w:widowControl/>
        <w:kinsoku w:val="0"/>
        <w:wordWrap/>
        <w:overflowPunct/>
        <w:topLinePunct w:val="0"/>
        <w:autoSpaceDE w:val="0"/>
        <w:autoSpaceDN w:val="0"/>
        <w:bidi w:val="0"/>
        <w:adjustRightInd w:val="0"/>
        <w:snapToGrid w:val="0"/>
        <w:spacing w:line="360" w:lineRule="auto"/>
        <w:ind w:firstLine="424" w:firstLineChars="177"/>
        <w:jc w:val="both"/>
        <w:textAlignment w:val="baseline"/>
        <w:rPr>
          <w:rFonts w:hint="default" w:ascii="Times New Roman" w:hAnsi="Times New Roman" w:cs="Times New Roman"/>
          <w:b/>
          <w:color w:val="auto"/>
          <w:kern w:val="0"/>
          <w:sz w:val="20"/>
          <w:szCs w:val="21"/>
        </w:rPr>
      </w:pPr>
      <w:r>
        <w:rPr>
          <w:rFonts w:hint="default" w:ascii="Times New Roman" w:hAnsi="Times New Roman" w:cs="Times New Roman"/>
          <w:color w:val="auto"/>
          <w:sz w:val="24"/>
          <w:szCs w:val="21"/>
        </w:rPr>
        <w:t>哈尔滨市20年来主导风向为南（S）风、南南西（SSW）和西南（SW）风（连续45°角，风频之和大于30%），风向频率分别为12%，12%，9%，静风频率为8%。哈尔滨市近20那年各季度风向频率见表4-1-1和图4-1-2。</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pPr>
      <w:r>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表4-1-1  哈尔滨市各季风向频率（%）统计表（20a平均值）</w:t>
      </w:r>
    </w:p>
    <w:tbl>
      <w:tblPr>
        <w:tblStyle w:val="24"/>
        <w:tblW w:w="4995" w:type="pct"/>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autofit"/>
        <w:tblCellMar>
          <w:top w:w="0" w:type="dxa"/>
          <w:left w:w="30" w:type="dxa"/>
          <w:bottom w:w="0" w:type="dxa"/>
          <w:right w:w="30" w:type="dxa"/>
        </w:tblCellMar>
      </w:tblPr>
      <w:tblGrid>
        <w:gridCol w:w="1053"/>
        <w:gridCol w:w="331"/>
        <w:gridCol w:w="552"/>
        <w:gridCol w:w="408"/>
        <w:gridCol w:w="560"/>
        <w:gridCol w:w="378"/>
        <w:gridCol w:w="560"/>
        <w:gridCol w:w="462"/>
        <w:gridCol w:w="466"/>
        <w:gridCol w:w="414"/>
        <w:gridCol w:w="545"/>
        <w:gridCol w:w="462"/>
        <w:gridCol w:w="636"/>
        <w:gridCol w:w="298"/>
        <w:gridCol w:w="648"/>
        <w:gridCol w:w="518"/>
        <w:gridCol w:w="631"/>
        <w:gridCol w:w="425"/>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30" w:type="dxa"/>
            <w:bottom w:w="0" w:type="dxa"/>
            <w:right w:w="30" w:type="dxa"/>
          </w:tblCellMar>
        </w:tblPrEx>
        <w:trPr>
          <w:trHeight w:val="595" w:hRule="atLeast"/>
          <w:jc w:val="center"/>
        </w:trPr>
        <w:tc>
          <w:tcPr>
            <w:tcW w:w="563" w:type="pct"/>
            <w:tcBorders>
              <w:top w:val="single" w:color="auto" w:sz="12" w:space="0"/>
              <w:tl2br w:val="single" w:color="auto" w:sz="6"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风向</w:t>
            </w:r>
          </w:p>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风频(%)</w:t>
            </w:r>
          </w:p>
        </w:tc>
        <w:tc>
          <w:tcPr>
            <w:tcW w:w="177"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N</w:t>
            </w:r>
          </w:p>
        </w:tc>
        <w:tc>
          <w:tcPr>
            <w:tcW w:w="295"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NNE</w:t>
            </w:r>
          </w:p>
        </w:tc>
        <w:tc>
          <w:tcPr>
            <w:tcW w:w="218"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NE</w:t>
            </w:r>
          </w:p>
        </w:tc>
        <w:tc>
          <w:tcPr>
            <w:tcW w:w="299"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ENE</w:t>
            </w:r>
          </w:p>
        </w:tc>
        <w:tc>
          <w:tcPr>
            <w:tcW w:w="202"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E</w:t>
            </w:r>
          </w:p>
        </w:tc>
        <w:tc>
          <w:tcPr>
            <w:tcW w:w="299"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ESE</w:t>
            </w:r>
          </w:p>
        </w:tc>
        <w:tc>
          <w:tcPr>
            <w:tcW w:w="247"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SE</w:t>
            </w:r>
          </w:p>
        </w:tc>
        <w:tc>
          <w:tcPr>
            <w:tcW w:w="249"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SSE</w:t>
            </w:r>
          </w:p>
        </w:tc>
        <w:tc>
          <w:tcPr>
            <w:tcW w:w="221"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S</w:t>
            </w:r>
          </w:p>
        </w:tc>
        <w:tc>
          <w:tcPr>
            <w:tcW w:w="291"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SSW</w:t>
            </w:r>
          </w:p>
        </w:tc>
        <w:tc>
          <w:tcPr>
            <w:tcW w:w="247"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SW</w:t>
            </w:r>
          </w:p>
        </w:tc>
        <w:tc>
          <w:tcPr>
            <w:tcW w:w="340"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WSW</w:t>
            </w:r>
          </w:p>
        </w:tc>
        <w:tc>
          <w:tcPr>
            <w:tcW w:w="159"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w:t>
            </w:r>
          </w:p>
        </w:tc>
        <w:tc>
          <w:tcPr>
            <w:tcW w:w="346"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WNW</w:t>
            </w:r>
          </w:p>
        </w:tc>
        <w:tc>
          <w:tcPr>
            <w:tcW w:w="277"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NW</w:t>
            </w:r>
          </w:p>
        </w:tc>
        <w:tc>
          <w:tcPr>
            <w:tcW w:w="337"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NNW</w:t>
            </w:r>
          </w:p>
        </w:tc>
        <w:tc>
          <w:tcPr>
            <w:tcW w:w="227" w:type="pct"/>
            <w:tcBorders>
              <w:top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C</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30" w:type="dxa"/>
            <w:bottom w:w="0" w:type="dxa"/>
            <w:right w:w="30" w:type="dxa"/>
          </w:tblCellMar>
        </w:tblPrEx>
        <w:trPr>
          <w:trHeight w:val="291" w:hRule="atLeast"/>
          <w:jc w:val="center"/>
        </w:trPr>
        <w:tc>
          <w:tcPr>
            <w:tcW w:w="563"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春季</w:t>
            </w:r>
          </w:p>
        </w:tc>
        <w:tc>
          <w:tcPr>
            <w:tcW w:w="17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295"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218"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299"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202"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299"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24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249"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w:t>
            </w:r>
          </w:p>
        </w:tc>
        <w:tc>
          <w:tcPr>
            <w:tcW w:w="221"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w:t>
            </w:r>
          </w:p>
        </w:tc>
        <w:tc>
          <w:tcPr>
            <w:tcW w:w="291"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11</w:t>
            </w:r>
          </w:p>
        </w:tc>
        <w:tc>
          <w:tcPr>
            <w:tcW w:w="24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w:t>
            </w:r>
          </w:p>
        </w:tc>
        <w:tc>
          <w:tcPr>
            <w:tcW w:w="340"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w:t>
            </w:r>
          </w:p>
        </w:tc>
        <w:tc>
          <w:tcPr>
            <w:tcW w:w="159"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w:t>
            </w:r>
          </w:p>
        </w:tc>
        <w:tc>
          <w:tcPr>
            <w:tcW w:w="346"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w:t>
            </w:r>
          </w:p>
        </w:tc>
        <w:tc>
          <w:tcPr>
            <w:tcW w:w="27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w:t>
            </w:r>
          </w:p>
        </w:tc>
        <w:tc>
          <w:tcPr>
            <w:tcW w:w="33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w:t>
            </w:r>
          </w:p>
        </w:tc>
        <w:tc>
          <w:tcPr>
            <w:tcW w:w="22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30" w:type="dxa"/>
            <w:bottom w:w="0" w:type="dxa"/>
            <w:right w:w="30" w:type="dxa"/>
          </w:tblCellMar>
        </w:tblPrEx>
        <w:trPr>
          <w:trHeight w:val="291" w:hRule="atLeast"/>
          <w:jc w:val="center"/>
        </w:trPr>
        <w:tc>
          <w:tcPr>
            <w:tcW w:w="563"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夏季</w:t>
            </w:r>
          </w:p>
        </w:tc>
        <w:tc>
          <w:tcPr>
            <w:tcW w:w="17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295"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218"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299"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w:t>
            </w:r>
          </w:p>
        </w:tc>
        <w:tc>
          <w:tcPr>
            <w:tcW w:w="202"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w:t>
            </w:r>
          </w:p>
        </w:tc>
        <w:tc>
          <w:tcPr>
            <w:tcW w:w="299"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24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7</w:t>
            </w:r>
          </w:p>
        </w:tc>
        <w:tc>
          <w:tcPr>
            <w:tcW w:w="249"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w:t>
            </w:r>
          </w:p>
        </w:tc>
        <w:tc>
          <w:tcPr>
            <w:tcW w:w="221"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12</w:t>
            </w:r>
          </w:p>
        </w:tc>
        <w:tc>
          <w:tcPr>
            <w:tcW w:w="291"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w:t>
            </w:r>
          </w:p>
        </w:tc>
        <w:tc>
          <w:tcPr>
            <w:tcW w:w="24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w:t>
            </w:r>
          </w:p>
        </w:tc>
        <w:tc>
          <w:tcPr>
            <w:tcW w:w="340"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w:t>
            </w:r>
          </w:p>
        </w:tc>
        <w:tc>
          <w:tcPr>
            <w:tcW w:w="159"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w:t>
            </w:r>
          </w:p>
        </w:tc>
        <w:tc>
          <w:tcPr>
            <w:tcW w:w="346"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27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33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22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30" w:type="dxa"/>
            <w:bottom w:w="0" w:type="dxa"/>
            <w:right w:w="30" w:type="dxa"/>
          </w:tblCellMar>
        </w:tblPrEx>
        <w:trPr>
          <w:trHeight w:val="304" w:hRule="atLeast"/>
          <w:jc w:val="center"/>
        </w:trPr>
        <w:tc>
          <w:tcPr>
            <w:tcW w:w="563"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秋季</w:t>
            </w:r>
          </w:p>
        </w:tc>
        <w:tc>
          <w:tcPr>
            <w:tcW w:w="17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295"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218"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299"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202"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299"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24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249"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w:t>
            </w:r>
          </w:p>
        </w:tc>
        <w:tc>
          <w:tcPr>
            <w:tcW w:w="221"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13</w:t>
            </w:r>
          </w:p>
        </w:tc>
        <w:tc>
          <w:tcPr>
            <w:tcW w:w="291"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11</w:t>
            </w:r>
          </w:p>
        </w:tc>
        <w:tc>
          <w:tcPr>
            <w:tcW w:w="24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w:t>
            </w:r>
          </w:p>
        </w:tc>
        <w:tc>
          <w:tcPr>
            <w:tcW w:w="340"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w:t>
            </w:r>
          </w:p>
        </w:tc>
        <w:tc>
          <w:tcPr>
            <w:tcW w:w="159"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w:t>
            </w:r>
          </w:p>
        </w:tc>
        <w:tc>
          <w:tcPr>
            <w:tcW w:w="346"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7</w:t>
            </w:r>
          </w:p>
        </w:tc>
        <w:tc>
          <w:tcPr>
            <w:tcW w:w="27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w:t>
            </w:r>
          </w:p>
        </w:tc>
        <w:tc>
          <w:tcPr>
            <w:tcW w:w="33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22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30" w:type="dxa"/>
            <w:bottom w:w="0" w:type="dxa"/>
            <w:right w:w="30" w:type="dxa"/>
          </w:tblCellMar>
        </w:tblPrEx>
        <w:trPr>
          <w:trHeight w:val="291" w:hRule="atLeast"/>
          <w:jc w:val="center"/>
        </w:trPr>
        <w:tc>
          <w:tcPr>
            <w:tcW w:w="563"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冬季</w:t>
            </w:r>
          </w:p>
        </w:tc>
        <w:tc>
          <w:tcPr>
            <w:tcW w:w="17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295"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218"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299"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202"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299"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24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249"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221"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13</w:t>
            </w:r>
          </w:p>
        </w:tc>
        <w:tc>
          <w:tcPr>
            <w:tcW w:w="291"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14</w:t>
            </w:r>
          </w:p>
        </w:tc>
        <w:tc>
          <w:tcPr>
            <w:tcW w:w="24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w:t>
            </w:r>
          </w:p>
        </w:tc>
        <w:tc>
          <w:tcPr>
            <w:tcW w:w="340"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w:t>
            </w:r>
          </w:p>
        </w:tc>
        <w:tc>
          <w:tcPr>
            <w:tcW w:w="159"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w:t>
            </w:r>
          </w:p>
        </w:tc>
        <w:tc>
          <w:tcPr>
            <w:tcW w:w="346"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7</w:t>
            </w:r>
          </w:p>
        </w:tc>
        <w:tc>
          <w:tcPr>
            <w:tcW w:w="27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w:t>
            </w:r>
          </w:p>
        </w:tc>
        <w:tc>
          <w:tcPr>
            <w:tcW w:w="33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227" w:type="pct"/>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30" w:type="dxa"/>
            <w:bottom w:w="0" w:type="dxa"/>
            <w:right w:w="30" w:type="dxa"/>
          </w:tblCellMar>
        </w:tblPrEx>
        <w:trPr>
          <w:trHeight w:val="304" w:hRule="atLeast"/>
          <w:jc w:val="center"/>
        </w:trPr>
        <w:tc>
          <w:tcPr>
            <w:tcW w:w="563"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年平均</w:t>
            </w:r>
          </w:p>
        </w:tc>
        <w:tc>
          <w:tcPr>
            <w:tcW w:w="177"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295"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218"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299"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202"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299"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247"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249"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w:t>
            </w:r>
          </w:p>
        </w:tc>
        <w:tc>
          <w:tcPr>
            <w:tcW w:w="221"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12</w:t>
            </w:r>
          </w:p>
        </w:tc>
        <w:tc>
          <w:tcPr>
            <w:tcW w:w="291"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12</w:t>
            </w:r>
          </w:p>
        </w:tc>
        <w:tc>
          <w:tcPr>
            <w:tcW w:w="247"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w:t>
            </w:r>
          </w:p>
        </w:tc>
        <w:tc>
          <w:tcPr>
            <w:tcW w:w="340"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7</w:t>
            </w:r>
          </w:p>
        </w:tc>
        <w:tc>
          <w:tcPr>
            <w:tcW w:w="159"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w:t>
            </w:r>
          </w:p>
        </w:tc>
        <w:tc>
          <w:tcPr>
            <w:tcW w:w="346"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w:t>
            </w:r>
          </w:p>
        </w:tc>
        <w:tc>
          <w:tcPr>
            <w:tcW w:w="277"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7</w:t>
            </w:r>
          </w:p>
        </w:tc>
        <w:tc>
          <w:tcPr>
            <w:tcW w:w="337"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227" w:type="pct"/>
            <w:tcBorders>
              <w:bottom w:val="single" w:color="auto" w:sz="12" w:space="0"/>
            </w:tcBorders>
            <w:vAlign w:val="center"/>
          </w:tcPr>
          <w:p>
            <w:pPr>
              <w:pStyle w:val="64"/>
              <w:spacing w:line="240" w:lineRule="auto"/>
              <w:ind w:firstLine="0" w:firstLineChars="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w:t>
            </w:r>
          </w:p>
        </w:tc>
      </w:tr>
    </w:tbl>
    <w:p>
      <w:pPr>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0" distR="0">
            <wp:extent cx="5274310" cy="3105150"/>
            <wp:effectExtent l="7620" t="7620" r="13970" b="11430"/>
            <wp:docPr id="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6"/>
                    <pic:cNvPicPr>
                      <a:picLocks noChangeAspect="1" noChangeArrowheads="1"/>
                    </pic:cNvPicPr>
                  </pic:nvPicPr>
                  <pic:blipFill>
                    <a:blip r:embed="rId51" cstate="print"/>
                    <a:srcRect/>
                    <a:stretch>
                      <a:fillRect/>
                    </a:stretch>
                  </pic:blipFill>
                  <pic:spPr>
                    <a:xfrm>
                      <a:off x="0" y="0"/>
                      <a:ext cx="5274310" cy="3105150"/>
                    </a:xfrm>
                    <a:prstGeom prst="rect">
                      <a:avLst/>
                    </a:prstGeom>
                    <a:noFill/>
                    <a:ln w="9525">
                      <a:solidFill>
                        <a:schemeClr val="tx1"/>
                      </a:solidFill>
                      <a:miter lim="800000"/>
                      <a:headEnd/>
                      <a:tailEnd/>
                    </a:ln>
                    <a:scene3d>
                      <a:camera prst="orthographicFront"/>
                      <a:lightRig rig="threePt" dir="t"/>
                    </a:scene3d>
                    <a:sp3d contourW="6350"/>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pPr>
      <w:r>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图4-1-</w:t>
      </w:r>
      <w:r>
        <w:rPr>
          <w:rFonts w:hint="eastAsia"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3</w:t>
      </w:r>
      <w:r>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评价区近20a各季及全年风向玫瑰图</w:t>
      </w:r>
    </w:p>
    <w:p>
      <w:pPr>
        <w:pageBreakBefore w:val="0"/>
        <w:widowControl/>
        <w:kinsoku w:val="0"/>
        <w:wordWrap/>
        <w:overflowPunct/>
        <w:topLinePunct w:val="0"/>
        <w:autoSpaceDE w:val="0"/>
        <w:autoSpaceDN w:val="0"/>
        <w:bidi w:val="0"/>
        <w:adjustRightInd w:val="0"/>
        <w:snapToGrid w:val="0"/>
        <w:spacing w:line="360" w:lineRule="auto"/>
        <w:jc w:val="both"/>
        <w:textAlignment w:val="baseline"/>
        <w:outlineLvl w:val="3"/>
        <w:rPr>
          <w:rFonts w:hint="default" w:ascii="Times New Roman" w:hAnsi="Times New Roman" w:cs="Times New Roman"/>
          <w:b/>
          <w:color w:val="auto"/>
          <w:sz w:val="24"/>
        </w:rPr>
      </w:pPr>
      <w:r>
        <w:rPr>
          <w:rFonts w:hint="default" w:ascii="Times New Roman" w:hAnsi="Times New Roman" w:cs="Times New Roman"/>
          <w:b/>
          <w:color w:val="auto"/>
          <w:sz w:val="24"/>
        </w:rPr>
        <w:t>4.1.</w:t>
      </w:r>
      <w:r>
        <w:rPr>
          <w:rFonts w:hint="default" w:ascii="Times New Roman" w:hAnsi="Times New Roman" w:eastAsia="宋体" w:cs="Times New Roman"/>
          <w:b/>
          <w:color w:val="auto"/>
          <w:sz w:val="24"/>
          <w:lang w:val="en-US" w:eastAsia="zh-CN"/>
        </w:rPr>
        <w:t>5</w:t>
      </w:r>
      <w:r>
        <w:rPr>
          <w:rFonts w:hint="default" w:ascii="Times New Roman" w:hAnsi="Times New Roman" w:cs="Times New Roman"/>
          <w:b/>
          <w:color w:val="auto"/>
          <w:sz w:val="24"/>
        </w:rPr>
        <w:t>.3风速</w:t>
      </w:r>
    </w:p>
    <w:p>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哈尔滨统计的年平均风速为2.6m/s，最大风速出现在4月，月平均风速均为3.2m/s；最小风速出现在8月，月平均风速均为2.1m/s。哈尔滨年平均风速的月变化统计见表4-1-2。哈尔滨季小时平均风速的日变化见表4-1-3，图4-1-3。</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pPr>
      <w:r>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表4-1-2哈尔滨年平均风速的月变化</w:t>
      </w:r>
    </w:p>
    <w:tbl>
      <w:tblPr>
        <w:tblStyle w:val="24"/>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55"/>
        <w:gridCol w:w="623"/>
        <w:gridCol w:w="693"/>
        <w:gridCol w:w="693"/>
        <w:gridCol w:w="693"/>
        <w:gridCol w:w="693"/>
        <w:gridCol w:w="693"/>
        <w:gridCol w:w="693"/>
        <w:gridCol w:w="694"/>
        <w:gridCol w:w="694"/>
        <w:gridCol w:w="694"/>
        <w:gridCol w:w="694"/>
        <w:gridCol w:w="69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59"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月份</w:t>
            </w:r>
          </w:p>
        </w:tc>
        <w:tc>
          <w:tcPr>
            <w:tcW w:w="327"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1月</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2月</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3月</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4月</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5月</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6月</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7月</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8月</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9月</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10月</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11月</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8" w:hRule="atLeast"/>
          <w:jc w:val="center"/>
        </w:trPr>
        <w:tc>
          <w:tcPr>
            <w:tcW w:w="659"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风速（m/s）</w:t>
            </w:r>
          </w:p>
        </w:tc>
        <w:tc>
          <w:tcPr>
            <w:tcW w:w="327"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w:t>
            </w:r>
          </w:p>
        </w:tc>
        <w:tc>
          <w:tcPr>
            <w:tcW w:w="36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w:t>
            </w:r>
          </w:p>
        </w:tc>
      </w:tr>
    </w:tbl>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pPr>
      <w:r>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表4-1-3哈尔滨季小时平均风速的日变化（单位：m/s）</w:t>
      </w:r>
    </w:p>
    <w:tbl>
      <w:tblPr>
        <w:tblStyle w:val="24"/>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40"/>
        <w:gridCol w:w="710"/>
        <w:gridCol w:w="13"/>
        <w:gridCol w:w="700"/>
        <w:gridCol w:w="13"/>
        <w:gridCol w:w="700"/>
        <w:gridCol w:w="10"/>
        <w:gridCol w:w="704"/>
        <w:gridCol w:w="8"/>
        <w:gridCol w:w="706"/>
        <w:gridCol w:w="6"/>
        <w:gridCol w:w="708"/>
        <w:gridCol w:w="4"/>
        <w:gridCol w:w="712"/>
        <w:gridCol w:w="714"/>
        <w:gridCol w:w="714"/>
        <w:gridCol w:w="714"/>
        <w:gridCol w:w="714"/>
        <w:gridCol w:w="71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83" w:hRule="atLeast"/>
          <w:jc w:val="center"/>
        </w:trPr>
        <w:tc>
          <w:tcPr>
            <w:tcW w:w="49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时间</w:t>
            </w:r>
          </w:p>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风速</w:t>
            </w:r>
          </w:p>
        </w:tc>
        <w:tc>
          <w:tcPr>
            <w:tcW w:w="380"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373"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374"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374"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374"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37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03" w:hRule="atLeast"/>
          <w:jc w:val="center"/>
        </w:trPr>
        <w:tc>
          <w:tcPr>
            <w:tcW w:w="49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春季</w:t>
            </w:r>
          </w:p>
        </w:tc>
        <w:tc>
          <w:tcPr>
            <w:tcW w:w="380"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373"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374"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74"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374"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w:t>
            </w:r>
          </w:p>
        </w:tc>
        <w:tc>
          <w:tcPr>
            <w:tcW w:w="37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90" w:hRule="atLeast"/>
          <w:jc w:val="center"/>
        </w:trPr>
        <w:tc>
          <w:tcPr>
            <w:tcW w:w="49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夏季</w:t>
            </w:r>
          </w:p>
        </w:tc>
        <w:tc>
          <w:tcPr>
            <w:tcW w:w="380"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w:t>
            </w:r>
          </w:p>
        </w:tc>
        <w:tc>
          <w:tcPr>
            <w:tcW w:w="373"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w:t>
            </w:r>
          </w:p>
        </w:tc>
        <w:tc>
          <w:tcPr>
            <w:tcW w:w="374"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w:t>
            </w:r>
          </w:p>
        </w:tc>
        <w:tc>
          <w:tcPr>
            <w:tcW w:w="374"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w:t>
            </w:r>
          </w:p>
        </w:tc>
        <w:tc>
          <w:tcPr>
            <w:tcW w:w="374"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37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03" w:hRule="atLeast"/>
          <w:jc w:val="center"/>
        </w:trPr>
        <w:tc>
          <w:tcPr>
            <w:tcW w:w="49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秋季</w:t>
            </w:r>
          </w:p>
        </w:tc>
        <w:tc>
          <w:tcPr>
            <w:tcW w:w="380"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73"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374"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74"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374"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37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90" w:hRule="atLeast"/>
          <w:jc w:val="center"/>
        </w:trPr>
        <w:tc>
          <w:tcPr>
            <w:tcW w:w="49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冬季</w:t>
            </w:r>
          </w:p>
        </w:tc>
        <w:tc>
          <w:tcPr>
            <w:tcW w:w="373"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376"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90" w:hRule="atLeast"/>
          <w:jc w:val="center"/>
        </w:trPr>
        <w:tc>
          <w:tcPr>
            <w:tcW w:w="49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春季</w:t>
            </w:r>
          </w:p>
        </w:tc>
        <w:tc>
          <w:tcPr>
            <w:tcW w:w="373"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w:t>
            </w:r>
          </w:p>
        </w:tc>
        <w:tc>
          <w:tcPr>
            <w:tcW w:w="376"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03" w:hRule="atLeast"/>
          <w:jc w:val="center"/>
        </w:trPr>
        <w:tc>
          <w:tcPr>
            <w:tcW w:w="49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夏季</w:t>
            </w:r>
          </w:p>
        </w:tc>
        <w:tc>
          <w:tcPr>
            <w:tcW w:w="373"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w:t>
            </w:r>
          </w:p>
        </w:tc>
        <w:tc>
          <w:tcPr>
            <w:tcW w:w="376"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90" w:hRule="atLeast"/>
          <w:jc w:val="center"/>
        </w:trPr>
        <w:tc>
          <w:tcPr>
            <w:tcW w:w="49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秋季</w:t>
            </w:r>
          </w:p>
        </w:tc>
        <w:tc>
          <w:tcPr>
            <w:tcW w:w="373"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w:t>
            </w:r>
          </w:p>
        </w:tc>
        <w:tc>
          <w:tcPr>
            <w:tcW w:w="376"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03" w:hRule="atLeast"/>
          <w:jc w:val="center"/>
        </w:trPr>
        <w:tc>
          <w:tcPr>
            <w:tcW w:w="494"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冬季</w:t>
            </w:r>
          </w:p>
        </w:tc>
        <w:tc>
          <w:tcPr>
            <w:tcW w:w="373"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w:t>
            </w:r>
          </w:p>
        </w:tc>
        <w:tc>
          <w:tcPr>
            <w:tcW w:w="375"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w:t>
            </w:r>
          </w:p>
        </w:tc>
        <w:tc>
          <w:tcPr>
            <w:tcW w:w="376" w:type="pct"/>
            <w:gridSpan w:val="2"/>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w:t>
            </w:r>
          </w:p>
        </w:tc>
        <w:tc>
          <w:tcPr>
            <w:tcW w:w="37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w:t>
            </w:r>
          </w:p>
        </w:tc>
      </w:tr>
    </w:tbl>
    <w:p>
      <w:pPr>
        <w:bidi w:val="0"/>
        <w:jc w:val="center"/>
        <w:rPr>
          <w:rFonts w:hint="default" w:ascii="Times New Roman" w:hAnsi="Times New Roman" w:cs="Times New Roman"/>
        </w:rPr>
      </w:pPr>
      <w:r>
        <w:rPr>
          <w:rFonts w:hint="default" w:ascii="Times New Roman" w:hAnsi="Times New Roman" w:cs="Times New Roman"/>
        </w:rPr>
        <w:drawing>
          <wp:inline distT="0" distB="0" distL="0" distR="0">
            <wp:extent cx="4966335" cy="2070735"/>
            <wp:effectExtent l="0" t="0" r="5715" b="5715"/>
            <wp:docPr id="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5"/>
                    <pic:cNvPicPr>
                      <a:picLocks noChangeAspect="1" noChangeArrowheads="1"/>
                    </pic:cNvPicPr>
                  </pic:nvPicPr>
                  <pic:blipFill>
                    <a:blip r:embed="rId52" cstate="print"/>
                    <a:srcRect/>
                    <a:stretch>
                      <a:fillRect/>
                    </a:stretch>
                  </pic:blipFill>
                  <pic:spPr>
                    <a:xfrm>
                      <a:off x="0" y="0"/>
                      <a:ext cx="4968568" cy="2071814"/>
                    </a:xfrm>
                    <a:prstGeom prst="rect">
                      <a:avLst/>
                    </a:prstGeom>
                    <a:noFill/>
                    <a:ln w="9525">
                      <a:noFill/>
                      <a:miter lim="800000"/>
                      <a:headEnd/>
                      <a:tailEnd/>
                    </a:ln>
                    <a:effectLst/>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pPr>
      <w:r>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图4-1-</w:t>
      </w:r>
      <w:r>
        <w:rPr>
          <w:rFonts w:hint="eastAsia"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4</w:t>
      </w:r>
      <w:r>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季小时平均风速的日变化曲线</w:t>
      </w:r>
    </w:p>
    <w:p>
      <w:pPr>
        <w:pageBreakBefore w:val="0"/>
        <w:widowControl/>
        <w:kinsoku w:val="0"/>
        <w:wordWrap/>
        <w:overflowPunct/>
        <w:topLinePunct w:val="0"/>
        <w:autoSpaceDE w:val="0"/>
        <w:autoSpaceDN w:val="0"/>
        <w:bidi w:val="0"/>
        <w:adjustRightInd w:val="0"/>
        <w:snapToGrid w:val="0"/>
        <w:spacing w:line="360" w:lineRule="auto"/>
        <w:jc w:val="both"/>
        <w:textAlignment w:val="baseline"/>
        <w:outlineLvl w:val="3"/>
        <w:rPr>
          <w:rFonts w:hint="default" w:ascii="Times New Roman" w:hAnsi="Times New Roman" w:cs="Times New Roman"/>
          <w:b/>
          <w:color w:val="auto"/>
          <w:sz w:val="24"/>
        </w:rPr>
      </w:pPr>
      <w:r>
        <w:rPr>
          <w:rFonts w:hint="default" w:ascii="Times New Roman" w:hAnsi="Times New Roman" w:cs="Times New Roman"/>
          <w:b/>
          <w:color w:val="auto"/>
          <w:sz w:val="24"/>
        </w:rPr>
        <w:t>4.1.</w:t>
      </w:r>
      <w:r>
        <w:rPr>
          <w:rFonts w:hint="default" w:ascii="Times New Roman" w:hAnsi="Times New Roman" w:eastAsia="宋体" w:cs="Times New Roman"/>
          <w:b/>
          <w:color w:val="auto"/>
          <w:sz w:val="24"/>
          <w:lang w:val="en-US" w:eastAsia="zh-CN"/>
        </w:rPr>
        <w:t>5</w:t>
      </w:r>
      <w:r>
        <w:rPr>
          <w:rFonts w:hint="default" w:ascii="Times New Roman" w:hAnsi="Times New Roman" w:cs="Times New Roman"/>
          <w:b/>
          <w:color w:val="auto"/>
          <w:sz w:val="24"/>
        </w:rPr>
        <w:t>.4地面温度场特征分析</w:t>
      </w:r>
    </w:p>
    <w:p>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哈尔滨年平均气温为4.2℃，一月份平均气温最低，为-18.4℃，七月份平均气温最高，为23.0℃。哈尔滨市年平均温度月变化统计见表4-1-4，图4-1-4。</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pPr>
      <w:r>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表4-1-4哈尔滨年平均温度的月变化（单位：℃）</w:t>
      </w:r>
    </w:p>
    <w:tbl>
      <w:tblPr>
        <w:tblStyle w:val="24"/>
        <w:tblW w:w="4994"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32"/>
        <w:gridCol w:w="715"/>
        <w:gridCol w:w="715"/>
        <w:gridCol w:w="716"/>
        <w:gridCol w:w="716"/>
        <w:gridCol w:w="716"/>
        <w:gridCol w:w="716"/>
        <w:gridCol w:w="716"/>
        <w:gridCol w:w="716"/>
        <w:gridCol w:w="716"/>
        <w:gridCol w:w="716"/>
        <w:gridCol w:w="716"/>
        <w:gridCol w:w="89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6" w:hRule="atLeast"/>
          <w:jc w:val="center"/>
        </w:trPr>
        <w:tc>
          <w:tcPr>
            <w:tcW w:w="38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月份</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1月</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2月</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3月</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4月</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5月</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6月</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7月</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8月</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9月</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10月</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11月</w:t>
            </w:r>
          </w:p>
        </w:tc>
        <w:tc>
          <w:tcPr>
            <w:tcW w:w="470"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385"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气温</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-18.4</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-13.6</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7.1</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14.8</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20.4</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23.0</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21.1</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14.5</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5.6</w:t>
            </w:r>
          </w:p>
        </w:tc>
        <w:tc>
          <w:tcPr>
            <w:tcW w:w="376"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-5.3</w:t>
            </w:r>
          </w:p>
        </w:tc>
        <w:tc>
          <w:tcPr>
            <w:tcW w:w="470" w:type="pct"/>
            <w:vAlign w:val="center"/>
          </w:tcPr>
          <w:p>
            <w:pPr>
              <w:pStyle w:val="64"/>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-14.8</w:t>
            </w:r>
          </w:p>
        </w:tc>
      </w:tr>
    </w:tbl>
    <w:p>
      <w:pPr>
        <w:bidi w:val="0"/>
        <w:jc w:val="center"/>
        <w:rPr>
          <w:rFonts w:hint="default" w:ascii="Times New Roman" w:hAnsi="Times New Roman" w:cs="Times New Roman"/>
        </w:rPr>
      </w:pPr>
      <w:r>
        <w:rPr>
          <w:rFonts w:hint="default" w:ascii="Times New Roman" w:hAnsi="Times New Roman" w:cs="Times New Roman"/>
        </w:rPr>
        <w:drawing>
          <wp:inline distT="0" distB="0" distL="0" distR="0">
            <wp:extent cx="5098415" cy="1699260"/>
            <wp:effectExtent l="9525" t="9525" r="16510" b="24765"/>
            <wp:docPr id="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6"/>
                    <pic:cNvPicPr>
                      <a:picLocks noChangeAspect="1" noChangeArrowheads="1"/>
                    </pic:cNvPicPr>
                  </pic:nvPicPr>
                  <pic:blipFill>
                    <a:blip r:embed="rId53" cstate="print"/>
                    <a:srcRect t="13132"/>
                    <a:stretch>
                      <a:fillRect/>
                    </a:stretch>
                  </pic:blipFill>
                  <pic:spPr>
                    <a:xfrm>
                      <a:off x="0" y="0"/>
                      <a:ext cx="5098415" cy="1699260"/>
                    </a:xfrm>
                    <a:prstGeom prst="rect">
                      <a:avLst/>
                    </a:prstGeom>
                    <a:noFill/>
                    <a:ln w="9525">
                      <a:solidFill>
                        <a:schemeClr val="tx1"/>
                      </a:solidFill>
                      <a:miter lim="800000"/>
                      <a:headEnd/>
                      <a:tailEnd/>
                    </a:ln>
                    <a:effectLst/>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pPr>
      <w:r>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图4-1-</w:t>
      </w:r>
      <w:r>
        <w:rPr>
          <w:rFonts w:hint="eastAsia"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5</w:t>
      </w:r>
      <w:r>
        <w:rPr>
          <w:rFonts w:hint="default" w:ascii="Times New Roman" w:hAnsi="Times New Roman" w:eastAsia="宋体" w:cs="Times New Roman"/>
          <w:spacing w:val="7"/>
          <w:sz w:val="20"/>
          <w:szCs w:val="20"/>
          <w:highlight w:val="none"/>
          <w:lang w:val="en-US" w:eastAsia="zh-CN"/>
          <w14:textOutline w14:w="3795" w14:cap="sq" w14:cmpd="sng">
            <w14:solidFill>
              <w14:srgbClr w14:val="000000"/>
            </w14:solidFill>
            <w14:prstDash w14:val="solid"/>
            <w14:bevel/>
          </w14:textOutline>
        </w:rPr>
        <w:t>哈尔滨年平均温度的月变化曲线</w:t>
      </w:r>
    </w:p>
    <w:p>
      <w:pPr>
        <w:pStyle w:val="11"/>
        <w:pageBreakBefore w:val="0"/>
        <w:widowControl w:val="0"/>
        <w:numPr>
          <w:ilvl w:val="2"/>
          <w:numId w:val="0"/>
        </w:numPr>
        <w:kinsoku/>
        <w:wordWrap/>
        <w:overflowPunct/>
        <w:topLinePunct w:val="0"/>
        <w:autoSpaceDE/>
        <w:autoSpaceDN/>
        <w:bidi w:val="0"/>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4.1.6森林、植被</w:t>
      </w:r>
    </w:p>
    <w:p>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哈尔滨全市植被以地带性植被红松林、针阔叶混交林、天然次生林、人工林、草原和农田植被为主。其中面积最大的是森林植被，森林覆盖率达42.39% ，辖区内野生植物种类丰富，据不完全统计，有植物950余种。以松花江为界，江北植被属小兴安岭植被。江南植被属长白山系张广才岭植被亚区。</w:t>
      </w:r>
    </w:p>
    <w:p>
      <w:pPr>
        <w:pStyle w:val="11"/>
        <w:pageBreakBefore w:val="0"/>
        <w:widowControl w:val="0"/>
        <w:numPr>
          <w:ilvl w:val="2"/>
          <w:numId w:val="0"/>
        </w:numPr>
        <w:kinsoku/>
        <w:wordWrap/>
        <w:overflowPunct/>
        <w:topLinePunct w:val="0"/>
        <w:autoSpaceDE/>
        <w:autoSpaceDN/>
        <w:bidi w:val="0"/>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4.1.7土壤</w:t>
      </w:r>
    </w:p>
    <w:p>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由于受地形、气候、植物等自然因素及人为活动的影响，全市土壤类型较多，共有9个土类、21个亚类、25个土种。黑土，是郊区及县（市）的主要土壤，也是分布最广、数量最多的土壤类型。黑土在全市分为2个亚类（黑土和草甸黑土）、3个土属（粘质黑土、砂质黑土、草甸黑土），共7个土种。黑土土壤养分含量比较丰富，适于各种农作物生长。黑钙土，是全市主要耕作土壤，主要分布在中部平川地和岗平地上，在全市分为3个亚类：黑钙土、淋溶黑钙土、草甸黑钙土，共8个土种。黑钙土养分含量仅次于黑土，适于作物栽培。草甸土也是全市主要耕作土壤，多数分布在沿江河低洼淋溶地带和松花江台地漫滩地带。草甸土在全市分为6个亚类：草甸土、碱化草甸土、泛滥地草甸土、盐化草甸土、潜育草甸土、</w:t>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"http://baike.soso.com/v784546.htm?ch=ch.bk.innerlink" \t "_blank"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硫酸盐</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t>草甸土，共10个土种。草甸土大部分宜耕性较差，宜发展草场和栽植</w:t>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"http://baike.soso.com/v7685627.htm?ch=ch.bk.innerlink" \t "_blank"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薪炭林</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t>。砂土及</w:t>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"http://baike.soso.com/v72439.htm?ch=ch.bk.innerlink" \t "_blank"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沼泽土</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t>，主要分布于江河两岸河滩和低洼地块，适于发展渔业、牧业。</w:t>
      </w:r>
    </w:p>
    <w:p>
      <w:pPr>
        <w:pStyle w:val="11"/>
        <w:pageBreakBefore w:val="0"/>
        <w:widowControl w:val="0"/>
        <w:numPr>
          <w:ilvl w:val="2"/>
          <w:numId w:val="0"/>
        </w:numPr>
        <w:kinsoku/>
        <w:wordWrap/>
        <w:overflowPunct/>
        <w:topLinePunct w:val="0"/>
        <w:autoSpaceDE/>
        <w:autoSpaceDN/>
        <w:bidi w:val="0"/>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4.1.8地震烈度</w:t>
      </w:r>
    </w:p>
    <w:p>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lang w:val="en-US" w:eastAsia="zh-CN"/>
        </w:rPr>
      </w:pPr>
      <w:r>
        <w:rPr>
          <w:rFonts w:hint="default" w:ascii="Times New Roman" w:hAnsi="Times New Roman" w:eastAsia="宋体" w:cs="Times New Roman"/>
          <w:color w:val="auto"/>
          <w:sz w:val="24"/>
          <w:szCs w:val="24"/>
        </w:rPr>
        <w:t>哈尔滨市地震烈度小于</w:t>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 4 \* ROMAN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IV</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t>度，可不考虑地震影响。</w:t>
      </w:r>
    </w:p>
    <w:p>
      <w:pPr>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宋体" w:cs="Times New Roman"/>
          <w:b/>
          <w:bCs/>
          <w:snapToGrid/>
          <w:color w:val="auto"/>
          <w:kern w:val="44"/>
          <w:sz w:val="30"/>
          <w:szCs w:val="30"/>
          <w:lang w:eastAsia="zh-CN"/>
        </w:rPr>
      </w:pPr>
      <w:bookmarkStart w:id="231" w:name="_Toc10985"/>
      <w:r>
        <w:rPr>
          <w:rFonts w:hint="default" w:ascii="Times New Roman" w:hAnsi="Times New Roman" w:eastAsia="宋体" w:cs="Times New Roman"/>
          <w:b/>
          <w:bCs/>
          <w:snapToGrid/>
          <w:color w:val="auto"/>
          <w:kern w:val="44"/>
          <w:sz w:val="30"/>
          <w:szCs w:val="30"/>
          <w:lang w:eastAsia="zh-CN"/>
        </w:rPr>
        <w:t xml:space="preserve">4.2  </w:t>
      </w:r>
      <w:r>
        <w:rPr>
          <w:rFonts w:hint="default" w:ascii="Times New Roman" w:hAnsi="Times New Roman" w:eastAsia="宋体" w:cs="Times New Roman"/>
          <w:b/>
          <w:bCs/>
          <w:snapToGrid/>
          <w:color w:val="auto"/>
          <w:kern w:val="44"/>
          <w:sz w:val="30"/>
          <w:szCs w:val="30"/>
          <w:lang w:val="en-US" w:eastAsia="zh-CN"/>
        </w:rPr>
        <w:t>环境空气</w:t>
      </w:r>
      <w:r>
        <w:rPr>
          <w:rFonts w:hint="default" w:ascii="Times New Roman" w:hAnsi="Times New Roman" w:eastAsia="宋体" w:cs="Times New Roman"/>
          <w:b/>
          <w:bCs/>
          <w:snapToGrid/>
          <w:color w:val="auto"/>
          <w:kern w:val="44"/>
          <w:sz w:val="30"/>
          <w:szCs w:val="30"/>
          <w:lang w:eastAsia="zh-CN"/>
        </w:rPr>
        <w:t>质量现状评价</w:t>
      </w:r>
      <w:bookmarkEnd w:id="231"/>
    </w:p>
    <w:p>
      <w:pPr>
        <w:pStyle w:val="11"/>
        <w:pageBreakBefore w:val="0"/>
        <w:widowControl w:val="0"/>
        <w:numPr>
          <w:ilvl w:val="2"/>
          <w:numId w:val="0"/>
        </w:numPr>
        <w:kinsoku/>
        <w:wordWrap/>
        <w:overflowPunct/>
        <w:topLinePunct w:val="0"/>
        <w:autoSpaceDE/>
        <w:autoSpaceDN/>
        <w:bidi w:val="0"/>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eastAsia="zh-CN"/>
        </w:rPr>
      </w:pPr>
      <w:r>
        <w:rPr>
          <w:rFonts w:hint="default" w:ascii="Times New Roman" w:hAnsi="Times New Roman" w:eastAsia="宋体" w:cs="Times New Roman"/>
          <w:b/>
          <w:bCs w:val="0"/>
          <w:snapToGrid/>
          <w:color w:val="auto"/>
          <w:kern w:val="2"/>
          <w:sz w:val="28"/>
          <w:szCs w:val="28"/>
          <w:lang w:eastAsia="zh-CN"/>
        </w:rPr>
        <w:t>4.2.1  环境空气质量达标</w:t>
      </w:r>
      <w:r>
        <w:rPr>
          <w:rFonts w:hint="default" w:ascii="Times New Roman" w:hAnsi="Times New Roman" w:eastAsia="宋体" w:cs="Times New Roman"/>
          <w:b/>
          <w:bCs w:val="0"/>
          <w:snapToGrid/>
          <w:color w:val="auto"/>
          <w:kern w:val="2"/>
          <w:sz w:val="28"/>
          <w:szCs w:val="28"/>
          <w:lang w:val="en-US" w:eastAsia="zh-CN"/>
        </w:rPr>
        <w:t>情况</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both"/>
        <w:rPr>
          <w:rFonts w:hint="default" w:ascii="Times New Roman" w:hAnsi="Times New Roman" w:eastAsia="宋体" w:cs="Times New Roman"/>
          <w:smallCaps w:val="0"/>
          <w:snapToGrid w:val="0"/>
          <w:color w:val="auto"/>
          <w:kern w:val="2"/>
          <w:sz w:val="24"/>
          <w:szCs w:val="24"/>
          <w:lang w:val="en-US" w:eastAsia="zh-CN" w:bidi="ar-SA"/>
        </w:rPr>
      </w:pPr>
      <w:r>
        <w:rPr>
          <w:rFonts w:hint="default" w:ascii="Times New Roman" w:hAnsi="Times New Roman" w:eastAsia="宋体" w:cs="Times New Roman"/>
          <w:smallCaps w:val="0"/>
          <w:snapToGrid w:val="0"/>
          <w:color w:val="auto"/>
          <w:kern w:val="2"/>
          <w:sz w:val="24"/>
          <w:szCs w:val="24"/>
          <w:lang w:val="en-US" w:eastAsia="zh-CN" w:bidi="ar-SA"/>
        </w:rPr>
        <w:t>根据《哈尔滨市生态环境质量报告书2</w:t>
      </w:r>
      <w:r>
        <w:rPr>
          <w:rFonts w:hint="default" w:ascii="Times New Roman" w:hAnsi="Times New Roman" w:cs="Times New Roman"/>
          <w:smallCaps w:val="0"/>
          <w:snapToGrid w:val="0"/>
          <w:color w:val="auto"/>
          <w:kern w:val="2"/>
          <w:sz w:val="24"/>
          <w:szCs w:val="24"/>
          <w:lang w:val="en-US" w:eastAsia="zh-CN" w:bidi="ar-SA"/>
        </w:rPr>
        <w:t>022</w:t>
      </w:r>
      <w:r>
        <w:rPr>
          <w:rFonts w:hint="default" w:ascii="Times New Roman" w:hAnsi="Times New Roman" w:eastAsia="宋体" w:cs="Times New Roman"/>
          <w:smallCaps w:val="0"/>
          <w:snapToGrid w:val="0"/>
          <w:color w:val="auto"/>
          <w:kern w:val="2"/>
          <w:sz w:val="24"/>
          <w:szCs w:val="24"/>
          <w:lang w:val="en-US" w:eastAsia="zh-CN" w:bidi="ar-SA"/>
        </w:rPr>
        <w:t>年》，202</w:t>
      </w:r>
      <w:r>
        <w:rPr>
          <w:rFonts w:hint="default" w:ascii="Times New Roman" w:hAnsi="Times New Roman" w:cs="Times New Roman"/>
          <w:smallCaps w:val="0"/>
          <w:snapToGrid w:val="0"/>
          <w:color w:val="auto"/>
          <w:kern w:val="2"/>
          <w:sz w:val="24"/>
          <w:szCs w:val="24"/>
          <w:lang w:val="en-US" w:eastAsia="zh-CN" w:bidi="ar-SA"/>
        </w:rPr>
        <w:t>2</w:t>
      </w:r>
      <w:r>
        <w:rPr>
          <w:rFonts w:hint="default" w:ascii="Times New Roman" w:hAnsi="Times New Roman" w:eastAsia="宋体" w:cs="Times New Roman"/>
          <w:smallCaps w:val="0"/>
          <w:snapToGrid w:val="0"/>
          <w:color w:val="auto"/>
          <w:kern w:val="2"/>
          <w:sz w:val="24"/>
          <w:szCs w:val="24"/>
          <w:lang w:val="en-US" w:eastAsia="zh-CN" w:bidi="ar-SA"/>
        </w:rPr>
        <w:t>年哈尔滨市环境空气质量有效监测天数36</w:t>
      </w:r>
      <w:r>
        <w:rPr>
          <w:rFonts w:hint="default" w:ascii="Times New Roman" w:hAnsi="Times New Roman" w:cs="Times New Roman"/>
          <w:smallCaps w:val="0"/>
          <w:snapToGrid w:val="0"/>
          <w:color w:val="auto"/>
          <w:kern w:val="2"/>
          <w:sz w:val="24"/>
          <w:szCs w:val="24"/>
          <w:lang w:val="en-US" w:eastAsia="zh-CN" w:bidi="ar-SA"/>
        </w:rPr>
        <w:t>5</w:t>
      </w:r>
      <w:r>
        <w:rPr>
          <w:rFonts w:hint="default" w:ascii="Times New Roman" w:hAnsi="Times New Roman" w:eastAsia="宋体" w:cs="Times New Roman"/>
          <w:smallCaps w:val="0"/>
          <w:snapToGrid w:val="0"/>
          <w:color w:val="auto"/>
          <w:kern w:val="2"/>
          <w:sz w:val="24"/>
          <w:szCs w:val="24"/>
          <w:lang w:val="en-US" w:eastAsia="zh-CN" w:bidi="ar-SA"/>
        </w:rPr>
        <w:t>天，达标3</w:t>
      </w:r>
      <w:r>
        <w:rPr>
          <w:rFonts w:hint="default" w:ascii="Times New Roman" w:hAnsi="Times New Roman" w:cs="Times New Roman"/>
          <w:smallCaps w:val="0"/>
          <w:snapToGrid w:val="0"/>
          <w:color w:val="auto"/>
          <w:kern w:val="2"/>
          <w:sz w:val="24"/>
          <w:szCs w:val="24"/>
          <w:lang w:val="en-US" w:eastAsia="zh-CN" w:bidi="ar-SA"/>
        </w:rPr>
        <w:t>10</w:t>
      </w:r>
      <w:r>
        <w:rPr>
          <w:rFonts w:hint="default" w:ascii="Times New Roman" w:hAnsi="Times New Roman" w:eastAsia="宋体" w:cs="Times New Roman"/>
          <w:smallCaps w:val="0"/>
          <w:snapToGrid w:val="0"/>
          <w:color w:val="auto"/>
          <w:kern w:val="2"/>
          <w:sz w:val="24"/>
          <w:szCs w:val="24"/>
          <w:lang w:val="en-US" w:eastAsia="zh-CN" w:bidi="ar-SA"/>
        </w:rPr>
        <w:t>天，达标率8</w:t>
      </w:r>
      <w:r>
        <w:rPr>
          <w:rFonts w:hint="default" w:ascii="Times New Roman" w:hAnsi="Times New Roman" w:cs="Times New Roman"/>
          <w:smallCaps w:val="0"/>
          <w:snapToGrid w:val="0"/>
          <w:color w:val="auto"/>
          <w:kern w:val="2"/>
          <w:sz w:val="24"/>
          <w:szCs w:val="24"/>
          <w:lang w:val="en-US" w:eastAsia="zh-CN" w:bidi="ar-SA"/>
        </w:rPr>
        <w:t>4</w:t>
      </w:r>
      <w:r>
        <w:rPr>
          <w:rFonts w:hint="default" w:ascii="Times New Roman" w:hAnsi="Times New Roman" w:eastAsia="宋体" w:cs="Times New Roman"/>
          <w:smallCaps w:val="0"/>
          <w:snapToGrid w:val="0"/>
          <w:color w:val="auto"/>
          <w:kern w:val="2"/>
          <w:sz w:val="24"/>
          <w:szCs w:val="24"/>
          <w:lang w:val="en-US" w:eastAsia="zh-CN" w:bidi="ar-SA"/>
        </w:rPr>
        <w:t>.</w:t>
      </w:r>
      <w:r>
        <w:rPr>
          <w:rFonts w:hint="default" w:ascii="Times New Roman" w:hAnsi="Times New Roman" w:cs="Times New Roman"/>
          <w:smallCaps w:val="0"/>
          <w:snapToGrid w:val="0"/>
          <w:color w:val="auto"/>
          <w:kern w:val="2"/>
          <w:sz w:val="24"/>
          <w:szCs w:val="24"/>
          <w:lang w:val="en-US" w:eastAsia="zh-CN" w:bidi="ar-SA"/>
        </w:rPr>
        <w:t>9</w:t>
      </w:r>
      <w:r>
        <w:rPr>
          <w:rFonts w:hint="default" w:ascii="Times New Roman" w:hAnsi="Times New Roman" w:eastAsia="宋体" w:cs="Times New Roman"/>
          <w:smallCaps w:val="0"/>
          <w:snapToGrid w:val="0"/>
          <w:color w:val="auto"/>
          <w:kern w:val="2"/>
          <w:sz w:val="24"/>
          <w:szCs w:val="24"/>
          <w:lang w:val="en-US" w:eastAsia="zh-CN" w:bidi="ar-SA"/>
        </w:rPr>
        <w:t>%。其中优167天，良143天。超标</w:t>
      </w:r>
      <w:r>
        <w:rPr>
          <w:rFonts w:hint="default" w:ascii="Times New Roman" w:hAnsi="Times New Roman" w:cs="Times New Roman"/>
          <w:smallCaps w:val="0"/>
          <w:snapToGrid w:val="0"/>
          <w:color w:val="auto"/>
          <w:kern w:val="2"/>
          <w:sz w:val="24"/>
          <w:szCs w:val="24"/>
          <w:lang w:val="en-US" w:eastAsia="zh-CN" w:bidi="ar-SA"/>
        </w:rPr>
        <w:t>55</w:t>
      </w:r>
      <w:r>
        <w:rPr>
          <w:rFonts w:hint="default" w:ascii="Times New Roman" w:hAnsi="Times New Roman" w:eastAsia="宋体" w:cs="Times New Roman"/>
          <w:smallCaps w:val="0"/>
          <w:snapToGrid w:val="0"/>
          <w:color w:val="auto"/>
          <w:kern w:val="2"/>
          <w:sz w:val="24"/>
          <w:szCs w:val="24"/>
          <w:lang w:val="en-US" w:eastAsia="zh-CN" w:bidi="ar-SA"/>
        </w:rPr>
        <w:t>天，其中轻度污染</w:t>
      </w:r>
      <w:r>
        <w:rPr>
          <w:rFonts w:hint="default" w:ascii="Times New Roman" w:hAnsi="Times New Roman" w:cs="Times New Roman"/>
          <w:smallCaps w:val="0"/>
          <w:snapToGrid w:val="0"/>
          <w:color w:val="auto"/>
          <w:kern w:val="2"/>
          <w:sz w:val="24"/>
          <w:szCs w:val="24"/>
          <w:lang w:val="en-US" w:eastAsia="zh-CN" w:bidi="ar-SA"/>
        </w:rPr>
        <w:t>31</w:t>
      </w:r>
      <w:r>
        <w:rPr>
          <w:rFonts w:hint="default" w:ascii="Times New Roman" w:hAnsi="Times New Roman" w:eastAsia="宋体" w:cs="Times New Roman"/>
          <w:smallCaps w:val="0"/>
          <w:snapToGrid w:val="0"/>
          <w:color w:val="auto"/>
          <w:kern w:val="2"/>
          <w:sz w:val="24"/>
          <w:szCs w:val="24"/>
          <w:lang w:val="en-US" w:eastAsia="zh-CN" w:bidi="ar-SA"/>
        </w:rPr>
        <w:t>天，中度污染</w:t>
      </w:r>
      <w:r>
        <w:rPr>
          <w:rFonts w:hint="default" w:ascii="Times New Roman" w:hAnsi="Times New Roman" w:cs="Times New Roman"/>
          <w:smallCaps w:val="0"/>
          <w:snapToGrid w:val="0"/>
          <w:color w:val="auto"/>
          <w:kern w:val="2"/>
          <w:sz w:val="24"/>
          <w:szCs w:val="24"/>
          <w:lang w:val="en-US" w:eastAsia="zh-CN" w:bidi="ar-SA"/>
        </w:rPr>
        <w:t>14</w:t>
      </w:r>
      <w:r>
        <w:rPr>
          <w:rFonts w:hint="default" w:ascii="Times New Roman" w:hAnsi="Times New Roman" w:eastAsia="宋体" w:cs="Times New Roman"/>
          <w:smallCaps w:val="0"/>
          <w:snapToGrid w:val="0"/>
          <w:color w:val="auto"/>
          <w:kern w:val="2"/>
          <w:sz w:val="24"/>
          <w:szCs w:val="24"/>
          <w:lang w:val="en-US" w:eastAsia="zh-CN" w:bidi="ar-SA"/>
        </w:rPr>
        <w:t>天，重度污染9天，严重污染1天。超标天数中首要污染物</w:t>
      </w:r>
      <w:r>
        <w:rPr>
          <w:rFonts w:hint="default" w:ascii="Times New Roman" w:hAnsi="Times New Roman" w:cs="Times New Roman"/>
          <w:smallCaps w:val="0"/>
          <w:snapToGrid w:val="0"/>
          <w:color w:val="auto"/>
          <w:kern w:val="2"/>
          <w:sz w:val="24"/>
          <w:szCs w:val="24"/>
          <w:lang w:val="en-US" w:eastAsia="zh-CN" w:bidi="ar-SA"/>
        </w:rPr>
        <w:t>47</w:t>
      </w:r>
      <w:r>
        <w:rPr>
          <w:rFonts w:hint="default" w:ascii="Times New Roman" w:hAnsi="Times New Roman" w:eastAsia="宋体" w:cs="Times New Roman"/>
          <w:smallCaps w:val="0"/>
          <w:snapToGrid w:val="0"/>
          <w:color w:val="auto"/>
          <w:kern w:val="2"/>
          <w:sz w:val="24"/>
          <w:szCs w:val="24"/>
          <w:lang w:val="en-US" w:eastAsia="zh-CN" w:bidi="ar-SA"/>
        </w:rPr>
        <w:t>天为细颗粒物，</w:t>
      </w:r>
      <w:r>
        <w:rPr>
          <w:rFonts w:hint="default" w:ascii="Times New Roman" w:hAnsi="Times New Roman" w:cs="Times New Roman"/>
          <w:smallCaps w:val="0"/>
          <w:snapToGrid w:val="0"/>
          <w:color w:val="auto"/>
          <w:kern w:val="2"/>
          <w:sz w:val="24"/>
          <w:szCs w:val="24"/>
          <w:lang w:val="en-US" w:eastAsia="zh-CN" w:bidi="ar-SA"/>
        </w:rPr>
        <w:t>3</w:t>
      </w:r>
      <w:r>
        <w:rPr>
          <w:rFonts w:hint="default" w:ascii="Times New Roman" w:hAnsi="Times New Roman" w:eastAsia="宋体" w:cs="Times New Roman"/>
          <w:smallCaps w:val="0"/>
          <w:snapToGrid w:val="0"/>
          <w:color w:val="auto"/>
          <w:kern w:val="2"/>
          <w:sz w:val="24"/>
          <w:szCs w:val="24"/>
          <w:lang w:val="en-US" w:eastAsia="zh-CN" w:bidi="ar-SA"/>
        </w:rPr>
        <w:t>天为臭氧，5天为可吸入颗粒物</w:t>
      </w:r>
      <w:r>
        <w:rPr>
          <w:rFonts w:hint="default" w:ascii="Times New Roman" w:hAnsi="Times New Roman" w:cs="Times New Roman"/>
          <w:smallCaps w:val="0"/>
          <w:snapToGrid w:val="0"/>
          <w:color w:val="auto"/>
          <w:kern w:val="2"/>
          <w:sz w:val="24"/>
          <w:szCs w:val="24"/>
          <w:lang w:val="en-US" w:eastAsia="zh-CN" w:bidi="ar-SA"/>
        </w:rPr>
        <w:t>，1天为二氧化氮</w:t>
      </w:r>
      <w:r>
        <w:rPr>
          <w:rFonts w:hint="default" w:ascii="Times New Roman" w:hAnsi="Times New Roman" w:eastAsia="宋体" w:cs="Times New Roman"/>
          <w:smallCaps w:val="0"/>
          <w:snapToGrid w:val="0"/>
          <w:color w:val="auto"/>
          <w:kern w:val="2"/>
          <w:sz w:val="24"/>
          <w:szCs w:val="24"/>
          <w:lang w:val="en-US" w:eastAsia="zh-CN" w:bidi="ar-SA"/>
        </w:rPr>
        <w:t>。年度综合指数为3.80。除细颗粒物总体评价未达到二级标准，其他</w:t>
      </w:r>
      <w:r>
        <w:rPr>
          <w:rFonts w:hint="default" w:ascii="Times New Roman" w:hAnsi="Times New Roman" w:cs="Times New Roman"/>
          <w:smallCaps w:val="0"/>
          <w:snapToGrid w:val="0"/>
          <w:color w:val="auto"/>
          <w:kern w:val="2"/>
          <w:sz w:val="24"/>
          <w:szCs w:val="24"/>
          <w:lang w:val="en-US" w:eastAsia="zh-CN" w:bidi="ar-SA"/>
        </w:rPr>
        <w:t>五</w:t>
      </w:r>
      <w:r>
        <w:rPr>
          <w:rFonts w:hint="default" w:ascii="Times New Roman" w:hAnsi="Times New Roman" w:eastAsia="宋体" w:cs="Times New Roman"/>
          <w:smallCaps w:val="0"/>
          <w:snapToGrid w:val="0"/>
          <w:color w:val="auto"/>
          <w:kern w:val="2"/>
          <w:sz w:val="24"/>
          <w:szCs w:val="24"/>
          <w:lang w:val="en-US" w:eastAsia="zh-CN" w:bidi="ar-SA"/>
        </w:rPr>
        <w:t>项污染物均达到二级标准。</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近年来哈尔滨市环境空气质量保持相对稳定，污染形成的主要因素依然为供暖期污染排放量较大与不利的气象因素叠加导致，偶有秸秆燃烧和沙尘影响；夏季臭氧污染近年来有加重趋势，需加强预防，区域性污染与本地排放叠加加重了重污染程度。</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eastAsia="宋体" w:cs="Times New Roman"/>
          <w:color w:val="auto"/>
          <w:kern w:val="2"/>
          <w:sz w:val="24"/>
          <w:szCs w:val="24"/>
          <w:highlight w:val="none"/>
          <w:lang w:val="en-US" w:eastAsia="zh-CN" w:bidi="ar-SA"/>
        </w:rPr>
        <w:t>综上，本项目所在区域属于环境空气质量不达标区，主要超标污染物为细</w:t>
      </w:r>
      <w:r>
        <w:rPr>
          <w:rFonts w:hint="eastAsia" w:ascii="Times New Roman" w:hAnsi="Times New Roman" w:eastAsia="宋体" w:cs="Times New Roman"/>
          <w:color w:val="auto"/>
          <w:kern w:val="2"/>
          <w:sz w:val="24"/>
          <w:szCs w:val="24"/>
          <w:highlight w:val="none"/>
          <w:lang w:val="en-US" w:eastAsia="zh-CN" w:bidi="ar-SA"/>
        </w:rPr>
        <w:t xml:space="preserve"> </w:t>
      </w:r>
      <w:r>
        <w:rPr>
          <w:rFonts w:hint="default" w:ascii="Times New Roman" w:hAnsi="Times New Roman" w:eastAsia="宋体" w:cs="Times New Roman"/>
          <w:color w:val="auto"/>
          <w:kern w:val="2"/>
          <w:sz w:val="24"/>
          <w:szCs w:val="24"/>
          <w:highlight w:val="none"/>
          <w:lang w:val="en-US" w:eastAsia="zh-CN" w:bidi="ar-SA"/>
        </w:rPr>
        <w:t>颗粒物（PM</w:t>
      </w:r>
      <w:r>
        <w:rPr>
          <w:rFonts w:hint="default" w:ascii="Times New Roman" w:hAnsi="Times New Roman" w:eastAsia="宋体" w:cs="Times New Roman"/>
          <w:color w:val="auto"/>
          <w:kern w:val="2"/>
          <w:sz w:val="24"/>
          <w:szCs w:val="24"/>
          <w:highlight w:val="none"/>
          <w:vertAlign w:val="subscript"/>
          <w:lang w:val="en-US" w:eastAsia="zh-CN" w:bidi="ar-SA"/>
        </w:rPr>
        <w:t>2.5</w:t>
      </w:r>
      <w:r>
        <w:rPr>
          <w:rFonts w:hint="default" w:ascii="Times New Roman" w:hAnsi="Times New Roman" w:eastAsia="宋体" w:cs="Times New Roman"/>
          <w:color w:val="auto"/>
          <w:kern w:val="2"/>
          <w:sz w:val="24"/>
          <w:szCs w:val="24"/>
          <w:highlight w:val="none"/>
          <w:vertAlign w:val="baseli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评价区域环境空气质量统计数据详见下表。</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436" w:firstLineChars="200"/>
        <w:jc w:val="center"/>
        <w:textAlignment w:val="baseline"/>
        <w:rPr>
          <w:rFonts w:hint="default" w:ascii="Times New Roman" w:hAnsi="Times New Roman" w:eastAsia="Times New Roman" w:cs="Times New Roman"/>
          <w:b/>
          <w:bCs/>
          <w:spacing w:val="4"/>
          <w:sz w:val="21"/>
          <w:szCs w:val="21"/>
        </w:rPr>
      </w:pPr>
      <w:r>
        <w:rPr>
          <w:rFonts w:hint="default" w:ascii="Times New Roman" w:hAnsi="Times New Roman" w:eastAsia="Times New Roman" w:cs="Times New Roman"/>
          <w:b/>
          <w:bCs/>
          <w:spacing w:val="4"/>
          <w:sz w:val="21"/>
          <w:szCs w:val="21"/>
        </w:rPr>
        <w:t>表4</w:t>
      </w:r>
      <w:r>
        <w:rPr>
          <w:rFonts w:hint="default" w:ascii="Times New Roman" w:hAnsi="Times New Roman" w:eastAsia="宋体" w:cs="Times New Roman"/>
          <w:b/>
          <w:bCs/>
          <w:spacing w:val="4"/>
          <w:sz w:val="21"/>
          <w:szCs w:val="21"/>
          <w:lang w:val="en-US" w:eastAsia="zh-CN"/>
        </w:rPr>
        <w:t>-</w:t>
      </w:r>
      <w:r>
        <w:rPr>
          <w:rFonts w:hint="default" w:ascii="Times New Roman" w:hAnsi="Times New Roman" w:eastAsia="Times New Roman" w:cs="Times New Roman"/>
          <w:b/>
          <w:bCs/>
          <w:spacing w:val="4"/>
          <w:sz w:val="21"/>
          <w:szCs w:val="21"/>
          <w:lang w:val="en-US" w:eastAsia="zh-CN"/>
        </w:rPr>
        <w:t>2</w:t>
      </w:r>
      <w:r>
        <w:rPr>
          <w:rFonts w:hint="default" w:ascii="Times New Roman" w:hAnsi="Times New Roman" w:eastAsia="Times New Roman" w:cs="Times New Roman"/>
          <w:b/>
          <w:bCs/>
          <w:spacing w:val="4"/>
          <w:sz w:val="21"/>
          <w:szCs w:val="21"/>
        </w:rPr>
        <w:t>-1 区域空气环境质量现状评价表（单位：μg/m</w:t>
      </w:r>
      <w:r>
        <w:rPr>
          <w:rFonts w:hint="default" w:ascii="Times New Roman" w:hAnsi="Times New Roman" w:eastAsia="Times New Roman" w:cs="Times New Roman"/>
          <w:b/>
          <w:bCs/>
          <w:spacing w:val="4"/>
          <w:sz w:val="21"/>
          <w:szCs w:val="21"/>
          <w:vertAlign w:val="superscript"/>
        </w:rPr>
        <w:t>3</w:t>
      </w:r>
      <w:r>
        <w:rPr>
          <w:rFonts w:hint="default" w:ascii="Times New Roman" w:hAnsi="Times New Roman" w:eastAsia="Times New Roman" w:cs="Times New Roman"/>
          <w:b/>
          <w:bCs/>
          <w:spacing w:val="4"/>
          <w:sz w:val="21"/>
          <w:szCs w:val="21"/>
        </w:rPr>
        <w:t>）</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18"/>
        <w:gridCol w:w="1249"/>
        <w:gridCol w:w="1171"/>
        <w:gridCol w:w="1066"/>
        <w:gridCol w:w="1087"/>
        <w:gridCol w:w="1347"/>
        <w:gridCol w:w="11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1070"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指标</w:t>
            </w:r>
          </w:p>
        </w:tc>
        <w:tc>
          <w:tcPr>
            <w:tcW w:w="690"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PM</w:t>
            </w:r>
            <w:r>
              <w:rPr>
                <w:rFonts w:hint="default" w:ascii="Times New Roman" w:hAnsi="Times New Roman" w:eastAsia="宋体" w:cs="Times New Roman"/>
                <w:color w:val="auto"/>
                <w:sz w:val="24"/>
                <w:szCs w:val="24"/>
                <w:highlight w:val="none"/>
                <w:vertAlign w:val="subscript"/>
              </w:rPr>
              <w:t>2.5</w:t>
            </w:r>
          </w:p>
        </w:tc>
        <w:tc>
          <w:tcPr>
            <w:tcW w:w="649"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PM</w:t>
            </w:r>
            <w:r>
              <w:rPr>
                <w:rFonts w:hint="default" w:ascii="Times New Roman" w:hAnsi="Times New Roman" w:eastAsia="宋体" w:cs="Times New Roman"/>
                <w:color w:val="auto"/>
                <w:sz w:val="24"/>
                <w:szCs w:val="24"/>
                <w:highlight w:val="none"/>
                <w:vertAlign w:val="subscript"/>
              </w:rPr>
              <w:t>10</w:t>
            </w:r>
          </w:p>
        </w:tc>
        <w:tc>
          <w:tcPr>
            <w:tcW w:w="594"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NO</w:t>
            </w:r>
            <w:r>
              <w:rPr>
                <w:rFonts w:hint="default" w:ascii="Times New Roman" w:hAnsi="Times New Roman" w:eastAsia="宋体" w:cs="Times New Roman"/>
                <w:color w:val="auto"/>
                <w:sz w:val="24"/>
                <w:szCs w:val="24"/>
                <w:highlight w:val="none"/>
                <w:vertAlign w:val="subscript"/>
              </w:rPr>
              <w:t>2</w:t>
            </w:r>
          </w:p>
        </w:tc>
        <w:tc>
          <w:tcPr>
            <w:tcW w:w="605"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SO</w:t>
            </w:r>
            <w:r>
              <w:rPr>
                <w:rFonts w:hint="default" w:ascii="Times New Roman" w:hAnsi="Times New Roman" w:eastAsia="宋体" w:cs="Times New Roman"/>
                <w:color w:val="auto"/>
                <w:sz w:val="24"/>
                <w:szCs w:val="24"/>
                <w:highlight w:val="none"/>
                <w:vertAlign w:val="subscript"/>
              </w:rPr>
              <w:t>2</w:t>
            </w:r>
          </w:p>
        </w:tc>
        <w:tc>
          <w:tcPr>
            <w:tcW w:w="741"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CO</w:t>
            </w:r>
          </w:p>
        </w:tc>
        <w:tc>
          <w:tcPr>
            <w:tcW w:w="648"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1070"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国家二级标准（日）</w:t>
            </w:r>
          </w:p>
        </w:tc>
        <w:tc>
          <w:tcPr>
            <w:tcW w:w="690"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75</w:t>
            </w:r>
          </w:p>
        </w:tc>
        <w:tc>
          <w:tcPr>
            <w:tcW w:w="649"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150</w:t>
            </w:r>
          </w:p>
        </w:tc>
        <w:tc>
          <w:tcPr>
            <w:tcW w:w="594"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80</w:t>
            </w:r>
          </w:p>
        </w:tc>
        <w:tc>
          <w:tcPr>
            <w:tcW w:w="605"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150</w:t>
            </w:r>
          </w:p>
        </w:tc>
        <w:tc>
          <w:tcPr>
            <w:tcW w:w="741"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4000</w:t>
            </w:r>
          </w:p>
        </w:tc>
        <w:tc>
          <w:tcPr>
            <w:tcW w:w="648"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1070"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国家二级标准（年）</w:t>
            </w:r>
          </w:p>
        </w:tc>
        <w:tc>
          <w:tcPr>
            <w:tcW w:w="690"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35</w:t>
            </w:r>
          </w:p>
        </w:tc>
        <w:tc>
          <w:tcPr>
            <w:tcW w:w="649"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70</w:t>
            </w:r>
          </w:p>
        </w:tc>
        <w:tc>
          <w:tcPr>
            <w:tcW w:w="594"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40</w:t>
            </w:r>
          </w:p>
        </w:tc>
        <w:tc>
          <w:tcPr>
            <w:tcW w:w="605"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60</w:t>
            </w:r>
          </w:p>
        </w:tc>
        <w:tc>
          <w:tcPr>
            <w:tcW w:w="741"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648"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r>
      <w:tr>
        <w:tblPrEx>
          <w:tblCellMar>
            <w:top w:w="0" w:type="dxa"/>
            <w:left w:w="108" w:type="dxa"/>
            <w:bottom w:w="0" w:type="dxa"/>
            <w:right w:w="108" w:type="dxa"/>
          </w:tblCellMar>
        </w:tblPrEx>
        <w:trPr>
          <w:trHeight w:val="540" w:hRule="atLeast"/>
          <w:jc w:val="center"/>
        </w:trPr>
        <w:tc>
          <w:tcPr>
            <w:tcW w:w="1070"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日均值范围</w:t>
            </w:r>
          </w:p>
        </w:tc>
        <w:tc>
          <w:tcPr>
            <w:tcW w:w="690"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3-251</w:t>
            </w:r>
          </w:p>
        </w:tc>
        <w:tc>
          <w:tcPr>
            <w:tcW w:w="649"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10-280</w:t>
            </w:r>
          </w:p>
        </w:tc>
        <w:tc>
          <w:tcPr>
            <w:tcW w:w="594"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8-90</w:t>
            </w:r>
          </w:p>
        </w:tc>
        <w:tc>
          <w:tcPr>
            <w:tcW w:w="605"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6-50</w:t>
            </w:r>
          </w:p>
        </w:tc>
        <w:tc>
          <w:tcPr>
            <w:tcW w:w="741"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300</w:t>
            </w:r>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00</w:t>
            </w:r>
          </w:p>
        </w:tc>
        <w:tc>
          <w:tcPr>
            <w:tcW w:w="648"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24-202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1070"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日均值达标率（%）</w:t>
            </w:r>
          </w:p>
        </w:tc>
        <w:tc>
          <w:tcPr>
            <w:tcW w:w="690"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87.0</w:t>
            </w:r>
          </w:p>
        </w:tc>
        <w:tc>
          <w:tcPr>
            <w:tcW w:w="649"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95.3</w:t>
            </w:r>
          </w:p>
        </w:tc>
        <w:tc>
          <w:tcPr>
            <w:tcW w:w="594"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99.7</w:t>
            </w:r>
          </w:p>
        </w:tc>
        <w:tc>
          <w:tcPr>
            <w:tcW w:w="605"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100</w:t>
            </w:r>
          </w:p>
        </w:tc>
        <w:tc>
          <w:tcPr>
            <w:tcW w:w="741"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100</w:t>
            </w:r>
          </w:p>
        </w:tc>
        <w:tc>
          <w:tcPr>
            <w:tcW w:w="648"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98.6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1070"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年均值</w:t>
            </w:r>
          </w:p>
        </w:tc>
        <w:tc>
          <w:tcPr>
            <w:tcW w:w="690"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37</w:t>
            </w:r>
          </w:p>
        </w:tc>
        <w:tc>
          <w:tcPr>
            <w:tcW w:w="649"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57</w:t>
            </w:r>
          </w:p>
        </w:tc>
        <w:tc>
          <w:tcPr>
            <w:tcW w:w="594"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27</w:t>
            </w:r>
          </w:p>
        </w:tc>
        <w:tc>
          <w:tcPr>
            <w:tcW w:w="605"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14</w:t>
            </w:r>
          </w:p>
        </w:tc>
        <w:tc>
          <w:tcPr>
            <w:tcW w:w="741"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648"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070"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日均值第X百分位数</w:t>
            </w:r>
          </w:p>
        </w:tc>
        <w:tc>
          <w:tcPr>
            <w:tcW w:w="690"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128</w:t>
            </w:r>
          </w:p>
        </w:tc>
        <w:tc>
          <w:tcPr>
            <w:tcW w:w="649"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147</w:t>
            </w:r>
          </w:p>
        </w:tc>
        <w:tc>
          <w:tcPr>
            <w:tcW w:w="594"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55</w:t>
            </w:r>
          </w:p>
        </w:tc>
        <w:tc>
          <w:tcPr>
            <w:tcW w:w="605"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38</w:t>
            </w:r>
          </w:p>
        </w:tc>
        <w:tc>
          <w:tcPr>
            <w:tcW w:w="741"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1200</w:t>
            </w:r>
          </w:p>
        </w:tc>
        <w:tc>
          <w:tcPr>
            <w:tcW w:w="648"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1070"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污染物年评价</w:t>
            </w:r>
          </w:p>
        </w:tc>
        <w:tc>
          <w:tcPr>
            <w:tcW w:w="690"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超标</w:t>
            </w:r>
          </w:p>
        </w:tc>
        <w:tc>
          <w:tcPr>
            <w:tcW w:w="649"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达标</w:t>
            </w:r>
          </w:p>
        </w:tc>
        <w:tc>
          <w:tcPr>
            <w:tcW w:w="594"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达标</w:t>
            </w:r>
          </w:p>
        </w:tc>
        <w:tc>
          <w:tcPr>
            <w:tcW w:w="605"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达标</w:t>
            </w:r>
          </w:p>
        </w:tc>
        <w:tc>
          <w:tcPr>
            <w:tcW w:w="741"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达标</w:t>
            </w:r>
          </w:p>
        </w:tc>
        <w:tc>
          <w:tcPr>
            <w:tcW w:w="648" w:type="pct"/>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达标</w:t>
            </w:r>
          </w:p>
        </w:tc>
      </w:tr>
    </w:tbl>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eastAsia="zh-CN"/>
        </w:rPr>
        <w:t xml:space="preserve">4.2.2  </w:t>
      </w:r>
      <w:r>
        <w:rPr>
          <w:rFonts w:hint="default" w:ascii="Times New Roman" w:hAnsi="Times New Roman" w:eastAsia="宋体" w:cs="Times New Roman"/>
          <w:b/>
          <w:bCs w:val="0"/>
          <w:snapToGrid/>
          <w:color w:val="auto"/>
          <w:kern w:val="2"/>
          <w:sz w:val="28"/>
          <w:szCs w:val="28"/>
          <w:lang w:val="en-US" w:eastAsia="zh-CN"/>
        </w:rPr>
        <w:t>其他污染物环境质量达标情况</w:t>
      </w:r>
    </w:p>
    <w:p>
      <w:pPr>
        <w:keepNext w:val="0"/>
        <w:keepLines w:val="0"/>
        <w:pageBreakBefore w:val="0"/>
        <w:widowControl/>
        <w:wordWrap/>
        <w:overflowPunct/>
        <w:topLinePunct w:val="0"/>
        <w:bidi w:val="0"/>
        <w:spacing w:line="360" w:lineRule="auto"/>
        <w:ind w:left="0" w:firstLine="480" w:firstLineChars="200"/>
        <w:jc w:val="both"/>
        <w:rPr>
          <w:rFonts w:hint="default" w:ascii="Times New Roman" w:hAnsi="Times New Roman" w:cs="Times New Roman"/>
          <w:color w:val="auto"/>
          <w:kern w:val="0"/>
          <w:sz w:val="24"/>
          <w:highlight w:val="yellow"/>
        </w:rPr>
      </w:pPr>
      <w:r>
        <w:rPr>
          <w:rFonts w:hint="default" w:ascii="Times New Roman" w:hAnsi="Times New Roman" w:eastAsia="宋体" w:cs="Times New Roman"/>
          <w:color w:val="auto"/>
          <w:sz w:val="24"/>
          <w:szCs w:val="24"/>
          <w:lang w:eastAsia="zh-CN"/>
        </w:rPr>
        <w:t>哈尔滨华康肉制品加工有限责任公司</w:t>
      </w:r>
      <w:r>
        <w:rPr>
          <w:rFonts w:hint="default" w:ascii="Times New Roman" w:hAnsi="Times New Roman" w:eastAsia="宋体" w:cs="Times New Roman"/>
          <w:smallCaps w:val="0"/>
          <w:snapToGrid w:val="0"/>
          <w:color w:val="auto"/>
          <w:kern w:val="2"/>
          <w:sz w:val="24"/>
          <w:szCs w:val="24"/>
          <w:lang w:val="en-US" w:eastAsia="zh-CN" w:bidi="ar-SA"/>
        </w:rPr>
        <w:t>委托</w:t>
      </w:r>
      <w:r>
        <w:rPr>
          <w:rFonts w:hint="default" w:ascii="Times New Roman" w:hAnsi="Times New Roman" w:cs="Times New Roman"/>
          <w:smallCaps w:val="0"/>
          <w:snapToGrid w:val="0"/>
          <w:color w:val="auto"/>
          <w:kern w:val="2"/>
          <w:sz w:val="24"/>
          <w:szCs w:val="24"/>
          <w:lang w:val="en-US" w:eastAsia="zh-CN" w:bidi="ar-SA"/>
        </w:rPr>
        <w:t>黑龙江克巽检测技术有</w:t>
      </w:r>
      <w:r>
        <w:rPr>
          <w:rFonts w:hint="default" w:ascii="Times New Roman" w:hAnsi="Times New Roman" w:cs="Times New Roman"/>
          <w:smallCaps w:val="0"/>
          <w:snapToGrid w:val="0"/>
          <w:color w:val="auto"/>
          <w:kern w:val="2"/>
          <w:sz w:val="24"/>
          <w:szCs w:val="24"/>
          <w:highlight w:val="none"/>
          <w:lang w:val="en-US" w:eastAsia="zh-CN" w:bidi="ar-SA"/>
        </w:rPr>
        <w:t>限公司</w:t>
      </w:r>
      <w:r>
        <w:rPr>
          <w:rFonts w:hint="default" w:ascii="Times New Roman" w:hAnsi="Times New Roman" w:eastAsia="宋体" w:cs="Times New Roman"/>
          <w:smallCaps w:val="0"/>
          <w:snapToGrid w:val="0"/>
          <w:color w:val="auto"/>
          <w:kern w:val="2"/>
          <w:sz w:val="24"/>
          <w:szCs w:val="24"/>
          <w:highlight w:val="none"/>
          <w:lang w:val="en-US" w:eastAsia="zh-CN" w:bidi="ar-SA"/>
        </w:rPr>
        <w:t>于2023年11月19日~2023年</w:t>
      </w:r>
      <w:r>
        <w:rPr>
          <w:rFonts w:hint="default" w:ascii="Times New Roman" w:hAnsi="Times New Roman" w:cs="Times New Roman"/>
          <w:smallCaps w:val="0"/>
          <w:snapToGrid w:val="0"/>
          <w:color w:val="auto"/>
          <w:kern w:val="2"/>
          <w:sz w:val="24"/>
          <w:szCs w:val="24"/>
          <w:highlight w:val="none"/>
          <w:lang w:val="en-US" w:eastAsia="zh-CN" w:bidi="ar-SA"/>
        </w:rPr>
        <w:t>11</w:t>
      </w:r>
      <w:r>
        <w:rPr>
          <w:rFonts w:hint="default" w:ascii="Times New Roman" w:hAnsi="Times New Roman" w:eastAsia="宋体" w:cs="Times New Roman"/>
          <w:smallCaps w:val="0"/>
          <w:snapToGrid w:val="0"/>
          <w:color w:val="auto"/>
          <w:kern w:val="2"/>
          <w:sz w:val="24"/>
          <w:szCs w:val="24"/>
          <w:highlight w:val="none"/>
          <w:lang w:val="en-US" w:eastAsia="zh-CN" w:bidi="ar-SA"/>
        </w:rPr>
        <w:t>月25日对本项目厂址及下风向处的非甲烷总烃</w:t>
      </w:r>
      <w:r>
        <w:rPr>
          <w:rFonts w:hint="eastAsia" w:ascii="Times New Roman" w:hAnsi="Times New Roman" w:eastAsia="宋体" w:cs="Times New Roman"/>
          <w:smallCaps w:val="0"/>
          <w:snapToGrid w:val="0"/>
          <w:color w:val="auto"/>
          <w:kern w:val="2"/>
          <w:sz w:val="24"/>
          <w:szCs w:val="24"/>
          <w:highlight w:val="none"/>
          <w:lang w:val="en-US" w:eastAsia="zh-CN" w:bidi="ar-SA"/>
        </w:rPr>
        <w:t>、TSP</w:t>
      </w:r>
      <w:r>
        <w:rPr>
          <w:rFonts w:hint="default" w:ascii="Times New Roman" w:hAnsi="Times New Roman" w:cs="Times New Roman"/>
          <w:smallCaps w:val="0"/>
          <w:snapToGrid w:val="0"/>
          <w:color w:val="auto"/>
          <w:kern w:val="2"/>
          <w:sz w:val="24"/>
          <w:szCs w:val="24"/>
          <w:highlight w:val="none"/>
          <w:lang w:val="en-US" w:eastAsia="zh-CN" w:bidi="ar-SA"/>
        </w:rPr>
        <w:t>、氨、硫化氢</w:t>
      </w:r>
      <w:r>
        <w:rPr>
          <w:rFonts w:hint="default" w:ascii="Times New Roman" w:hAnsi="Times New Roman" w:eastAsia="宋体" w:cs="Times New Roman"/>
          <w:smallCaps w:val="0"/>
          <w:snapToGrid w:val="0"/>
          <w:color w:val="auto"/>
          <w:kern w:val="2"/>
          <w:sz w:val="24"/>
          <w:szCs w:val="24"/>
          <w:highlight w:val="none"/>
          <w:lang w:val="en-US" w:eastAsia="zh-CN" w:bidi="ar-SA"/>
        </w:rPr>
        <w:t>进行现状监测。监测点位信息见表4-2-2及图4-2-1，监测结果见表4-2-3。</w:t>
      </w:r>
      <w:r>
        <w:rPr>
          <w:rFonts w:hint="default" w:ascii="Times New Roman" w:hAnsi="Times New Roman" w:cs="Times New Roman"/>
          <w:color w:val="auto"/>
          <w:sz w:val="24"/>
          <w:szCs w:val="22"/>
          <w:highlight w:val="none"/>
        </w:rPr>
        <w:t xml:space="preserve"> </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mallCaps w:val="0"/>
          <w:snapToGrid w:val="0"/>
          <w:color w:val="auto"/>
          <w:kern w:val="2"/>
          <w:sz w:val="21"/>
          <w:szCs w:val="21"/>
          <w:lang w:val="en-US" w:eastAsia="zh-CN" w:bidi="ar-SA"/>
        </w:rPr>
      </w:pPr>
      <w:r>
        <w:rPr>
          <w:rFonts w:hint="default" w:ascii="Times New Roman" w:hAnsi="Times New Roman" w:eastAsia="宋体" w:cs="Times New Roman"/>
          <w:b/>
          <w:bCs/>
          <w:smallCaps w:val="0"/>
          <w:snapToGrid w:val="0"/>
          <w:color w:val="auto"/>
          <w:kern w:val="2"/>
          <w:sz w:val="21"/>
          <w:szCs w:val="21"/>
          <w:lang w:val="en-US" w:eastAsia="zh-CN" w:bidi="ar-SA"/>
        </w:rPr>
        <w:t>表4-2-2  其他污染物补充监测点基本信息</w:t>
      </w:r>
    </w:p>
    <w:tbl>
      <w:tblPr>
        <w:tblStyle w:val="24"/>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889"/>
        <w:gridCol w:w="1802"/>
        <w:gridCol w:w="1941"/>
        <w:gridCol w:w="1220"/>
        <w:gridCol w:w="1245"/>
        <w:gridCol w:w="1201"/>
        <w:gridCol w:w="121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0" w:hRule="atLeast"/>
        </w:trPr>
        <w:tc>
          <w:tcPr>
            <w:tcW w:w="46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监测点名称</w:t>
            </w:r>
          </w:p>
        </w:tc>
        <w:tc>
          <w:tcPr>
            <w:tcW w:w="1967"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监测点坐标/°</w:t>
            </w:r>
          </w:p>
        </w:tc>
        <w:tc>
          <w:tcPr>
            <w:tcW w:w="64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监测因子</w:t>
            </w:r>
          </w:p>
        </w:tc>
        <w:tc>
          <w:tcPr>
            <w:tcW w:w="65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监测时段</w:t>
            </w:r>
          </w:p>
        </w:tc>
        <w:tc>
          <w:tcPr>
            <w:tcW w:w="63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相对厂址方位</w:t>
            </w:r>
          </w:p>
        </w:tc>
        <w:tc>
          <w:tcPr>
            <w:tcW w:w="63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相对厂界距离/m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37" w:hRule="atLeast"/>
        </w:trPr>
        <w:tc>
          <w:tcPr>
            <w:tcW w:w="46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p>
        </w:tc>
        <w:tc>
          <w:tcPr>
            <w:tcW w:w="9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北纬</w:t>
            </w:r>
          </w:p>
        </w:tc>
        <w:tc>
          <w:tcPr>
            <w:tcW w:w="10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东经</w:t>
            </w:r>
          </w:p>
        </w:tc>
        <w:tc>
          <w:tcPr>
            <w:tcW w:w="6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p>
        </w:tc>
        <w:tc>
          <w:tcPr>
            <w:tcW w:w="65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p>
        </w:tc>
        <w:tc>
          <w:tcPr>
            <w:tcW w:w="63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p>
        </w:tc>
        <w:tc>
          <w:tcPr>
            <w:tcW w:w="63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86" w:hRule="atLeast"/>
        </w:trPr>
        <w:tc>
          <w:tcPr>
            <w:tcW w:w="4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○1</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厂址</w:t>
            </w:r>
          </w:p>
        </w:tc>
        <w:tc>
          <w:tcPr>
            <w:tcW w:w="947" w:type="pct"/>
            <w:tcBorders>
              <w:tl2br w:val="nil"/>
              <w:tr2bl w:val="nil"/>
            </w:tcBorders>
            <w:noWrap w:val="0"/>
            <w:vAlign w:val="center"/>
          </w:tcPr>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cs="Times New Roman"/>
                <w:highlight w:val="none"/>
              </w:rPr>
              <w:t>127.08894253</w:t>
            </w:r>
          </w:p>
        </w:tc>
        <w:tc>
          <w:tcPr>
            <w:tcW w:w="1020" w:type="pct"/>
            <w:tcBorders>
              <w:tl2br w:val="nil"/>
              <w:tr2bl w:val="nil"/>
            </w:tcBorders>
            <w:noWrap w:val="0"/>
            <w:vAlign w:val="center"/>
          </w:tcPr>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cs="Times New Roman"/>
                <w:highlight w:val="none"/>
              </w:rPr>
              <w:t>46.42712021</w:t>
            </w:r>
          </w:p>
        </w:tc>
        <w:tc>
          <w:tcPr>
            <w:tcW w:w="64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非甲烷总烃</w:t>
            </w:r>
            <w:r>
              <w:rPr>
                <w:rFonts w:hint="eastAsia" w:ascii="Times New Roman" w:hAnsi="Times New Roman" w:eastAsia="宋体" w:cs="Times New Roman"/>
                <w:b w:val="0"/>
                <w:bCs w:val="0"/>
                <w:smallCaps w:val="0"/>
                <w:snapToGrid w:val="0"/>
                <w:color w:val="auto"/>
                <w:kern w:val="2"/>
                <w:sz w:val="21"/>
                <w:szCs w:val="21"/>
                <w:highlight w:val="none"/>
                <w:lang w:val="en-US" w:eastAsia="zh-CN" w:bidi="ar-SA"/>
              </w:rPr>
              <w:t>、TSP</w:t>
            </w: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、氨、硫化氢</w:t>
            </w:r>
          </w:p>
        </w:tc>
        <w:tc>
          <w:tcPr>
            <w:tcW w:w="65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2023年</w:t>
            </w:r>
            <w:r>
              <w:rPr>
                <w:rFonts w:hint="default" w:ascii="Times New Roman" w:hAnsi="Times New Roman" w:cs="Times New Roman"/>
                <w:b w:val="0"/>
                <w:bCs w:val="0"/>
                <w:smallCaps w:val="0"/>
                <w:snapToGrid w:val="0"/>
                <w:color w:val="auto"/>
                <w:kern w:val="2"/>
                <w:sz w:val="21"/>
                <w:szCs w:val="21"/>
                <w:highlight w:val="none"/>
                <w:lang w:val="en-US" w:eastAsia="zh-CN" w:bidi="ar-SA"/>
              </w:rPr>
              <w:t>11</w:t>
            </w: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月</w:t>
            </w:r>
            <w:r>
              <w:rPr>
                <w:rFonts w:hint="default" w:ascii="Times New Roman" w:hAnsi="Times New Roman" w:cs="Times New Roman"/>
                <w:b w:val="0"/>
                <w:bCs w:val="0"/>
                <w:smallCaps w:val="0"/>
                <w:snapToGrid w:val="0"/>
                <w:color w:val="auto"/>
                <w:kern w:val="2"/>
                <w:sz w:val="21"/>
                <w:szCs w:val="21"/>
                <w:highlight w:val="none"/>
                <w:lang w:val="en-US" w:eastAsia="zh-CN" w:bidi="ar-SA"/>
              </w:rPr>
              <w:t>19</w:t>
            </w: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日~2023年11月</w:t>
            </w:r>
            <w:r>
              <w:rPr>
                <w:rFonts w:hint="default" w:ascii="Times New Roman" w:hAnsi="Times New Roman" w:cs="Times New Roman"/>
                <w:b w:val="0"/>
                <w:bCs w:val="0"/>
                <w:smallCaps w:val="0"/>
                <w:snapToGrid w:val="0"/>
                <w:color w:val="auto"/>
                <w:kern w:val="2"/>
                <w:sz w:val="21"/>
                <w:szCs w:val="21"/>
                <w:highlight w:val="none"/>
                <w:lang w:val="en-US" w:eastAsia="zh-CN" w:bidi="ar-SA"/>
              </w:rPr>
              <w:t>25</w:t>
            </w: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日</w:t>
            </w:r>
          </w:p>
        </w:tc>
        <w:tc>
          <w:tcPr>
            <w:tcW w:w="6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w:t>
            </w:r>
          </w:p>
        </w:tc>
        <w:tc>
          <w:tcPr>
            <w:tcW w:w="6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○2</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下风向</w:t>
            </w:r>
          </w:p>
        </w:tc>
        <w:tc>
          <w:tcPr>
            <w:tcW w:w="947" w:type="pct"/>
            <w:tcBorders>
              <w:tl2br w:val="nil"/>
              <w:tr2bl w:val="nil"/>
            </w:tcBorders>
            <w:noWrap w:val="0"/>
            <w:vAlign w:val="center"/>
          </w:tcPr>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cs="Times New Roman"/>
                <w:highlight w:val="none"/>
              </w:rPr>
              <w:t>127.10278273</w:t>
            </w:r>
          </w:p>
        </w:tc>
        <w:tc>
          <w:tcPr>
            <w:tcW w:w="1020" w:type="pct"/>
            <w:tcBorders>
              <w:tl2br w:val="nil"/>
              <w:tr2bl w:val="nil"/>
            </w:tcBorders>
            <w:noWrap w:val="0"/>
            <w:vAlign w:val="center"/>
          </w:tcPr>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cs="Times New Roman"/>
                <w:highlight w:val="none"/>
              </w:rPr>
              <w:t>46.43077329</w:t>
            </w:r>
          </w:p>
        </w:tc>
        <w:tc>
          <w:tcPr>
            <w:tcW w:w="64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p>
        </w:tc>
        <w:tc>
          <w:tcPr>
            <w:tcW w:w="65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p>
        </w:tc>
        <w:tc>
          <w:tcPr>
            <w:tcW w:w="6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eastAsia="宋体" w:cs="Times New Roman"/>
                <w:b w:val="0"/>
                <w:bCs w:val="0"/>
                <w:smallCaps w:val="0"/>
                <w:snapToGrid w:val="0"/>
                <w:color w:val="auto"/>
                <w:kern w:val="2"/>
                <w:sz w:val="21"/>
                <w:szCs w:val="21"/>
                <w:highlight w:val="none"/>
                <w:lang w:val="en-US" w:eastAsia="zh-CN" w:bidi="ar-SA"/>
              </w:rPr>
              <w:t>NE</w:t>
            </w:r>
          </w:p>
        </w:tc>
        <w:tc>
          <w:tcPr>
            <w:tcW w:w="6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mallCaps w:val="0"/>
                <w:snapToGrid w:val="0"/>
                <w:color w:val="auto"/>
                <w:kern w:val="2"/>
                <w:sz w:val="21"/>
                <w:szCs w:val="21"/>
                <w:highlight w:val="none"/>
                <w:lang w:val="en-US" w:eastAsia="zh-CN" w:bidi="ar-SA"/>
              </w:rPr>
            </w:pPr>
            <w:r>
              <w:rPr>
                <w:rFonts w:hint="default" w:ascii="Times New Roman" w:hAnsi="Times New Roman" w:cs="Times New Roman"/>
                <w:b w:val="0"/>
                <w:bCs w:val="0"/>
                <w:smallCaps w:val="0"/>
                <w:snapToGrid w:val="0"/>
                <w:color w:val="auto"/>
                <w:kern w:val="2"/>
                <w:sz w:val="21"/>
                <w:szCs w:val="21"/>
                <w:highlight w:val="none"/>
                <w:lang w:val="en-US" w:eastAsia="zh-CN" w:bidi="ar-SA"/>
              </w:rPr>
              <w:t>1200</w:t>
            </w:r>
          </w:p>
        </w:tc>
      </w:tr>
    </w:tbl>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mallCaps w:val="0"/>
          <w:snapToGrid w:val="0"/>
          <w:color w:val="auto"/>
          <w:kern w:val="2"/>
          <w:sz w:val="21"/>
          <w:szCs w:val="21"/>
          <w:lang w:val="en-US" w:eastAsia="zh-CN" w:bidi="ar-SA"/>
        </w:rPr>
      </w:pPr>
      <w:r>
        <w:rPr>
          <w:rFonts w:hint="default" w:ascii="Times New Roman" w:hAnsi="Times New Roman" w:eastAsia="宋体" w:cs="Times New Roman"/>
          <w:b/>
          <w:bCs/>
          <w:smallCaps w:val="0"/>
          <w:snapToGrid w:val="0"/>
          <w:color w:val="auto"/>
          <w:kern w:val="2"/>
          <w:sz w:val="21"/>
          <w:szCs w:val="21"/>
          <w:lang w:val="en-US" w:eastAsia="zh-CN" w:bidi="ar-SA"/>
        </w:rPr>
        <w:t>表4-2-3 其他污染物环境质量现状（监测结果）表</w:t>
      </w:r>
    </w:p>
    <w:tbl>
      <w:tblPr>
        <w:tblStyle w:val="24"/>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02"/>
        <w:gridCol w:w="1084"/>
        <w:gridCol w:w="641"/>
        <w:gridCol w:w="1055"/>
        <w:gridCol w:w="1055"/>
        <w:gridCol w:w="1055"/>
        <w:gridCol w:w="1055"/>
        <w:gridCol w:w="1055"/>
        <w:gridCol w:w="1055"/>
        <w:gridCol w:w="10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Align w:val="center"/>
          </w:tcPr>
          <w:p>
            <w:pPr>
              <w:spacing w:line="240" w:lineRule="exact"/>
              <w:jc w:val="center"/>
              <w:rPr>
                <w:rFonts w:hint="default" w:ascii="Times New Roman" w:hAnsi="Times New Roman" w:cs="Times New Roman"/>
                <w:b/>
                <w:bCs/>
                <w:kern w:val="0"/>
                <w:szCs w:val="21"/>
              </w:rPr>
            </w:pPr>
            <w:r>
              <w:rPr>
                <w:rFonts w:hint="default" w:ascii="Times New Roman" w:hAnsi="Times New Roman" w:cs="Times New Roman"/>
                <w:b/>
                <w:bCs/>
                <w:kern w:val="0"/>
                <w:szCs w:val="21"/>
              </w:rPr>
              <w:t>检测点位</w:t>
            </w:r>
          </w:p>
        </w:tc>
        <w:tc>
          <w:tcPr>
            <w:tcW w:w="569" w:type="pct"/>
            <w:vAlign w:val="center"/>
          </w:tcPr>
          <w:p>
            <w:pPr>
              <w:spacing w:line="240" w:lineRule="exact"/>
              <w:jc w:val="center"/>
              <w:rPr>
                <w:rFonts w:hint="default" w:ascii="Times New Roman" w:hAnsi="Times New Roman" w:cs="Times New Roman"/>
                <w:b/>
                <w:bCs/>
                <w:kern w:val="0"/>
                <w:szCs w:val="21"/>
              </w:rPr>
            </w:pPr>
            <w:r>
              <w:rPr>
                <w:rFonts w:hint="default" w:ascii="Times New Roman" w:hAnsi="Times New Roman" w:cs="Times New Roman"/>
                <w:b/>
                <w:bCs/>
                <w:kern w:val="0"/>
                <w:szCs w:val="21"/>
              </w:rPr>
              <w:t>检测项目</w:t>
            </w:r>
          </w:p>
        </w:tc>
        <w:tc>
          <w:tcPr>
            <w:tcW w:w="336" w:type="pct"/>
            <w:vAlign w:val="center"/>
          </w:tcPr>
          <w:p>
            <w:pPr>
              <w:spacing w:line="240" w:lineRule="exact"/>
              <w:jc w:val="center"/>
              <w:rPr>
                <w:rFonts w:hint="default" w:ascii="Times New Roman" w:hAnsi="Times New Roman" w:cs="Times New Roman"/>
                <w:b/>
                <w:bCs/>
                <w:kern w:val="0"/>
                <w:szCs w:val="21"/>
              </w:rPr>
            </w:pPr>
            <w:r>
              <w:rPr>
                <w:rFonts w:hint="default" w:ascii="Times New Roman" w:hAnsi="Times New Roman" w:cs="Times New Roman"/>
                <w:b/>
                <w:bCs/>
                <w:kern w:val="0"/>
                <w:szCs w:val="21"/>
              </w:rPr>
              <w:t>采样时间</w:t>
            </w:r>
          </w:p>
        </w:tc>
        <w:tc>
          <w:tcPr>
            <w:tcW w:w="554" w:type="pct"/>
            <w:vAlign w:val="center"/>
          </w:tcPr>
          <w:p>
            <w:pPr>
              <w:spacing w:line="240" w:lineRule="exact"/>
              <w:jc w:val="center"/>
              <w:rPr>
                <w:rFonts w:hint="default" w:ascii="Times New Roman" w:hAnsi="Times New Roman" w:eastAsia="宋体" w:cs="Times New Roman"/>
                <w:b/>
                <w:bCs/>
                <w:szCs w:val="21"/>
                <w:lang w:val="en-US" w:eastAsia="zh-CN"/>
              </w:rPr>
            </w:pPr>
            <w:r>
              <w:rPr>
                <w:rFonts w:hint="default" w:ascii="Times New Roman" w:hAnsi="Times New Roman" w:cs="Times New Roman"/>
                <w:b/>
                <w:bCs/>
                <w:szCs w:val="21"/>
              </w:rPr>
              <w:t>202</w:t>
            </w:r>
            <w:r>
              <w:rPr>
                <w:rFonts w:hint="default" w:ascii="Times New Roman" w:hAnsi="Times New Roman" w:cs="Times New Roman"/>
                <w:b/>
                <w:bCs/>
                <w:szCs w:val="21"/>
                <w:lang w:val="en-US" w:eastAsia="zh-CN"/>
              </w:rPr>
              <w:t>3.11.19</w:t>
            </w:r>
          </w:p>
        </w:tc>
        <w:tc>
          <w:tcPr>
            <w:tcW w:w="554" w:type="pct"/>
            <w:vAlign w:val="center"/>
          </w:tcPr>
          <w:p>
            <w:pPr>
              <w:spacing w:line="240" w:lineRule="exact"/>
              <w:jc w:val="center"/>
              <w:rPr>
                <w:rFonts w:hint="default" w:ascii="Times New Roman" w:hAnsi="Times New Roman" w:cs="Times New Roman"/>
                <w:b/>
                <w:bCs/>
                <w:szCs w:val="21"/>
                <w:lang w:val="en-US"/>
              </w:rPr>
            </w:pPr>
            <w:r>
              <w:rPr>
                <w:rFonts w:hint="default" w:ascii="Times New Roman" w:hAnsi="Times New Roman" w:cs="Times New Roman"/>
                <w:b/>
                <w:bCs/>
                <w:szCs w:val="21"/>
              </w:rPr>
              <w:t>202</w:t>
            </w:r>
            <w:r>
              <w:rPr>
                <w:rFonts w:hint="default" w:ascii="Times New Roman" w:hAnsi="Times New Roman" w:cs="Times New Roman"/>
                <w:b/>
                <w:bCs/>
                <w:szCs w:val="21"/>
                <w:lang w:val="en-US" w:eastAsia="zh-CN"/>
              </w:rPr>
              <w:t>3.11.20</w:t>
            </w:r>
          </w:p>
        </w:tc>
        <w:tc>
          <w:tcPr>
            <w:tcW w:w="554" w:type="pct"/>
            <w:vAlign w:val="center"/>
          </w:tcPr>
          <w:p>
            <w:pPr>
              <w:spacing w:line="240" w:lineRule="exact"/>
              <w:jc w:val="center"/>
              <w:rPr>
                <w:rFonts w:hint="default" w:ascii="Times New Roman" w:hAnsi="Times New Roman" w:cs="Times New Roman"/>
                <w:b/>
                <w:bCs/>
                <w:szCs w:val="21"/>
                <w:lang w:val="en-US"/>
              </w:rPr>
            </w:pPr>
            <w:r>
              <w:rPr>
                <w:rFonts w:hint="default" w:ascii="Times New Roman" w:hAnsi="Times New Roman" w:cs="Times New Roman"/>
                <w:b/>
                <w:bCs/>
                <w:szCs w:val="21"/>
              </w:rPr>
              <w:t>202</w:t>
            </w:r>
            <w:r>
              <w:rPr>
                <w:rFonts w:hint="default" w:ascii="Times New Roman" w:hAnsi="Times New Roman" w:cs="Times New Roman"/>
                <w:b/>
                <w:bCs/>
                <w:szCs w:val="21"/>
                <w:lang w:val="en-US" w:eastAsia="zh-CN"/>
              </w:rPr>
              <w:t>3.11.21</w:t>
            </w:r>
          </w:p>
        </w:tc>
        <w:tc>
          <w:tcPr>
            <w:tcW w:w="554" w:type="pct"/>
            <w:vAlign w:val="center"/>
          </w:tcPr>
          <w:p>
            <w:pPr>
              <w:spacing w:line="240" w:lineRule="exact"/>
              <w:jc w:val="center"/>
              <w:rPr>
                <w:rFonts w:hint="default" w:ascii="Times New Roman" w:hAnsi="Times New Roman" w:cs="Times New Roman"/>
                <w:b/>
                <w:bCs/>
                <w:szCs w:val="21"/>
                <w:lang w:val="en-US"/>
              </w:rPr>
            </w:pPr>
            <w:r>
              <w:rPr>
                <w:rFonts w:hint="default" w:ascii="Times New Roman" w:hAnsi="Times New Roman" w:cs="Times New Roman"/>
                <w:b/>
                <w:bCs/>
                <w:szCs w:val="21"/>
              </w:rPr>
              <w:t>202</w:t>
            </w:r>
            <w:r>
              <w:rPr>
                <w:rFonts w:hint="default" w:ascii="Times New Roman" w:hAnsi="Times New Roman" w:cs="Times New Roman"/>
                <w:b/>
                <w:bCs/>
                <w:szCs w:val="21"/>
                <w:lang w:val="en-US" w:eastAsia="zh-CN"/>
              </w:rPr>
              <w:t>3.11.22</w:t>
            </w:r>
          </w:p>
        </w:tc>
        <w:tc>
          <w:tcPr>
            <w:tcW w:w="554" w:type="pct"/>
            <w:vAlign w:val="center"/>
          </w:tcPr>
          <w:p>
            <w:pPr>
              <w:spacing w:line="240" w:lineRule="exact"/>
              <w:jc w:val="center"/>
              <w:rPr>
                <w:rFonts w:hint="default" w:ascii="Times New Roman" w:hAnsi="Times New Roman" w:cs="Times New Roman"/>
                <w:b/>
                <w:bCs/>
                <w:szCs w:val="21"/>
                <w:lang w:val="en-US"/>
              </w:rPr>
            </w:pPr>
            <w:r>
              <w:rPr>
                <w:rFonts w:hint="default" w:ascii="Times New Roman" w:hAnsi="Times New Roman" w:cs="Times New Roman"/>
                <w:b/>
                <w:bCs/>
                <w:szCs w:val="21"/>
              </w:rPr>
              <w:t>202</w:t>
            </w:r>
            <w:r>
              <w:rPr>
                <w:rFonts w:hint="default" w:ascii="Times New Roman" w:hAnsi="Times New Roman" w:cs="Times New Roman"/>
                <w:b/>
                <w:bCs/>
                <w:szCs w:val="21"/>
                <w:lang w:val="en-US" w:eastAsia="zh-CN"/>
              </w:rPr>
              <w:t>3.11.23</w:t>
            </w:r>
          </w:p>
        </w:tc>
        <w:tc>
          <w:tcPr>
            <w:tcW w:w="554" w:type="pct"/>
            <w:vAlign w:val="center"/>
          </w:tcPr>
          <w:p>
            <w:pPr>
              <w:spacing w:line="240" w:lineRule="exact"/>
              <w:jc w:val="center"/>
              <w:rPr>
                <w:rFonts w:hint="default" w:ascii="Times New Roman" w:hAnsi="Times New Roman" w:cs="Times New Roman"/>
                <w:b/>
                <w:bCs/>
                <w:szCs w:val="21"/>
                <w:lang w:val="en-US"/>
              </w:rPr>
            </w:pPr>
            <w:r>
              <w:rPr>
                <w:rFonts w:hint="default" w:ascii="Times New Roman" w:hAnsi="Times New Roman" w:cs="Times New Roman"/>
                <w:b/>
                <w:bCs/>
                <w:szCs w:val="21"/>
              </w:rPr>
              <w:t>202</w:t>
            </w:r>
            <w:r>
              <w:rPr>
                <w:rFonts w:hint="default" w:ascii="Times New Roman" w:hAnsi="Times New Roman" w:cs="Times New Roman"/>
                <w:b/>
                <w:bCs/>
                <w:szCs w:val="21"/>
                <w:lang w:val="en-US" w:eastAsia="zh-CN"/>
              </w:rPr>
              <w:t>3.11.24</w:t>
            </w:r>
          </w:p>
        </w:tc>
        <w:tc>
          <w:tcPr>
            <w:tcW w:w="554" w:type="pct"/>
            <w:vAlign w:val="center"/>
          </w:tcPr>
          <w:p>
            <w:pPr>
              <w:spacing w:line="240" w:lineRule="exact"/>
              <w:jc w:val="center"/>
              <w:rPr>
                <w:rFonts w:hint="default" w:ascii="Times New Roman" w:hAnsi="Times New Roman" w:cs="Times New Roman"/>
                <w:b/>
                <w:bCs/>
                <w:szCs w:val="21"/>
                <w:lang w:val="en-US"/>
              </w:rPr>
            </w:pPr>
            <w:r>
              <w:rPr>
                <w:rFonts w:hint="default" w:ascii="Times New Roman" w:hAnsi="Times New Roman" w:cs="Times New Roman"/>
                <w:b/>
                <w:bCs/>
                <w:szCs w:val="21"/>
              </w:rPr>
              <w:t>202</w:t>
            </w:r>
            <w:r>
              <w:rPr>
                <w:rFonts w:hint="default" w:ascii="Times New Roman" w:hAnsi="Times New Roman" w:cs="Times New Roman"/>
                <w:b/>
                <w:bCs/>
                <w:szCs w:val="21"/>
                <w:lang w:val="en-US" w:eastAsia="zh-CN"/>
              </w:rPr>
              <w:t>3.11.25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restart"/>
            <w:vAlign w:val="center"/>
          </w:tcPr>
          <w:p>
            <w:pPr>
              <w:pStyle w:val="32"/>
              <w:spacing w:line="24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1#厂址</w:t>
            </w:r>
          </w:p>
        </w:tc>
        <w:tc>
          <w:tcPr>
            <w:tcW w:w="569" w:type="pct"/>
            <w:vMerge w:val="restart"/>
            <w:vAlign w:val="center"/>
          </w:tcPr>
          <w:p>
            <w:pPr>
              <w:pStyle w:val="32"/>
              <w:spacing w:line="24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w:t>
            </w:r>
          </w:p>
          <w:p>
            <w:pPr>
              <w:pStyle w:val="32"/>
              <w:spacing w:line="240" w:lineRule="exact"/>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02:00</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szCs w:val="21"/>
              </w:rPr>
            </w:pPr>
          </w:p>
        </w:tc>
        <w:tc>
          <w:tcPr>
            <w:tcW w:w="569" w:type="pct"/>
            <w:vMerge w:val="continue"/>
            <w:vAlign w:val="center"/>
          </w:tcPr>
          <w:p>
            <w:pPr>
              <w:spacing w:line="240" w:lineRule="exact"/>
              <w:jc w:val="center"/>
              <w:rPr>
                <w:rFonts w:hint="default" w:ascii="Times New Roman" w:hAnsi="Times New Roman" w:cs="Times New Roman"/>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08:00</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szCs w:val="21"/>
              </w:rPr>
            </w:pPr>
          </w:p>
        </w:tc>
        <w:tc>
          <w:tcPr>
            <w:tcW w:w="569" w:type="pct"/>
            <w:vMerge w:val="continue"/>
            <w:vAlign w:val="center"/>
          </w:tcPr>
          <w:p>
            <w:pPr>
              <w:spacing w:line="240" w:lineRule="exact"/>
              <w:jc w:val="center"/>
              <w:rPr>
                <w:rFonts w:hint="default" w:ascii="Times New Roman" w:hAnsi="Times New Roman" w:cs="Times New Roman"/>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14:00</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szCs w:val="21"/>
              </w:rPr>
            </w:pPr>
          </w:p>
        </w:tc>
        <w:tc>
          <w:tcPr>
            <w:tcW w:w="569" w:type="pct"/>
            <w:vMerge w:val="continue"/>
            <w:vAlign w:val="center"/>
          </w:tcPr>
          <w:p>
            <w:pPr>
              <w:spacing w:line="240" w:lineRule="exact"/>
              <w:jc w:val="center"/>
              <w:rPr>
                <w:rFonts w:hint="default" w:ascii="Times New Roman" w:hAnsi="Times New Roman" w:cs="Times New Roman"/>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20:00</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restar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kern w:val="0"/>
                <w:szCs w:val="21"/>
              </w:rPr>
              <w:t>2#厂址下风向</w:t>
            </w:r>
          </w:p>
        </w:tc>
        <w:tc>
          <w:tcPr>
            <w:tcW w:w="569" w:type="pct"/>
            <w:vMerge w:val="continue"/>
            <w:vAlign w:val="center"/>
          </w:tcPr>
          <w:p>
            <w:pPr>
              <w:spacing w:line="240" w:lineRule="exact"/>
              <w:jc w:val="center"/>
              <w:rPr>
                <w:rFonts w:hint="default" w:ascii="Times New Roman" w:hAnsi="Times New Roman" w:cs="Times New Roman"/>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02:00</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szCs w:val="21"/>
              </w:rPr>
            </w:pPr>
          </w:p>
        </w:tc>
        <w:tc>
          <w:tcPr>
            <w:tcW w:w="569" w:type="pct"/>
            <w:vMerge w:val="continue"/>
            <w:vAlign w:val="center"/>
          </w:tcPr>
          <w:p>
            <w:pPr>
              <w:spacing w:line="240" w:lineRule="exact"/>
              <w:jc w:val="center"/>
              <w:rPr>
                <w:rFonts w:hint="default" w:ascii="Times New Roman" w:hAnsi="Times New Roman" w:cs="Times New Roman"/>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08:00</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szCs w:val="21"/>
              </w:rPr>
            </w:pPr>
          </w:p>
        </w:tc>
        <w:tc>
          <w:tcPr>
            <w:tcW w:w="569" w:type="pct"/>
            <w:vMerge w:val="continue"/>
            <w:vAlign w:val="center"/>
          </w:tcPr>
          <w:p>
            <w:pPr>
              <w:spacing w:line="240" w:lineRule="exact"/>
              <w:jc w:val="center"/>
              <w:rPr>
                <w:rFonts w:hint="default" w:ascii="Times New Roman" w:hAnsi="Times New Roman" w:cs="Times New Roman"/>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14:00</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szCs w:val="21"/>
              </w:rPr>
            </w:pPr>
          </w:p>
        </w:tc>
        <w:tc>
          <w:tcPr>
            <w:tcW w:w="569" w:type="pct"/>
            <w:vMerge w:val="continue"/>
            <w:vAlign w:val="center"/>
          </w:tcPr>
          <w:p>
            <w:pPr>
              <w:spacing w:line="240" w:lineRule="exact"/>
              <w:jc w:val="center"/>
              <w:rPr>
                <w:rFonts w:hint="default" w:ascii="Times New Roman" w:hAnsi="Times New Roman" w:cs="Times New Roman"/>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20:00</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restar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kern w:val="0"/>
                <w:szCs w:val="21"/>
              </w:rPr>
              <w:t>1#厂址</w:t>
            </w:r>
          </w:p>
        </w:tc>
        <w:tc>
          <w:tcPr>
            <w:tcW w:w="569" w:type="pct"/>
            <w:vMerge w:val="restar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硫化氢</w:t>
            </w:r>
          </w:p>
          <w:p>
            <w:pPr>
              <w:spacing w:line="240" w:lineRule="exact"/>
              <w:jc w:val="center"/>
              <w:rPr>
                <w:rFonts w:hint="default" w:ascii="Times New Roman" w:hAnsi="Times New Roman" w:cs="Times New Roman"/>
                <w:kern w:val="0"/>
                <w:szCs w:val="21"/>
              </w:rPr>
            </w:pPr>
            <w:r>
              <w:rPr>
                <w:rFonts w:hint="default" w:ascii="Times New Roman" w:hAnsi="Times New Roman" w:cs="Times New Roman"/>
                <w:szCs w:val="21"/>
              </w:rPr>
              <w:t>（mg/m</w:t>
            </w:r>
            <w:r>
              <w:rPr>
                <w:rFonts w:hint="default" w:ascii="Times New Roman" w:hAnsi="Times New Roman" w:cs="Times New Roman"/>
                <w:szCs w:val="21"/>
                <w:vertAlign w:val="superscript"/>
              </w:rPr>
              <w:t>3</w:t>
            </w:r>
            <w:r>
              <w:rPr>
                <w:rFonts w:hint="default" w:ascii="Times New Roman" w:hAnsi="Times New Roman" w:cs="Times New Roman"/>
                <w:szCs w:val="21"/>
              </w:rPr>
              <w:t>）</w:t>
            </w: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02:00</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kern w:val="0"/>
                <w:szCs w:val="21"/>
              </w:rPr>
            </w:pPr>
          </w:p>
        </w:tc>
        <w:tc>
          <w:tcPr>
            <w:tcW w:w="569" w:type="pct"/>
            <w:vMerge w:val="continue"/>
            <w:vAlign w:val="center"/>
          </w:tcPr>
          <w:p>
            <w:pPr>
              <w:spacing w:line="240" w:lineRule="exact"/>
              <w:jc w:val="center"/>
              <w:rPr>
                <w:rFonts w:hint="default" w:ascii="Times New Roman" w:hAnsi="Times New Roman" w:cs="Times New Roman"/>
                <w:kern w:val="0"/>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08:00</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kern w:val="0"/>
                <w:szCs w:val="21"/>
              </w:rPr>
            </w:pPr>
          </w:p>
        </w:tc>
        <w:tc>
          <w:tcPr>
            <w:tcW w:w="569" w:type="pct"/>
            <w:vMerge w:val="continue"/>
            <w:vAlign w:val="center"/>
          </w:tcPr>
          <w:p>
            <w:pPr>
              <w:spacing w:line="240" w:lineRule="exact"/>
              <w:jc w:val="center"/>
              <w:rPr>
                <w:rFonts w:hint="default" w:ascii="Times New Roman" w:hAnsi="Times New Roman" w:cs="Times New Roman"/>
                <w:kern w:val="0"/>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14:00</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kern w:val="0"/>
                <w:szCs w:val="21"/>
              </w:rPr>
            </w:pPr>
          </w:p>
        </w:tc>
        <w:tc>
          <w:tcPr>
            <w:tcW w:w="569" w:type="pct"/>
            <w:vMerge w:val="continue"/>
            <w:vAlign w:val="center"/>
          </w:tcPr>
          <w:p>
            <w:pPr>
              <w:spacing w:line="240" w:lineRule="exact"/>
              <w:jc w:val="center"/>
              <w:rPr>
                <w:rFonts w:hint="default" w:ascii="Times New Roman" w:hAnsi="Times New Roman" w:cs="Times New Roman"/>
                <w:kern w:val="0"/>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20:00</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restart"/>
            <w:vAlign w:val="center"/>
          </w:tcPr>
          <w:p>
            <w:pPr>
              <w:spacing w:line="24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2#厂址下风向</w:t>
            </w:r>
          </w:p>
        </w:tc>
        <w:tc>
          <w:tcPr>
            <w:tcW w:w="569" w:type="pct"/>
            <w:vMerge w:val="continue"/>
            <w:vAlign w:val="center"/>
          </w:tcPr>
          <w:p>
            <w:pPr>
              <w:spacing w:line="240" w:lineRule="exact"/>
              <w:jc w:val="center"/>
              <w:rPr>
                <w:rFonts w:hint="default" w:ascii="Times New Roman" w:hAnsi="Times New Roman" w:cs="Times New Roman"/>
                <w:kern w:val="0"/>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02:00</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kern w:val="0"/>
                <w:szCs w:val="21"/>
              </w:rPr>
            </w:pPr>
          </w:p>
        </w:tc>
        <w:tc>
          <w:tcPr>
            <w:tcW w:w="569" w:type="pct"/>
            <w:vMerge w:val="continue"/>
            <w:vAlign w:val="center"/>
          </w:tcPr>
          <w:p>
            <w:pPr>
              <w:spacing w:line="240" w:lineRule="exact"/>
              <w:jc w:val="center"/>
              <w:rPr>
                <w:rFonts w:hint="default" w:ascii="Times New Roman" w:hAnsi="Times New Roman" w:cs="Times New Roman"/>
                <w:kern w:val="0"/>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08:00</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kern w:val="0"/>
                <w:szCs w:val="21"/>
              </w:rPr>
            </w:pPr>
          </w:p>
        </w:tc>
        <w:tc>
          <w:tcPr>
            <w:tcW w:w="569" w:type="pct"/>
            <w:vMerge w:val="continue"/>
            <w:vAlign w:val="center"/>
          </w:tcPr>
          <w:p>
            <w:pPr>
              <w:spacing w:line="240" w:lineRule="exact"/>
              <w:jc w:val="center"/>
              <w:rPr>
                <w:rFonts w:hint="default" w:ascii="Times New Roman" w:hAnsi="Times New Roman" w:cs="Times New Roman"/>
                <w:kern w:val="0"/>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14:00</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kern w:val="0"/>
                <w:szCs w:val="21"/>
              </w:rPr>
            </w:pPr>
          </w:p>
        </w:tc>
        <w:tc>
          <w:tcPr>
            <w:tcW w:w="569" w:type="pct"/>
            <w:vMerge w:val="continue"/>
            <w:vAlign w:val="center"/>
          </w:tcPr>
          <w:p>
            <w:pPr>
              <w:spacing w:line="240" w:lineRule="exact"/>
              <w:jc w:val="center"/>
              <w:rPr>
                <w:rFonts w:hint="default" w:ascii="Times New Roman" w:hAnsi="Times New Roman" w:cs="Times New Roman"/>
                <w:kern w:val="0"/>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20:00</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c>
          <w:tcPr>
            <w:tcW w:w="554" w:type="pct"/>
            <w:vAlign w:val="center"/>
          </w:tcPr>
          <w:p>
            <w:pPr>
              <w:widowControl/>
              <w:spacing w:line="240" w:lineRule="exact"/>
              <w:jc w:val="center"/>
              <w:rPr>
                <w:rFonts w:hint="default" w:ascii="Times New Roman" w:hAnsi="Times New Roman" w:cs="Times New Roman"/>
                <w:szCs w:val="21"/>
              </w:rPr>
            </w:pPr>
            <w:r>
              <w:rPr>
                <w:rFonts w:hint="default" w:ascii="Times New Roman" w:hAnsi="Times New Roman" w:cs="Times New Roman"/>
                <w:szCs w:val="21"/>
              </w:rPr>
              <w:t>0.001L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restart"/>
            <w:vAlign w:val="center"/>
          </w:tcPr>
          <w:p>
            <w:pPr>
              <w:pStyle w:val="32"/>
              <w:spacing w:line="24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1#厂址</w:t>
            </w:r>
          </w:p>
        </w:tc>
        <w:tc>
          <w:tcPr>
            <w:tcW w:w="569" w:type="pct"/>
            <w:vMerge w:val="restart"/>
            <w:vAlign w:val="center"/>
          </w:tcPr>
          <w:p>
            <w:pPr>
              <w:pStyle w:val="32"/>
              <w:spacing w:line="2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非甲烷总烃</w:t>
            </w:r>
          </w:p>
          <w:p>
            <w:pPr>
              <w:pStyle w:val="32"/>
              <w:spacing w:line="240" w:lineRule="exact"/>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02:00</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1.15</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1.05</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1.04</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1.13</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1.02</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1.15</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szCs w:val="21"/>
              </w:rPr>
            </w:pPr>
          </w:p>
        </w:tc>
        <w:tc>
          <w:tcPr>
            <w:tcW w:w="569" w:type="pct"/>
            <w:vMerge w:val="continue"/>
            <w:vAlign w:val="center"/>
          </w:tcPr>
          <w:p>
            <w:pPr>
              <w:spacing w:line="240" w:lineRule="exact"/>
              <w:jc w:val="center"/>
              <w:rPr>
                <w:rFonts w:hint="default" w:ascii="Times New Roman" w:hAnsi="Times New Roman" w:cs="Times New Roman"/>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08:00</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1.21</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1.26</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1.24</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1.21</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1.06</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1.08</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szCs w:val="21"/>
              </w:rPr>
            </w:pPr>
          </w:p>
        </w:tc>
        <w:tc>
          <w:tcPr>
            <w:tcW w:w="569" w:type="pct"/>
            <w:vMerge w:val="continue"/>
            <w:vAlign w:val="center"/>
          </w:tcPr>
          <w:p>
            <w:pPr>
              <w:spacing w:line="240" w:lineRule="exact"/>
              <w:jc w:val="center"/>
              <w:rPr>
                <w:rFonts w:hint="default" w:ascii="Times New Roman" w:hAnsi="Times New Roman" w:cs="Times New Roman"/>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14:00</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1.15</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1.14</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1.20</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1.11</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1.06</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1.09</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szCs w:val="21"/>
              </w:rPr>
            </w:pPr>
          </w:p>
        </w:tc>
        <w:tc>
          <w:tcPr>
            <w:tcW w:w="569" w:type="pct"/>
            <w:vMerge w:val="continue"/>
            <w:vAlign w:val="center"/>
          </w:tcPr>
          <w:p>
            <w:pPr>
              <w:spacing w:line="240" w:lineRule="exact"/>
              <w:jc w:val="center"/>
              <w:rPr>
                <w:rFonts w:hint="default" w:ascii="Times New Roman" w:hAnsi="Times New Roman" w:cs="Times New Roman"/>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20:00</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1.03</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1.21</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1.05</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1.17</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1.20</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1.22</w:t>
            </w:r>
          </w:p>
        </w:tc>
        <w:tc>
          <w:tcPr>
            <w:tcW w:w="554" w:type="pct"/>
            <w:vAlign w:val="center"/>
          </w:tcPr>
          <w:p>
            <w:pPr>
              <w:widowControl/>
              <w:spacing w:line="240" w:lineRule="exac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restar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kern w:val="0"/>
                <w:szCs w:val="21"/>
              </w:rPr>
              <w:t>2#厂址下风向</w:t>
            </w:r>
          </w:p>
        </w:tc>
        <w:tc>
          <w:tcPr>
            <w:tcW w:w="569" w:type="pct"/>
            <w:vMerge w:val="continue"/>
            <w:vAlign w:val="center"/>
          </w:tcPr>
          <w:p>
            <w:pPr>
              <w:spacing w:line="240" w:lineRule="exact"/>
              <w:jc w:val="center"/>
              <w:rPr>
                <w:rFonts w:hint="default" w:ascii="Times New Roman" w:hAnsi="Times New Roman" w:cs="Times New Roman"/>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02:00</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0.92</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0.88</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0.95</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0.97</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0.92</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0.91</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szCs w:val="21"/>
              </w:rPr>
            </w:pPr>
          </w:p>
        </w:tc>
        <w:tc>
          <w:tcPr>
            <w:tcW w:w="569" w:type="pct"/>
            <w:vMerge w:val="continue"/>
            <w:vAlign w:val="center"/>
          </w:tcPr>
          <w:p>
            <w:pPr>
              <w:spacing w:line="240" w:lineRule="exact"/>
              <w:jc w:val="center"/>
              <w:rPr>
                <w:rFonts w:hint="default" w:ascii="Times New Roman" w:hAnsi="Times New Roman" w:cs="Times New Roman"/>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08:00</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1.03</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1.02</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1.05</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0.98</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0.96</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1.06</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szCs w:val="21"/>
              </w:rPr>
            </w:pPr>
          </w:p>
        </w:tc>
        <w:tc>
          <w:tcPr>
            <w:tcW w:w="569" w:type="pct"/>
            <w:vMerge w:val="continue"/>
            <w:vAlign w:val="center"/>
          </w:tcPr>
          <w:p>
            <w:pPr>
              <w:spacing w:line="240" w:lineRule="exact"/>
              <w:jc w:val="center"/>
              <w:rPr>
                <w:rFonts w:hint="default" w:ascii="Times New Roman" w:hAnsi="Times New Roman" w:cs="Times New Roman"/>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14:00</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1.06</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0.95</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1.03</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1.04</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1.11</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1.25</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Merge w:val="continue"/>
            <w:vAlign w:val="center"/>
          </w:tcPr>
          <w:p>
            <w:pPr>
              <w:spacing w:line="240" w:lineRule="exact"/>
              <w:jc w:val="center"/>
              <w:rPr>
                <w:rFonts w:hint="default" w:ascii="Times New Roman" w:hAnsi="Times New Roman" w:cs="Times New Roman"/>
                <w:szCs w:val="21"/>
              </w:rPr>
            </w:pPr>
          </w:p>
        </w:tc>
        <w:tc>
          <w:tcPr>
            <w:tcW w:w="569" w:type="pct"/>
            <w:vMerge w:val="continue"/>
            <w:vAlign w:val="center"/>
          </w:tcPr>
          <w:p>
            <w:pPr>
              <w:spacing w:line="240" w:lineRule="exact"/>
              <w:jc w:val="center"/>
              <w:rPr>
                <w:rFonts w:hint="default" w:ascii="Times New Roman" w:hAnsi="Times New Roman" w:cs="Times New Roman"/>
                <w:szCs w:val="21"/>
              </w:rPr>
            </w:pPr>
          </w:p>
        </w:tc>
        <w:tc>
          <w:tcPr>
            <w:tcW w:w="336" w:type="pct"/>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20:00</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1.30</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1.15</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1.02</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1.11</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1.30</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1.25</w:t>
            </w:r>
          </w:p>
        </w:tc>
        <w:tc>
          <w:tcPr>
            <w:tcW w:w="554" w:type="pct"/>
            <w:vAlign w:val="center"/>
          </w:tcPr>
          <w:p>
            <w:pPr>
              <w:widowControl/>
              <w:spacing w:line="24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Align w:val="center"/>
          </w:tcPr>
          <w:p>
            <w:pPr>
              <w:spacing w:line="240" w:lineRule="exact"/>
              <w:jc w:val="center"/>
              <w:rPr>
                <w:rFonts w:hint="default" w:ascii="Times New Roman" w:hAnsi="Times New Roman" w:cs="Times New Roman"/>
                <w:szCs w:val="21"/>
              </w:rPr>
            </w:pPr>
            <w:r>
              <w:rPr>
                <w:rFonts w:hint="eastAsia" w:ascii="Times New Roman" w:eastAsia="宋体"/>
                <w:color w:val="auto"/>
                <w:sz w:val="21"/>
                <w:szCs w:val="21"/>
              </w:rPr>
              <w:t>1#厂址</w:t>
            </w:r>
          </w:p>
        </w:tc>
        <w:tc>
          <w:tcPr>
            <w:tcW w:w="1084" w:type="dxa"/>
            <w:vMerge w:val="restart"/>
            <w:vAlign w:val="center"/>
          </w:tcPr>
          <w:p>
            <w:pPr>
              <w:spacing w:line="240" w:lineRule="exact"/>
              <w:jc w:val="center"/>
              <w:rPr>
                <w:rFonts w:hint="default" w:ascii="Times New Roman" w:hAnsi="Times New Roman" w:cs="Times New Roman"/>
                <w:szCs w:val="21"/>
              </w:rPr>
            </w:pPr>
            <w:r>
              <w:rPr>
                <w:rFonts w:hint="eastAsia" w:ascii="Times New Roman"/>
                <w:color w:val="auto"/>
                <w:sz w:val="21"/>
                <w:szCs w:val="21"/>
                <w:lang w:val="en-US" w:eastAsia="zh-CN"/>
              </w:rPr>
              <w:t>总悬浮颗粒物</w:t>
            </w:r>
            <w:r>
              <w:rPr>
                <w:rFonts w:ascii="Times New Roman" w:eastAsia="宋体"/>
                <w:color w:val="auto"/>
                <w:sz w:val="21"/>
                <w:szCs w:val="21"/>
              </w:rPr>
              <w:t>（mg/m</w:t>
            </w:r>
            <w:r>
              <w:rPr>
                <w:rFonts w:ascii="Times New Roman" w:eastAsia="宋体"/>
                <w:color w:val="auto"/>
                <w:sz w:val="21"/>
                <w:szCs w:val="21"/>
                <w:vertAlign w:val="superscript"/>
              </w:rPr>
              <w:t>3</w:t>
            </w:r>
            <w:r>
              <w:rPr>
                <w:rFonts w:ascii="Times New Roman" w:eastAsia="宋体"/>
                <w:color w:val="auto"/>
                <w:sz w:val="21"/>
                <w:szCs w:val="21"/>
              </w:rPr>
              <w:t>）</w:t>
            </w:r>
          </w:p>
        </w:tc>
        <w:tc>
          <w:tcPr>
            <w:tcW w:w="641" w:type="dxa"/>
            <w:vAlign w:val="center"/>
          </w:tcPr>
          <w:p>
            <w:pPr>
              <w:spacing w:line="240" w:lineRule="exact"/>
              <w:jc w:val="center"/>
              <w:rPr>
                <w:rFonts w:hint="default" w:ascii="Times New Roman" w:hAnsi="Times New Roman" w:cs="Times New Roman"/>
                <w:szCs w:val="21"/>
              </w:rPr>
            </w:pPr>
            <w:r>
              <w:rPr>
                <w:rFonts w:hint="eastAsia" w:ascii="Times New Roman" w:hAnsi="Times New Roman"/>
                <w:szCs w:val="21"/>
                <w:lang w:val="en-US" w:eastAsia="zh-CN"/>
              </w:rPr>
              <w:t>日均值</w:t>
            </w:r>
          </w:p>
        </w:tc>
        <w:tc>
          <w:tcPr>
            <w:tcW w:w="1055" w:type="dxa"/>
            <w:vAlign w:val="center"/>
          </w:tcPr>
          <w:p>
            <w:pPr>
              <w:widowControl/>
              <w:spacing w:line="240" w:lineRule="exact"/>
              <w:jc w:val="center"/>
              <w:rPr>
                <w:rFonts w:hint="default" w:ascii="Times New Roman" w:hAnsi="Times New Roman" w:cs="Times New Roman"/>
                <w:szCs w:val="21"/>
                <w:lang w:val="en-US" w:eastAsia="zh-CN"/>
              </w:rPr>
            </w:pPr>
            <w:r>
              <w:rPr>
                <w:rFonts w:hint="eastAsia" w:ascii="Times New Roman" w:hAnsi="Times New Roman"/>
                <w:szCs w:val="21"/>
                <w:lang w:val="en-US" w:eastAsia="zh-CN"/>
              </w:rPr>
              <w:t>0.218</w:t>
            </w:r>
          </w:p>
        </w:tc>
        <w:tc>
          <w:tcPr>
            <w:tcW w:w="1055" w:type="dxa"/>
            <w:vAlign w:val="center"/>
          </w:tcPr>
          <w:p>
            <w:pPr>
              <w:widowControl/>
              <w:spacing w:line="240" w:lineRule="exact"/>
              <w:jc w:val="center"/>
              <w:rPr>
                <w:rFonts w:hint="default" w:ascii="Times New Roman" w:hAnsi="Times New Roman" w:cs="Times New Roman"/>
                <w:szCs w:val="21"/>
                <w:lang w:val="en-US" w:eastAsia="zh-CN"/>
              </w:rPr>
            </w:pPr>
            <w:r>
              <w:rPr>
                <w:rFonts w:hint="eastAsia" w:ascii="Times New Roman" w:hAnsi="Times New Roman"/>
                <w:szCs w:val="21"/>
                <w:lang w:val="en-US" w:eastAsia="zh-CN"/>
              </w:rPr>
              <w:t>0.196</w:t>
            </w:r>
          </w:p>
        </w:tc>
        <w:tc>
          <w:tcPr>
            <w:tcW w:w="1055" w:type="dxa"/>
            <w:vAlign w:val="center"/>
          </w:tcPr>
          <w:p>
            <w:pPr>
              <w:widowControl/>
              <w:spacing w:line="240" w:lineRule="exact"/>
              <w:jc w:val="center"/>
              <w:rPr>
                <w:rFonts w:hint="default" w:ascii="Times New Roman" w:hAnsi="Times New Roman" w:cs="Times New Roman"/>
                <w:szCs w:val="21"/>
                <w:lang w:val="en-US" w:eastAsia="zh-CN"/>
              </w:rPr>
            </w:pPr>
            <w:r>
              <w:rPr>
                <w:rFonts w:hint="eastAsia" w:ascii="Times New Roman" w:hAnsi="Times New Roman"/>
                <w:szCs w:val="21"/>
                <w:lang w:val="en-US" w:eastAsia="zh-CN"/>
              </w:rPr>
              <w:t>0.213</w:t>
            </w:r>
          </w:p>
        </w:tc>
        <w:tc>
          <w:tcPr>
            <w:tcW w:w="1055" w:type="dxa"/>
            <w:vAlign w:val="center"/>
          </w:tcPr>
          <w:p>
            <w:pPr>
              <w:widowControl/>
              <w:spacing w:line="240" w:lineRule="exact"/>
              <w:jc w:val="center"/>
              <w:rPr>
                <w:rFonts w:hint="default" w:ascii="Times New Roman" w:hAnsi="Times New Roman" w:cs="Times New Roman"/>
                <w:szCs w:val="21"/>
                <w:lang w:val="en-US" w:eastAsia="zh-CN"/>
              </w:rPr>
            </w:pPr>
            <w:r>
              <w:rPr>
                <w:rFonts w:hint="eastAsia" w:ascii="Times New Roman" w:hAnsi="Times New Roman"/>
                <w:szCs w:val="21"/>
                <w:lang w:val="en-US" w:eastAsia="zh-CN"/>
              </w:rPr>
              <w:t>0.225</w:t>
            </w:r>
          </w:p>
        </w:tc>
        <w:tc>
          <w:tcPr>
            <w:tcW w:w="1055" w:type="dxa"/>
            <w:vAlign w:val="center"/>
          </w:tcPr>
          <w:p>
            <w:pPr>
              <w:widowControl/>
              <w:spacing w:line="240" w:lineRule="exact"/>
              <w:jc w:val="center"/>
              <w:rPr>
                <w:rFonts w:hint="default" w:ascii="Times New Roman" w:hAnsi="Times New Roman" w:cs="Times New Roman"/>
                <w:szCs w:val="21"/>
                <w:lang w:val="en-US" w:eastAsia="zh-CN"/>
              </w:rPr>
            </w:pPr>
            <w:r>
              <w:rPr>
                <w:rFonts w:hint="eastAsia" w:ascii="Times New Roman" w:hAnsi="Times New Roman"/>
                <w:szCs w:val="21"/>
                <w:lang w:val="en-US" w:eastAsia="zh-CN"/>
              </w:rPr>
              <w:t>0.241</w:t>
            </w:r>
          </w:p>
        </w:tc>
        <w:tc>
          <w:tcPr>
            <w:tcW w:w="1055" w:type="dxa"/>
            <w:vAlign w:val="center"/>
          </w:tcPr>
          <w:p>
            <w:pPr>
              <w:widowControl/>
              <w:spacing w:line="240" w:lineRule="exact"/>
              <w:jc w:val="center"/>
              <w:rPr>
                <w:rFonts w:hint="default" w:ascii="Times New Roman" w:hAnsi="Times New Roman" w:cs="Times New Roman"/>
                <w:szCs w:val="21"/>
                <w:lang w:val="en-US" w:eastAsia="zh-CN"/>
              </w:rPr>
            </w:pPr>
            <w:r>
              <w:rPr>
                <w:rFonts w:hint="eastAsia" w:ascii="Times New Roman" w:hAnsi="Times New Roman"/>
                <w:szCs w:val="21"/>
                <w:lang w:val="en-US" w:eastAsia="zh-CN"/>
              </w:rPr>
              <w:t>0.231</w:t>
            </w:r>
          </w:p>
        </w:tc>
        <w:tc>
          <w:tcPr>
            <w:tcW w:w="1055" w:type="dxa"/>
            <w:vAlign w:val="center"/>
          </w:tcPr>
          <w:p>
            <w:pPr>
              <w:widowControl/>
              <w:spacing w:line="240" w:lineRule="exact"/>
              <w:jc w:val="center"/>
              <w:rPr>
                <w:rFonts w:hint="default" w:ascii="Times New Roman" w:hAnsi="Times New Roman" w:cs="Times New Roman"/>
                <w:szCs w:val="21"/>
                <w:lang w:val="en-US" w:eastAsia="zh-CN"/>
              </w:rPr>
            </w:pPr>
            <w:r>
              <w:rPr>
                <w:rFonts w:hint="eastAsia" w:ascii="Times New Roman" w:hAnsi="Times New Roman"/>
                <w:szCs w:val="21"/>
                <w:lang w:val="en-US" w:eastAsia="zh-CN"/>
              </w:rPr>
              <w:t>0.206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211" w:type="pct"/>
            <w:vAlign w:val="center"/>
          </w:tcPr>
          <w:p>
            <w:pPr>
              <w:spacing w:line="240" w:lineRule="exact"/>
              <w:jc w:val="center"/>
              <w:rPr>
                <w:rFonts w:hint="default" w:ascii="Times New Roman" w:hAnsi="Times New Roman" w:cs="Times New Roman"/>
                <w:szCs w:val="21"/>
              </w:rPr>
            </w:pPr>
            <w:r>
              <w:rPr>
                <w:rFonts w:hint="eastAsia" w:ascii="Times New Roman" w:hAnsi="Times New Roman"/>
                <w:kern w:val="0"/>
                <w:szCs w:val="21"/>
              </w:rPr>
              <w:t>2#厂址下风向</w:t>
            </w:r>
          </w:p>
        </w:tc>
        <w:tc>
          <w:tcPr>
            <w:tcW w:w="1084" w:type="dxa"/>
            <w:vMerge w:val="continue"/>
            <w:vAlign w:val="center"/>
          </w:tcPr>
          <w:p>
            <w:pPr>
              <w:spacing w:line="240" w:lineRule="exact"/>
              <w:jc w:val="center"/>
              <w:rPr>
                <w:rFonts w:hint="default" w:ascii="Times New Roman" w:hAnsi="Times New Roman" w:cs="Times New Roman"/>
                <w:szCs w:val="21"/>
              </w:rPr>
            </w:pPr>
          </w:p>
        </w:tc>
        <w:tc>
          <w:tcPr>
            <w:tcW w:w="641" w:type="dxa"/>
            <w:vAlign w:val="center"/>
          </w:tcPr>
          <w:p>
            <w:pPr>
              <w:spacing w:line="240" w:lineRule="exact"/>
              <w:jc w:val="center"/>
              <w:rPr>
                <w:rFonts w:hint="default" w:ascii="Times New Roman" w:hAnsi="Times New Roman" w:cs="Times New Roman"/>
                <w:szCs w:val="21"/>
              </w:rPr>
            </w:pPr>
            <w:r>
              <w:rPr>
                <w:rFonts w:hint="eastAsia" w:ascii="Times New Roman" w:hAnsi="Times New Roman"/>
                <w:szCs w:val="21"/>
                <w:lang w:val="en-US" w:eastAsia="zh-CN"/>
              </w:rPr>
              <w:t>日均值</w:t>
            </w:r>
          </w:p>
        </w:tc>
        <w:tc>
          <w:tcPr>
            <w:tcW w:w="1055" w:type="dxa"/>
            <w:vAlign w:val="center"/>
          </w:tcPr>
          <w:p>
            <w:pPr>
              <w:widowControl/>
              <w:spacing w:line="240" w:lineRule="exact"/>
              <w:jc w:val="center"/>
              <w:rPr>
                <w:rFonts w:hint="default" w:ascii="Times New Roman" w:hAnsi="Times New Roman" w:cs="Times New Roman"/>
                <w:szCs w:val="21"/>
                <w:lang w:val="en-US" w:eastAsia="zh-CN"/>
              </w:rPr>
            </w:pPr>
            <w:r>
              <w:rPr>
                <w:rFonts w:hint="eastAsia" w:ascii="Times New Roman" w:hAnsi="Times New Roman"/>
                <w:szCs w:val="21"/>
                <w:lang w:val="en-US" w:eastAsia="zh-CN"/>
              </w:rPr>
              <w:t>0.225</w:t>
            </w:r>
          </w:p>
        </w:tc>
        <w:tc>
          <w:tcPr>
            <w:tcW w:w="1055" w:type="dxa"/>
            <w:vAlign w:val="center"/>
          </w:tcPr>
          <w:p>
            <w:pPr>
              <w:widowControl/>
              <w:spacing w:line="240" w:lineRule="exact"/>
              <w:jc w:val="center"/>
              <w:rPr>
                <w:rFonts w:hint="default" w:ascii="Times New Roman" w:hAnsi="Times New Roman" w:cs="Times New Roman"/>
                <w:szCs w:val="21"/>
                <w:lang w:val="en-US" w:eastAsia="zh-CN"/>
              </w:rPr>
            </w:pPr>
            <w:r>
              <w:rPr>
                <w:rFonts w:hint="eastAsia" w:ascii="Times New Roman" w:hAnsi="Times New Roman"/>
                <w:szCs w:val="21"/>
                <w:lang w:val="en-US" w:eastAsia="zh-CN"/>
              </w:rPr>
              <w:t>0.213</w:t>
            </w:r>
          </w:p>
        </w:tc>
        <w:tc>
          <w:tcPr>
            <w:tcW w:w="1055" w:type="dxa"/>
            <w:vAlign w:val="center"/>
          </w:tcPr>
          <w:p>
            <w:pPr>
              <w:widowControl/>
              <w:spacing w:line="240" w:lineRule="exact"/>
              <w:jc w:val="center"/>
              <w:rPr>
                <w:rFonts w:hint="default" w:ascii="Times New Roman" w:hAnsi="Times New Roman" w:cs="Times New Roman"/>
                <w:szCs w:val="21"/>
                <w:lang w:val="en-US" w:eastAsia="zh-CN"/>
              </w:rPr>
            </w:pPr>
            <w:r>
              <w:rPr>
                <w:rFonts w:hint="eastAsia" w:ascii="Times New Roman" w:hAnsi="Times New Roman"/>
                <w:szCs w:val="21"/>
                <w:lang w:val="en-US" w:eastAsia="zh-CN"/>
              </w:rPr>
              <w:t>0.207</w:t>
            </w:r>
          </w:p>
        </w:tc>
        <w:tc>
          <w:tcPr>
            <w:tcW w:w="1055" w:type="dxa"/>
            <w:vAlign w:val="center"/>
          </w:tcPr>
          <w:p>
            <w:pPr>
              <w:widowControl/>
              <w:spacing w:line="240" w:lineRule="exact"/>
              <w:jc w:val="center"/>
              <w:rPr>
                <w:rFonts w:hint="default" w:ascii="Times New Roman" w:hAnsi="Times New Roman" w:cs="Times New Roman"/>
                <w:szCs w:val="21"/>
                <w:lang w:val="en-US" w:eastAsia="zh-CN"/>
              </w:rPr>
            </w:pPr>
            <w:r>
              <w:rPr>
                <w:rFonts w:hint="eastAsia" w:ascii="Times New Roman" w:hAnsi="Times New Roman"/>
                <w:szCs w:val="21"/>
                <w:lang w:val="en-US" w:eastAsia="zh-CN"/>
              </w:rPr>
              <w:t>0.234</w:t>
            </w:r>
          </w:p>
        </w:tc>
        <w:tc>
          <w:tcPr>
            <w:tcW w:w="1055" w:type="dxa"/>
            <w:vAlign w:val="center"/>
          </w:tcPr>
          <w:p>
            <w:pPr>
              <w:widowControl/>
              <w:spacing w:line="240" w:lineRule="exact"/>
              <w:jc w:val="center"/>
              <w:rPr>
                <w:rFonts w:hint="default" w:ascii="Times New Roman" w:hAnsi="Times New Roman" w:cs="Times New Roman"/>
                <w:szCs w:val="21"/>
                <w:lang w:val="en-US" w:eastAsia="zh-CN"/>
              </w:rPr>
            </w:pPr>
            <w:r>
              <w:rPr>
                <w:rFonts w:hint="eastAsia" w:ascii="Times New Roman" w:hAnsi="Times New Roman"/>
                <w:szCs w:val="21"/>
                <w:lang w:val="en-US" w:eastAsia="zh-CN"/>
              </w:rPr>
              <w:t>0.216</w:t>
            </w:r>
          </w:p>
        </w:tc>
        <w:tc>
          <w:tcPr>
            <w:tcW w:w="1055" w:type="dxa"/>
            <w:vAlign w:val="center"/>
          </w:tcPr>
          <w:p>
            <w:pPr>
              <w:widowControl/>
              <w:spacing w:line="240" w:lineRule="exact"/>
              <w:jc w:val="center"/>
              <w:rPr>
                <w:rFonts w:hint="default" w:ascii="Times New Roman" w:hAnsi="Times New Roman" w:cs="Times New Roman"/>
                <w:szCs w:val="21"/>
                <w:lang w:val="en-US" w:eastAsia="zh-CN"/>
              </w:rPr>
            </w:pPr>
            <w:r>
              <w:rPr>
                <w:rFonts w:hint="eastAsia" w:ascii="Times New Roman" w:hAnsi="Times New Roman"/>
                <w:szCs w:val="21"/>
                <w:lang w:val="en-US" w:eastAsia="zh-CN"/>
              </w:rPr>
              <w:t>0.207</w:t>
            </w:r>
          </w:p>
        </w:tc>
        <w:tc>
          <w:tcPr>
            <w:tcW w:w="1055" w:type="dxa"/>
            <w:vAlign w:val="center"/>
          </w:tcPr>
          <w:p>
            <w:pPr>
              <w:widowControl/>
              <w:spacing w:line="240" w:lineRule="exact"/>
              <w:jc w:val="center"/>
              <w:rPr>
                <w:rFonts w:hint="default" w:ascii="Times New Roman" w:hAnsi="Times New Roman" w:cs="Times New Roman"/>
                <w:szCs w:val="21"/>
                <w:lang w:val="en-US" w:eastAsia="zh-CN"/>
              </w:rPr>
            </w:pPr>
            <w:r>
              <w:rPr>
                <w:rFonts w:hint="eastAsia" w:ascii="Times New Roman" w:hAnsi="Times New Roman"/>
                <w:szCs w:val="21"/>
                <w:lang w:val="en-US" w:eastAsia="zh-CN"/>
              </w:rPr>
              <w:t>0.024</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rPr>
        <w:sectPr>
          <w:pgSz w:w="11906" w:h="16839"/>
          <w:pgMar w:top="1203" w:right="1305" w:bottom="1156" w:left="1305" w:header="962" w:footer="992" w:gutter="0"/>
          <w:pgBorders>
            <w:top w:val="none" w:sz="0" w:space="0"/>
            <w:left w:val="none" w:sz="0" w:space="0"/>
            <w:bottom w:val="none" w:sz="0" w:space="0"/>
            <w:right w:val="none" w:sz="0" w:space="0"/>
          </w:pgBorders>
          <w:pgNumType w:fmt="decimal"/>
          <w:cols w:space="720" w:num="1"/>
        </w:sectPr>
      </w:pPr>
    </w:p>
    <w:p>
      <w:pPr>
        <w:pStyle w:val="29"/>
        <w:ind w:left="0" w:leftChars="0" w:firstLine="0" w:firstLineChars="0"/>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drawing>
          <wp:inline distT="0" distB="0" distL="114300" distR="114300">
            <wp:extent cx="9261475" cy="5390515"/>
            <wp:effectExtent l="0" t="0" r="15875" b="635"/>
            <wp:docPr id="14" name="图片 14" descr="4b7c8f46fd642f2120a878ad4d42c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4b7c8f46fd642f2120a878ad4d42cb1"/>
                    <pic:cNvPicPr>
                      <a:picLocks noChangeAspect="1"/>
                    </pic:cNvPicPr>
                  </pic:nvPicPr>
                  <pic:blipFill>
                    <a:blip r:embed="rId54"/>
                    <a:stretch>
                      <a:fillRect/>
                    </a:stretch>
                  </pic:blipFill>
                  <pic:spPr>
                    <a:xfrm>
                      <a:off x="0" y="0"/>
                      <a:ext cx="9261475" cy="539051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mallCaps w:val="0"/>
          <w:snapToGrid w:val="0"/>
          <w:color w:val="auto"/>
          <w:kern w:val="2"/>
          <w:sz w:val="21"/>
          <w:szCs w:val="21"/>
          <w:highlight w:val="none"/>
          <w:u w:val="none"/>
          <w:shd w:val="clear" w:color="auto" w:fill="auto"/>
          <w:lang w:val="en-US" w:eastAsia="zh-CN" w:bidi="ar-SA"/>
        </w:rPr>
      </w:pPr>
      <w:r>
        <w:rPr>
          <w:rFonts w:hint="default" w:ascii="Times New Roman" w:hAnsi="Times New Roman" w:eastAsia="宋体" w:cs="Times New Roman"/>
          <w:b/>
          <w:bCs/>
          <w:smallCaps w:val="0"/>
          <w:snapToGrid w:val="0"/>
          <w:color w:val="auto"/>
          <w:kern w:val="2"/>
          <w:sz w:val="21"/>
          <w:szCs w:val="21"/>
          <w:highlight w:val="none"/>
          <w:u w:val="none"/>
          <w:shd w:val="clear" w:color="auto" w:fill="auto"/>
          <w:lang w:val="en-US" w:eastAsia="zh-CN" w:bidi="ar-SA"/>
        </w:rPr>
        <w:t>图4-2-1  环境空气补充监测点位</w:t>
      </w:r>
    </w:p>
    <w:p>
      <w:pPr>
        <w:pStyle w:val="29"/>
        <w:rPr>
          <w:rFonts w:hint="default" w:ascii="Times New Roman" w:hAnsi="Times New Roman" w:cs="Times New Roman"/>
          <w:highlight w:val="magenta"/>
        </w:rPr>
        <w:sectPr>
          <w:pgSz w:w="16839" w:h="11906" w:orient="landscape"/>
          <w:pgMar w:top="1305" w:right="1203" w:bottom="1305" w:left="1156" w:header="962" w:footer="992" w:gutter="0"/>
          <w:pgBorders>
            <w:top w:val="none" w:sz="0" w:space="0"/>
            <w:left w:val="none" w:sz="0" w:space="0"/>
            <w:bottom w:val="none" w:sz="0" w:space="0"/>
            <w:right w:val="none" w:sz="0" w:space="0"/>
          </w:pgBorders>
          <w:pgNumType w:fmt="decimal"/>
          <w:cols w:space="720" w:num="1"/>
        </w:sectPr>
      </w:pPr>
    </w:p>
    <w:p>
      <w:pPr>
        <w:pStyle w:val="45"/>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cs="Times New Roman"/>
          <w:highlight w:val="none"/>
        </w:rPr>
      </w:pPr>
      <w:r>
        <w:rPr>
          <w:rFonts w:hint="default" w:ascii="Times New Roman" w:hAnsi="Times New Roman" w:eastAsia="宋体" w:cs="Times New Roman"/>
          <w:color w:val="auto"/>
          <w:sz w:val="24"/>
          <w:szCs w:val="24"/>
          <w:highlight w:val="none"/>
        </w:rPr>
        <w:t>通过监测结果表明，非甲烷总烃满足</w:t>
      </w:r>
      <w:r>
        <w:rPr>
          <w:rFonts w:hint="default" w:ascii="Times New Roman" w:hAnsi="Times New Roman" w:cs="Times New Roman"/>
          <w:color w:val="auto"/>
          <w:sz w:val="24"/>
          <w:szCs w:val="24"/>
          <w:highlight w:val="none"/>
        </w:rPr>
        <w:t>《大气污染物综合排放</w:t>
      </w:r>
      <w:r>
        <w:rPr>
          <w:rFonts w:hint="default" w:ascii="Times New Roman" w:hAnsi="Times New Roman" w:eastAsia="宋体" w:cs="Times New Roman"/>
          <w:color w:val="auto"/>
          <w:sz w:val="24"/>
          <w:szCs w:val="24"/>
          <w:highlight w:val="none"/>
        </w:rPr>
        <w:t>标准详解》</w:t>
      </w:r>
      <w:r>
        <w:rPr>
          <w:rFonts w:hint="default" w:ascii="Times New Roman" w:hAnsi="Times New Roman" w:eastAsia="宋体" w:cs="Times New Roman"/>
          <w:color w:val="auto"/>
          <w:sz w:val="24"/>
          <w:szCs w:val="24"/>
          <w:highlight w:val="none"/>
          <w:lang w:eastAsia="zh-CN"/>
        </w:rPr>
        <w:t>要求，</w:t>
      </w:r>
      <w:r>
        <w:rPr>
          <w:rFonts w:hint="eastAsia"/>
          <w:color w:val="000000" w:themeColor="text1"/>
          <w:highlight w:val="none"/>
          <w:lang w:val="en-US" w:eastAsia="zh-CN"/>
          <w14:textFill>
            <w14:solidFill>
              <w14:schemeClr w14:val="tx1"/>
            </w14:solidFill>
          </w14:textFill>
        </w:rPr>
        <w:t>TSP满足</w:t>
      </w:r>
      <w:r>
        <w:rPr>
          <w:rFonts w:ascii="Times New Roman" w:hAnsi="Times New Roman" w:eastAsia="宋体"/>
          <w:color w:val="000000" w:themeColor="text1"/>
          <w:highlight w:val="none"/>
          <w14:textFill>
            <w14:solidFill>
              <w14:schemeClr w14:val="tx1"/>
            </w14:solidFill>
          </w14:textFill>
        </w:rPr>
        <w:t>《环境空气质量标准》(GB3095-2012)及其修改单中二级标准要求</w:t>
      </w:r>
      <w:r>
        <w:rPr>
          <w:rFonts w:hint="eastAsia" w:ascii="Times New Roman" w:hAnsi="Times New Roman" w:eastAsia="宋体"/>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auto"/>
          <w:sz w:val="24"/>
          <w:szCs w:val="24"/>
          <w:highlight w:val="none"/>
          <w:lang w:eastAsia="zh-CN"/>
        </w:rPr>
        <w:t>氨、硫化氢</w:t>
      </w:r>
      <w:r>
        <w:rPr>
          <w:rFonts w:hint="default" w:ascii="Times New Roman" w:hAnsi="Times New Roman" w:cs="Times New Roman"/>
          <w:color w:val="auto"/>
          <w:sz w:val="24"/>
          <w:szCs w:val="24"/>
          <w:highlight w:val="none"/>
          <w:lang w:val="en-US" w:eastAsia="zh-CN"/>
        </w:rPr>
        <w:t>满足</w:t>
      </w:r>
      <w:r>
        <w:rPr>
          <w:rFonts w:hint="default" w:ascii="Times New Roman" w:hAnsi="Times New Roman" w:eastAsia="宋体" w:cs="Times New Roman"/>
          <w:bCs/>
          <w:color w:val="auto"/>
          <w:kern w:val="0"/>
          <w:sz w:val="24"/>
          <w:szCs w:val="24"/>
          <w:highlight w:val="none"/>
        </w:rPr>
        <w:t>《环境影响评价技术导则  大气环境》（HJ2.2-2018）中附录D其他污染物空气质量浓度参考限值</w:t>
      </w:r>
      <w:r>
        <w:rPr>
          <w:rFonts w:hint="default" w:ascii="Times New Roman" w:hAnsi="Times New Roman" w:eastAsia="宋体" w:cs="Times New Roman"/>
          <w:color w:val="auto"/>
          <w:sz w:val="24"/>
          <w:szCs w:val="24"/>
          <w:highlight w:val="none"/>
        </w:rPr>
        <w:t>。</w:t>
      </w:r>
    </w:p>
    <w:p>
      <w:pPr>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宋体" w:cs="Times New Roman"/>
          <w:b/>
          <w:bCs/>
          <w:snapToGrid/>
          <w:color w:val="auto"/>
          <w:kern w:val="44"/>
          <w:sz w:val="30"/>
          <w:szCs w:val="30"/>
          <w:lang w:eastAsia="zh-CN"/>
        </w:rPr>
      </w:pPr>
      <w:bookmarkStart w:id="232" w:name="_Toc6272"/>
      <w:r>
        <w:rPr>
          <w:rFonts w:hint="default" w:ascii="Times New Roman" w:hAnsi="Times New Roman" w:eastAsia="宋体" w:cs="Times New Roman"/>
          <w:b/>
          <w:bCs/>
          <w:snapToGrid/>
          <w:color w:val="auto"/>
          <w:kern w:val="44"/>
          <w:sz w:val="30"/>
          <w:szCs w:val="30"/>
          <w:lang w:eastAsia="zh-CN"/>
        </w:rPr>
        <w:t>4.3  地表水环境质量现状评价</w:t>
      </w:r>
      <w:bookmarkEnd w:id="232"/>
    </w:p>
    <w:p>
      <w:pPr>
        <w:spacing w:line="360" w:lineRule="auto"/>
        <w:ind w:firstLine="480" w:firstLineChars="200"/>
        <w:rPr>
          <w:rFonts w:hint="default" w:ascii="Times New Roman" w:hAnsi="Times New Roman" w:cs="Times New Roman"/>
          <w:bCs/>
          <w:color w:val="auto"/>
          <w:sz w:val="24"/>
          <w:lang w:eastAsia="zh-CN"/>
        </w:rPr>
      </w:pPr>
      <w:r>
        <w:rPr>
          <w:rFonts w:hint="default" w:ascii="Times New Roman" w:hAnsi="Times New Roman" w:cs="Times New Roman"/>
          <w:bCs/>
          <w:color w:val="auto"/>
          <w:sz w:val="24"/>
        </w:rPr>
        <w:t>根据</w:t>
      </w:r>
      <w:r>
        <w:rPr>
          <w:rFonts w:hint="default" w:ascii="Times New Roman" w:hAnsi="Times New Roman" w:cs="Times New Roman"/>
          <w:bCs/>
          <w:color w:val="auto"/>
          <w:sz w:val="24"/>
          <w:lang w:eastAsia="zh-CN"/>
        </w:rPr>
        <w:t>《哈尔滨市生态环境质量报告书（2022年）》（黑龙江省哈尔滨生态环境监测中心，2023年6月），202</w:t>
      </w:r>
      <w:r>
        <w:rPr>
          <w:rFonts w:hint="default" w:ascii="Times New Roman" w:hAnsi="Times New Roman" w:cs="Times New Roman"/>
          <w:bCs/>
          <w:color w:val="auto"/>
          <w:sz w:val="24"/>
          <w:lang w:val="en-US" w:eastAsia="zh-CN"/>
        </w:rPr>
        <w:t>2</w:t>
      </w:r>
      <w:r>
        <w:rPr>
          <w:rFonts w:hint="default" w:ascii="Times New Roman" w:hAnsi="Times New Roman" w:cs="Times New Roman"/>
          <w:bCs/>
          <w:color w:val="auto"/>
          <w:sz w:val="24"/>
          <w:lang w:eastAsia="zh-CN"/>
        </w:rPr>
        <w:t>年松花江哈尔滨江段12条主要一级支流总体状况为良，水质总体好转。</w:t>
      </w:r>
    </w:p>
    <w:p>
      <w:pPr>
        <w:spacing w:line="360" w:lineRule="auto"/>
        <w:ind w:firstLine="480" w:firstLineChars="200"/>
        <w:jc w:val="both"/>
        <w:rPr>
          <w:rFonts w:hint="default" w:ascii="Times New Roman" w:hAnsi="Times New Roman" w:cs="Times New Roman"/>
          <w:bCs/>
          <w:color w:val="auto"/>
          <w:sz w:val="24"/>
          <w:lang w:eastAsia="zh-CN"/>
        </w:rPr>
      </w:pPr>
      <w:r>
        <w:rPr>
          <w:rFonts w:hint="default" w:ascii="Times New Roman" w:hAnsi="Times New Roman" w:cs="Times New Roman"/>
          <w:bCs/>
          <w:color w:val="auto"/>
          <w:sz w:val="24"/>
          <w:lang w:eastAsia="zh-CN"/>
        </w:rPr>
        <w:t>岔林河口内、白杨木河水质符合Ⅱ；蚂蚁河口内、巴兰河口内、木兰达河口内、阿什河口内、牡丹江口内、呼兰河口内、倭肯河口内、拉林河口内水质符合Ⅲ类；蜚克图河水质符合IV类标准；少陵河桥水质符合Ⅴ类。其中少陵河桥水质属于重度污染，蜚克图河水质属于轻度污染。202</w:t>
      </w:r>
      <w:r>
        <w:rPr>
          <w:rFonts w:hint="default" w:ascii="Times New Roman" w:hAnsi="Times New Roman" w:cs="Times New Roman"/>
          <w:bCs/>
          <w:color w:val="auto"/>
          <w:sz w:val="24"/>
          <w:lang w:val="en-US" w:eastAsia="zh-CN"/>
        </w:rPr>
        <w:t>2</w:t>
      </w:r>
      <w:r>
        <w:rPr>
          <w:rFonts w:hint="default" w:ascii="Times New Roman" w:hAnsi="Times New Roman" w:cs="Times New Roman"/>
          <w:bCs/>
          <w:color w:val="auto"/>
          <w:sz w:val="24"/>
          <w:lang w:eastAsia="zh-CN"/>
        </w:rPr>
        <w:t>年松花江哈尔滨段12条主要一级支流口内断面各项指标浓度差异较大。各断面溶解氧均好于Ⅰ类标准，高锰酸盐指数指标少陵河桥达到IV类标准，其它断面达到Ⅲ类标准；氨氮指标巨源镇达到IV类标准，少陵河桥达到V类标准，其它断面达到Ⅲ类标准；总磷指标阿什河口内、巨源镇和少陵河桥达到IV类标准，其它断面达到Ⅲ类标准；化学需氧量指标少陵河桥达到IV类标准，其它断面达到Ⅲ类标准；生化需氧量指标均达到Ⅲ类标准。</w:t>
      </w:r>
    </w:p>
    <w:p>
      <w:pPr>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宋体" w:cs="Times New Roman"/>
          <w:b/>
          <w:bCs/>
          <w:snapToGrid/>
          <w:color w:val="auto"/>
          <w:kern w:val="44"/>
          <w:sz w:val="30"/>
          <w:szCs w:val="30"/>
          <w:lang w:eastAsia="zh-CN"/>
        </w:rPr>
      </w:pPr>
      <w:bookmarkStart w:id="233" w:name="_Toc12343"/>
      <w:r>
        <w:rPr>
          <w:rFonts w:hint="default" w:ascii="Times New Roman" w:hAnsi="Times New Roman" w:eastAsia="宋体" w:cs="Times New Roman"/>
          <w:b/>
          <w:bCs/>
          <w:snapToGrid/>
          <w:color w:val="auto"/>
          <w:kern w:val="44"/>
          <w:sz w:val="30"/>
          <w:szCs w:val="30"/>
          <w:lang w:eastAsia="zh-CN"/>
        </w:rPr>
        <w:t xml:space="preserve">4.4 </w:t>
      </w:r>
      <w:r>
        <w:rPr>
          <w:rFonts w:hint="default" w:ascii="Times New Roman" w:hAnsi="Times New Roman" w:eastAsia="宋体" w:cs="Times New Roman"/>
          <w:b/>
          <w:bCs/>
          <w:snapToGrid/>
          <w:color w:val="auto"/>
          <w:kern w:val="44"/>
          <w:sz w:val="30"/>
          <w:szCs w:val="30"/>
          <w:lang w:val="en-US" w:eastAsia="zh-CN"/>
        </w:rPr>
        <w:t xml:space="preserve"> </w:t>
      </w:r>
      <w:r>
        <w:rPr>
          <w:rFonts w:hint="default" w:ascii="Times New Roman" w:hAnsi="Times New Roman" w:eastAsia="宋体" w:cs="Times New Roman"/>
          <w:b/>
          <w:bCs/>
          <w:snapToGrid/>
          <w:color w:val="auto"/>
          <w:kern w:val="44"/>
          <w:sz w:val="30"/>
          <w:szCs w:val="30"/>
          <w:lang w:eastAsia="zh-CN"/>
        </w:rPr>
        <w:t>声环境质量现状监测与评价</w:t>
      </w:r>
      <w:bookmarkEnd w:id="233"/>
    </w:p>
    <w:p>
      <w:pPr>
        <w:pStyle w:val="45"/>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smallCaps w:val="0"/>
          <w:snapToGrid w:val="0"/>
          <w:color w:val="auto"/>
          <w:kern w:val="2"/>
          <w:sz w:val="24"/>
          <w:szCs w:val="24"/>
          <w:lang w:val="en-US" w:eastAsia="zh-CN" w:bidi="ar-SA"/>
        </w:rPr>
      </w:pPr>
      <w:r>
        <w:rPr>
          <w:rFonts w:hint="default" w:ascii="Times New Roman" w:hAnsi="Times New Roman" w:eastAsia="宋体" w:cs="Times New Roman"/>
          <w:color w:val="auto"/>
          <w:sz w:val="24"/>
          <w:szCs w:val="24"/>
          <w:highlight w:val="none"/>
          <w:lang w:val="en-US" w:eastAsia="zh-CN"/>
        </w:rPr>
        <w:t>本项目声环境质量现状根据</w:t>
      </w:r>
      <w:r>
        <w:rPr>
          <w:rFonts w:hint="default" w:ascii="Times New Roman" w:hAnsi="Times New Roman" w:cs="Times New Roman"/>
          <w:smallCaps w:val="0"/>
          <w:snapToGrid w:val="0"/>
          <w:color w:val="auto"/>
          <w:kern w:val="2"/>
          <w:sz w:val="24"/>
          <w:szCs w:val="24"/>
          <w:lang w:val="en-US" w:eastAsia="zh-CN" w:bidi="ar-SA"/>
        </w:rPr>
        <w:t>黑龙江克巽检测技术有限公</w:t>
      </w:r>
      <w:r>
        <w:rPr>
          <w:rFonts w:hint="default" w:ascii="Times New Roman" w:hAnsi="Times New Roman" w:eastAsia="宋体" w:cs="Times New Roman"/>
          <w:smallCaps w:val="0"/>
          <w:snapToGrid w:val="0"/>
          <w:color w:val="auto"/>
          <w:kern w:val="2"/>
          <w:sz w:val="24"/>
          <w:szCs w:val="24"/>
          <w:lang w:val="en-US" w:eastAsia="zh-CN" w:bidi="ar-SA"/>
        </w:rPr>
        <w:t>司出具的《哈尔滨华康肉制品加工有限责任公司扩建项目检测报告》（HKX0123102202）监测数据，监测点属于评价范围内，监测时间为2021年8月28~29日。</w:t>
      </w:r>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eastAsia="zh-CN"/>
        </w:rPr>
        <w:t xml:space="preserve">4.4.1 </w:t>
      </w:r>
      <w:r>
        <w:rPr>
          <w:rFonts w:hint="default" w:ascii="Times New Roman" w:hAnsi="Times New Roman" w:eastAsia="宋体" w:cs="Times New Roman"/>
          <w:b/>
          <w:bCs w:val="0"/>
          <w:snapToGrid/>
          <w:color w:val="auto"/>
          <w:kern w:val="2"/>
          <w:sz w:val="28"/>
          <w:szCs w:val="28"/>
          <w:lang w:val="en-US" w:eastAsia="zh-CN"/>
        </w:rPr>
        <w:t xml:space="preserve"> 声环境现状监测</w:t>
      </w:r>
    </w:p>
    <w:p>
      <w:pPr>
        <w:pStyle w:val="45"/>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（1）监测点布设</w:t>
      </w:r>
    </w:p>
    <w:p>
      <w:pPr>
        <w:pStyle w:val="45"/>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监测点位分布如图4</w:t>
      </w:r>
      <w:r>
        <w:rPr>
          <w:rFonts w:hint="default"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所示。</w:t>
      </w:r>
    </w:p>
    <w:p>
      <w:pPr>
        <w:pStyle w:val="45"/>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（2）监测频率及时间</w:t>
      </w:r>
    </w:p>
    <w:p>
      <w:pPr>
        <w:pStyle w:val="45"/>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6：00至22：00；夜间：22：00至6：00，连续监测2天，昼、夜各1次。</w:t>
      </w:r>
    </w:p>
    <w:p>
      <w:pPr>
        <w:pStyle w:val="45"/>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（3）监测条件</w:t>
      </w:r>
    </w:p>
    <w:p>
      <w:pPr>
        <w:pStyle w:val="45"/>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无风、无雨、风速小于5.5m/s。</w:t>
      </w:r>
    </w:p>
    <w:p>
      <w:pPr>
        <w:pStyle w:val="45"/>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（4）监测结果</w:t>
      </w:r>
    </w:p>
    <w:p>
      <w:pPr>
        <w:pStyle w:val="45"/>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环境噪声现状监测结果见下表。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mallCaps w:val="0"/>
          <w:snapToGrid w:val="0"/>
          <w:color w:val="auto"/>
          <w:kern w:val="2"/>
          <w:sz w:val="21"/>
          <w:szCs w:val="21"/>
          <w:highlight w:val="none"/>
          <w:u w:val="none"/>
          <w:shd w:val="clear" w:color="auto" w:fill="auto"/>
          <w:lang w:val="en-US" w:eastAsia="zh-CN" w:bidi="ar-SA"/>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mallCaps w:val="0"/>
          <w:snapToGrid w:val="0"/>
          <w:color w:val="auto"/>
          <w:kern w:val="2"/>
          <w:sz w:val="21"/>
          <w:szCs w:val="21"/>
          <w:highlight w:val="none"/>
          <w:u w:val="none"/>
          <w:shd w:val="clear" w:color="auto" w:fill="auto"/>
          <w:lang w:val="en-US" w:eastAsia="zh-CN" w:bidi="ar-SA"/>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mallCaps w:val="0"/>
          <w:snapToGrid w:val="0"/>
          <w:color w:val="auto"/>
          <w:kern w:val="2"/>
          <w:sz w:val="21"/>
          <w:szCs w:val="21"/>
          <w:highlight w:val="none"/>
          <w:u w:val="none"/>
          <w:shd w:val="clear" w:color="auto" w:fill="auto"/>
          <w:lang w:val="en-US" w:eastAsia="zh-CN" w:bidi="ar-SA"/>
        </w:rPr>
      </w:pPr>
      <w:r>
        <w:rPr>
          <w:rFonts w:hint="default" w:ascii="Times New Roman" w:hAnsi="Times New Roman" w:eastAsia="宋体" w:cs="Times New Roman"/>
          <w:b/>
          <w:bCs/>
          <w:smallCaps w:val="0"/>
          <w:snapToGrid w:val="0"/>
          <w:color w:val="auto"/>
          <w:kern w:val="2"/>
          <w:sz w:val="21"/>
          <w:szCs w:val="21"/>
          <w:highlight w:val="none"/>
          <w:u w:val="none"/>
          <w:shd w:val="clear" w:color="auto" w:fill="auto"/>
          <w:lang w:val="en-US" w:eastAsia="zh-CN" w:bidi="ar-SA"/>
        </w:rPr>
        <w:t>表4-4-1  环境噪声现状监测结果</w:t>
      </w:r>
    </w:p>
    <w:tbl>
      <w:tblPr>
        <w:tblStyle w:val="24"/>
        <w:tblW w:w="5377"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108" w:type="dxa"/>
          <w:bottom w:w="0" w:type="dxa"/>
          <w:right w:w="108" w:type="dxa"/>
        </w:tblCellMar>
      </w:tblPr>
      <w:tblGrid>
        <w:gridCol w:w="2081"/>
        <w:gridCol w:w="2130"/>
        <w:gridCol w:w="1950"/>
        <w:gridCol w:w="2246"/>
        <w:gridCol w:w="1590"/>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1041" w:type="pct"/>
            <w:vMerge w:val="restart"/>
            <w:vAlign w:val="center"/>
          </w:tcPr>
          <w:p>
            <w:pPr>
              <w:spacing w:line="360" w:lineRule="atLeast"/>
              <w:ind w:firstLine="0" w:firstLineChars="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监测点位</w:t>
            </w:r>
          </w:p>
        </w:tc>
        <w:tc>
          <w:tcPr>
            <w:tcW w:w="3958" w:type="pct"/>
            <w:gridSpan w:val="4"/>
            <w:vAlign w:val="center"/>
          </w:tcPr>
          <w:p>
            <w:pPr>
              <w:spacing w:line="360" w:lineRule="atLeast"/>
              <w:ind w:firstLine="0" w:firstLineChars="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监测结果［dB（A）］</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041" w:type="pct"/>
            <w:vMerge w:val="continue"/>
            <w:vAlign w:val="center"/>
          </w:tcPr>
          <w:p>
            <w:pPr>
              <w:spacing w:line="360" w:lineRule="atLeast"/>
              <w:ind w:firstLine="0" w:firstLineChars="0"/>
              <w:jc w:val="center"/>
              <w:rPr>
                <w:rFonts w:hint="default" w:ascii="Times New Roman" w:hAnsi="Times New Roman" w:cs="Times New Roman"/>
                <w:bCs/>
                <w:color w:val="auto"/>
                <w:kern w:val="0"/>
                <w:sz w:val="21"/>
                <w:szCs w:val="21"/>
                <w:highlight w:val="none"/>
              </w:rPr>
            </w:pPr>
          </w:p>
        </w:tc>
        <w:tc>
          <w:tcPr>
            <w:tcW w:w="2040" w:type="pct"/>
            <w:gridSpan w:val="2"/>
            <w:vAlign w:val="center"/>
          </w:tcPr>
          <w:p>
            <w:pPr>
              <w:spacing w:line="360" w:lineRule="atLeast"/>
              <w:ind w:firstLine="0" w:firstLineChars="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202</w:t>
            </w:r>
            <w:r>
              <w:rPr>
                <w:rFonts w:hint="default" w:ascii="Times New Roman" w:hAnsi="Times New Roman" w:eastAsia="宋体" w:cs="Times New Roman"/>
                <w:bCs/>
                <w:color w:val="auto"/>
                <w:kern w:val="0"/>
                <w:sz w:val="21"/>
                <w:szCs w:val="21"/>
                <w:highlight w:val="none"/>
                <w:lang w:val="en-US" w:eastAsia="zh-CN"/>
              </w:rPr>
              <w:t>3</w:t>
            </w:r>
            <w:r>
              <w:rPr>
                <w:rFonts w:hint="default" w:ascii="Times New Roman" w:hAnsi="Times New Roman" w:cs="Times New Roman"/>
                <w:bCs/>
                <w:color w:val="auto"/>
                <w:kern w:val="0"/>
                <w:sz w:val="21"/>
                <w:szCs w:val="21"/>
                <w:highlight w:val="none"/>
              </w:rPr>
              <w:t>年</w:t>
            </w:r>
            <w:r>
              <w:rPr>
                <w:rFonts w:hint="default" w:ascii="Times New Roman" w:hAnsi="Times New Roman" w:eastAsia="宋体" w:cs="Times New Roman"/>
                <w:bCs/>
                <w:color w:val="auto"/>
                <w:kern w:val="0"/>
                <w:sz w:val="21"/>
                <w:szCs w:val="21"/>
                <w:highlight w:val="none"/>
                <w:lang w:val="en-US" w:eastAsia="zh-CN"/>
              </w:rPr>
              <w:t>11</w:t>
            </w:r>
            <w:r>
              <w:rPr>
                <w:rFonts w:hint="default" w:ascii="Times New Roman" w:hAnsi="Times New Roman" w:cs="Times New Roman"/>
                <w:bCs/>
                <w:color w:val="auto"/>
                <w:kern w:val="0"/>
                <w:sz w:val="21"/>
                <w:szCs w:val="21"/>
                <w:highlight w:val="none"/>
              </w:rPr>
              <w:t>月2</w:t>
            </w:r>
            <w:r>
              <w:rPr>
                <w:rFonts w:hint="default" w:ascii="Times New Roman" w:hAnsi="Times New Roman" w:eastAsia="宋体" w:cs="Times New Roman"/>
                <w:bCs/>
                <w:color w:val="auto"/>
                <w:kern w:val="0"/>
                <w:sz w:val="21"/>
                <w:szCs w:val="21"/>
                <w:highlight w:val="none"/>
                <w:lang w:val="en-US" w:eastAsia="zh-CN"/>
              </w:rPr>
              <w:t>3</w:t>
            </w:r>
            <w:r>
              <w:rPr>
                <w:rFonts w:hint="default" w:ascii="Times New Roman" w:hAnsi="Times New Roman" w:cs="Times New Roman"/>
                <w:bCs/>
                <w:color w:val="auto"/>
                <w:kern w:val="0"/>
                <w:sz w:val="21"/>
                <w:szCs w:val="21"/>
                <w:highlight w:val="none"/>
              </w:rPr>
              <w:t>日</w:t>
            </w:r>
          </w:p>
        </w:tc>
        <w:tc>
          <w:tcPr>
            <w:tcW w:w="1918" w:type="pct"/>
            <w:gridSpan w:val="2"/>
            <w:vAlign w:val="center"/>
          </w:tcPr>
          <w:p>
            <w:pPr>
              <w:spacing w:line="360" w:lineRule="atLeast"/>
              <w:ind w:firstLine="0" w:firstLineChars="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202</w:t>
            </w:r>
            <w:r>
              <w:rPr>
                <w:rFonts w:hint="default" w:ascii="Times New Roman" w:hAnsi="Times New Roman" w:eastAsia="宋体" w:cs="Times New Roman"/>
                <w:bCs/>
                <w:color w:val="auto"/>
                <w:kern w:val="0"/>
                <w:sz w:val="21"/>
                <w:szCs w:val="21"/>
                <w:highlight w:val="none"/>
                <w:lang w:val="en-US" w:eastAsia="zh-CN"/>
              </w:rPr>
              <w:t>3</w:t>
            </w:r>
            <w:r>
              <w:rPr>
                <w:rFonts w:hint="default" w:ascii="Times New Roman" w:hAnsi="Times New Roman" w:cs="Times New Roman"/>
                <w:bCs/>
                <w:color w:val="auto"/>
                <w:kern w:val="0"/>
                <w:sz w:val="21"/>
                <w:szCs w:val="21"/>
                <w:highlight w:val="none"/>
              </w:rPr>
              <w:t>年</w:t>
            </w:r>
            <w:r>
              <w:rPr>
                <w:rFonts w:hint="default" w:ascii="Times New Roman" w:hAnsi="Times New Roman" w:eastAsia="宋体" w:cs="Times New Roman"/>
                <w:bCs/>
                <w:color w:val="auto"/>
                <w:kern w:val="0"/>
                <w:sz w:val="21"/>
                <w:szCs w:val="21"/>
                <w:highlight w:val="none"/>
                <w:lang w:val="en-US" w:eastAsia="zh-CN"/>
              </w:rPr>
              <w:t>11</w:t>
            </w:r>
            <w:r>
              <w:rPr>
                <w:rFonts w:hint="default" w:ascii="Times New Roman" w:hAnsi="Times New Roman" w:cs="Times New Roman"/>
                <w:bCs/>
                <w:color w:val="auto"/>
                <w:kern w:val="0"/>
                <w:sz w:val="21"/>
                <w:szCs w:val="21"/>
                <w:highlight w:val="none"/>
              </w:rPr>
              <w:t>月</w:t>
            </w:r>
            <w:r>
              <w:rPr>
                <w:rFonts w:hint="default" w:ascii="Times New Roman" w:hAnsi="Times New Roman" w:eastAsia="宋体" w:cs="Times New Roman"/>
                <w:bCs/>
                <w:color w:val="auto"/>
                <w:kern w:val="0"/>
                <w:sz w:val="21"/>
                <w:szCs w:val="21"/>
                <w:highlight w:val="none"/>
                <w:lang w:val="en-US" w:eastAsia="zh-CN"/>
              </w:rPr>
              <w:t>21</w:t>
            </w:r>
            <w:r>
              <w:rPr>
                <w:rFonts w:hint="default" w:ascii="Times New Roman" w:hAnsi="Times New Roman" w:cs="Times New Roman"/>
                <w:bCs/>
                <w:color w:val="auto"/>
                <w:kern w:val="0"/>
                <w:sz w:val="21"/>
                <w:szCs w:val="21"/>
                <w:highlight w:val="none"/>
              </w:rPr>
              <w:t>日</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041" w:type="pct"/>
            <w:vMerge w:val="continue"/>
            <w:vAlign w:val="center"/>
          </w:tcPr>
          <w:p>
            <w:pPr>
              <w:spacing w:line="360" w:lineRule="atLeast"/>
              <w:ind w:firstLine="0" w:firstLineChars="0"/>
              <w:jc w:val="center"/>
              <w:rPr>
                <w:rFonts w:hint="default" w:ascii="Times New Roman" w:hAnsi="Times New Roman" w:cs="Times New Roman"/>
                <w:bCs/>
                <w:color w:val="auto"/>
                <w:kern w:val="0"/>
                <w:sz w:val="21"/>
                <w:szCs w:val="21"/>
                <w:highlight w:val="none"/>
              </w:rPr>
            </w:pPr>
          </w:p>
        </w:tc>
        <w:tc>
          <w:tcPr>
            <w:tcW w:w="1065" w:type="pct"/>
            <w:vAlign w:val="center"/>
          </w:tcPr>
          <w:p>
            <w:pPr>
              <w:spacing w:line="360" w:lineRule="atLeast"/>
              <w:ind w:firstLine="0" w:firstLineChars="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昼间</w:t>
            </w:r>
          </w:p>
        </w:tc>
        <w:tc>
          <w:tcPr>
            <w:tcW w:w="974" w:type="pct"/>
            <w:vAlign w:val="center"/>
          </w:tcPr>
          <w:p>
            <w:pPr>
              <w:spacing w:line="360" w:lineRule="atLeast"/>
              <w:ind w:firstLine="0" w:firstLineChars="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夜间</w:t>
            </w:r>
          </w:p>
        </w:tc>
        <w:tc>
          <w:tcPr>
            <w:tcW w:w="1123" w:type="pct"/>
            <w:vAlign w:val="center"/>
          </w:tcPr>
          <w:p>
            <w:pPr>
              <w:spacing w:line="360" w:lineRule="atLeast"/>
              <w:ind w:firstLine="0" w:firstLineChars="0"/>
              <w:jc w:val="center"/>
              <w:rPr>
                <w:rFonts w:hint="default" w:ascii="Times New Roman" w:hAnsi="Times New Roman" w:eastAsia="仿宋_GB2312"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昼间</w:t>
            </w:r>
          </w:p>
        </w:tc>
        <w:tc>
          <w:tcPr>
            <w:tcW w:w="794" w:type="pct"/>
            <w:vAlign w:val="center"/>
          </w:tcPr>
          <w:p>
            <w:pPr>
              <w:spacing w:line="360" w:lineRule="atLeast"/>
              <w:ind w:firstLine="0" w:firstLineChars="0"/>
              <w:jc w:val="center"/>
              <w:rPr>
                <w:rFonts w:hint="default" w:ascii="Times New Roman" w:hAnsi="Times New Roman" w:eastAsia="仿宋_GB2312"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夜间</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1952" w:type="dxa"/>
            <w:vAlign w:val="center"/>
          </w:tcPr>
          <w:p>
            <w:pPr>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szCs w:val="21"/>
              </w:rPr>
              <w:t>厂界</w:t>
            </w:r>
            <w:r>
              <w:rPr>
                <w:rFonts w:hint="default" w:ascii="Times New Roman" w:hAnsi="Times New Roman" w:cs="Times New Roman"/>
                <w:szCs w:val="21"/>
                <w:lang w:val="en-US" w:eastAsia="zh-CN"/>
              </w:rPr>
              <w:t>北</w:t>
            </w:r>
            <w:r>
              <w:rPr>
                <w:rFonts w:hint="default" w:ascii="Times New Roman" w:hAnsi="Times New Roman" w:cs="Times New Roman"/>
                <w:szCs w:val="21"/>
              </w:rPr>
              <w:t>侧外1m</w:t>
            </w:r>
          </w:p>
        </w:tc>
        <w:tc>
          <w:tcPr>
            <w:tcW w:w="1998" w:type="dxa"/>
            <w:vAlign w:val="center"/>
          </w:tcPr>
          <w:p>
            <w:pPr>
              <w:pStyle w:val="32"/>
              <w:jc w:val="center"/>
              <w:rPr>
                <w:rFonts w:hint="default" w:ascii="Times New Roman" w:hAnsi="Times New Roman" w:cs="Times New Roman"/>
                <w:color w:val="auto"/>
                <w:highlight w:val="none"/>
                <w:lang w:val="en-GB"/>
              </w:rPr>
            </w:pPr>
            <w:r>
              <w:rPr>
                <w:rFonts w:hint="default" w:ascii="Times New Roman" w:hAnsi="Times New Roman" w:eastAsia="宋体" w:cs="Times New Roman"/>
                <w:color w:val="auto"/>
                <w:sz w:val="21"/>
                <w:szCs w:val="21"/>
                <w:lang w:val="en-US" w:eastAsia="zh-CN"/>
              </w:rPr>
              <w:t>56</w:t>
            </w:r>
          </w:p>
        </w:tc>
        <w:tc>
          <w:tcPr>
            <w:tcW w:w="1829" w:type="dxa"/>
            <w:vAlign w:val="center"/>
          </w:tcPr>
          <w:p>
            <w:pPr>
              <w:pStyle w:val="32"/>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lang w:val="en-US" w:eastAsia="zh-CN"/>
              </w:rPr>
              <w:t>43</w:t>
            </w:r>
          </w:p>
        </w:tc>
        <w:tc>
          <w:tcPr>
            <w:tcW w:w="2107" w:type="dxa"/>
            <w:vAlign w:val="center"/>
          </w:tcPr>
          <w:p>
            <w:pPr>
              <w:pStyle w:val="32"/>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lang w:val="en-US" w:eastAsia="zh-CN"/>
              </w:rPr>
              <w:t>57</w:t>
            </w:r>
          </w:p>
        </w:tc>
        <w:tc>
          <w:tcPr>
            <w:tcW w:w="1491" w:type="dxa"/>
            <w:vAlign w:val="center"/>
          </w:tcPr>
          <w:p>
            <w:pPr>
              <w:pStyle w:val="32"/>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lang w:val="en-US" w:eastAsia="zh-CN"/>
              </w:rPr>
              <w:t>44</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1952" w:type="dxa"/>
            <w:vAlign w:val="center"/>
          </w:tcPr>
          <w:p>
            <w:pPr>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szCs w:val="21"/>
              </w:rPr>
              <w:t>厂界</w:t>
            </w:r>
            <w:r>
              <w:rPr>
                <w:rFonts w:hint="default" w:ascii="Times New Roman" w:hAnsi="Times New Roman" w:cs="Times New Roman"/>
                <w:szCs w:val="21"/>
                <w:lang w:val="en-US" w:eastAsia="zh-CN"/>
              </w:rPr>
              <w:t>东</w:t>
            </w:r>
            <w:r>
              <w:rPr>
                <w:rFonts w:hint="default" w:ascii="Times New Roman" w:hAnsi="Times New Roman" w:cs="Times New Roman"/>
                <w:szCs w:val="21"/>
              </w:rPr>
              <w:t>侧外1m</w:t>
            </w:r>
          </w:p>
        </w:tc>
        <w:tc>
          <w:tcPr>
            <w:tcW w:w="1998" w:type="dxa"/>
            <w:vAlign w:val="center"/>
          </w:tcPr>
          <w:p>
            <w:pPr>
              <w:pStyle w:val="32"/>
              <w:jc w:val="center"/>
              <w:rPr>
                <w:rFonts w:hint="default" w:ascii="Times New Roman" w:hAnsi="Times New Roman" w:cs="Times New Roman"/>
                <w:color w:val="auto"/>
                <w:highlight w:val="none"/>
                <w:lang w:val="en-GB"/>
              </w:rPr>
            </w:pPr>
            <w:r>
              <w:rPr>
                <w:rFonts w:hint="default" w:ascii="Times New Roman" w:hAnsi="Times New Roman" w:eastAsia="宋体" w:cs="Times New Roman"/>
                <w:color w:val="auto"/>
                <w:sz w:val="21"/>
                <w:szCs w:val="21"/>
                <w:lang w:val="en-US" w:eastAsia="zh-CN"/>
              </w:rPr>
              <w:t>55</w:t>
            </w:r>
          </w:p>
        </w:tc>
        <w:tc>
          <w:tcPr>
            <w:tcW w:w="1829" w:type="dxa"/>
            <w:vAlign w:val="center"/>
          </w:tcPr>
          <w:p>
            <w:pPr>
              <w:pStyle w:val="32"/>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lang w:val="en-US" w:eastAsia="zh-CN"/>
              </w:rPr>
              <w:t>44</w:t>
            </w:r>
          </w:p>
        </w:tc>
        <w:tc>
          <w:tcPr>
            <w:tcW w:w="2107" w:type="dxa"/>
            <w:vAlign w:val="center"/>
          </w:tcPr>
          <w:p>
            <w:pPr>
              <w:pStyle w:val="32"/>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lang w:val="en-US" w:eastAsia="zh-CN"/>
              </w:rPr>
              <w:t>56</w:t>
            </w:r>
          </w:p>
        </w:tc>
        <w:tc>
          <w:tcPr>
            <w:tcW w:w="1491" w:type="dxa"/>
            <w:vAlign w:val="center"/>
          </w:tcPr>
          <w:p>
            <w:pPr>
              <w:pStyle w:val="32"/>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lang w:val="en-US" w:eastAsia="zh-CN"/>
              </w:rPr>
              <w:t>45</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1952" w:type="dxa"/>
            <w:vAlign w:val="center"/>
          </w:tcPr>
          <w:p>
            <w:pPr>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szCs w:val="21"/>
              </w:rPr>
              <w:t>厂界</w:t>
            </w:r>
            <w:r>
              <w:rPr>
                <w:rFonts w:hint="default" w:ascii="Times New Roman" w:hAnsi="Times New Roman" w:cs="Times New Roman"/>
                <w:szCs w:val="21"/>
                <w:lang w:val="en-US" w:eastAsia="zh-CN"/>
              </w:rPr>
              <w:t>南</w:t>
            </w:r>
            <w:r>
              <w:rPr>
                <w:rFonts w:hint="default" w:ascii="Times New Roman" w:hAnsi="Times New Roman" w:cs="Times New Roman"/>
                <w:szCs w:val="21"/>
              </w:rPr>
              <w:t>侧外1m</w:t>
            </w:r>
          </w:p>
        </w:tc>
        <w:tc>
          <w:tcPr>
            <w:tcW w:w="1998" w:type="dxa"/>
            <w:vAlign w:val="center"/>
          </w:tcPr>
          <w:p>
            <w:pPr>
              <w:pStyle w:val="32"/>
              <w:jc w:val="center"/>
              <w:rPr>
                <w:rFonts w:hint="default" w:ascii="Times New Roman" w:hAnsi="Times New Roman" w:cs="Times New Roman"/>
                <w:color w:val="auto"/>
                <w:highlight w:val="none"/>
                <w:lang w:val="en-GB"/>
              </w:rPr>
            </w:pPr>
            <w:r>
              <w:rPr>
                <w:rFonts w:hint="default" w:ascii="Times New Roman" w:hAnsi="Times New Roman" w:eastAsia="宋体" w:cs="Times New Roman"/>
                <w:color w:val="auto"/>
                <w:sz w:val="21"/>
                <w:szCs w:val="21"/>
                <w:lang w:val="en-US" w:eastAsia="zh-CN"/>
              </w:rPr>
              <w:t>57</w:t>
            </w:r>
          </w:p>
        </w:tc>
        <w:tc>
          <w:tcPr>
            <w:tcW w:w="1829" w:type="dxa"/>
            <w:vAlign w:val="center"/>
          </w:tcPr>
          <w:p>
            <w:pPr>
              <w:pStyle w:val="32"/>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lang w:val="en-US" w:eastAsia="zh-CN"/>
              </w:rPr>
              <w:t>43</w:t>
            </w:r>
          </w:p>
        </w:tc>
        <w:tc>
          <w:tcPr>
            <w:tcW w:w="2107" w:type="dxa"/>
            <w:vAlign w:val="center"/>
          </w:tcPr>
          <w:p>
            <w:pPr>
              <w:pStyle w:val="32"/>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lang w:val="en-US" w:eastAsia="zh-CN"/>
              </w:rPr>
              <w:t>58</w:t>
            </w:r>
          </w:p>
        </w:tc>
        <w:tc>
          <w:tcPr>
            <w:tcW w:w="1491" w:type="dxa"/>
            <w:vAlign w:val="center"/>
          </w:tcPr>
          <w:p>
            <w:pPr>
              <w:pStyle w:val="32"/>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lang w:val="en-US" w:eastAsia="zh-CN"/>
              </w:rPr>
              <w:t>42</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PrEx>
        <w:trPr>
          <w:trHeight w:val="541" w:hRule="atLeast"/>
          <w:jc w:val="center"/>
        </w:trPr>
        <w:tc>
          <w:tcPr>
            <w:tcW w:w="1952" w:type="dxa"/>
            <w:vAlign w:val="center"/>
          </w:tcPr>
          <w:p>
            <w:pPr>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szCs w:val="21"/>
              </w:rPr>
              <w:t>厂界</w:t>
            </w:r>
            <w:r>
              <w:rPr>
                <w:rFonts w:hint="default" w:ascii="Times New Roman" w:hAnsi="Times New Roman" w:cs="Times New Roman"/>
                <w:szCs w:val="21"/>
                <w:lang w:val="en-US" w:eastAsia="zh-CN"/>
              </w:rPr>
              <w:t>西</w:t>
            </w:r>
            <w:r>
              <w:rPr>
                <w:rFonts w:hint="default" w:ascii="Times New Roman" w:hAnsi="Times New Roman" w:cs="Times New Roman"/>
                <w:szCs w:val="21"/>
              </w:rPr>
              <w:t>侧外1m</w:t>
            </w:r>
          </w:p>
        </w:tc>
        <w:tc>
          <w:tcPr>
            <w:tcW w:w="1998" w:type="dxa"/>
            <w:vAlign w:val="center"/>
          </w:tcPr>
          <w:p>
            <w:pPr>
              <w:pStyle w:val="32"/>
              <w:jc w:val="center"/>
              <w:rPr>
                <w:rFonts w:hint="default" w:ascii="Times New Roman" w:hAnsi="Times New Roman" w:cs="Times New Roman"/>
                <w:color w:val="auto"/>
                <w:highlight w:val="none"/>
                <w:lang w:val="en-GB"/>
              </w:rPr>
            </w:pPr>
            <w:r>
              <w:rPr>
                <w:rFonts w:hint="default" w:ascii="Times New Roman" w:hAnsi="Times New Roman" w:eastAsia="宋体" w:cs="Times New Roman"/>
                <w:color w:val="auto"/>
                <w:sz w:val="21"/>
                <w:szCs w:val="21"/>
                <w:lang w:val="en-US" w:eastAsia="zh-CN"/>
              </w:rPr>
              <w:t>53</w:t>
            </w:r>
          </w:p>
        </w:tc>
        <w:tc>
          <w:tcPr>
            <w:tcW w:w="1829" w:type="dxa"/>
            <w:vAlign w:val="center"/>
          </w:tcPr>
          <w:p>
            <w:pPr>
              <w:pStyle w:val="32"/>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lang w:val="en-US" w:eastAsia="zh-CN"/>
              </w:rPr>
              <w:t>45</w:t>
            </w:r>
          </w:p>
        </w:tc>
        <w:tc>
          <w:tcPr>
            <w:tcW w:w="2107" w:type="dxa"/>
            <w:vAlign w:val="center"/>
          </w:tcPr>
          <w:p>
            <w:pPr>
              <w:pStyle w:val="32"/>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lang w:val="en-US" w:eastAsia="zh-CN"/>
              </w:rPr>
              <w:t>52</w:t>
            </w:r>
          </w:p>
        </w:tc>
        <w:tc>
          <w:tcPr>
            <w:tcW w:w="1491" w:type="dxa"/>
            <w:vAlign w:val="center"/>
          </w:tcPr>
          <w:p>
            <w:pPr>
              <w:pStyle w:val="32"/>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lang w:val="en-US" w:eastAsia="zh-CN"/>
              </w:rPr>
              <w:t>43</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952" w:type="dxa"/>
            <w:vAlign w:val="center"/>
          </w:tcPr>
          <w:p>
            <w:pPr>
              <w:jc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cs="Times New Roman"/>
                <w:szCs w:val="21"/>
                <w:highlight w:val="none"/>
                <w:lang w:val="en-US" w:eastAsia="zh-CN"/>
              </w:rPr>
              <w:t>厂界</w:t>
            </w:r>
            <w:r>
              <w:rPr>
                <w:rFonts w:hint="eastAsia" w:ascii="Times New Roman" w:hAnsi="Times New Roman" w:cs="Times New Roman"/>
                <w:szCs w:val="21"/>
                <w:highlight w:val="none"/>
                <w:lang w:val="en-US" w:eastAsia="zh-CN"/>
              </w:rPr>
              <w:t>西</w:t>
            </w:r>
            <w:r>
              <w:rPr>
                <w:rFonts w:hint="default" w:ascii="Times New Roman" w:hAnsi="Times New Roman" w:cs="Times New Roman"/>
                <w:szCs w:val="21"/>
                <w:highlight w:val="none"/>
                <w:lang w:val="en-US" w:eastAsia="zh-CN"/>
              </w:rPr>
              <w:t>侧居民</w:t>
            </w:r>
            <w:r>
              <w:rPr>
                <w:rFonts w:hint="default" w:ascii="Times New Roman" w:hAnsi="Times New Roman" w:cs="Times New Roman"/>
                <w:szCs w:val="21"/>
                <w:highlight w:val="none"/>
              </w:rPr>
              <w:t>外1m</w:t>
            </w:r>
          </w:p>
        </w:tc>
        <w:tc>
          <w:tcPr>
            <w:tcW w:w="1998" w:type="dxa"/>
            <w:vAlign w:val="center"/>
          </w:tcPr>
          <w:p>
            <w:pPr>
              <w:pStyle w:val="32"/>
              <w:jc w:val="center"/>
              <w:rPr>
                <w:rFonts w:hint="default" w:ascii="Times New Roman" w:hAnsi="Times New Roman" w:cs="Times New Roman"/>
                <w:color w:val="auto"/>
                <w:kern w:val="0"/>
                <w:sz w:val="21"/>
                <w:szCs w:val="21"/>
                <w:highlight w:val="none"/>
              </w:rPr>
            </w:pPr>
            <w:r>
              <w:rPr>
                <w:rFonts w:hint="eastAsia" w:ascii="Times New Roman" w:eastAsia="宋体"/>
                <w:color w:val="auto"/>
                <w:sz w:val="21"/>
                <w:szCs w:val="21"/>
                <w:lang w:val="en-US" w:eastAsia="zh-CN"/>
              </w:rPr>
              <w:t>55</w:t>
            </w:r>
          </w:p>
        </w:tc>
        <w:tc>
          <w:tcPr>
            <w:tcW w:w="1829" w:type="dxa"/>
            <w:vAlign w:val="center"/>
          </w:tcPr>
          <w:p>
            <w:pPr>
              <w:pStyle w:val="32"/>
              <w:jc w:val="center"/>
              <w:rPr>
                <w:rFonts w:hint="default" w:ascii="Times New Roman" w:hAnsi="Times New Roman" w:cs="Times New Roman"/>
                <w:color w:val="auto"/>
                <w:kern w:val="0"/>
                <w:sz w:val="21"/>
                <w:szCs w:val="21"/>
                <w:highlight w:val="none"/>
              </w:rPr>
            </w:pPr>
            <w:r>
              <w:rPr>
                <w:rFonts w:hint="eastAsia" w:ascii="Times New Roman" w:eastAsia="宋体"/>
                <w:color w:val="auto"/>
                <w:sz w:val="21"/>
                <w:szCs w:val="21"/>
                <w:lang w:val="en-US" w:eastAsia="zh-CN"/>
              </w:rPr>
              <w:t>42</w:t>
            </w:r>
          </w:p>
        </w:tc>
        <w:tc>
          <w:tcPr>
            <w:tcW w:w="2107" w:type="dxa"/>
            <w:vAlign w:val="center"/>
          </w:tcPr>
          <w:p>
            <w:pPr>
              <w:pStyle w:val="32"/>
              <w:jc w:val="center"/>
              <w:rPr>
                <w:rFonts w:hint="default" w:ascii="Times New Roman" w:hAnsi="Times New Roman" w:cs="Times New Roman"/>
                <w:color w:val="auto"/>
                <w:kern w:val="0"/>
                <w:sz w:val="21"/>
                <w:szCs w:val="21"/>
                <w:highlight w:val="none"/>
              </w:rPr>
            </w:pPr>
            <w:r>
              <w:rPr>
                <w:rFonts w:hint="eastAsia" w:ascii="Times New Roman" w:eastAsia="宋体"/>
                <w:color w:val="auto"/>
                <w:sz w:val="21"/>
                <w:szCs w:val="21"/>
                <w:lang w:val="en-US" w:eastAsia="zh-CN"/>
              </w:rPr>
              <w:t>55</w:t>
            </w:r>
          </w:p>
        </w:tc>
        <w:tc>
          <w:tcPr>
            <w:tcW w:w="1491" w:type="dxa"/>
            <w:vAlign w:val="center"/>
          </w:tcPr>
          <w:p>
            <w:pPr>
              <w:pStyle w:val="32"/>
              <w:jc w:val="center"/>
              <w:rPr>
                <w:rFonts w:hint="default" w:ascii="Times New Roman" w:hAnsi="Times New Roman" w:cs="Times New Roman"/>
                <w:color w:val="auto"/>
                <w:kern w:val="0"/>
                <w:sz w:val="21"/>
                <w:szCs w:val="21"/>
                <w:highlight w:val="none"/>
              </w:rPr>
            </w:pPr>
            <w:r>
              <w:rPr>
                <w:rFonts w:hint="eastAsia" w:ascii="Times New Roman" w:eastAsia="宋体"/>
                <w:color w:val="auto"/>
                <w:sz w:val="21"/>
                <w:szCs w:val="21"/>
                <w:lang w:val="en-US" w:eastAsia="zh-CN"/>
              </w:rPr>
              <w:t>44</w:t>
            </w:r>
          </w:p>
        </w:tc>
      </w:tr>
    </w:tbl>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eastAsia="zh-CN"/>
        </w:rPr>
        <w:t xml:space="preserve">4.4.2  </w:t>
      </w:r>
      <w:r>
        <w:rPr>
          <w:rFonts w:hint="default" w:ascii="Times New Roman" w:hAnsi="Times New Roman" w:eastAsia="宋体" w:cs="Times New Roman"/>
          <w:b/>
          <w:bCs w:val="0"/>
          <w:snapToGrid/>
          <w:color w:val="auto"/>
          <w:kern w:val="2"/>
          <w:sz w:val="28"/>
          <w:szCs w:val="28"/>
          <w:lang w:val="en-US" w:eastAsia="zh-CN"/>
        </w:rPr>
        <w:t>声环境现状评价</w:t>
      </w:r>
    </w:p>
    <w:p>
      <w:pPr>
        <w:pStyle w:val="45"/>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（1）评价标准</w:t>
      </w:r>
    </w:p>
    <w:p>
      <w:pPr>
        <w:pStyle w:val="45"/>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厂址区域噪声执行《声环境质量标准》（GB3096-2008）</w:t>
      </w:r>
      <w:r>
        <w:rPr>
          <w:rFonts w:hint="default"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类标准。</w:t>
      </w:r>
    </w:p>
    <w:p>
      <w:pPr>
        <w:pStyle w:val="45"/>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（2）评价结果</w:t>
      </w:r>
    </w:p>
    <w:p>
      <w:pPr>
        <w:pStyle w:val="45"/>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cs="Times New Roman"/>
        </w:rPr>
      </w:pPr>
      <w:r>
        <w:rPr>
          <w:rFonts w:hint="default" w:ascii="Times New Roman" w:hAnsi="Times New Roman" w:eastAsia="宋体" w:cs="Times New Roman"/>
          <w:color w:val="auto"/>
          <w:sz w:val="24"/>
          <w:szCs w:val="24"/>
          <w:highlight w:val="none"/>
          <w:lang w:val="en-US" w:eastAsia="zh-CN"/>
        </w:rPr>
        <w:t>采用与标准直接对比方法评价，得出如下结论：厂界所监测噪声昼间等效声级低于</w:t>
      </w:r>
      <w:r>
        <w:rPr>
          <w:rFonts w:hint="default" w:ascii="Times New Roman" w:hAnsi="Times New Roman" w:cs="Times New Roman"/>
          <w:color w:val="auto"/>
          <w:sz w:val="24"/>
          <w:szCs w:val="24"/>
          <w:highlight w:val="none"/>
          <w:lang w:val="en-US" w:eastAsia="zh-CN"/>
        </w:rPr>
        <w:t>60</w:t>
      </w:r>
      <w:r>
        <w:rPr>
          <w:rFonts w:hint="default" w:ascii="Times New Roman" w:hAnsi="Times New Roman" w:eastAsia="宋体" w:cs="Times New Roman"/>
          <w:color w:val="auto"/>
          <w:sz w:val="24"/>
          <w:szCs w:val="24"/>
          <w:highlight w:val="none"/>
          <w:lang w:val="en-US" w:eastAsia="zh-CN"/>
        </w:rPr>
        <w:t>dB(A)，夜间等效声级低于</w:t>
      </w:r>
      <w:r>
        <w:rPr>
          <w:rFonts w:hint="default" w:ascii="Times New Roman" w:hAnsi="Times New Roman" w:cs="Times New Roman"/>
          <w:color w:val="auto"/>
          <w:sz w:val="24"/>
          <w:szCs w:val="24"/>
          <w:highlight w:val="none"/>
          <w:lang w:val="en-US" w:eastAsia="zh-CN"/>
        </w:rPr>
        <w:t>50</w:t>
      </w:r>
      <w:r>
        <w:rPr>
          <w:rFonts w:hint="default" w:ascii="Times New Roman" w:hAnsi="Times New Roman" w:eastAsia="宋体" w:cs="Times New Roman"/>
          <w:color w:val="auto"/>
          <w:sz w:val="24"/>
          <w:szCs w:val="24"/>
          <w:highlight w:val="none"/>
          <w:lang w:val="en-US" w:eastAsia="zh-CN"/>
        </w:rPr>
        <w:t>dB(A)，均满足</w:t>
      </w:r>
      <w:r>
        <w:rPr>
          <w:rFonts w:hint="eastAsia" w:cs="Times New Roman"/>
          <w:color w:val="auto"/>
          <w:sz w:val="24"/>
          <w:szCs w:val="24"/>
          <w:highlight w:val="none"/>
          <w:lang w:val="en-US" w:eastAsia="zh-CN"/>
        </w:rPr>
        <w:t>《声环境质量标准》（GB3096-2008）</w:t>
      </w:r>
      <w:r>
        <w:rPr>
          <w:rFonts w:hint="default"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类区声环境标准要求，本项目所在区域声环境质量较好</w:t>
      </w:r>
    </w:p>
    <w:p>
      <w:pPr>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宋体" w:cs="Times New Roman"/>
          <w:b/>
          <w:bCs/>
          <w:snapToGrid/>
          <w:color w:val="auto"/>
          <w:kern w:val="44"/>
          <w:sz w:val="30"/>
          <w:szCs w:val="30"/>
          <w:lang w:eastAsia="zh-CN"/>
        </w:rPr>
      </w:pPr>
      <w:bookmarkStart w:id="234" w:name="_Toc6221"/>
      <w:r>
        <w:rPr>
          <w:rFonts w:hint="default" w:ascii="Times New Roman" w:hAnsi="Times New Roman" w:eastAsia="宋体" w:cs="Times New Roman"/>
          <w:b/>
          <w:bCs/>
          <w:snapToGrid/>
          <w:color w:val="auto"/>
          <w:kern w:val="44"/>
          <w:sz w:val="30"/>
          <w:szCs w:val="30"/>
          <w:lang w:eastAsia="zh-CN"/>
        </w:rPr>
        <w:t>4.5  地下水环境质量现状监测与评价</w:t>
      </w:r>
      <w:bookmarkEnd w:id="234"/>
    </w:p>
    <w:p>
      <w:pPr>
        <w:pStyle w:val="45"/>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yellow"/>
          <w:lang w:val="en-US" w:eastAsia="zh-CN"/>
        </w:rPr>
      </w:pPr>
      <w:r>
        <w:rPr>
          <w:rFonts w:hint="default" w:ascii="Times New Roman" w:hAnsi="Times New Roman" w:eastAsia="宋体" w:cs="Times New Roman"/>
          <w:color w:val="auto"/>
          <w:sz w:val="24"/>
          <w:szCs w:val="24"/>
          <w:highlight w:val="none"/>
          <w:lang w:val="en-US" w:eastAsia="zh-CN"/>
        </w:rPr>
        <w:t>本项目声环境质量现状根据</w:t>
      </w:r>
      <w:r>
        <w:rPr>
          <w:rFonts w:hint="default" w:ascii="Times New Roman" w:hAnsi="Times New Roman" w:cs="Times New Roman"/>
          <w:smallCaps w:val="0"/>
          <w:snapToGrid w:val="0"/>
          <w:color w:val="auto"/>
          <w:kern w:val="2"/>
          <w:sz w:val="24"/>
          <w:szCs w:val="24"/>
          <w:lang w:val="en-US" w:eastAsia="zh-CN" w:bidi="ar-SA"/>
        </w:rPr>
        <w:t>黑龙江克巽检测技术有限公</w:t>
      </w:r>
      <w:r>
        <w:rPr>
          <w:rFonts w:hint="default" w:ascii="Times New Roman" w:hAnsi="Times New Roman" w:eastAsia="宋体" w:cs="Times New Roman"/>
          <w:smallCaps w:val="0"/>
          <w:snapToGrid w:val="0"/>
          <w:color w:val="auto"/>
          <w:kern w:val="2"/>
          <w:sz w:val="24"/>
          <w:szCs w:val="24"/>
          <w:lang w:val="en-US" w:eastAsia="zh-CN" w:bidi="ar-SA"/>
        </w:rPr>
        <w:t>司出具的《哈尔滨华康肉制品加工有限责任公司扩建项目检测报告》（HKX0123102202）监测数据，监测时间为2023年11月27日。</w:t>
      </w:r>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4.5.1 地下水环境现状监测</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14:textOutline w14:w="4358" w14:cap="sq" w14:cmpd="sng">
            <w14:solidFill>
              <w14:srgbClr w14:val="000000"/>
            </w14:solidFill>
            <w14:prstDash w14:val="solid"/>
            <w14:bevel/>
          </w14:textOutline>
        </w:rPr>
        <w:t>（</w:t>
      </w:r>
      <w:r>
        <w:rPr>
          <w:rFonts w:hint="default" w:ascii="Times New Roman" w:hAnsi="Times New Roman" w:eastAsia="Times New Roman" w:cs="Times New Roman"/>
          <w:b/>
          <w:bCs/>
          <w:spacing w:val="-2"/>
          <w:sz w:val="24"/>
          <w:szCs w:val="24"/>
        </w:rPr>
        <w:t>1</w:t>
      </w:r>
      <w:r>
        <w:rPr>
          <w:rFonts w:hint="default" w:ascii="Times New Roman" w:hAnsi="Times New Roman" w:eastAsia="宋体" w:cs="Times New Roman"/>
          <w:spacing w:val="-2"/>
          <w:sz w:val="24"/>
          <w:szCs w:val="24"/>
          <w14:textOutline w14:w="4358" w14:cap="sq" w14:cmpd="sng">
            <w14:solidFill>
              <w14:srgbClr w14:val="000000"/>
            </w14:solidFill>
            <w14:prstDash w14:val="solid"/>
            <w14:bevel/>
          </w14:textOutline>
        </w:rPr>
        <w:t>）监测点的布设</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为了解项目所在地地下水上下游的现状背景值以及项目场区附近地下水水位情况，</w:t>
      </w:r>
      <w:r>
        <w:rPr>
          <w:rFonts w:hint="default" w:ascii="Times New Roman" w:hAnsi="Times New Roman" w:eastAsia="宋体" w:cs="Times New Roman"/>
          <w:sz w:val="24"/>
          <w:szCs w:val="24"/>
        </w:rPr>
        <w:t xml:space="preserve"> 根据项目所在区域地下水流向及工程排污特</w:t>
      </w:r>
      <w:r>
        <w:rPr>
          <w:rFonts w:hint="default" w:ascii="Times New Roman" w:hAnsi="Times New Roman" w:eastAsia="宋体" w:cs="Times New Roman"/>
          <w:spacing w:val="-1"/>
          <w:sz w:val="24"/>
          <w:szCs w:val="24"/>
        </w:rPr>
        <w:t>点，共布设</w:t>
      </w:r>
      <w:r>
        <w:rPr>
          <w:rFonts w:hint="default" w:ascii="Times New Roman" w:hAnsi="Times New Roman" w:eastAsia="宋体" w:cs="Times New Roman"/>
          <w:spacing w:val="-50"/>
          <w:sz w:val="24"/>
          <w:szCs w:val="24"/>
        </w:rPr>
        <w:t xml:space="preserve"> </w:t>
      </w:r>
      <w:r>
        <w:rPr>
          <w:rFonts w:hint="default" w:ascii="Times New Roman" w:hAnsi="Times New Roman" w:eastAsia="Times New Roman" w:cs="Times New Roman"/>
          <w:spacing w:val="-1"/>
          <w:sz w:val="24"/>
          <w:szCs w:val="24"/>
        </w:rPr>
        <w:t xml:space="preserve">3 </w:t>
      </w:r>
      <w:r>
        <w:rPr>
          <w:rFonts w:hint="default" w:ascii="Times New Roman" w:hAnsi="Times New Roman" w:eastAsia="宋体" w:cs="Times New Roman"/>
          <w:spacing w:val="-1"/>
          <w:sz w:val="24"/>
          <w:szCs w:val="24"/>
        </w:rPr>
        <w:t>个水质监测点，</w:t>
      </w:r>
      <w:r>
        <w:rPr>
          <w:rFonts w:hint="default" w:ascii="Times New Roman" w:hAnsi="Times New Roman" w:eastAsia="Times New Roman" w:cs="Times New Roman"/>
          <w:spacing w:val="-1"/>
          <w:sz w:val="24"/>
          <w:szCs w:val="24"/>
        </w:rPr>
        <w:t xml:space="preserve">6 </w:t>
      </w:r>
      <w:r>
        <w:rPr>
          <w:rFonts w:hint="default" w:ascii="Times New Roman" w:hAnsi="Times New Roman" w:eastAsia="宋体" w:cs="Times New Roman"/>
          <w:spacing w:val="-1"/>
          <w:sz w:val="24"/>
          <w:szCs w:val="24"/>
        </w:rPr>
        <w:t>个水位监测</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rPr>
          <w:rFonts w:hint="eastAsia" w:ascii="Times New Roman" w:hAnsi="Times New Roman" w:eastAsia="宋体" w:cs="Times New Roman"/>
          <w:sz w:val="24"/>
          <w:szCs w:val="24"/>
          <w:highlight w:val="none"/>
          <w:lang w:eastAsia="zh-CN"/>
        </w:rPr>
      </w:pPr>
      <w:r>
        <w:rPr>
          <w:rFonts w:hint="default" w:ascii="Times New Roman" w:hAnsi="Times New Roman" w:eastAsia="宋体" w:cs="Times New Roman"/>
          <w:spacing w:val="-4"/>
          <w:sz w:val="24"/>
          <w:szCs w:val="24"/>
        </w:rPr>
        <w:t>点。布点位置</w:t>
      </w:r>
      <w:r>
        <w:rPr>
          <w:rFonts w:hint="default" w:ascii="Times New Roman" w:hAnsi="Times New Roman" w:eastAsia="宋体" w:cs="Times New Roman"/>
          <w:spacing w:val="-4"/>
          <w:sz w:val="24"/>
          <w:szCs w:val="24"/>
          <w:highlight w:val="none"/>
        </w:rPr>
        <w:t>见表</w:t>
      </w:r>
      <w:r>
        <w:rPr>
          <w:rFonts w:hint="default" w:ascii="Times New Roman" w:hAnsi="Times New Roman" w:eastAsia="宋体" w:cs="Times New Roman"/>
          <w:spacing w:val="-55"/>
          <w:sz w:val="24"/>
          <w:szCs w:val="24"/>
          <w:highlight w:val="none"/>
        </w:rPr>
        <w:t xml:space="preserve"> </w:t>
      </w:r>
      <w:r>
        <w:rPr>
          <w:rFonts w:hint="default" w:ascii="Times New Roman" w:hAnsi="Times New Roman" w:eastAsia="Times New Roman" w:cs="Times New Roman"/>
          <w:spacing w:val="-4"/>
          <w:sz w:val="24"/>
          <w:szCs w:val="24"/>
          <w:highlight w:val="none"/>
        </w:rPr>
        <w:t>4</w:t>
      </w:r>
      <w:r>
        <w:rPr>
          <w:rFonts w:hint="default" w:ascii="Times New Roman" w:hAnsi="Times New Roman" w:eastAsia="宋体" w:cs="Times New Roman"/>
          <w:spacing w:val="-4"/>
          <w:sz w:val="24"/>
          <w:szCs w:val="24"/>
          <w:highlight w:val="none"/>
          <w:lang w:val="en-US" w:eastAsia="zh-CN"/>
        </w:rPr>
        <w:t>-</w:t>
      </w:r>
      <w:r>
        <w:rPr>
          <w:rFonts w:hint="default" w:ascii="Times New Roman" w:hAnsi="Times New Roman" w:eastAsia="Times New Roman" w:cs="Times New Roman"/>
          <w:spacing w:val="-4"/>
          <w:sz w:val="24"/>
          <w:szCs w:val="24"/>
          <w:highlight w:val="none"/>
        </w:rPr>
        <w:t>5-</w:t>
      </w:r>
      <w:r>
        <w:rPr>
          <w:rFonts w:hint="default" w:ascii="Times New Roman" w:hAnsi="Times New Roman" w:eastAsia="Times New Roman" w:cs="Times New Roman"/>
          <w:spacing w:val="-33"/>
          <w:sz w:val="24"/>
          <w:szCs w:val="24"/>
          <w:highlight w:val="none"/>
        </w:rPr>
        <w:t xml:space="preserve"> </w:t>
      </w:r>
      <w:r>
        <w:rPr>
          <w:rFonts w:hint="default" w:ascii="Times New Roman" w:hAnsi="Times New Roman" w:eastAsia="Times New Roman" w:cs="Times New Roman"/>
          <w:spacing w:val="-4"/>
          <w:sz w:val="24"/>
          <w:szCs w:val="24"/>
          <w:highlight w:val="none"/>
        </w:rPr>
        <w:t xml:space="preserve">1 </w:t>
      </w:r>
      <w:r>
        <w:rPr>
          <w:rFonts w:hint="default" w:ascii="Times New Roman" w:hAnsi="Times New Roman" w:eastAsia="宋体" w:cs="Times New Roman"/>
          <w:spacing w:val="-4"/>
          <w:sz w:val="24"/>
          <w:szCs w:val="24"/>
          <w:highlight w:val="none"/>
        </w:rPr>
        <w:t>和图</w:t>
      </w:r>
      <w:r>
        <w:rPr>
          <w:rFonts w:hint="default" w:ascii="Times New Roman" w:hAnsi="Times New Roman" w:eastAsia="宋体" w:cs="Times New Roman"/>
          <w:spacing w:val="-56"/>
          <w:sz w:val="24"/>
          <w:szCs w:val="24"/>
          <w:highlight w:val="none"/>
        </w:rPr>
        <w:t xml:space="preserve"> </w:t>
      </w:r>
      <w:r>
        <w:rPr>
          <w:rFonts w:hint="default" w:ascii="Times New Roman" w:hAnsi="Times New Roman" w:eastAsia="Times New Roman" w:cs="Times New Roman"/>
          <w:spacing w:val="-4"/>
          <w:sz w:val="24"/>
          <w:szCs w:val="24"/>
          <w:highlight w:val="none"/>
        </w:rPr>
        <w:t>4</w:t>
      </w:r>
      <w:r>
        <w:rPr>
          <w:rFonts w:hint="default" w:ascii="Times New Roman" w:hAnsi="Times New Roman" w:eastAsia="宋体" w:cs="Times New Roman"/>
          <w:spacing w:val="-4"/>
          <w:sz w:val="24"/>
          <w:szCs w:val="24"/>
          <w:highlight w:val="none"/>
          <w:lang w:val="en-US" w:eastAsia="zh-CN"/>
        </w:rPr>
        <w:t>-5</w:t>
      </w:r>
      <w:r>
        <w:rPr>
          <w:rFonts w:hint="default" w:ascii="Times New Roman" w:hAnsi="Times New Roman" w:eastAsia="Times New Roman" w:cs="Times New Roman"/>
          <w:spacing w:val="-4"/>
          <w:sz w:val="24"/>
          <w:szCs w:val="24"/>
          <w:highlight w:val="none"/>
        </w:rPr>
        <w:t>-</w:t>
      </w:r>
      <w:r>
        <w:rPr>
          <w:rFonts w:hint="default" w:ascii="Times New Roman" w:hAnsi="Times New Roman" w:eastAsia="Times New Roman" w:cs="Times New Roman"/>
          <w:spacing w:val="-33"/>
          <w:sz w:val="24"/>
          <w:szCs w:val="24"/>
          <w:highlight w:val="none"/>
        </w:rPr>
        <w:t xml:space="preserve"> </w:t>
      </w:r>
      <w:r>
        <w:rPr>
          <w:rFonts w:hint="default" w:ascii="Times New Roman" w:hAnsi="Times New Roman" w:eastAsia="Times New Roman" w:cs="Times New Roman"/>
          <w:spacing w:val="-4"/>
          <w:sz w:val="24"/>
          <w:szCs w:val="24"/>
          <w:highlight w:val="none"/>
        </w:rPr>
        <w:t>1</w:t>
      </w:r>
      <w:r>
        <w:rPr>
          <w:rFonts w:hint="default" w:ascii="Times New Roman" w:hAnsi="Times New Roman" w:eastAsia="宋体" w:cs="Times New Roman"/>
          <w:spacing w:val="-4"/>
          <w:sz w:val="24"/>
          <w:szCs w:val="24"/>
          <w:highlight w:val="none"/>
        </w:rPr>
        <w:t>。</w:t>
      </w:r>
    </w:p>
    <w:p>
      <w:pPr>
        <w:spacing w:before="128" w:line="227" w:lineRule="auto"/>
        <w:ind w:left="2511"/>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26"/>
          <w:sz w:val="20"/>
          <w:szCs w:val="20"/>
          <w:highlight w:val="none"/>
        </w:rPr>
        <w:t xml:space="preserve"> </w:t>
      </w:r>
      <w:r>
        <w:rPr>
          <w:rFonts w:hint="default" w:ascii="Times New Roman" w:hAnsi="Times New Roman" w:eastAsia="Times New Roman" w:cs="Times New Roman"/>
          <w:b/>
          <w:bCs/>
          <w:spacing w:val="7"/>
          <w:sz w:val="20"/>
          <w:szCs w:val="20"/>
          <w:highlight w:val="none"/>
        </w:rPr>
        <w:t>4</w:t>
      </w:r>
      <w:r>
        <w:rPr>
          <w:rFonts w:hint="default" w:ascii="Times New Roman" w:hAnsi="Times New Roman" w:eastAsia="宋体" w:cs="Times New Roman"/>
          <w:b/>
          <w:bCs/>
          <w:spacing w:val="7"/>
          <w:sz w:val="20"/>
          <w:szCs w:val="20"/>
          <w:highlight w:val="none"/>
          <w:lang w:val="en-US" w:eastAsia="zh-CN"/>
        </w:rPr>
        <w:t>-</w:t>
      </w:r>
      <w:r>
        <w:rPr>
          <w:rFonts w:hint="default" w:ascii="Times New Roman" w:hAnsi="Times New Roman" w:eastAsia="Times New Roman" w:cs="Times New Roman"/>
          <w:b/>
          <w:bCs/>
          <w:spacing w:val="7"/>
          <w:sz w:val="20"/>
          <w:szCs w:val="20"/>
          <w:highlight w:val="none"/>
        </w:rPr>
        <w:t xml:space="preserve">5-1    </w:t>
      </w: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地下水水质现状监测布点位置一览表</w:t>
      </w:r>
    </w:p>
    <w:p>
      <w:pPr>
        <w:spacing w:line="20" w:lineRule="exact"/>
        <w:rPr>
          <w:rFonts w:hint="default" w:ascii="Times New Roman" w:hAnsi="Times New Roman" w:cs="Times New Roman"/>
          <w:highlight w:val="none"/>
        </w:rPr>
      </w:pPr>
    </w:p>
    <w:tbl>
      <w:tblPr>
        <w:tblStyle w:val="34"/>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94"/>
        <w:gridCol w:w="2073"/>
        <w:gridCol w:w="2059"/>
        <w:gridCol w:w="2306"/>
        <w:gridCol w:w="174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492" w:type="pct"/>
            <w:vAlign w:val="top"/>
          </w:tcPr>
          <w:p>
            <w:pPr>
              <w:spacing w:before="81"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编号</w:t>
            </w:r>
          </w:p>
        </w:tc>
        <w:tc>
          <w:tcPr>
            <w:tcW w:w="1141" w:type="pct"/>
            <w:vAlign w:val="top"/>
          </w:tcPr>
          <w:p>
            <w:pPr>
              <w:spacing w:before="82" w:line="229"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方位</w:t>
            </w:r>
          </w:p>
        </w:tc>
        <w:tc>
          <w:tcPr>
            <w:tcW w:w="1133" w:type="pct"/>
            <w:vAlign w:val="top"/>
          </w:tcPr>
          <w:p>
            <w:pPr>
              <w:spacing w:before="82"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点位距离</w:t>
            </w:r>
          </w:p>
        </w:tc>
        <w:tc>
          <w:tcPr>
            <w:tcW w:w="1269" w:type="pct"/>
            <w:vAlign w:val="top"/>
          </w:tcPr>
          <w:p>
            <w:pPr>
              <w:spacing w:before="82"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监测项目</w:t>
            </w:r>
          </w:p>
        </w:tc>
        <w:tc>
          <w:tcPr>
            <w:tcW w:w="962" w:type="pct"/>
            <w:vAlign w:val="top"/>
          </w:tcPr>
          <w:p>
            <w:pPr>
              <w:spacing w:before="81"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监测频率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4" w:hRule="atLeast"/>
        </w:trPr>
        <w:tc>
          <w:tcPr>
            <w:tcW w:w="492" w:type="pct"/>
            <w:vAlign w:val="top"/>
          </w:tcPr>
          <w:p>
            <w:pPr>
              <w:spacing w:before="131"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D1</w:t>
            </w:r>
          </w:p>
        </w:tc>
        <w:tc>
          <w:tcPr>
            <w:tcW w:w="1141" w:type="pct"/>
            <w:vAlign w:val="top"/>
          </w:tcPr>
          <w:p>
            <w:pPr>
              <w:spacing w:before="180" w:line="192"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Times New Roman" w:cs="Times New Roman"/>
                <w:spacing w:val="8"/>
                <w:sz w:val="20"/>
                <w:szCs w:val="20"/>
                <w:highlight w:val="none"/>
              </w:rPr>
              <w:t>N</w:t>
            </w:r>
            <w:r>
              <w:rPr>
                <w:rFonts w:hint="default" w:ascii="Times New Roman" w:hAnsi="Times New Roman" w:eastAsia="宋体" w:cs="Times New Roman"/>
                <w:spacing w:val="8"/>
                <w:sz w:val="20"/>
                <w:szCs w:val="20"/>
                <w:highlight w:val="none"/>
                <w:lang w:val="en-US" w:eastAsia="zh-CN"/>
              </w:rPr>
              <w:t>E</w:t>
            </w:r>
          </w:p>
        </w:tc>
        <w:tc>
          <w:tcPr>
            <w:tcW w:w="1133" w:type="pct"/>
            <w:vAlign w:val="top"/>
          </w:tcPr>
          <w:p>
            <w:pPr>
              <w:spacing w:before="17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spacing w:val="3"/>
                <w:sz w:val="20"/>
                <w:szCs w:val="20"/>
                <w:highlight w:val="none"/>
                <w:lang w:val="en-US" w:eastAsia="zh-CN"/>
              </w:rPr>
              <w:t>1253</w:t>
            </w:r>
            <w:r>
              <w:rPr>
                <w:rFonts w:hint="default" w:ascii="Times New Roman" w:hAnsi="Times New Roman" w:eastAsia="Times New Roman" w:cs="Times New Roman"/>
                <w:spacing w:val="3"/>
                <w:sz w:val="20"/>
                <w:szCs w:val="20"/>
                <w:highlight w:val="none"/>
              </w:rPr>
              <w:t>m</w:t>
            </w:r>
          </w:p>
        </w:tc>
        <w:tc>
          <w:tcPr>
            <w:tcW w:w="1269" w:type="pct"/>
            <w:vMerge w:val="restart"/>
            <w:tcBorders>
              <w:bottom w:val="nil"/>
            </w:tcBorders>
            <w:vAlign w:val="top"/>
          </w:tcPr>
          <w:p>
            <w:pPr>
              <w:spacing w:before="65" w:line="282" w:lineRule="auto"/>
              <w:ind w:left="432" w:right="113" w:hanging="315"/>
              <w:jc w:val="center"/>
              <w:rPr>
                <w:rFonts w:hint="default" w:ascii="Times New Roman" w:hAnsi="Times New Roman" w:eastAsia="宋体" w:cs="Times New Roman"/>
                <w:spacing w:val="8"/>
                <w:sz w:val="20"/>
                <w:szCs w:val="20"/>
                <w:highlight w:val="none"/>
              </w:rPr>
            </w:pPr>
          </w:p>
          <w:p>
            <w:pPr>
              <w:spacing w:before="65" w:line="282" w:lineRule="auto"/>
              <w:ind w:right="113"/>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lang w:val="en-US" w:eastAsia="zh-CN"/>
              </w:rPr>
              <w:t>检测29项及水位</w:t>
            </w:r>
          </w:p>
        </w:tc>
        <w:tc>
          <w:tcPr>
            <w:tcW w:w="962" w:type="pct"/>
            <w:vMerge w:val="restart"/>
            <w:tcBorders>
              <w:bottom w:val="nil"/>
            </w:tcBorders>
            <w:vAlign w:val="top"/>
          </w:tcPr>
          <w:p>
            <w:pPr>
              <w:pStyle w:val="35"/>
              <w:spacing w:line="289" w:lineRule="auto"/>
              <w:jc w:val="center"/>
              <w:rPr>
                <w:rFonts w:hint="default" w:ascii="Times New Roman" w:hAnsi="Times New Roman" w:cs="Times New Roman"/>
                <w:highlight w:val="none"/>
              </w:rPr>
            </w:pPr>
          </w:p>
          <w:p>
            <w:pPr>
              <w:pStyle w:val="35"/>
              <w:spacing w:line="289" w:lineRule="auto"/>
              <w:jc w:val="center"/>
              <w:rPr>
                <w:rFonts w:hint="default" w:ascii="Times New Roman" w:hAnsi="Times New Roman" w:cs="Times New Roman"/>
                <w:highlight w:val="none"/>
              </w:rPr>
            </w:pPr>
          </w:p>
          <w:p>
            <w:pPr>
              <w:pStyle w:val="35"/>
              <w:spacing w:line="290" w:lineRule="auto"/>
              <w:jc w:val="center"/>
              <w:rPr>
                <w:rFonts w:hint="default" w:ascii="Times New Roman" w:hAnsi="Times New Roman" w:cs="Times New Roman"/>
                <w:highlight w:val="none"/>
              </w:rPr>
            </w:pPr>
          </w:p>
          <w:p>
            <w:pPr>
              <w:spacing w:before="65" w:line="282" w:lineRule="auto"/>
              <w:ind w:right="113"/>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监测一天，采样一次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4" w:hRule="atLeast"/>
        </w:trPr>
        <w:tc>
          <w:tcPr>
            <w:tcW w:w="492" w:type="pct"/>
            <w:vAlign w:val="top"/>
          </w:tcPr>
          <w:p>
            <w:pPr>
              <w:spacing w:before="133"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D2</w:t>
            </w:r>
          </w:p>
        </w:tc>
        <w:tc>
          <w:tcPr>
            <w:tcW w:w="1141" w:type="pct"/>
            <w:vAlign w:val="top"/>
          </w:tcPr>
          <w:p>
            <w:pPr>
              <w:spacing w:before="174" w:line="199" w:lineRule="auto"/>
              <w:jc w:val="center"/>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spacing w:val="2"/>
                <w:sz w:val="20"/>
                <w:szCs w:val="20"/>
                <w:highlight w:val="none"/>
                <w:lang w:val="en-US" w:eastAsia="zh-CN"/>
              </w:rPr>
              <w:t>项目场地</w:t>
            </w:r>
          </w:p>
        </w:tc>
        <w:tc>
          <w:tcPr>
            <w:tcW w:w="1133" w:type="pct"/>
            <w:vAlign w:val="top"/>
          </w:tcPr>
          <w:p>
            <w:pPr>
              <w:spacing w:before="174" w:line="199"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w:t>
            </w:r>
          </w:p>
        </w:tc>
        <w:tc>
          <w:tcPr>
            <w:tcW w:w="1269" w:type="pct"/>
            <w:vMerge w:val="continue"/>
            <w:tcBorders>
              <w:top w:val="nil"/>
              <w:bottom w:val="nil"/>
            </w:tcBorders>
            <w:vAlign w:val="top"/>
          </w:tcPr>
          <w:p>
            <w:pPr>
              <w:pStyle w:val="35"/>
              <w:jc w:val="center"/>
              <w:rPr>
                <w:rFonts w:hint="default" w:ascii="Times New Roman" w:hAnsi="Times New Roman" w:cs="Times New Roman"/>
                <w:highlight w:val="none"/>
              </w:rPr>
            </w:pPr>
          </w:p>
        </w:tc>
        <w:tc>
          <w:tcPr>
            <w:tcW w:w="962" w:type="pct"/>
            <w:vMerge w:val="continue"/>
            <w:tcBorders>
              <w:top w:val="nil"/>
              <w:bottom w:val="nil"/>
            </w:tcBorders>
            <w:vAlign w:val="top"/>
          </w:tcPr>
          <w:p>
            <w:pPr>
              <w:pStyle w:val="35"/>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4" w:hRule="atLeast"/>
        </w:trPr>
        <w:tc>
          <w:tcPr>
            <w:tcW w:w="492" w:type="pct"/>
            <w:vAlign w:val="top"/>
          </w:tcPr>
          <w:p>
            <w:pPr>
              <w:spacing w:before="132"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D3</w:t>
            </w:r>
          </w:p>
        </w:tc>
        <w:tc>
          <w:tcPr>
            <w:tcW w:w="1141" w:type="pct"/>
            <w:vAlign w:val="top"/>
          </w:tcPr>
          <w:p>
            <w:pPr>
              <w:spacing w:before="180" w:line="195" w:lineRule="auto"/>
              <w:jc w:val="center"/>
              <w:rPr>
                <w:rFonts w:hint="default" w:ascii="Times New Roman" w:hAnsi="Times New Roman" w:eastAsia="宋体" w:cs="Times New Roman"/>
                <w:sz w:val="20"/>
                <w:szCs w:val="20"/>
                <w:highlight w:val="none"/>
                <w:lang w:eastAsia="zh-CN"/>
              </w:rPr>
            </w:pPr>
            <w:r>
              <w:rPr>
                <w:rFonts w:hint="default" w:ascii="Times New Roman" w:hAnsi="Times New Roman" w:eastAsia="Times New Roman" w:cs="Times New Roman"/>
                <w:spacing w:val="-2"/>
                <w:sz w:val="20"/>
                <w:szCs w:val="20"/>
                <w:highlight w:val="none"/>
              </w:rPr>
              <w:t>S</w:t>
            </w:r>
            <w:r>
              <w:rPr>
                <w:rFonts w:hint="default" w:ascii="Times New Roman" w:hAnsi="Times New Roman" w:eastAsia="宋体" w:cs="Times New Roman"/>
                <w:spacing w:val="-2"/>
                <w:sz w:val="20"/>
                <w:szCs w:val="20"/>
                <w:highlight w:val="none"/>
                <w:lang w:val="en-US" w:eastAsia="zh-CN"/>
              </w:rPr>
              <w:t>W</w:t>
            </w:r>
          </w:p>
        </w:tc>
        <w:tc>
          <w:tcPr>
            <w:tcW w:w="1133" w:type="pct"/>
            <w:vAlign w:val="top"/>
          </w:tcPr>
          <w:p>
            <w:pPr>
              <w:spacing w:before="180"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sz w:val="20"/>
                <w:szCs w:val="20"/>
                <w:highlight w:val="none"/>
                <w:lang w:val="en-US" w:eastAsia="zh-CN"/>
              </w:rPr>
              <w:t>1118</w:t>
            </w:r>
            <w:r>
              <w:rPr>
                <w:rFonts w:hint="default" w:ascii="Times New Roman" w:hAnsi="Times New Roman" w:eastAsia="Times New Roman" w:cs="Times New Roman"/>
                <w:sz w:val="20"/>
                <w:szCs w:val="20"/>
                <w:highlight w:val="none"/>
              </w:rPr>
              <w:t>m</w:t>
            </w:r>
          </w:p>
        </w:tc>
        <w:tc>
          <w:tcPr>
            <w:tcW w:w="1269" w:type="pct"/>
            <w:vMerge w:val="continue"/>
            <w:tcBorders>
              <w:top w:val="nil"/>
            </w:tcBorders>
            <w:vAlign w:val="top"/>
          </w:tcPr>
          <w:p>
            <w:pPr>
              <w:pStyle w:val="35"/>
              <w:jc w:val="center"/>
              <w:rPr>
                <w:rFonts w:hint="default" w:ascii="Times New Roman" w:hAnsi="Times New Roman" w:cs="Times New Roman"/>
                <w:highlight w:val="none"/>
              </w:rPr>
            </w:pPr>
          </w:p>
        </w:tc>
        <w:tc>
          <w:tcPr>
            <w:tcW w:w="962" w:type="pct"/>
            <w:vMerge w:val="continue"/>
            <w:tcBorders>
              <w:top w:val="nil"/>
              <w:bottom w:val="nil"/>
            </w:tcBorders>
            <w:vAlign w:val="top"/>
          </w:tcPr>
          <w:p>
            <w:pPr>
              <w:pStyle w:val="35"/>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4" w:hRule="atLeast"/>
        </w:trPr>
        <w:tc>
          <w:tcPr>
            <w:tcW w:w="492" w:type="pct"/>
            <w:vAlign w:val="top"/>
          </w:tcPr>
          <w:p>
            <w:pPr>
              <w:spacing w:before="133"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D4</w:t>
            </w:r>
          </w:p>
        </w:tc>
        <w:tc>
          <w:tcPr>
            <w:tcW w:w="1141" w:type="pct"/>
            <w:vAlign w:val="top"/>
          </w:tcPr>
          <w:p>
            <w:pPr>
              <w:spacing w:before="181" w:line="192"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8"/>
                <w:sz w:val="20"/>
                <w:szCs w:val="20"/>
                <w:highlight w:val="none"/>
              </w:rPr>
              <w:t>NW</w:t>
            </w:r>
          </w:p>
        </w:tc>
        <w:tc>
          <w:tcPr>
            <w:tcW w:w="1133" w:type="pct"/>
            <w:vAlign w:val="top"/>
          </w:tcPr>
          <w:p>
            <w:pPr>
              <w:spacing w:before="179"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spacing w:val="4"/>
                <w:sz w:val="20"/>
                <w:szCs w:val="20"/>
                <w:highlight w:val="none"/>
                <w:lang w:val="en-US" w:eastAsia="zh-CN"/>
              </w:rPr>
              <w:t>980</w:t>
            </w:r>
            <w:r>
              <w:rPr>
                <w:rFonts w:hint="default" w:ascii="Times New Roman" w:hAnsi="Times New Roman" w:eastAsia="Times New Roman" w:cs="Times New Roman"/>
                <w:spacing w:val="4"/>
                <w:sz w:val="20"/>
                <w:szCs w:val="20"/>
                <w:highlight w:val="none"/>
              </w:rPr>
              <w:t>m</w:t>
            </w:r>
          </w:p>
        </w:tc>
        <w:tc>
          <w:tcPr>
            <w:tcW w:w="1269" w:type="pct"/>
            <w:vMerge w:val="restart"/>
            <w:tcBorders>
              <w:bottom w:val="nil"/>
            </w:tcBorders>
            <w:vAlign w:val="top"/>
          </w:tcPr>
          <w:p>
            <w:pPr>
              <w:pStyle w:val="35"/>
              <w:spacing w:line="439" w:lineRule="auto"/>
              <w:jc w:val="center"/>
              <w:rPr>
                <w:rFonts w:hint="default" w:ascii="Times New Roman" w:hAnsi="Times New Roman" w:cs="Times New Roman"/>
                <w:highlight w:val="none"/>
              </w:rPr>
            </w:pPr>
          </w:p>
          <w:p>
            <w:pPr>
              <w:spacing w:before="65"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监测水位</w:t>
            </w:r>
          </w:p>
        </w:tc>
        <w:tc>
          <w:tcPr>
            <w:tcW w:w="962" w:type="pct"/>
            <w:vMerge w:val="continue"/>
            <w:tcBorders>
              <w:top w:val="nil"/>
              <w:bottom w:val="nil"/>
            </w:tcBorders>
            <w:vAlign w:val="top"/>
          </w:tcPr>
          <w:p>
            <w:pPr>
              <w:pStyle w:val="35"/>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492" w:type="pct"/>
            <w:vAlign w:val="top"/>
          </w:tcPr>
          <w:p>
            <w:pPr>
              <w:spacing w:before="137" w:line="192"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D5</w:t>
            </w:r>
          </w:p>
        </w:tc>
        <w:tc>
          <w:tcPr>
            <w:tcW w:w="1141" w:type="pct"/>
            <w:vAlign w:val="top"/>
          </w:tcPr>
          <w:p>
            <w:pPr>
              <w:spacing w:before="183" w:line="192"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8"/>
                <w:sz w:val="20"/>
                <w:szCs w:val="20"/>
                <w:highlight w:val="none"/>
                <w:lang w:val="en-US" w:eastAsia="zh-CN"/>
              </w:rPr>
              <w:t>SE</w:t>
            </w:r>
          </w:p>
        </w:tc>
        <w:tc>
          <w:tcPr>
            <w:tcW w:w="1133" w:type="pct"/>
            <w:vAlign w:val="top"/>
          </w:tcPr>
          <w:p>
            <w:pPr>
              <w:spacing w:before="180"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1"/>
                <w:sz w:val="20"/>
                <w:szCs w:val="20"/>
                <w:highlight w:val="none"/>
                <w:lang w:val="en-US" w:eastAsia="zh-CN"/>
              </w:rPr>
              <w:t>430</w:t>
            </w:r>
          </w:p>
        </w:tc>
        <w:tc>
          <w:tcPr>
            <w:tcW w:w="1269" w:type="pct"/>
            <w:vMerge w:val="continue"/>
            <w:tcBorders>
              <w:top w:val="nil"/>
              <w:bottom w:val="nil"/>
            </w:tcBorders>
            <w:vAlign w:val="top"/>
          </w:tcPr>
          <w:p>
            <w:pPr>
              <w:pStyle w:val="35"/>
              <w:rPr>
                <w:rFonts w:hint="default" w:ascii="Times New Roman" w:hAnsi="Times New Roman" w:cs="Times New Roman"/>
                <w:highlight w:val="none"/>
              </w:rPr>
            </w:pPr>
          </w:p>
        </w:tc>
        <w:tc>
          <w:tcPr>
            <w:tcW w:w="962" w:type="pct"/>
            <w:vMerge w:val="continue"/>
            <w:tcBorders>
              <w:top w:val="nil"/>
              <w:bottom w:val="nil"/>
            </w:tcBorders>
            <w:vAlign w:val="top"/>
          </w:tcPr>
          <w:p>
            <w:pPr>
              <w:pStyle w:val="35"/>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9" w:hRule="atLeast"/>
        </w:trPr>
        <w:tc>
          <w:tcPr>
            <w:tcW w:w="492" w:type="pct"/>
            <w:vAlign w:val="top"/>
          </w:tcPr>
          <w:p>
            <w:pPr>
              <w:spacing w:before="135"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D6</w:t>
            </w:r>
          </w:p>
        </w:tc>
        <w:tc>
          <w:tcPr>
            <w:tcW w:w="1141" w:type="pct"/>
            <w:vAlign w:val="top"/>
          </w:tcPr>
          <w:p>
            <w:pPr>
              <w:spacing w:before="183" w:line="192"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7"/>
                <w:sz w:val="20"/>
                <w:szCs w:val="20"/>
                <w:highlight w:val="none"/>
                <w:lang w:val="en-US" w:eastAsia="zh-CN"/>
              </w:rPr>
              <w:t>SE</w:t>
            </w:r>
          </w:p>
        </w:tc>
        <w:tc>
          <w:tcPr>
            <w:tcW w:w="1133" w:type="pct"/>
            <w:vAlign w:val="top"/>
          </w:tcPr>
          <w:p>
            <w:pPr>
              <w:spacing w:before="180"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sz w:val="20"/>
                <w:szCs w:val="20"/>
                <w:highlight w:val="none"/>
                <w:lang w:val="en-US" w:eastAsia="zh-CN"/>
              </w:rPr>
              <w:t>1014</w:t>
            </w:r>
            <w:r>
              <w:rPr>
                <w:rFonts w:hint="default" w:ascii="Times New Roman" w:hAnsi="Times New Roman" w:eastAsia="Times New Roman" w:cs="Times New Roman"/>
                <w:sz w:val="20"/>
                <w:szCs w:val="20"/>
                <w:highlight w:val="none"/>
              </w:rPr>
              <w:t>m</w:t>
            </w:r>
          </w:p>
        </w:tc>
        <w:tc>
          <w:tcPr>
            <w:tcW w:w="1269" w:type="pct"/>
            <w:vMerge w:val="continue"/>
            <w:tcBorders>
              <w:top w:val="nil"/>
            </w:tcBorders>
            <w:vAlign w:val="top"/>
          </w:tcPr>
          <w:p>
            <w:pPr>
              <w:pStyle w:val="35"/>
              <w:rPr>
                <w:rFonts w:hint="default" w:ascii="Times New Roman" w:hAnsi="Times New Roman" w:cs="Times New Roman"/>
                <w:highlight w:val="none"/>
              </w:rPr>
            </w:pPr>
          </w:p>
        </w:tc>
        <w:tc>
          <w:tcPr>
            <w:tcW w:w="962" w:type="pct"/>
            <w:vMerge w:val="continue"/>
            <w:tcBorders>
              <w:top w:val="nil"/>
            </w:tcBorders>
            <w:vAlign w:val="top"/>
          </w:tcPr>
          <w:p>
            <w:pPr>
              <w:pStyle w:val="35"/>
              <w:rPr>
                <w:rFonts w:hint="default" w:ascii="Times New Roman" w:hAnsi="Times New Roman" w:cs="Times New Roman"/>
                <w:highlight w:val="none"/>
              </w:rPr>
            </w:pPr>
          </w:p>
        </w:tc>
      </w:tr>
    </w:tbl>
    <w:p>
      <w:pPr>
        <w:keepNext w:val="0"/>
        <w:keepLines w:val="0"/>
        <w:pageBreakBefore w:val="0"/>
        <w:kinsoku w:val="0"/>
        <w:wordWrap/>
        <w:overflowPunct/>
        <w:topLinePunct w:val="0"/>
        <w:autoSpaceDE w:val="0"/>
        <w:autoSpaceDN w:val="0"/>
        <w:bidi w:val="0"/>
        <w:spacing w:line="360" w:lineRule="auto"/>
        <w:ind w:left="0" w:firstLine="420" w:firstLineChars="20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4210050" cy="4305300"/>
            <wp:effectExtent l="0" t="0" r="0" b="0"/>
            <wp:docPr id="48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33"/>
                    <pic:cNvPicPr>
                      <a:picLocks noChangeAspect="1"/>
                    </pic:cNvPicPr>
                  </pic:nvPicPr>
                  <pic:blipFill>
                    <a:blip r:embed="rId55"/>
                    <a:stretch>
                      <a:fillRect/>
                    </a:stretch>
                  </pic:blipFill>
                  <pic:spPr>
                    <a:xfrm>
                      <a:off x="0" y="0"/>
                      <a:ext cx="4210050" cy="4305300"/>
                    </a:xfrm>
                    <a:prstGeom prst="rect">
                      <a:avLst/>
                    </a:prstGeom>
                    <a:noFill/>
                    <a:ln>
                      <a:noFill/>
                    </a:ln>
                  </pic:spPr>
                </pic:pic>
              </a:graphicData>
            </a:graphic>
          </wp:inline>
        </w:drawing>
      </w:r>
    </w:p>
    <w:p>
      <w:pPr>
        <w:keepNext w:val="0"/>
        <w:keepLines w:val="0"/>
        <w:pageBreakBefore w:val="0"/>
        <w:kinsoku w:val="0"/>
        <w:wordWrap/>
        <w:overflowPunct/>
        <w:topLinePunct w:val="0"/>
        <w:autoSpaceDE w:val="0"/>
        <w:autoSpaceDN w:val="0"/>
        <w:bidi w:val="0"/>
        <w:spacing w:line="360" w:lineRule="auto"/>
        <w:ind w:left="0" w:firstLine="430" w:firstLineChars="200"/>
        <w:jc w:val="center"/>
        <w:textAlignment w:val="baseline"/>
        <w:rPr>
          <w:rFonts w:hint="default" w:ascii="Times New Roman" w:hAnsi="Times New Roman" w:eastAsia="仿宋_GB2312" w:cs="Times New Roman"/>
          <w:highlight w:val="none"/>
          <w:lang w:val="en-US" w:eastAsia="zh-CN"/>
        </w:rPr>
      </w:pPr>
      <w:r>
        <w:rPr>
          <w:rFonts w:hint="default" w:ascii="Times New Roman" w:hAnsi="Times New Roman" w:eastAsia="宋体" w:cs="Times New Roman"/>
          <w:b/>
          <w:bCs/>
          <w:spacing w:val="7"/>
          <w:sz w:val="20"/>
          <w:szCs w:val="20"/>
          <w:highlight w:val="none"/>
          <w:lang w:val="en-US" w:eastAsia="zh-CN"/>
        </w:rPr>
        <w:t>图</w:t>
      </w:r>
      <w:r>
        <w:rPr>
          <w:rFonts w:hint="default" w:ascii="Times New Roman" w:hAnsi="Times New Roman" w:eastAsia="Times New Roman" w:cs="Times New Roman"/>
          <w:b/>
          <w:bCs/>
          <w:spacing w:val="7"/>
          <w:sz w:val="20"/>
          <w:szCs w:val="20"/>
          <w:highlight w:val="none"/>
        </w:rPr>
        <w:t>4</w:t>
      </w:r>
      <w:r>
        <w:rPr>
          <w:rFonts w:hint="default" w:ascii="Times New Roman" w:hAnsi="Times New Roman" w:eastAsia="宋体" w:cs="Times New Roman"/>
          <w:b/>
          <w:bCs/>
          <w:spacing w:val="7"/>
          <w:sz w:val="20"/>
          <w:szCs w:val="20"/>
          <w:highlight w:val="none"/>
          <w:lang w:val="en-US" w:eastAsia="zh-CN"/>
        </w:rPr>
        <w:t>-</w:t>
      </w:r>
      <w:r>
        <w:rPr>
          <w:rFonts w:hint="default" w:ascii="Times New Roman" w:hAnsi="Times New Roman" w:eastAsia="Times New Roman" w:cs="Times New Roman"/>
          <w:b/>
          <w:bCs/>
          <w:spacing w:val="7"/>
          <w:sz w:val="20"/>
          <w:szCs w:val="20"/>
          <w:highlight w:val="none"/>
        </w:rPr>
        <w:t xml:space="preserve">5-1   </w:t>
      </w:r>
      <w:r>
        <w:rPr>
          <w:rFonts w:hint="default" w:ascii="Times New Roman" w:hAnsi="Times New Roman" w:eastAsia="宋体" w:cs="Times New Roman"/>
          <w:b/>
          <w:bCs/>
          <w:spacing w:val="7"/>
          <w:sz w:val="20"/>
          <w:szCs w:val="20"/>
          <w:highlight w:val="none"/>
          <w:lang w:val="en-US" w:eastAsia="zh-CN"/>
        </w:rPr>
        <w:t>地下水监测点位图</w:t>
      </w:r>
    </w:p>
    <w:p>
      <w:pPr>
        <w:keepNext w:val="0"/>
        <w:keepLines w:val="0"/>
        <w:pageBreakBefore w:val="0"/>
        <w:kinsoku w:val="0"/>
        <w:wordWrap/>
        <w:overflowPunct/>
        <w:topLinePunct w:val="0"/>
        <w:autoSpaceDE w:val="0"/>
        <w:autoSpaceDN w:val="0"/>
        <w:bidi w:val="0"/>
        <w:spacing w:line="360" w:lineRule="auto"/>
        <w:ind w:left="0" w:firstLine="468" w:firstLineChars="200"/>
        <w:jc w:val="both"/>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pacing w:val="-3"/>
          <w:sz w:val="24"/>
          <w:szCs w:val="24"/>
          <w14:textOutline w14:w="4358" w14:cap="sq" w14:cmpd="sng">
            <w14:solidFill>
              <w14:srgbClr w14:val="000000"/>
            </w14:solidFill>
            <w14:prstDash w14:val="solid"/>
            <w14:bevel/>
          </w14:textOutline>
        </w:rPr>
        <w:t>（</w:t>
      </w:r>
      <w:r>
        <w:rPr>
          <w:rFonts w:hint="default" w:ascii="Times New Roman" w:hAnsi="Times New Roman" w:eastAsia="宋体" w:cs="Times New Roman"/>
          <w:b/>
          <w:bCs/>
          <w:spacing w:val="-3"/>
          <w:sz w:val="24"/>
          <w:szCs w:val="24"/>
        </w:rPr>
        <w:t>2</w:t>
      </w:r>
      <w:r>
        <w:rPr>
          <w:rFonts w:hint="default" w:ascii="Times New Roman" w:hAnsi="Times New Roman" w:eastAsia="宋体" w:cs="Times New Roman"/>
          <w:spacing w:val="-3"/>
          <w:sz w:val="24"/>
          <w:szCs w:val="24"/>
          <w14:textOutline w14:w="4358" w14:cap="sq" w14:cmpd="sng">
            <w14:solidFill>
              <w14:srgbClr w14:val="000000"/>
            </w14:solidFill>
            <w14:prstDash w14:val="solid"/>
            <w14:bevel/>
          </w14:textOutline>
        </w:rPr>
        <w:t>）</w:t>
      </w:r>
      <w:r>
        <w:rPr>
          <w:rFonts w:hint="default" w:ascii="Times New Roman" w:hAnsi="Times New Roman" w:eastAsia="宋体" w:cs="Times New Roman"/>
          <w:spacing w:val="-3"/>
          <w:sz w:val="24"/>
          <w:szCs w:val="24"/>
          <w:lang w:val="en-US" w:eastAsia="zh-CN"/>
          <w14:textOutline w14:w="4358" w14:cap="sq" w14:cmpd="sng">
            <w14:solidFill>
              <w14:srgbClr w14:val="000000"/>
            </w14:solidFill>
            <w14:prstDash w14:val="solid"/>
            <w14:bevel/>
          </w14:textOutline>
        </w:rPr>
        <w:t>评价标准</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根据评价区地下水水质状况和使用功能，地下水评价执行《地下水质量标准》(GB/T14848-2017)Ⅲ类标准。</w:t>
      </w:r>
    </w:p>
    <w:p>
      <w:pPr>
        <w:keepNext w:val="0"/>
        <w:keepLines w:val="0"/>
        <w:pageBreakBefore w:val="0"/>
        <w:kinsoku w:val="0"/>
        <w:wordWrap/>
        <w:overflowPunct/>
        <w:topLinePunct w:val="0"/>
        <w:autoSpaceDE w:val="0"/>
        <w:autoSpaceDN w:val="0"/>
        <w:bidi w:val="0"/>
        <w:spacing w:line="360" w:lineRule="auto"/>
        <w:ind w:left="0" w:firstLine="472" w:firstLineChars="200"/>
        <w:jc w:val="both"/>
        <w:textAlignment w:val="baseline"/>
        <w:rPr>
          <w:rFonts w:hint="default" w:ascii="Times New Roman" w:hAnsi="Times New Roman" w:eastAsia="宋体" w:cs="Times New Roman"/>
          <w:sz w:val="24"/>
          <w:szCs w:val="24"/>
          <w:highlight w:val="magenta"/>
          <w:lang w:val="en-US" w:eastAsia="zh-CN"/>
        </w:rPr>
      </w:pPr>
      <w:r>
        <w:rPr>
          <w:rFonts w:hint="default" w:ascii="Times New Roman" w:hAnsi="Times New Roman" w:eastAsia="宋体" w:cs="Times New Roman"/>
          <w:spacing w:val="-2"/>
          <w:sz w:val="24"/>
          <w:szCs w:val="24"/>
          <w14:textOutline w14:w="4358" w14:cap="sq" w14:cmpd="sng">
            <w14:solidFill>
              <w14:srgbClr w14:val="000000"/>
            </w14:solidFill>
            <w14:prstDash w14:val="solid"/>
            <w14:bevel/>
          </w14:textOutline>
        </w:rPr>
        <w:t>（</w:t>
      </w:r>
      <w:r>
        <w:rPr>
          <w:rFonts w:hint="default" w:ascii="Times New Roman" w:hAnsi="Times New Roman" w:eastAsia="宋体" w:cs="Times New Roman"/>
          <w:b/>
          <w:bCs/>
          <w:spacing w:val="-2"/>
          <w:sz w:val="24"/>
          <w:szCs w:val="24"/>
        </w:rPr>
        <w:t>3</w:t>
      </w:r>
      <w:r>
        <w:rPr>
          <w:rFonts w:hint="default" w:ascii="Times New Roman" w:hAnsi="Times New Roman" w:eastAsia="宋体" w:cs="Times New Roman"/>
          <w:spacing w:val="-2"/>
          <w:sz w:val="24"/>
          <w:szCs w:val="24"/>
          <w14:textOutline w14:w="4358" w14:cap="sq" w14:cmpd="sng">
            <w14:solidFill>
              <w14:srgbClr w14:val="000000"/>
            </w14:solidFill>
            <w14:prstDash w14:val="solid"/>
            <w14:bevel/>
          </w14:textOutline>
        </w:rPr>
        <w:t>）</w:t>
      </w:r>
      <w:r>
        <w:rPr>
          <w:rFonts w:hint="default" w:ascii="Times New Roman" w:hAnsi="Times New Roman" w:eastAsia="宋体" w:cs="Times New Roman"/>
          <w:spacing w:val="-2"/>
          <w:sz w:val="24"/>
          <w:szCs w:val="24"/>
          <w:lang w:val="en-US" w:eastAsia="zh-CN"/>
          <w14:textOutline w14:w="4358" w14:cap="sq" w14:cmpd="sng">
            <w14:solidFill>
              <w14:srgbClr w14:val="000000"/>
            </w14:solidFill>
            <w14:prstDash w14:val="solid"/>
            <w14:bevel/>
          </w14:textOutline>
        </w:rPr>
        <w:t>水质监测项目及分析方法</w:t>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both"/>
        <w:textAlignment w:val="baseline"/>
        <w:rPr>
          <w:rFonts w:hint="default" w:ascii="Times New Roman" w:hAnsi="Times New Roman" w:cs="Times New Roman"/>
          <w:bCs/>
          <w:snapToGrid w:val="0"/>
          <w:color w:val="auto"/>
          <w:sz w:val="24"/>
          <w:szCs w:val="24"/>
          <w:vertAlign w:val="baseline"/>
          <w:lang w:val="en-US" w:eastAsia="zh-CN" w:bidi="en-US"/>
        </w:rPr>
      </w:pPr>
      <w:r>
        <w:rPr>
          <w:rFonts w:hint="default" w:ascii="Times New Roman" w:hAnsi="Times New Roman" w:cs="Times New Roman"/>
          <w:bCs/>
          <w:snapToGrid w:val="0"/>
          <w:color w:val="auto"/>
          <w:sz w:val="24"/>
          <w:szCs w:val="24"/>
          <w:lang w:bidi="en-US"/>
        </w:rPr>
        <w:t>pH、氨氮、硝酸盐、亚硝酸盐、挥发性酚类、氰化物、砷、汞、铬（六价）、总硬度、铅、氟化物</w:t>
      </w:r>
      <w:r>
        <w:rPr>
          <w:rFonts w:hint="default" w:ascii="Times New Roman" w:hAnsi="Times New Roman" w:cs="Times New Roman"/>
          <w:bCs/>
          <w:snapToGrid w:val="0"/>
          <w:color w:val="auto"/>
          <w:sz w:val="24"/>
          <w:szCs w:val="24"/>
          <w:lang w:eastAsia="zh-CN" w:bidi="en-US"/>
        </w:rPr>
        <w:t>、</w:t>
      </w:r>
      <w:r>
        <w:rPr>
          <w:rFonts w:hint="default" w:ascii="Times New Roman" w:hAnsi="Times New Roman" w:cs="Times New Roman"/>
          <w:bCs/>
          <w:snapToGrid w:val="0"/>
          <w:color w:val="auto"/>
          <w:sz w:val="24"/>
          <w:szCs w:val="24"/>
          <w:lang w:bidi="en-US"/>
        </w:rPr>
        <w:t>镉、铁、锰、溶解性总固体、高锰酸盐指数、硫酸盐、氯化物、总大肠菌群、细菌总数、K</w:t>
      </w:r>
      <w:r>
        <w:rPr>
          <w:rFonts w:hint="default" w:ascii="Times New Roman" w:hAnsi="Times New Roman" w:cs="Times New Roman"/>
          <w:bCs/>
          <w:snapToGrid w:val="0"/>
          <w:color w:val="auto"/>
          <w:sz w:val="24"/>
          <w:szCs w:val="24"/>
          <w:vertAlign w:val="superscript"/>
          <w:lang w:bidi="en-US"/>
        </w:rPr>
        <w:t>+</w:t>
      </w:r>
      <w:r>
        <w:rPr>
          <w:rFonts w:hint="default" w:ascii="Times New Roman" w:hAnsi="Times New Roman" w:cs="Times New Roman"/>
          <w:bCs/>
          <w:snapToGrid w:val="0"/>
          <w:color w:val="auto"/>
          <w:sz w:val="24"/>
          <w:szCs w:val="24"/>
          <w:lang w:bidi="en-US"/>
        </w:rPr>
        <w:t>、Na</w:t>
      </w:r>
      <w:r>
        <w:rPr>
          <w:rFonts w:hint="default" w:ascii="Times New Roman" w:hAnsi="Times New Roman" w:cs="Times New Roman"/>
          <w:bCs/>
          <w:snapToGrid w:val="0"/>
          <w:color w:val="auto"/>
          <w:sz w:val="24"/>
          <w:szCs w:val="24"/>
          <w:vertAlign w:val="superscript"/>
          <w:lang w:bidi="en-US"/>
        </w:rPr>
        <w:t>+</w:t>
      </w:r>
      <w:r>
        <w:rPr>
          <w:rFonts w:hint="default" w:ascii="Times New Roman" w:hAnsi="Times New Roman" w:cs="Times New Roman"/>
          <w:bCs/>
          <w:snapToGrid w:val="0"/>
          <w:color w:val="auto"/>
          <w:sz w:val="24"/>
          <w:szCs w:val="24"/>
          <w:lang w:bidi="en-US"/>
        </w:rPr>
        <w:t>、Ca</w:t>
      </w:r>
      <w:r>
        <w:rPr>
          <w:rFonts w:hint="default" w:ascii="Times New Roman" w:hAnsi="Times New Roman" w:cs="Times New Roman"/>
          <w:bCs/>
          <w:snapToGrid w:val="0"/>
          <w:color w:val="auto"/>
          <w:sz w:val="24"/>
          <w:szCs w:val="24"/>
          <w:vertAlign w:val="superscript"/>
          <w:lang w:bidi="en-US"/>
        </w:rPr>
        <w:t>2+</w:t>
      </w:r>
      <w:r>
        <w:rPr>
          <w:rFonts w:hint="default" w:ascii="Times New Roman" w:hAnsi="Times New Roman" w:cs="Times New Roman"/>
          <w:bCs/>
          <w:snapToGrid w:val="0"/>
          <w:color w:val="auto"/>
          <w:sz w:val="24"/>
          <w:szCs w:val="24"/>
          <w:lang w:bidi="en-US"/>
        </w:rPr>
        <w:t>、Mg</w:t>
      </w:r>
      <w:r>
        <w:rPr>
          <w:rFonts w:hint="default" w:ascii="Times New Roman" w:hAnsi="Times New Roman" w:cs="Times New Roman"/>
          <w:bCs/>
          <w:snapToGrid w:val="0"/>
          <w:color w:val="auto"/>
          <w:sz w:val="24"/>
          <w:szCs w:val="24"/>
          <w:vertAlign w:val="superscript"/>
          <w:lang w:bidi="en-US"/>
        </w:rPr>
        <w:t>2+</w:t>
      </w:r>
      <w:r>
        <w:rPr>
          <w:rFonts w:hint="default" w:ascii="Times New Roman" w:hAnsi="Times New Roman" w:cs="Times New Roman"/>
          <w:bCs/>
          <w:snapToGrid w:val="0"/>
          <w:color w:val="auto"/>
          <w:sz w:val="24"/>
          <w:szCs w:val="24"/>
          <w:lang w:bidi="en-US"/>
        </w:rPr>
        <w:t>、CO</w:t>
      </w:r>
      <w:r>
        <w:rPr>
          <w:rFonts w:hint="default" w:ascii="Times New Roman" w:hAnsi="Times New Roman" w:cs="Times New Roman"/>
          <w:bCs/>
          <w:snapToGrid w:val="0"/>
          <w:color w:val="auto"/>
          <w:sz w:val="24"/>
          <w:szCs w:val="24"/>
          <w:vertAlign w:val="subscript"/>
          <w:lang w:bidi="en-US"/>
        </w:rPr>
        <w:t>3</w:t>
      </w:r>
      <w:r>
        <w:rPr>
          <w:rFonts w:hint="default" w:ascii="Times New Roman" w:hAnsi="Times New Roman" w:cs="Times New Roman"/>
          <w:bCs/>
          <w:snapToGrid w:val="0"/>
          <w:color w:val="auto"/>
          <w:sz w:val="24"/>
          <w:szCs w:val="24"/>
          <w:vertAlign w:val="superscript"/>
          <w:lang w:bidi="en-US"/>
        </w:rPr>
        <w:t>2-</w:t>
      </w:r>
      <w:r>
        <w:rPr>
          <w:rFonts w:hint="default" w:ascii="Times New Roman" w:hAnsi="Times New Roman" w:cs="Times New Roman"/>
          <w:bCs/>
          <w:snapToGrid w:val="0"/>
          <w:color w:val="auto"/>
          <w:sz w:val="24"/>
          <w:szCs w:val="24"/>
          <w:lang w:bidi="en-US"/>
        </w:rPr>
        <w:t>、HCO</w:t>
      </w:r>
      <w:r>
        <w:rPr>
          <w:rFonts w:hint="default" w:ascii="Times New Roman" w:hAnsi="Times New Roman" w:cs="Times New Roman"/>
          <w:bCs/>
          <w:snapToGrid w:val="0"/>
          <w:color w:val="auto"/>
          <w:sz w:val="24"/>
          <w:szCs w:val="24"/>
          <w:vertAlign w:val="subscript"/>
          <w:lang w:bidi="en-US"/>
        </w:rPr>
        <w:t>3</w:t>
      </w:r>
      <w:r>
        <w:rPr>
          <w:rFonts w:hint="default" w:ascii="Times New Roman" w:hAnsi="Times New Roman" w:cs="Times New Roman"/>
          <w:bCs/>
          <w:snapToGrid w:val="0"/>
          <w:color w:val="auto"/>
          <w:sz w:val="24"/>
          <w:szCs w:val="24"/>
          <w:vertAlign w:val="superscript"/>
          <w:lang w:bidi="en-US"/>
        </w:rPr>
        <w:t>-</w:t>
      </w:r>
      <w:r>
        <w:rPr>
          <w:rFonts w:hint="default" w:ascii="Times New Roman" w:hAnsi="Times New Roman" w:cs="Times New Roman"/>
          <w:bCs/>
          <w:snapToGrid w:val="0"/>
          <w:color w:val="auto"/>
          <w:sz w:val="24"/>
          <w:szCs w:val="24"/>
          <w:lang w:bidi="en-US"/>
        </w:rPr>
        <w:t>、Cl</w:t>
      </w:r>
      <w:r>
        <w:rPr>
          <w:rFonts w:hint="default" w:ascii="Times New Roman" w:hAnsi="Times New Roman" w:cs="Times New Roman"/>
          <w:bCs/>
          <w:snapToGrid w:val="0"/>
          <w:color w:val="auto"/>
          <w:sz w:val="24"/>
          <w:szCs w:val="24"/>
          <w:vertAlign w:val="superscript"/>
          <w:lang w:bidi="en-US"/>
        </w:rPr>
        <w:t>-</w:t>
      </w:r>
      <w:r>
        <w:rPr>
          <w:rFonts w:hint="default" w:ascii="Times New Roman" w:hAnsi="Times New Roman" w:cs="Times New Roman"/>
          <w:bCs/>
          <w:snapToGrid w:val="0"/>
          <w:color w:val="auto"/>
          <w:sz w:val="24"/>
          <w:szCs w:val="24"/>
          <w:lang w:bidi="en-US"/>
        </w:rPr>
        <w:t>、SO</w:t>
      </w:r>
      <w:r>
        <w:rPr>
          <w:rFonts w:hint="default" w:ascii="Times New Roman" w:hAnsi="Times New Roman" w:cs="Times New Roman"/>
          <w:bCs/>
          <w:snapToGrid w:val="0"/>
          <w:color w:val="auto"/>
          <w:sz w:val="24"/>
          <w:szCs w:val="24"/>
          <w:vertAlign w:val="subscript"/>
          <w:lang w:bidi="en-US"/>
        </w:rPr>
        <w:t>4</w:t>
      </w:r>
      <w:r>
        <w:rPr>
          <w:rFonts w:hint="default" w:ascii="Times New Roman" w:hAnsi="Times New Roman" w:cs="Times New Roman"/>
          <w:bCs/>
          <w:snapToGrid w:val="0"/>
          <w:color w:val="auto"/>
          <w:sz w:val="24"/>
          <w:szCs w:val="24"/>
          <w:vertAlign w:val="superscript"/>
          <w:lang w:bidi="en-US"/>
        </w:rPr>
        <w:t>2-</w:t>
      </w:r>
      <w:r>
        <w:rPr>
          <w:rFonts w:hint="default" w:ascii="Times New Roman" w:hAnsi="Times New Roman" w:cs="Times New Roman"/>
          <w:bCs/>
          <w:snapToGrid w:val="0"/>
          <w:color w:val="auto"/>
          <w:sz w:val="24"/>
          <w:szCs w:val="24"/>
          <w:vertAlign w:val="baseline"/>
          <w:lang w:eastAsia="zh-CN" w:bidi="en-US"/>
        </w:rPr>
        <w:t>，</w:t>
      </w:r>
      <w:r>
        <w:rPr>
          <w:rFonts w:hint="default" w:ascii="Times New Roman" w:hAnsi="Times New Roman" w:cs="Times New Roman"/>
          <w:bCs/>
          <w:snapToGrid w:val="0"/>
          <w:color w:val="auto"/>
          <w:sz w:val="24"/>
          <w:szCs w:val="24"/>
          <w:vertAlign w:val="baseline"/>
          <w:lang w:val="en-US" w:eastAsia="zh-CN" w:bidi="en-US"/>
        </w:rPr>
        <w:t>共29项。</w:t>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采样和分析方法按照《地下水环境监测技术规范》（HJ164-2020）和《生活饮用水标准检验方法》（GB</w:t>
      </w:r>
      <w:r>
        <w:rPr>
          <w:rFonts w:hint="eastAsia"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rPr>
        <w:t>5750-20</w:t>
      </w:r>
      <w:r>
        <w:rPr>
          <w:rFonts w:hint="eastAsia" w:ascii="Times New Roman" w:hAnsi="Times New Roman" w:eastAsia="宋体" w:cs="Times New Roman"/>
          <w:color w:val="auto"/>
          <w:sz w:val="24"/>
          <w:highlight w:val="none"/>
          <w:lang w:val="en-US" w:eastAsia="zh-CN"/>
        </w:rPr>
        <w:t>23</w:t>
      </w:r>
      <w:r>
        <w:rPr>
          <w:rFonts w:hint="default" w:ascii="Times New Roman" w:hAnsi="Times New Roman" w:eastAsia="宋体" w:cs="Times New Roman"/>
          <w:color w:val="auto"/>
          <w:sz w:val="24"/>
          <w:highlight w:val="none"/>
        </w:rPr>
        <w:t>）执行。</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430" w:firstLineChars="200"/>
        <w:jc w:val="center"/>
        <w:textAlignment w:val="baseline"/>
        <w:rPr>
          <w:rFonts w:hint="default" w:ascii="Times New Roman" w:hAnsi="Times New Roman" w:eastAsia="宋体" w:cs="Times New Roman"/>
          <w:b/>
          <w:bCs/>
          <w:spacing w:val="7"/>
          <w:sz w:val="20"/>
          <w:szCs w:val="20"/>
          <w:highlight w:val="none"/>
          <w:lang w:val="en-US" w:eastAsia="zh-CN"/>
        </w:rPr>
      </w:pPr>
      <w:r>
        <w:rPr>
          <w:rFonts w:hint="default" w:ascii="Times New Roman" w:hAnsi="Times New Roman" w:eastAsia="宋体" w:cs="Times New Roman"/>
          <w:b/>
          <w:bCs/>
          <w:spacing w:val="7"/>
          <w:sz w:val="20"/>
          <w:szCs w:val="20"/>
          <w:highlight w:val="none"/>
          <w:lang w:val="en-US" w:eastAsia="zh-CN"/>
        </w:rPr>
        <w:t>表4-5-2  监测分析方法一览表</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54"/>
        <w:gridCol w:w="1436"/>
        <w:gridCol w:w="3943"/>
        <w:gridCol w:w="32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41" w:type="pct"/>
            <w:gridSpan w:val="2"/>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检测项目</w:t>
            </w:r>
          </w:p>
        </w:tc>
        <w:tc>
          <w:tcPr>
            <w:tcW w:w="2171"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检测方法名称及标准号</w:t>
            </w:r>
          </w:p>
        </w:tc>
        <w:tc>
          <w:tcPr>
            <w:tcW w:w="1786"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仪器名称/仪器型号/仪器编号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K</w:t>
            </w:r>
            <w:r>
              <w:rPr>
                <w:rFonts w:hint="default" w:ascii="Times New Roman" w:hAnsi="Times New Roman" w:eastAsia="宋体" w:cs="Times New Roman"/>
                <w:sz w:val="21"/>
                <w:szCs w:val="21"/>
                <w:vertAlign w:val="superscript"/>
              </w:rPr>
              <w:t>+</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可溶性阳离子（Li</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、Na</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、NH</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、K</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、Ca</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、Mg2+）的测定 离子色谱法HJ812-2016</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离子色谱仪/ICS-900/KXYQ-005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Na</w:t>
            </w:r>
            <w:r>
              <w:rPr>
                <w:rFonts w:hint="default" w:ascii="Times New Roman" w:hAnsi="Times New Roman" w:eastAsia="宋体" w:cs="Times New Roman"/>
                <w:sz w:val="21"/>
                <w:szCs w:val="21"/>
                <w:vertAlign w:val="superscript"/>
              </w:rPr>
              <w:t>+</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可溶性阳离子（Li</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、Na</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、NH</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、K</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、Ca</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、Mg2+）的测定 离子色谱法HJ812-2016</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离子色谱仪/ICS-900/KXYQ-005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Ca</w:t>
            </w:r>
            <w:r>
              <w:rPr>
                <w:rFonts w:hint="default" w:ascii="Times New Roman" w:hAnsi="Times New Roman" w:eastAsia="宋体" w:cs="Times New Roman"/>
                <w:sz w:val="21"/>
                <w:szCs w:val="21"/>
                <w:vertAlign w:val="superscript"/>
              </w:rPr>
              <w:t>2+</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可溶性阳离子（Li</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、Na</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、NH</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、K</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、Ca</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、Mg2+）的测定 离子色谱法HJ812-2016</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离子色谱仪/ICS-900/KXYQ-005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Mg</w:t>
            </w:r>
            <w:r>
              <w:rPr>
                <w:rFonts w:hint="default" w:ascii="Times New Roman" w:hAnsi="Times New Roman" w:eastAsia="宋体" w:cs="Times New Roman"/>
                <w:sz w:val="21"/>
                <w:szCs w:val="21"/>
                <w:vertAlign w:val="superscript"/>
              </w:rPr>
              <w:t>2+</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可溶性阳离子（Li</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、Na</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、NH</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、K</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、Ca</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、Mg2+）的测定 离子色谱法HJ812-2016</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离子色谱仪/ICS-900/KXYQ-005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2-</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工业循环冷却水 总碱及酚酞碱度的测定GB/T 15451-2006</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酸式滴定管/50mL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HCO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工业循环冷却水 总碱及酚酞碱度的测定GB/T 15451-2006</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酸式滴定管/50mL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Cl</w:t>
            </w:r>
            <w:r>
              <w:rPr>
                <w:rFonts w:hint="default" w:ascii="Times New Roman" w:hAnsi="Times New Roman" w:eastAsia="宋体" w:cs="Times New Roman"/>
                <w:sz w:val="21"/>
                <w:szCs w:val="21"/>
                <w:vertAlign w:val="superscript"/>
              </w:rPr>
              <w:t>-</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无机阴离子（F</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、Cl</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、Br</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、PO</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）的测定离子色谱法HJ84-2016</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离子色谱仪/ICS-900/KXYQ-005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2-</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无机阴离子（F</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、Cl</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、Br</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、PO</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）的测定离子色谱法HJ84-2016</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离子色谱仪/ICS-900/KXYQ-005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pH</w:t>
            </w:r>
            <w:r>
              <w:rPr>
                <w:rFonts w:hint="default" w:ascii="Times New Roman" w:hAnsi="Times New Roman" w:eastAsia="宋体" w:cs="Times New Roman"/>
                <w:sz w:val="21"/>
                <w:szCs w:val="21"/>
                <w:lang w:val="en-US" w:eastAsia="zh-CN"/>
              </w:rPr>
              <w:t>值</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pH值的测定 玻璃电极法HJ1147-2020</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i w:val="0"/>
                <w:color w:val="000000"/>
                <w:kern w:val="0"/>
                <w:sz w:val="21"/>
                <w:szCs w:val="21"/>
                <w:u w:val="none"/>
                <w:lang w:val="en-US" w:eastAsia="zh-CN" w:bidi="ar"/>
              </w:rPr>
              <w:t>实验室pH计/FE20-KXYQ-018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氨氮</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氨氮的测定 纳氏试剂分光光度法HJ535-2009</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紫外可见分光光度计/UV-1800D/KXYQ-015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硝酸盐</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无机阴离子（F</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、Cl</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、Br</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、PO</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）的测定离子色谱法HJ84-2016</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离子色谱仪/ICS-900/KXYQ-005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亚硝酸盐</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无机阴离子（F</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、Cl</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、Br</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、PO</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）的测定离子色谱法HJ84-2016</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离子色谱仪/ICS-900/KXYQ-005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氰化物</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生活饮用水标准检验方法 第5部分：无机非金属指标（7.1 异烟酸-吡唑酮分光光度法）GB/T5750.5-2023</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紫外可见分光光度计/UV-1800D/KXYQ-015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14</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挥发性酚类</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挥发酚的测定 4-氨基安替比林分光光度法HJ503-2009</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紫外可见分光光度计/UV-1800D/KXYQ-015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砷</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汞、砷、硒、铋和锑的测定 原子荧光法HJ694-2014</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非色散原子荧光光度计/PF6-2/KXYQ-002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汞</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总汞的测定 冷原子吸收分光光度法HJ597-2011</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微分测汞仪/WCG-208/KXYQ-003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17</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铬（六价）</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生活饮用水标准检验方法 金属指标（10.1二苯碳酰二肼分光光度法）GB/T5750.6-2006</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紫外可见分光光度计/UV-1800D/KXYQ-015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总硬度</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钙和镁总量的测定EDTA 滴定法GB7477-87</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碱式滴定管/50mL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19</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氟</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无机阴离子（F</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、Cl</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、Br</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、PO</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）的测定离子色谱法HJ84-2016</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离子色谱仪/ICS-900/KXYQ-005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镉</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生活饮用水标准检验方法 第6部分：金属和类金属指标（12.1无火焰原子吸收分光光度法）GB/T5750.6-2023</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原子吸收分光光度计/TAS-990AFG/KXYQ-001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21</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铅</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生活饮用水标准检验方法 第6部分：金属和类金属指标（14.1无火焰原子吸收分光光度法）GB/T5750.6-2023</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原子吸收分光光度计/TAS-990AFG/KXYQ-001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22</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铁</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铁、锰的测定 火焰原子吸收分光光度法GB11911-89</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原子吸收分光光度计/TAS-990AFG/KXYQ-001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锰</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铁、锰的测定 火焰原子吸收分光光度法GB11911-89</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原子吸收分光光度计/TAS-990AFG/KXYQ-001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vMerge w:val="restar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24</w:t>
            </w:r>
          </w:p>
        </w:tc>
        <w:tc>
          <w:tcPr>
            <w:tcW w:w="791"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溶解性总固体</w:t>
            </w:r>
          </w:p>
        </w:tc>
        <w:tc>
          <w:tcPr>
            <w:tcW w:w="2171" w:type="pct"/>
            <w:vMerge w:val="restar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生活饮用水标准检验方法 第4部分：感官性状和物理指标（11.1 称量法）GB/T5750.4-2023</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恒温干燥箱/101-3B/KXYQ-003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jc w:val="center"/>
              <w:rPr>
                <w:rFonts w:hint="default" w:ascii="Times New Roman" w:hAnsi="Times New Roman" w:eastAsia="宋体" w:cs="Times New Roman"/>
                <w:sz w:val="21"/>
                <w:szCs w:val="21"/>
              </w:rPr>
            </w:pPr>
          </w:p>
        </w:tc>
        <w:tc>
          <w:tcPr>
            <w:tcW w:w="791" w:type="pct"/>
            <w:vMerge w:val="continue"/>
            <w:tcBorders>
              <w:tl2br w:val="nil"/>
              <w:tr2bl w:val="nil"/>
            </w:tcBorders>
            <w:vAlign w:val="center"/>
          </w:tcPr>
          <w:p>
            <w:pPr>
              <w:widowControl/>
              <w:adjustRightInd w:val="0"/>
              <w:jc w:val="center"/>
              <w:rPr>
                <w:rFonts w:hint="default" w:ascii="Times New Roman" w:hAnsi="Times New Roman" w:eastAsia="宋体" w:cs="Times New Roman"/>
                <w:sz w:val="21"/>
                <w:szCs w:val="21"/>
              </w:rPr>
            </w:pPr>
          </w:p>
        </w:tc>
        <w:tc>
          <w:tcPr>
            <w:tcW w:w="2171" w:type="pct"/>
            <w:vMerge w:val="continue"/>
            <w:tcBorders>
              <w:tl2br w:val="nil"/>
              <w:tr2bl w:val="nil"/>
            </w:tcBorders>
            <w:vAlign w:val="center"/>
          </w:tcPr>
          <w:p>
            <w:pPr>
              <w:widowControl/>
              <w:adjustRightInd w:val="0"/>
              <w:jc w:val="center"/>
              <w:rPr>
                <w:rFonts w:hint="default" w:ascii="Times New Roman" w:hAnsi="Times New Roman" w:eastAsia="宋体" w:cs="Times New Roman"/>
                <w:sz w:val="21"/>
                <w:szCs w:val="21"/>
              </w:rPr>
            </w:pP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电子天平/AUY220/KXYQ-016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25</w:t>
            </w:r>
          </w:p>
        </w:tc>
        <w:tc>
          <w:tcPr>
            <w:tcW w:w="791" w:type="pct"/>
            <w:tcBorders>
              <w:tl2br w:val="nil"/>
              <w:tr2bl w:val="nil"/>
            </w:tcBorders>
            <w:vAlign w:val="center"/>
          </w:tcPr>
          <w:p>
            <w:pPr>
              <w:widowControl/>
              <w:jc w:val="center"/>
              <w:textAlignment w:val="center"/>
              <w:rPr>
                <w:rStyle w:val="56"/>
                <w:rFonts w:hint="default" w:ascii="Times New Roman" w:hAnsi="Times New Roman" w:eastAsia="宋体" w:cs="Times New Roman"/>
                <w:color w:val="auto"/>
                <w:sz w:val="21"/>
                <w:szCs w:val="21"/>
                <w:lang w:bidi="ar"/>
              </w:rPr>
            </w:pPr>
            <w:r>
              <w:rPr>
                <w:rStyle w:val="56"/>
                <w:rFonts w:hint="default" w:ascii="Times New Roman" w:hAnsi="Times New Roman" w:eastAsia="宋体" w:cs="Times New Roman"/>
                <w:color w:val="auto"/>
                <w:sz w:val="21"/>
                <w:szCs w:val="21"/>
                <w:lang w:bidi="ar"/>
              </w:rPr>
              <w:t>耗氧量</w:t>
            </w:r>
          </w:p>
          <w:p>
            <w:pPr>
              <w:widowControl/>
              <w:jc w:val="center"/>
              <w:textAlignment w:val="center"/>
              <w:rPr>
                <w:rFonts w:hint="default" w:ascii="Times New Roman" w:hAnsi="Times New Roman" w:eastAsia="宋体" w:cs="Times New Roman"/>
                <w:kern w:val="2"/>
                <w:sz w:val="21"/>
                <w:szCs w:val="21"/>
                <w:lang w:val="en-US" w:eastAsia="zh-CN" w:bidi="ar-SA"/>
              </w:rPr>
            </w:pPr>
            <w:r>
              <w:rPr>
                <w:rStyle w:val="56"/>
                <w:rFonts w:hint="default" w:ascii="Times New Roman" w:hAnsi="Times New Roman" w:eastAsia="宋体" w:cs="Times New Roman"/>
                <w:color w:val="auto"/>
                <w:sz w:val="21"/>
                <w:szCs w:val="21"/>
                <w:lang w:bidi="ar"/>
              </w:rPr>
              <w:t>（</w:t>
            </w:r>
            <w:r>
              <w:rPr>
                <w:rFonts w:hint="default" w:ascii="Times New Roman" w:hAnsi="Times New Roman" w:eastAsia="宋体" w:cs="Times New Roman"/>
                <w:kern w:val="0"/>
                <w:sz w:val="21"/>
                <w:szCs w:val="21"/>
                <w:lang w:bidi="ar"/>
              </w:rPr>
              <w:t>COD</w:t>
            </w:r>
            <w:r>
              <w:rPr>
                <w:rFonts w:hint="default" w:ascii="Times New Roman" w:hAnsi="Times New Roman" w:eastAsia="宋体" w:cs="Times New Roman"/>
                <w:kern w:val="0"/>
                <w:sz w:val="21"/>
                <w:szCs w:val="21"/>
                <w:vertAlign w:val="subscript"/>
                <w:lang w:bidi="ar"/>
              </w:rPr>
              <w:t>Mn</w:t>
            </w:r>
            <w:r>
              <w:rPr>
                <w:rStyle w:val="56"/>
                <w:rFonts w:hint="default" w:ascii="Times New Roman" w:hAnsi="Times New Roman" w:eastAsia="宋体" w:cs="Times New Roman"/>
                <w:color w:val="auto"/>
                <w:sz w:val="21"/>
                <w:szCs w:val="21"/>
                <w:lang w:bidi="ar"/>
              </w:rPr>
              <w:t>法）</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水质 高锰酸盐指数的测定GB11892-89</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酸式滴定管/50mL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26</w:t>
            </w:r>
          </w:p>
        </w:tc>
        <w:tc>
          <w:tcPr>
            <w:tcW w:w="791" w:type="pct"/>
            <w:tcBorders>
              <w:tl2br w:val="nil"/>
              <w:tr2bl w:val="nil"/>
            </w:tcBorders>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硫酸盐</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水质 无机阴离子（F</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、Cl</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、Br</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、PO</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）的测定离子色谱法HJ84-2016</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离子色谱仪/ICS-900/KXYQ-005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27</w:t>
            </w:r>
          </w:p>
        </w:tc>
        <w:tc>
          <w:tcPr>
            <w:tcW w:w="791" w:type="pct"/>
            <w:tcBorders>
              <w:tl2br w:val="nil"/>
              <w:tr2bl w:val="nil"/>
            </w:tcBorders>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氯化物</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水质 无机阴离子（F</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、Cl</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、Br</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、PO</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）的测定离子色谱法HJ84-2016</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离子色谱仪/ICS-900/KXYQ-005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总大肠菌群</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生活饮用水标准检验方法 第12部分：微生物指标（5.1 多管发酵法）GB/T5750.12-2023</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恒温培养箱/303-3B/KXYQ-025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50" w:type="pct"/>
            <w:tcBorders>
              <w:tl2br w:val="nil"/>
              <w:tr2bl w:val="nil"/>
            </w:tcBorders>
            <w:vAlign w:val="center"/>
          </w:tcPr>
          <w:p>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29</w:t>
            </w:r>
          </w:p>
        </w:tc>
        <w:tc>
          <w:tcPr>
            <w:tcW w:w="79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细菌总数</w:t>
            </w:r>
          </w:p>
        </w:tc>
        <w:tc>
          <w:tcPr>
            <w:tcW w:w="2171"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生活饮用水标准检验方法 第12部分：微生物指标（4.1 平板计数法）GB/T5750.12-2023</w:t>
            </w:r>
          </w:p>
        </w:tc>
        <w:tc>
          <w:tcPr>
            <w:tcW w:w="1786" w:type="pct"/>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恒温培养箱/303-3B/KXYQ-025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54" w:type="dxa"/>
            <w:tcBorders>
              <w:tl2br w:val="nil"/>
              <w:tr2bl w:val="nil"/>
            </w:tcBorders>
            <w:vAlign w:val="center"/>
          </w:tcPr>
          <w:p>
            <w:pPr>
              <w:jc w:val="center"/>
              <w:rPr>
                <w:rFonts w:hint="default" w:ascii="Times New Roman" w:hAnsi="Times New Roman" w:eastAsia="宋体" w:cs="Times New Roman"/>
                <w:sz w:val="21"/>
                <w:szCs w:val="21"/>
              </w:rPr>
            </w:pPr>
            <w:r>
              <w:rPr>
                <w:rFonts w:hint="eastAsia" w:ascii="Times New Roman" w:hAnsi="Times New Roman"/>
                <w:szCs w:val="21"/>
                <w:lang w:val="en-US" w:eastAsia="zh-CN"/>
              </w:rPr>
              <w:t>30</w:t>
            </w:r>
          </w:p>
        </w:tc>
        <w:tc>
          <w:tcPr>
            <w:tcW w:w="1436" w:type="dxa"/>
            <w:tcBorders>
              <w:tl2br w:val="nil"/>
              <w:tr2bl w:val="nil"/>
            </w:tcBorders>
            <w:vAlign w:val="center"/>
          </w:tcPr>
          <w:p>
            <w:pPr>
              <w:jc w:val="center"/>
              <w:rPr>
                <w:rFonts w:hint="default" w:ascii="Times New Roman" w:hAnsi="Times New Roman" w:eastAsia="宋体" w:cs="Times New Roman"/>
                <w:sz w:val="21"/>
                <w:szCs w:val="21"/>
              </w:rPr>
            </w:pPr>
            <w:r>
              <w:rPr>
                <w:rFonts w:hint="eastAsia" w:ascii="Times New Roman" w:hAnsi="Times New Roman"/>
                <w:szCs w:val="21"/>
                <w:lang w:val="en-US" w:eastAsia="zh-CN"/>
              </w:rPr>
              <w:t>石油类</w:t>
            </w:r>
          </w:p>
        </w:tc>
        <w:tc>
          <w:tcPr>
            <w:tcW w:w="3943" w:type="dxa"/>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eastAsia" w:ascii="Times New Roman" w:hAnsi="Times New Roman"/>
                <w:szCs w:val="21"/>
              </w:rPr>
              <w:t>水质 石油类的测定 紫外分光光度法（试行）HJ 970-2018</w:t>
            </w:r>
          </w:p>
        </w:tc>
        <w:tc>
          <w:tcPr>
            <w:tcW w:w="3243" w:type="dxa"/>
            <w:tcBorders>
              <w:tl2br w:val="nil"/>
              <w:tr2bl w:val="nil"/>
            </w:tcBorders>
            <w:vAlign w:val="center"/>
          </w:tcPr>
          <w:p>
            <w:pPr>
              <w:widowControl/>
              <w:adjustRightInd w:val="0"/>
              <w:jc w:val="center"/>
              <w:rPr>
                <w:rFonts w:hint="default" w:ascii="Times New Roman" w:hAnsi="Times New Roman" w:eastAsia="宋体" w:cs="Times New Roman"/>
                <w:sz w:val="21"/>
                <w:szCs w:val="21"/>
              </w:rPr>
            </w:pPr>
            <w:r>
              <w:rPr>
                <w:rFonts w:hint="eastAsia" w:ascii="Times New Roman" w:hAnsi="Times New Roman"/>
                <w:szCs w:val="21"/>
              </w:rPr>
              <w:t>紫外可见分光光度计/</w:t>
            </w:r>
            <w:r>
              <w:rPr>
                <w:rFonts w:hint="eastAsia" w:ascii="Times New Roman" w:hAnsi="Times New Roman"/>
                <w:szCs w:val="21"/>
                <w:lang w:val="en-US" w:eastAsia="zh-CN"/>
              </w:rPr>
              <w:t>752N</w:t>
            </w:r>
            <w:r>
              <w:rPr>
                <w:rFonts w:hint="eastAsia" w:ascii="Times New Roman" w:hAnsi="Times New Roman"/>
                <w:szCs w:val="21"/>
              </w:rPr>
              <w:t>/KXYQ-</w:t>
            </w:r>
            <w:r>
              <w:rPr>
                <w:rFonts w:hint="eastAsia" w:ascii="Times New Roman" w:hAnsi="Times New Roman"/>
                <w:szCs w:val="21"/>
                <w:lang w:val="en-US" w:eastAsia="zh-CN"/>
              </w:rPr>
              <w:t>089</w:t>
            </w:r>
          </w:p>
        </w:tc>
      </w:tr>
    </w:tbl>
    <w:p>
      <w:pPr>
        <w:keepNext w:val="0"/>
        <w:keepLines w:val="0"/>
        <w:pageBreakBefore w:val="0"/>
        <w:kinsoku w:val="0"/>
        <w:wordWrap/>
        <w:overflowPunct/>
        <w:topLinePunct w:val="0"/>
        <w:autoSpaceDE w:val="0"/>
        <w:autoSpaceDN w:val="0"/>
        <w:bidi w:val="0"/>
        <w:spacing w:line="360" w:lineRule="auto"/>
        <w:ind w:left="0" w:firstLine="472" w:firstLineChars="200"/>
        <w:jc w:val="both"/>
        <w:textAlignment w:val="baseline"/>
        <w:rPr>
          <w:rFonts w:hint="default" w:ascii="Times New Roman" w:hAnsi="Times New Roman" w:eastAsia="宋体" w:cs="Times New Roman"/>
          <w:spacing w:val="-2"/>
          <w:sz w:val="24"/>
          <w:szCs w:val="24"/>
          <w:lang w:val="en-US" w:eastAsia="zh-CN"/>
          <w14:textOutline w14:w="4358" w14:cap="sq" w14:cmpd="sng">
            <w14:solidFill>
              <w14:srgbClr w14:val="000000"/>
            </w14:solidFill>
            <w14:prstDash w14:val="solid"/>
            <w14:bevel/>
          </w14:textOutline>
        </w:rPr>
      </w:pPr>
      <w:r>
        <w:rPr>
          <w:rFonts w:hint="default" w:ascii="Times New Roman" w:hAnsi="Times New Roman" w:eastAsia="宋体" w:cs="Times New Roman"/>
          <w:spacing w:val="-2"/>
          <w:sz w:val="24"/>
          <w:szCs w:val="24"/>
          <w:lang w:val="en-US" w:eastAsia="zh-CN"/>
          <w14:textOutline w14:w="4358" w14:cap="sq" w14:cmpd="sng">
            <w14:solidFill>
              <w14:srgbClr w14:val="000000"/>
            </w14:solidFill>
            <w14:prstDash w14:val="solid"/>
            <w14:bevel/>
          </w14:textOutline>
        </w:rPr>
        <w:t>（4）监测单位及监测时间：</w:t>
      </w:r>
    </w:p>
    <w:p>
      <w:pPr>
        <w:keepNext w:val="0"/>
        <w:keepLines w:val="0"/>
        <w:pageBreakBefore w:val="0"/>
        <w:numPr>
          <w:ilvl w:val="0"/>
          <w:numId w:val="0"/>
        </w:numPr>
        <w:kinsoku w:val="0"/>
        <w:wordWrap/>
        <w:overflowPunct/>
        <w:topLinePunct w:val="0"/>
        <w:autoSpaceDE w:val="0"/>
        <w:autoSpaceDN w:val="0"/>
        <w:bidi w:val="0"/>
        <w:spacing w:line="360" w:lineRule="auto"/>
        <w:ind w:left="0"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黑龙江克巽检测技术有限公司</w:t>
      </w:r>
      <w:r>
        <w:rPr>
          <w:rFonts w:hint="default" w:ascii="Times New Roman" w:hAnsi="Times New Roman" w:eastAsia="宋体" w:cs="Times New Roman"/>
          <w:color w:val="auto"/>
          <w:sz w:val="24"/>
          <w:highlight w:val="none"/>
        </w:rPr>
        <w:t>于202</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val="en-US" w:eastAsia="zh-CN"/>
        </w:rPr>
        <w:t>11</w:t>
      </w:r>
      <w:r>
        <w:rPr>
          <w:rFonts w:hint="default" w:ascii="Times New Roman" w:hAnsi="Times New Roman" w:eastAsia="宋体" w:cs="Times New Roman"/>
          <w:color w:val="auto"/>
          <w:sz w:val="24"/>
          <w:highlight w:val="none"/>
        </w:rPr>
        <w:t>月2</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日进行监测。</w:t>
      </w:r>
    </w:p>
    <w:p>
      <w:pPr>
        <w:pStyle w:val="32"/>
        <w:numPr>
          <w:ilvl w:val="0"/>
          <w:numId w:val="3"/>
        </w:numPr>
        <w:ind w:left="0" w:leftChars="0" w:firstLine="472" w:firstLineChars="200"/>
        <w:rPr>
          <w:rFonts w:hint="default" w:ascii="Times New Roman" w:hAnsi="Times New Roman" w:eastAsia="宋体" w:cs="Times New Roman"/>
          <w:spacing w:val="-2"/>
          <w:sz w:val="24"/>
          <w:szCs w:val="24"/>
          <w:lang w:val="en-US" w:eastAsia="zh-CN"/>
          <w14:textOutline w14:w="4358" w14:cap="sq" w14:cmpd="sng">
            <w14:solidFill>
              <w14:srgbClr w14:val="000000"/>
            </w14:solidFill>
            <w14:prstDash w14:val="solid"/>
            <w14:bevel/>
          </w14:textOutline>
        </w:rPr>
      </w:pPr>
      <w:r>
        <w:rPr>
          <w:rFonts w:hint="default" w:ascii="Times New Roman" w:hAnsi="Times New Roman" w:eastAsia="宋体" w:cs="Times New Roman"/>
          <w:spacing w:val="-2"/>
          <w:sz w:val="24"/>
          <w:szCs w:val="24"/>
          <w:lang w:val="en-US" w:eastAsia="zh-CN"/>
          <w14:textOutline w14:w="4358" w14:cap="sq" w14:cmpd="sng">
            <w14:solidFill>
              <w14:srgbClr w14:val="000000"/>
            </w14:solidFill>
            <w14:prstDash w14:val="solid"/>
            <w14:bevel/>
          </w14:textOutline>
        </w:rPr>
        <w:t>监测结果</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430" w:firstLineChars="200"/>
        <w:jc w:val="center"/>
        <w:textAlignment w:val="baseline"/>
        <w:rPr>
          <w:rFonts w:hint="default" w:ascii="Times New Roman" w:hAnsi="Times New Roman" w:eastAsia="宋体" w:cs="Times New Roman"/>
          <w:b/>
          <w:bCs/>
          <w:spacing w:val="7"/>
          <w:sz w:val="20"/>
          <w:szCs w:val="20"/>
          <w:highlight w:val="none"/>
          <w:lang w:val="en-US" w:eastAsia="zh-CN"/>
        </w:rPr>
      </w:pPr>
      <w:r>
        <w:rPr>
          <w:rFonts w:hint="default" w:ascii="Times New Roman" w:hAnsi="Times New Roman" w:eastAsia="宋体" w:cs="Times New Roman"/>
          <w:b/>
          <w:bCs/>
          <w:spacing w:val="7"/>
          <w:sz w:val="20"/>
          <w:szCs w:val="20"/>
          <w:highlight w:val="none"/>
          <w:lang w:val="en-US" w:eastAsia="zh-CN"/>
        </w:rPr>
        <w:t>表4-5-3 地下水质量监测结果</w:t>
      </w:r>
    </w:p>
    <w:tbl>
      <w:tblPr>
        <w:tblStyle w:val="24"/>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66"/>
        <w:gridCol w:w="2171"/>
        <w:gridCol w:w="2171"/>
        <w:gridCol w:w="2175"/>
        <w:gridCol w:w="13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cs="Times New Roman"/>
                <w:b/>
                <w:bCs/>
                <w:kern w:val="0"/>
                <w:szCs w:val="21"/>
              </w:rPr>
            </w:pPr>
            <w:r>
              <w:rPr>
                <w:rFonts w:hint="default" w:ascii="Times New Roman" w:hAnsi="Times New Roman" w:cs="Times New Roman"/>
                <w:b/>
                <w:bCs/>
                <w:kern w:val="0"/>
                <w:szCs w:val="21"/>
                <w:lang w:val="en-US" w:eastAsia="zh-CN"/>
              </w:rPr>
              <w:t>送</w:t>
            </w:r>
            <w:r>
              <w:rPr>
                <w:rFonts w:hint="default" w:ascii="Times New Roman" w:hAnsi="Times New Roman" w:cs="Times New Roman"/>
                <w:b/>
                <w:bCs/>
                <w:kern w:val="0"/>
                <w:szCs w:val="21"/>
              </w:rPr>
              <w:t>样日期</w:t>
            </w:r>
          </w:p>
        </w:tc>
        <w:tc>
          <w:tcPr>
            <w:tcW w:w="3506" w:type="pct"/>
            <w:gridSpan w:val="3"/>
            <w:vAlign w:val="center"/>
          </w:tcPr>
          <w:p>
            <w:pPr>
              <w:jc w:val="center"/>
              <w:rPr>
                <w:rFonts w:hint="default" w:ascii="Times New Roman" w:hAnsi="Times New Roman" w:eastAsia="宋体" w:cs="Times New Roman"/>
                <w:b/>
                <w:bCs/>
                <w:szCs w:val="21"/>
                <w:lang w:val="en-US" w:eastAsia="zh-CN"/>
              </w:rPr>
            </w:pPr>
            <w:r>
              <w:rPr>
                <w:rFonts w:hint="default" w:ascii="Times New Roman" w:hAnsi="Times New Roman" w:cs="Times New Roman"/>
                <w:b/>
                <w:bCs/>
                <w:szCs w:val="21"/>
              </w:rPr>
              <w:t>202</w:t>
            </w:r>
            <w:r>
              <w:rPr>
                <w:rFonts w:hint="default" w:ascii="Times New Roman" w:hAnsi="Times New Roman" w:cs="Times New Roman"/>
                <w:b/>
                <w:bCs/>
                <w:szCs w:val="21"/>
                <w:lang w:val="en-US" w:eastAsia="zh-CN"/>
              </w:rPr>
              <w:t>3.11.27</w:t>
            </w:r>
          </w:p>
        </w:tc>
        <w:tc>
          <w:tcPr>
            <w:tcW w:w="704" w:type="pct"/>
            <w:vAlign w:val="center"/>
          </w:tcPr>
          <w:p>
            <w:pPr>
              <w:jc w:val="center"/>
              <w:outlineLvl w:val="0"/>
              <w:rPr>
                <w:rFonts w:hint="default" w:ascii="Times New Roman" w:hAnsi="Times New Roman" w:cs="Times New Roman"/>
                <w:b/>
                <w:bCs/>
                <w:szCs w:val="21"/>
              </w:rPr>
            </w:pPr>
            <w:bookmarkStart w:id="235" w:name="_Toc8265"/>
            <w:bookmarkStart w:id="236" w:name="_Toc24356"/>
            <w:r>
              <w:rPr>
                <w:rFonts w:hint="default" w:ascii="Times New Roman" w:hAnsi="Times New Roman" w:cs="Times New Roman"/>
                <w:b/>
                <w:bCs/>
                <w:szCs w:val="21"/>
              </w:rPr>
              <w:t>/</w:t>
            </w:r>
            <w:bookmarkEnd w:id="235"/>
            <w:bookmarkEnd w:id="236"/>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cs="Times New Roman"/>
                <w:b/>
                <w:bCs/>
                <w:szCs w:val="21"/>
              </w:rPr>
            </w:pPr>
            <w:r>
              <w:rPr>
                <w:rFonts w:hint="default" w:ascii="Times New Roman" w:hAnsi="Times New Roman" w:cs="Times New Roman"/>
                <w:b/>
                <w:bCs/>
                <w:kern w:val="0"/>
                <w:szCs w:val="21"/>
              </w:rPr>
              <w:t>检测点位</w:t>
            </w:r>
          </w:p>
        </w:tc>
        <w:tc>
          <w:tcPr>
            <w:tcW w:w="1168" w:type="pct"/>
            <w:vAlign w:val="center"/>
          </w:tcPr>
          <w:p>
            <w:pPr>
              <w:jc w:val="center"/>
              <w:rPr>
                <w:rFonts w:hint="default" w:ascii="Times New Roman" w:hAnsi="Times New Roman" w:cs="Times New Roman"/>
                <w:b/>
                <w:bCs/>
                <w:szCs w:val="21"/>
              </w:rPr>
            </w:pPr>
            <w:r>
              <w:rPr>
                <w:rFonts w:hint="default" w:ascii="Times New Roman" w:hAnsi="Times New Roman" w:cs="Times New Roman"/>
                <w:b/>
                <w:bCs/>
                <w:szCs w:val="21"/>
              </w:rPr>
              <w:t>1#</w:t>
            </w:r>
          </w:p>
        </w:tc>
        <w:tc>
          <w:tcPr>
            <w:tcW w:w="1168" w:type="pct"/>
            <w:vAlign w:val="center"/>
          </w:tcPr>
          <w:p>
            <w:pPr>
              <w:jc w:val="center"/>
              <w:rPr>
                <w:rFonts w:hint="default" w:ascii="Times New Roman" w:hAnsi="Times New Roman" w:cs="Times New Roman"/>
                <w:b/>
                <w:bCs/>
                <w:szCs w:val="21"/>
              </w:rPr>
            </w:pPr>
            <w:r>
              <w:rPr>
                <w:rFonts w:hint="default" w:ascii="Times New Roman" w:hAnsi="Times New Roman" w:cs="Times New Roman"/>
                <w:b/>
                <w:bCs/>
                <w:szCs w:val="21"/>
              </w:rPr>
              <w:t>2#</w:t>
            </w:r>
          </w:p>
        </w:tc>
        <w:tc>
          <w:tcPr>
            <w:tcW w:w="1169" w:type="pct"/>
            <w:vAlign w:val="center"/>
          </w:tcPr>
          <w:p>
            <w:pPr>
              <w:jc w:val="center"/>
              <w:rPr>
                <w:rFonts w:hint="default" w:ascii="Times New Roman" w:hAnsi="Times New Roman" w:cs="Times New Roman"/>
                <w:b/>
                <w:bCs/>
                <w:szCs w:val="21"/>
              </w:rPr>
            </w:pPr>
            <w:r>
              <w:rPr>
                <w:rFonts w:hint="default" w:ascii="Times New Roman" w:hAnsi="Times New Roman" w:cs="Times New Roman"/>
                <w:b/>
                <w:bCs/>
                <w:szCs w:val="21"/>
              </w:rPr>
              <w:t>3#</w:t>
            </w:r>
          </w:p>
        </w:tc>
        <w:tc>
          <w:tcPr>
            <w:tcW w:w="704" w:type="pct"/>
            <w:vMerge w:val="restart"/>
            <w:vAlign w:val="center"/>
          </w:tcPr>
          <w:p>
            <w:pPr>
              <w:jc w:val="center"/>
              <w:rPr>
                <w:rFonts w:hint="default" w:ascii="Times New Roman" w:hAnsi="Times New Roman" w:cs="Times New Roman"/>
                <w:b/>
                <w:bCs/>
                <w:szCs w:val="21"/>
              </w:rPr>
            </w:pPr>
            <w:r>
              <w:rPr>
                <w:rFonts w:hint="default" w:ascii="Times New Roman" w:hAnsi="Times New Roman" w:cs="Times New Roman"/>
                <w:b/>
                <w:bCs/>
                <w:szCs w:val="21"/>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cs="Times New Roman"/>
                <w:b/>
                <w:bCs/>
                <w:kern w:val="0"/>
                <w:szCs w:val="21"/>
              </w:rPr>
            </w:pPr>
            <w:r>
              <w:rPr>
                <w:rFonts w:hint="default" w:ascii="Times New Roman" w:hAnsi="Times New Roman" w:cs="Times New Roman"/>
                <w:b/>
                <w:bCs/>
                <w:kern w:val="0"/>
                <w:szCs w:val="21"/>
              </w:rPr>
              <w:t>检测项目</w:t>
            </w:r>
          </w:p>
        </w:tc>
        <w:tc>
          <w:tcPr>
            <w:tcW w:w="3506" w:type="pct"/>
            <w:gridSpan w:val="3"/>
            <w:vAlign w:val="center"/>
          </w:tcPr>
          <w:p>
            <w:pPr>
              <w:jc w:val="center"/>
              <w:rPr>
                <w:rFonts w:hint="default" w:ascii="Times New Roman" w:hAnsi="Times New Roman" w:cs="Times New Roman"/>
                <w:b/>
                <w:bCs/>
                <w:szCs w:val="21"/>
              </w:rPr>
            </w:pPr>
            <w:r>
              <w:rPr>
                <w:rFonts w:hint="default" w:ascii="Times New Roman" w:hAnsi="Times New Roman" w:cs="Times New Roman"/>
                <w:b/>
                <w:bCs/>
                <w:szCs w:val="21"/>
              </w:rPr>
              <w:t>检测结果</w:t>
            </w:r>
          </w:p>
        </w:tc>
        <w:tc>
          <w:tcPr>
            <w:tcW w:w="704" w:type="pct"/>
            <w:vMerge w:val="continue"/>
            <w:vAlign w:val="center"/>
          </w:tcPr>
          <w:p>
            <w:pPr>
              <w:jc w:val="center"/>
              <w:rPr>
                <w:rFonts w:hint="default" w:ascii="Times New Roman" w:hAnsi="Times New Roman"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cs="Times New Roman"/>
                <w:szCs w:val="21"/>
              </w:rPr>
            </w:pPr>
            <w:r>
              <w:rPr>
                <w:rFonts w:hint="default" w:ascii="Times New Roman" w:hAnsi="Times New Roman" w:cs="Times New Roman"/>
                <w:szCs w:val="21"/>
              </w:rPr>
              <w:t>K</w:t>
            </w:r>
            <w:r>
              <w:rPr>
                <w:rFonts w:hint="default" w:ascii="Times New Roman" w:hAnsi="Times New Roman" w:cs="Times New Roman"/>
                <w:szCs w:val="21"/>
                <w:vertAlign w:val="superscript"/>
              </w:rPr>
              <w:t>+</w:t>
            </w:r>
          </w:p>
        </w:tc>
        <w:tc>
          <w:tcPr>
            <w:tcW w:w="1168"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0.86</w:t>
            </w:r>
          </w:p>
        </w:tc>
        <w:tc>
          <w:tcPr>
            <w:tcW w:w="1168"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0.83</w:t>
            </w:r>
          </w:p>
        </w:tc>
        <w:tc>
          <w:tcPr>
            <w:tcW w:w="1169"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0.66</w:t>
            </w:r>
          </w:p>
        </w:tc>
        <w:tc>
          <w:tcPr>
            <w:tcW w:w="704" w:type="pct"/>
            <w:vAlign w:val="center"/>
          </w:tcPr>
          <w:p>
            <w:pPr>
              <w:jc w:val="center"/>
              <w:outlineLvl w:val="0"/>
              <w:rPr>
                <w:rFonts w:hint="default" w:ascii="Times New Roman" w:hAnsi="Times New Roman" w:cs="Times New Roman"/>
                <w:szCs w:val="21"/>
              </w:rPr>
            </w:pPr>
            <w:bookmarkStart w:id="237" w:name="_Toc14684"/>
            <w:bookmarkStart w:id="238" w:name="_Toc7622"/>
            <w:r>
              <w:rPr>
                <w:rFonts w:hint="default" w:ascii="Times New Roman" w:hAnsi="Times New Roman" w:cs="Times New Roman"/>
                <w:szCs w:val="21"/>
              </w:rPr>
              <w:t>mg/L</w:t>
            </w:r>
            <w:bookmarkEnd w:id="237"/>
            <w:bookmarkEnd w:id="238"/>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cs="Times New Roman"/>
                <w:szCs w:val="21"/>
              </w:rPr>
            </w:pPr>
            <w:r>
              <w:rPr>
                <w:rFonts w:hint="default" w:ascii="Times New Roman" w:hAnsi="Times New Roman" w:cs="Times New Roman"/>
                <w:szCs w:val="21"/>
              </w:rPr>
              <w:t>Na</w:t>
            </w:r>
            <w:r>
              <w:rPr>
                <w:rFonts w:hint="default" w:ascii="Times New Roman" w:hAnsi="Times New Roman" w:cs="Times New Roman"/>
                <w:szCs w:val="21"/>
                <w:vertAlign w:val="superscript"/>
              </w:rPr>
              <w:t>+</w:t>
            </w:r>
          </w:p>
        </w:tc>
        <w:tc>
          <w:tcPr>
            <w:tcW w:w="1168"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37.1</w:t>
            </w:r>
          </w:p>
        </w:tc>
        <w:tc>
          <w:tcPr>
            <w:tcW w:w="1168"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37.3</w:t>
            </w:r>
          </w:p>
        </w:tc>
        <w:tc>
          <w:tcPr>
            <w:tcW w:w="1169"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37.7</w:t>
            </w:r>
          </w:p>
        </w:tc>
        <w:tc>
          <w:tcPr>
            <w:tcW w:w="704" w:type="pct"/>
            <w:vAlign w:val="center"/>
          </w:tcPr>
          <w:p>
            <w:pPr>
              <w:jc w:val="center"/>
              <w:outlineLvl w:val="0"/>
              <w:rPr>
                <w:rFonts w:hint="default" w:ascii="Times New Roman" w:hAnsi="Times New Roman" w:cs="Times New Roman"/>
                <w:szCs w:val="21"/>
              </w:rPr>
            </w:pPr>
            <w:bookmarkStart w:id="239" w:name="_Toc19046"/>
            <w:bookmarkStart w:id="240" w:name="_Toc8815"/>
            <w:r>
              <w:rPr>
                <w:rFonts w:hint="default" w:ascii="Times New Roman" w:hAnsi="Times New Roman" w:cs="Times New Roman"/>
                <w:szCs w:val="21"/>
              </w:rPr>
              <w:t>mg/L</w:t>
            </w:r>
            <w:bookmarkEnd w:id="239"/>
            <w:bookmarkEnd w:id="240"/>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cs="Times New Roman"/>
                <w:szCs w:val="21"/>
              </w:rPr>
            </w:pPr>
            <w:r>
              <w:rPr>
                <w:rFonts w:hint="default" w:ascii="Times New Roman" w:hAnsi="Times New Roman" w:cs="Times New Roman"/>
                <w:szCs w:val="21"/>
              </w:rPr>
              <w:t>Ca</w:t>
            </w:r>
            <w:r>
              <w:rPr>
                <w:rFonts w:hint="default" w:ascii="Times New Roman" w:hAnsi="Times New Roman" w:cs="Times New Roman"/>
                <w:szCs w:val="21"/>
                <w:vertAlign w:val="superscript"/>
              </w:rPr>
              <w:t>2+</w:t>
            </w:r>
          </w:p>
        </w:tc>
        <w:tc>
          <w:tcPr>
            <w:tcW w:w="1168"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77.9</w:t>
            </w:r>
          </w:p>
        </w:tc>
        <w:tc>
          <w:tcPr>
            <w:tcW w:w="1168"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78.6</w:t>
            </w:r>
          </w:p>
        </w:tc>
        <w:tc>
          <w:tcPr>
            <w:tcW w:w="1169"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78.2</w:t>
            </w:r>
          </w:p>
        </w:tc>
        <w:tc>
          <w:tcPr>
            <w:tcW w:w="704" w:type="pct"/>
            <w:vAlign w:val="center"/>
          </w:tcPr>
          <w:p>
            <w:pPr>
              <w:jc w:val="center"/>
              <w:outlineLvl w:val="0"/>
              <w:rPr>
                <w:rFonts w:hint="default" w:ascii="Times New Roman" w:hAnsi="Times New Roman" w:cs="Times New Roman"/>
                <w:szCs w:val="21"/>
              </w:rPr>
            </w:pPr>
            <w:bookmarkStart w:id="241" w:name="_Toc29474"/>
            <w:bookmarkStart w:id="242" w:name="_Toc9418"/>
            <w:r>
              <w:rPr>
                <w:rFonts w:hint="default" w:ascii="Times New Roman" w:hAnsi="Times New Roman" w:cs="Times New Roman"/>
                <w:szCs w:val="21"/>
              </w:rPr>
              <w:t>mg/L</w:t>
            </w:r>
            <w:bookmarkEnd w:id="241"/>
            <w:bookmarkEnd w:id="242"/>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cs="Times New Roman"/>
                <w:szCs w:val="21"/>
              </w:rPr>
            </w:pPr>
            <w:r>
              <w:rPr>
                <w:rFonts w:hint="default" w:ascii="Times New Roman" w:hAnsi="Times New Roman" w:cs="Times New Roman"/>
                <w:szCs w:val="21"/>
              </w:rPr>
              <w:t>Mg</w:t>
            </w:r>
            <w:r>
              <w:rPr>
                <w:rFonts w:hint="default" w:ascii="Times New Roman" w:hAnsi="Times New Roman" w:cs="Times New Roman"/>
                <w:szCs w:val="21"/>
                <w:vertAlign w:val="superscript"/>
              </w:rPr>
              <w:t>2+</w:t>
            </w:r>
          </w:p>
        </w:tc>
        <w:tc>
          <w:tcPr>
            <w:tcW w:w="1168"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17.9</w:t>
            </w:r>
          </w:p>
        </w:tc>
        <w:tc>
          <w:tcPr>
            <w:tcW w:w="1168"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18.5</w:t>
            </w:r>
          </w:p>
        </w:tc>
        <w:tc>
          <w:tcPr>
            <w:tcW w:w="1169"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18.7</w:t>
            </w:r>
          </w:p>
        </w:tc>
        <w:tc>
          <w:tcPr>
            <w:tcW w:w="704" w:type="pct"/>
            <w:vAlign w:val="center"/>
          </w:tcPr>
          <w:p>
            <w:pPr>
              <w:jc w:val="center"/>
              <w:outlineLvl w:val="0"/>
              <w:rPr>
                <w:rFonts w:hint="default" w:ascii="Times New Roman" w:hAnsi="Times New Roman" w:cs="Times New Roman"/>
                <w:szCs w:val="21"/>
              </w:rPr>
            </w:pPr>
            <w:bookmarkStart w:id="243" w:name="_Toc29842"/>
            <w:bookmarkStart w:id="244" w:name="_Toc5544"/>
            <w:r>
              <w:rPr>
                <w:rFonts w:hint="default" w:ascii="Times New Roman" w:hAnsi="Times New Roman" w:cs="Times New Roman"/>
                <w:szCs w:val="21"/>
              </w:rPr>
              <w:t>mg/L</w:t>
            </w:r>
            <w:bookmarkEnd w:id="243"/>
            <w:bookmarkEnd w:id="244"/>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cs="Times New Roman"/>
                <w:szCs w:val="21"/>
              </w:rPr>
            </w:pPr>
            <w:r>
              <w:rPr>
                <w:rFonts w:hint="default" w:ascii="Times New Roman" w:hAnsi="Times New Roman" w:cs="Times New Roman"/>
                <w:szCs w:val="21"/>
              </w:rPr>
              <w:t>CO</w:t>
            </w:r>
            <w:r>
              <w:rPr>
                <w:rFonts w:hint="default" w:ascii="Times New Roman" w:hAnsi="Times New Roman" w:cs="Times New Roman"/>
                <w:szCs w:val="21"/>
                <w:vertAlign w:val="subscript"/>
              </w:rPr>
              <w:t>3</w:t>
            </w:r>
            <w:r>
              <w:rPr>
                <w:rFonts w:hint="default" w:ascii="Times New Roman" w:hAnsi="Times New Roman" w:cs="Times New Roman"/>
                <w:szCs w:val="21"/>
                <w:vertAlign w:val="superscript"/>
              </w:rPr>
              <w:t>2-</w:t>
            </w:r>
          </w:p>
        </w:tc>
        <w:tc>
          <w:tcPr>
            <w:tcW w:w="1168" w:type="pct"/>
            <w:vAlign w:val="center"/>
          </w:tcPr>
          <w:p>
            <w:pPr>
              <w:widowControl/>
              <w:jc w:val="center"/>
              <w:textAlignment w:val="center"/>
              <w:rPr>
                <w:rFonts w:hint="default" w:ascii="Times New Roman" w:hAnsi="Times New Roman" w:cs="Times New Roman"/>
                <w:szCs w:val="21"/>
                <w:highlight w:val="none"/>
              </w:rPr>
            </w:pPr>
            <w:r>
              <w:rPr>
                <w:rFonts w:hint="default" w:ascii="Times New Roman" w:hAnsi="Times New Roman" w:cs="Times New Roman"/>
                <w:szCs w:val="21"/>
                <w:highlight w:val="none"/>
              </w:rPr>
              <w:t>5（L）</w:t>
            </w:r>
          </w:p>
        </w:tc>
        <w:tc>
          <w:tcPr>
            <w:tcW w:w="1168" w:type="pct"/>
            <w:vAlign w:val="center"/>
          </w:tcPr>
          <w:p>
            <w:pPr>
              <w:widowControl/>
              <w:jc w:val="center"/>
              <w:textAlignment w:val="center"/>
              <w:rPr>
                <w:rFonts w:hint="default" w:ascii="Times New Roman" w:hAnsi="Times New Roman" w:cs="Times New Roman"/>
                <w:szCs w:val="21"/>
                <w:highlight w:val="none"/>
              </w:rPr>
            </w:pPr>
            <w:r>
              <w:rPr>
                <w:rFonts w:hint="default" w:ascii="Times New Roman" w:hAnsi="Times New Roman" w:cs="Times New Roman"/>
                <w:szCs w:val="21"/>
                <w:highlight w:val="none"/>
              </w:rPr>
              <w:t>5（L）</w:t>
            </w:r>
          </w:p>
        </w:tc>
        <w:tc>
          <w:tcPr>
            <w:tcW w:w="1169" w:type="pct"/>
            <w:vAlign w:val="center"/>
          </w:tcPr>
          <w:p>
            <w:pPr>
              <w:widowControl/>
              <w:jc w:val="center"/>
              <w:textAlignment w:val="center"/>
              <w:rPr>
                <w:rFonts w:hint="default" w:ascii="Times New Roman" w:hAnsi="Times New Roman" w:cs="Times New Roman"/>
                <w:szCs w:val="21"/>
                <w:highlight w:val="none"/>
              </w:rPr>
            </w:pPr>
            <w:r>
              <w:rPr>
                <w:rFonts w:hint="default" w:ascii="Times New Roman" w:hAnsi="Times New Roman" w:cs="Times New Roman"/>
                <w:szCs w:val="21"/>
                <w:highlight w:val="none"/>
              </w:rPr>
              <w:t>5（L）</w:t>
            </w:r>
          </w:p>
        </w:tc>
        <w:tc>
          <w:tcPr>
            <w:tcW w:w="704" w:type="pct"/>
            <w:vAlign w:val="center"/>
          </w:tcPr>
          <w:p>
            <w:pPr>
              <w:jc w:val="center"/>
              <w:outlineLvl w:val="0"/>
              <w:rPr>
                <w:rFonts w:hint="default" w:ascii="Times New Roman" w:hAnsi="Times New Roman" w:cs="Times New Roman"/>
                <w:szCs w:val="21"/>
              </w:rPr>
            </w:pPr>
            <w:bookmarkStart w:id="245" w:name="_Toc4045"/>
            <w:bookmarkStart w:id="246" w:name="_Toc8304"/>
            <w:r>
              <w:rPr>
                <w:rFonts w:hint="default" w:ascii="Times New Roman" w:hAnsi="Times New Roman" w:cs="Times New Roman"/>
                <w:szCs w:val="21"/>
              </w:rPr>
              <w:t>mg/L</w:t>
            </w:r>
            <w:bookmarkEnd w:id="245"/>
            <w:bookmarkEnd w:id="246"/>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cs="Times New Roman"/>
                <w:szCs w:val="21"/>
              </w:rPr>
            </w:pPr>
            <w:r>
              <w:rPr>
                <w:rFonts w:hint="default" w:ascii="Times New Roman" w:hAnsi="Times New Roman" w:cs="Times New Roman"/>
                <w:szCs w:val="21"/>
              </w:rPr>
              <w:t>HCO</w:t>
            </w:r>
            <w:r>
              <w:rPr>
                <w:rFonts w:hint="default" w:ascii="Times New Roman" w:hAnsi="Times New Roman" w:cs="Times New Roman"/>
                <w:szCs w:val="21"/>
                <w:vertAlign w:val="subscript"/>
              </w:rPr>
              <w:t>3</w:t>
            </w:r>
            <w:r>
              <w:rPr>
                <w:rFonts w:hint="default" w:ascii="Times New Roman" w:hAnsi="Times New Roman" w:cs="Times New Roman"/>
                <w:szCs w:val="21"/>
                <w:vertAlign w:val="superscript"/>
              </w:rPr>
              <w:t>-</w:t>
            </w:r>
          </w:p>
        </w:tc>
        <w:tc>
          <w:tcPr>
            <w:tcW w:w="1168" w:type="pct"/>
            <w:vAlign w:val="center"/>
          </w:tcPr>
          <w:p>
            <w:pPr>
              <w:widowControl/>
              <w:jc w:val="center"/>
              <w:textAlignment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409</w:t>
            </w:r>
          </w:p>
        </w:tc>
        <w:tc>
          <w:tcPr>
            <w:tcW w:w="1168" w:type="pct"/>
            <w:vAlign w:val="center"/>
          </w:tcPr>
          <w:p>
            <w:pPr>
              <w:widowControl/>
              <w:jc w:val="center"/>
              <w:textAlignment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424</w:t>
            </w:r>
          </w:p>
        </w:tc>
        <w:tc>
          <w:tcPr>
            <w:tcW w:w="1169" w:type="pct"/>
            <w:vAlign w:val="center"/>
          </w:tcPr>
          <w:p>
            <w:pPr>
              <w:widowControl/>
              <w:jc w:val="center"/>
              <w:textAlignment w:val="center"/>
              <w:rPr>
                <w:rFonts w:hint="default" w:ascii="Times New Roman" w:hAnsi="Times New Roman" w:cs="Times New Roman"/>
                <w:szCs w:val="21"/>
                <w:highlight w:val="yellow"/>
                <w:lang w:val="en-US" w:eastAsia="zh-CN"/>
              </w:rPr>
            </w:pPr>
            <w:r>
              <w:rPr>
                <w:rFonts w:hint="default" w:ascii="Times New Roman" w:hAnsi="Times New Roman" w:cs="Times New Roman"/>
                <w:szCs w:val="21"/>
                <w:highlight w:val="none"/>
                <w:lang w:val="en-US" w:eastAsia="zh-CN"/>
              </w:rPr>
              <w:t>431</w:t>
            </w:r>
          </w:p>
        </w:tc>
        <w:tc>
          <w:tcPr>
            <w:tcW w:w="704" w:type="pct"/>
            <w:vAlign w:val="center"/>
          </w:tcPr>
          <w:p>
            <w:pPr>
              <w:jc w:val="center"/>
              <w:outlineLvl w:val="0"/>
              <w:rPr>
                <w:rFonts w:hint="default" w:ascii="Times New Roman" w:hAnsi="Times New Roman" w:cs="Times New Roman"/>
                <w:szCs w:val="21"/>
              </w:rPr>
            </w:pPr>
            <w:bookmarkStart w:id="247" w:name="_Toc26667"/>
            <w:bookmarkStart w:id="248" w:name="_Toc22628"/>
            <w:r>
              <w:rPr>
                <w:rFonts w:hint="default" w:ascii="Times New Roman" w:hAnsi="Times New Roman" w:cs="Times New Roman"/>
                <w:szCs w:val="21"/>
              </w:rPr>
              <w:t>mg/L</w:t>
            </w:r>
            <w:bookmarkEnd w:id="247"/>
            <w:bookmarkEnd w:id="248"/>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cs="Times New Roman"/>
                <w:szCs w:val="21"/>
              </w:rPr>
            </w:pPr>
            <w:r>
              <w:rPr>
                <w:rFonts w:hint="default" w:ascii="Times New Roman" w:hAnsi="Times New Roman" w:cs="Times New Roman"/>
                <w:szCs w:val="21"/>
              </w:rPr>
              <w:t>Cl</w:t>
            </w:r>
            <w:r>
              <w:rPr>
                <w:rFonts w:hint="default" w:ascii="Times New Roman" w:hAnsi="Times New Roman" w:cs="Times New Roman"/>
                <w:szCs w:val="21"/>
                <w:vertAlign w:val="superscript"/>
              </w:rPr>
              <w:t>-</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3.88</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3.92</w:t>
            </w:r>
          </w:p>
        </w:tc>
        <w:tc>
          <w:tcPr>
            <w:tcW w:w="1169"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3.97</w:t>
            </w:r>
          </w:p>
        </w:tc>
        <w:tc>
          <w:tcPr>
            <w:tcW w:w="704" w:type="pct"/>
            <w:vAlign w:val="center"/>
          </w:tcPr>
          <w:p>
            <w:pPr>
              <w:jc w:val="center"/>
              <w:outlineLvl w:val="0"/>
              <w:rPr>
                <w:rFonts w:hint="default" w:ascii="Times New Roman" w:hAnsi="Times New Roman" w:cs="Times New Roman"/>
                <w:szCs w:val="21"/>
              </w:rPr>
            </w:pPr>
            <w:bookmarkStart w:id="249" w:name="_Toc1742"/>
            <w:bookmarkStart w:id="250" w:name="_Toc5716"/>
            <w:r>
              <w:rPr>
                <w:rFonts w:hint="default" w:ascii="Times New Roman" w:hAnsi="Times New Roman" w:cs="Times New Roman"/>
                <w:szCs w:val="21"/>
              </w:rPr>
              <w:t>mg/L</w:t>
            </w:r>
            <w:bookmarkEnd w:id="249"/>
            <w:bookmarkEnd w:id="250"/>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cs="Times New Roman"/>
                <w:szCs w:val="21"/>
              </w:rPr>
            </w:pPr>
            <w:r>
              <w:rPr>
                <w:rFonts w:hint="default" w:ascii="Times New Roman" w:hAnsi="Times New Roman" w:cs="Times New Roman"/>
                <w:szCs w:val="21"/>
              </w:rPr>
              <w:t>SO</w:t>
            </w:r>
            <w:r>
              <w:rPr>
                <w:rFonts w:hint="default" w:ascii="Times New Roman" w:hAnsi="Times New Roman" w:cs="Times New Roman"/>
                <w:szCs w:val="21"/>
                <w:vertAlign w:val="subscript"/>
              </w:rPr>
              <w:t>4</w:t>
            </w:r>
            <w:r>
              <w:rPr>
                <w:rFonts w:hint="default" w:ascii="Times New Roman" w:hAnsi="Times New Roman" w:cs="Times New Roman"/>
                <w:szCs w:val="21"/>
                <w:vertAlign w:val="superscript"/>
              </w:rPr>
              <w:t>2-</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4.20</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4.42</w:t>
            </w:r>
          </w:p>
        </w:tc>
        <w:tc>
          <w:tcPr>
            <w:tcW w:w="1169"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4.12</w:t>
            </w:r>
          </w:p>
        </w:tc>
        <w:tc>
          <w:tcPr>
            <w:tcW w:w="704" w:type="pct"/>
            <w:vAlign w:val="center"/>
          </w:tcPr>
          <w:p>
            <w:pPr>
              <w:jc w:val="center"/>
              <w:outlineLvl w:val="0"/>
              <w:rPr>
                <w:rFonts w:hint="default" w:ascii="Times New Roman" w:hAnsi="Times New Roman" w:cs="Times New Roman"/>
                <w:szCs w:val="21"/>
              </w:rPr>
            </w:pPr>
            <w:bookmarkStart w:id="251" w:name="_Toc477"/>
            <w:bookmarkStart w:id="252" w:name="_Toc7952"/>
            <w:r>
              <w:rPr>
                <w:rFonts w:hint="default" w:ascii="Times New Roman" w:hAnsi="Times New Roman" w:cs="Times New Roman"/>
                <w:szCs w:val="21"/>
              </w:rPr>
              <w:t>mg/L</w:t>
            </w:r>
            <w:bookmarkEnd w:id="251"/>
            <w:bookmarkEnd w:id="252"/>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cs="Times New Roman"/>
                <w:szCs w:val="21"/>
              </w:rPr>
            </w:pPr>
            <w:r>
              <w:rPr>
                <w:rFonts w:hint="default" w:ascii="Times New Roman" w:hAnsi="Times New Roman" w:cs="Times New Roman"/>
                <w:szCs w:val="21"/>
              </w:rPr>
              <w:t>pH</w:t>
            </w:r>
          </w:p>
        </w:tc>
        <w:tc>
          <w:tcPr>
            <w:tcW w:w="1168"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7.4</w:t>
            </w:r>
          </w:p>
        </w:tc>
        <w:tc>
          <w:tcPr>
            <w:tcW w:w="1168"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7.4</w:t>
            </w:r>
          </w:p>
        </w:tc>
        <w:tc>
          <w:tcPr>
            <w:tcW w:w="1169"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7.5</w:t>
            </w:r>
          </w:p>
        </w:tc>
        <w:tc>
          <w:tcPr>
            <w:tcW w:w="704" w:type="pct"/>
            <w:vAlign w:val="center"/>
          </w:tcPr>
          <w:p>
            <w:pPr>
              <w:jc w:val="center"/>
              <w:outlineLvl w:val="0"/>
              <w:rPr>
                <w:rFonts w:hint="default" w:ascii="Times New Roman" w:hAnsi="Times New Roman" w:cs="Times New Roman"/>
                <w:szCs w:val="21"/>
              </w:rPr>
            </w:pPr>
            <w:bookmarkStart w:id="253" w:name="_Toc24893"/>
            <w:bookmarkStart w:id="254" w:name="_Toc8553"/>
            <w:r>
              <w:rPr>
                <w:rFonts w:hint="default" w:ascii="Times New Roman" w:hAnsi="Times New Roman" w:cs="Times New Roman"/>
                <w:szCs w:val="21"/>
              </w:rPr>
              <w:t>无量纲</w:t>
            </w:r>
            <w:bookmarkEnd w:id="253"/>
            <w:bookmarkEnd w:id="254"/>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cs="Times New Roman"/>
                <w:szCs w:val="21"/>
              </w:rPr>
            </w:pPr>
            <w:r>
              <w:rPr>
                <w:rFonts w:hint="default" w:ascii="Times New Roman" w:hAnsi="Times New Roman" w:cs="Times New Roman"/>
                <w:szCs w:val="21"/>
              </w:rPr>
              <w:t>氨氮</w:t>
            </w:r>
          </w:p>
        </w:tc>
        <w:tc>
          <w:tcPr>
            <w:tcW w:w="1168"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0.248</w:t>
            </w:r>
          </w:p>
        </w:tc>
        <w:tc>
          <w:tcPr>
            <w:tcW w:w="1168"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0.366</w:t>
            </w:r>
          </w:p>
        </w:tc>
        <w:tc>
          <w:tcPr>
            <w:tcW w:w="1169"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0.451</w:t>
            </w:r>
          </w:p>
        </w:tc>
        <w:tc>
          <w:tcPr>
            <w:tcW w:w="704" w:type="pct"/>
            <w:vAlign w:val="center"/>
          </w:tcPr>
          <w:p>
            <w:pPr>
              <w:jc w:val="center"/>
              <w:outlineLvl w:val="0"/>
              <w:rPr>
                <w:rFonts w:hint="default" w:ascii="Times New Roman" w:hAnsi="Times New Roman" w:cs="Times New Roman"/>
                <w:szCs w:val="21"/>
              </w:rPr>
            </w:pPr>
            <w:bookmarkStart w:id="255" w:name="_Toc22562"/>
            <w:bookmarkStart w:id="256" w:name="_Toc4391"/>
            <w:r>
              <w:rPr>
                <w:rFonts w:hint="default" w:ascii="Times New Roman" w:hAnsi="Times New Roman" w:cs="Times New Roman"/>
                <w:szCs w:val="21"/>
              </w:rPr>
              <w:t>mg/L</w:t>
            </w:r>
            <w:bookmarkEnd w:id="255"/>
            <w:bookmarkEnd w:id="256"/>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rPr>
              <w:t>硝酸盐</w:t>
            </w:r>
            <w:r>
              <w:rPr>
                <w:rFonts w:hint="default" w:ascii="Times New Roman" w:hAnsi="Times New Roman" w:cs="Times New Roman"/>
                <w:szCs w:val="21"/>
                <w:lang w:val="en-US" w:eastAsia="zh-CN"/>
              </w:rPr>
              <w:t>氮</w:t>
            </w:r>
          </w:p>
        </w:tc>
        <w:tc>
          <w:tcPr>
            <w:tcW w:w="1168"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0.016L</w:t>
            </w:r>
          </w:p>
        </w:tc>
        <w:tc>
          <w:tcPr>
            <w:tcW w:w="1168"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0.016L</w:t>
            </w:r>
          </w:p>
        </w:tc>
        <w:tc>
          <w:tcPr>
            <w:tcW w:w="1169"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0.016L</w:t>
            </w:r>
          </w:p>
        </w:tc>
        <w:tc>
          <w:tcPr>
            <w:tcW w:w="704" w:type="pct"/>
            <w:vAlign w:val="center"/>
          </w:tcPr>
          <w:p>
            <w:pPr>
              <w:jc w:val="center"/>
              <w:outlineLvl w:val="0"/>
              <w:rPr>
                <w:rFonts w:hint="default" w:ascii="Times New Roman" w:hAnsi="Times New Roman" w:cs="Times New Roman"/>
                <w:szCs w:val="21"/>
              </w:rPr>
            </w:pPr>
            <w:bookmarkStart w:id="257" w:name="_Toc86"/>
            <w:bookmarkStart w:id="258" w:name="_Toc6200"/>
            <w:r>
              <w:rPr>
                <w:rFonts w:hint="default" w:ascii="Times New Roman" w:hAnsi="Times New Roman" w:cs="Times New Roman"/>
                <w:szCs w:val="21"/>
              </w:rPr>
              <w:t>mg/L</w:t>
            </w:r>
            <w:bookmarkEnd w:id="257"/>
            <w:bookmarkEnd w:id="258"/>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rPr>
              <w:t>亚硝酸盐</w:t>
            </w:r>
            <w:r>
              <w:rPr>
                <w:rFonts w:hint="default" w:ascii="Times New Roman" w:hAnsi="Times New Roman" w:cs="Times New Roman"/>
                <w:szCs w:val="21"/>
                <w:lang w:val="en-US" w:eastAsia="zh-CN"/>
              </w:rPr>
              <w:t>氮</w:t>
            </w:r>
          </w:p>
        </w:tc>
        <w:tc>
          <w:tcPr>
            <w:tcW w:w="1168" w:type="pct"/>
            <w:vAlign w:val="center"/>
          </w:tcPr>
          <w:p>
            <w:pPr>
              <w:widowControl/>
              <w:jc w:val="center"/>
              <w:textAlignment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0.016L</w:t>
            </w:r>
          </w:p>
        </w:tc>
        <w:tc>
          <w:tcPr>
            <w:tcW w:w="1168" w:type="pct"/>
            <w:vAlign w:val="center"/>
          </w:tcPr>
          <w:p>
            <w:pPr>
              <w:widowControl/>
              <w:jc w:val="center"/>
              <w:textAlignment w:val="center"/>
              <w:rPr>
                <w:rFonts w:hint="default" w:ascii="Times New Roman" w:hAnsi="Times New Roman" w:cs="Times New Roman"/>
                <w:szCs w:val="21"/>
              </w:rPr>
            </w:pPr>
            <w:r>
              <w:rPr>
                <w:rFonts w:hint="default" w:ascii="Times New Roman" w:hAnsi="Times New Roman" w:cs="Times New Roman"/>
                <w:szCs w:val="21"/>
                <w:lang w:val="en-US" w:eastAsia="zh-CN"/>
              </w:rPr>
              <w:t>0.016L</w:t>
            </w:r>
          </w:p>
        </w:tc>
        <w:tc>
          <w:tcPr>
            <w:tcW w:w="1169" w:type="pct"/>
            <w:vAlign w:val="center"/>
          </w:tcPr>
          <w:p>
            <w:pPr>
              <w:widowControl/>
              <w:jc w:val="center"/>
              <w:textAlignment w:val="center"/>
              <w:rPr>
                <w:rFonts w:hint="default" w:ascii="Times New Roman" w:hAnsi="Times New Roman" w:cs="Times New Roman"/>
                <w:szCs w:val="21"/>
              </w:rPr>
            </w:pPr>
            <w:r>
              <w:rPr>
                <w:rFonts w:hint="default" w:ascii="Times New Roman" w:hAnsi="Times New Roman" w:cs="Times New Roman"/>
                <w:szCs w:val="21"/>
                <w:lang w:val="en-US" w:eastAsia="zh-CN"/>
              </w:rPr>
              <w:t>0.016L</w:t>
            </w:r>
          </w:p>
        </w:tc>
        <w:tc>
          <w:tcPr>
            <w:tcW w:w="704" w:type="pct"/>
            <w:vAlign w:val="center"/>
          </w:tcPr>
          <w:p>
            <w:pPr>
              <w:jc w:val="center"/>
              <w:outlineLvl w:val="0"/>
              <w:rPr>
                <w:rFonts w:hint="default" w:ascii="Times New Roman" w:hAnsi="Times New Roman" w:cs="Times New Roman"/>
                <w:szCs w:val="21"/>
              </w:rPr>
            </w:pPr>
            <w:bookmarkStart w:id="259" w:name="_Toc31691"/>
            <w:bookmarkStart w:id="260" w:name="_Toc20879"/>
            <w:r>
              <w:rPr>
                <w:rFonts w:hint="default" w:ascii="Times New Roman" w:hAnsi="Times New Roman" w:cs="Times New Roman"/>
                <w:szCs w:val="21"/>
              </w:rPr>
              <w:t>mg/L</w:t>
            </w:r>
            <w:bookmarkEnd w:id="259"/>
            <w:bookmarkEnd w:id="260"/>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cs="Times New Roman"/>
                <w:szCs w:val="21"/>
              </w:rPr>
            </w:pPr>
            <w:r>
              <w:rPr>
                <w:rFonts w:hint="default" w:ascii="Times New Roman" w:hAnsi="Times New Roman" w:cs="Times New Roman"/>
                <w:szCs w:val="21"/>
              </w:rPr>
              <w:t>氰化物</w:t>
            </w:r>
          </w:p>
        </w:tc>
        <w:tc>
          <w:tcPr>
            <w:tcW w:w="1168" w:type="pct"/>
            <w:vAlign w:val="center"/>
          </w:tcPr>
          <w:p>
            <w:pPr>
              <w:widowControl/>
              <w:jc w:val="center"/>
              <w:textAlignment w:val="center"/>
              <w:rPr>
                <w:rFonts w:hint="default" w:ascii="Times New Roman" w:hAnsi="Times New Roman" w:cs="Times New Roman"/>
                <w:szCs w:val="21"/>
              </w:rPr>
            </w:pPr>
            <w:r>
              <w:rPr>
                <w:rFonts w:hint="default" w:ascii="Times New Roman" w:hAnsi="Times New Roman" w:cs="Times New Roman"/>
                <w:szCs w:val="21"/>
              </w:rPr>
              <w:t>0.002L</w:t>
            </w:r>
          </w:p>
        </w:tc>
        <w:tc>
          <w:tcPr>
            <w:tcW w:w="1168" w:type="pct"/>
            <w:vAlign w:val="center"/>
          </w:tcPr>
          <w:p>
            <w:pPr>
              <w:widowControl/>
              <w:jc w:val="center"/>
              <w:textAlignment w:val="center"/>
              <w:rPr>
                <w:rFonts w:hint="default" w:ascii="Times New Roman" w:hAnsi="Times New Roman" w:cs="Times New Roman"/>
                <w:szCs w:val="21"/>
              </w:rPr>
            </w:pPr>
            <w:r>
              <w:rPr>
                <w:rFonts w:hint="default" w:ascii="Times New Roman" w:hAnsi="Times New Roman" w:cs="Times New Roman"/>
                <w:szCs w:val="21"/>
              </w:rPr>
              <w:t>0.002L</w:t>
            </w:r>
          </w:p>
        </w:tc>
        <w:tc>
          <w:tcPr>
            <w:tcW w:w="1169" w:type="pct"/>
            <w:vAlign w:val="center"/>
          </w:tcPr>
          <w:p>
            <w:pPr>
              <w:widowControl/>
              <w:jc w:val="center"/>
              <w:textAlignment w:val="center"/>
              <w:rPr>
                <w:rFonts w:hint="default" w:ascii="Times New Roman" w:hAnsi="Times New Roman" w:cs="Times New Roman"/>
                <w:szCs w:val="21"/>
              </w:rPr>
            </w:pPr>
            <w:r>
              <w:rPr>
                <w:rFonts w:hint="default" w:ascii="Times New Roman" w:hAnsi="Times New Roman" w:cs="Times New Roman"/>
                <w:szCs w:val="21"/>
              </w:rPr>
              <w:t>0.002L</w:t>
            </w:r>
          </w:p>
        </w:tc>
        <w:tc>
          <w:tcPr>
            <w:tcW w:w="704" w:type="pct"/>
            <w:vAlign w:val="center"/>
          </w:tcPr>
          <w:p>
            <w:pPr>
              <w:jc w:val="center"/>
              <w:outlineLvl w:val="0"/>
              <w:rPr>
                <w:rFonts w:hint="default" w:ascii="Times New Roman" w:hAnsi="Times New Roman" w:cs="Times New Roman"/>
                <w:szCs w:val="21"/>
              </w:rPr>
            </w:pPr>
            <w:bookmarkStart w:id="261" w:name="_Toc13211"/>
            <w:bookmarkStart w:id="262" w:name="_Toc28460"/>
            <w:r>
              <w:rPr>
                <w:rFonts w:hint="default" w:ascii="Times New Roman" w:hAnsi="Times New Roman" w:cs="Times New Roman"/>
                <w:szCs w:val="21"/>
              </w:rPr>
              <w:t>mg/L</w:t>
            </w:r>
            <w:bookmarkEnd w:id="261"/>
            <w:bookmarkEnd w:id="262"/>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挥发性酚类</w:t>
            </w:r>
          </w:p>
        </w:tc>
        <w:tc>
          <w:tcPr>
            <w:tcW w:w="1168" w:type="pct"/>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0.0003L</w:t>
            </w:r>
          </w:p>
        </w:tc>
        <w:tc>
          <w:tcPr>
            <w:tcW w:w="1168" w:type="pct"/>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0.0003L</w:t>
            </w:r>
          </w:p>
        </w:tc>
        <w:tc>
          <w:tcPr>
            <w:tcW w:w="1169" w:type="pct"/>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0.0003L</w:t>
            </w:r>
          </w:p>
        </w:tc>
        <w:tc>
          <w:tcPr>
            <w:tcW w:w="704" w:type="pct"/>
            <w:vAlign w:val="center"/>
          </w:tcPr>
          <w:p>
            <w:pPr>
              <w:jc w:val="center"/>
              <w:outlineLvl w:val="0"/>
              <w:rPr>
                <w:rFonts w:hint="default" w:ascii="Times New Roman" w:hAnsi="Times New Roman" w:eastAsia="宋体" w:cs="Times New Roman"/>
                <w:kern w:val="2"/>
                <w:sz w:val="21"/>
                <w:szCs w:val="21"/>
                <w:lang w:val="en-US" w:eastAsia="zh-CN" w:bidi="ar-SA"/>
              </w:rPr>
            </w:pPr>
            <w:bookmarkStart w:id="263" w:name="_Toc12994"/>
            <w:bookmarkStart w:id="264" w:name="_Toc24940"/>
            <w:r>
              <w:rPr>
                <w:rFonts w:hint="default" w:ascii="Times New Roman" w:hAnsi="Times New Roman" w:cs="Times New Roman"/>
                <w:szCs w:val="21"/>
              </w:rPr>
              <w:t>mg/L</w:t>
            </w:r>
            <w:bookmarkEnd w:id="263"/>
            <w:bookmarkEnd w:id="264"/>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砷</w:t>
            </w:r>
          </w:p>
        </w:tc>
        <w:tc>
          <w:tcPr>
            <w:tcW w:w="1168" w:type="pct"/>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bidi="ar-SA"/>
              </w:rPr>
              <w:t>0.3L</w:t>
            </w:r>
          </w:p>
        </w:tc>
        <w:tc>
          <w:tcPr>
            <w:tcW w:w="1168" w:type="pct"/>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bidi="ar-SA"/>
              </w:rPr>
              <w:t>0.3L</w:t>
            </w:r>
          </w:p>
        </w:tc>
        <w:tc>
          <w:tcPr>
            <w:tcW w:w="1169" w:type="pct"/>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bidi="ar-SA"/>
              </w:rPr>
              <w:t>0.3L</w:t>
            </w:r>
          </w:p>
        </w:tc>
        <w:tc>
          <w:tcPr>
            <w:tcW w:w="704" w:type="pct"/>
            <w:vAlign w:val="center"/>
          </w:tcPr>
          <w:p>
            <w:pPr>
              <w:jc w:val="center"/>
              <w:outlineLvl w:val="0"/>
              <w:rPr>
                <w:rFonts w:hint="default" w:ascii="Times New Roman" w:hAnsi="Times New Roman" w:eastAsia="宋体" w:cs="Times New Roman"/>
                <w:kern w:val="2"/>
                <w:sz w:val="21"/>
                <w:szCs w:val="21"/>
                <w:lang w:val="en-US" w:eastAsia="zh-CN" w:bidi="ar-SA"/>
              </w:rPr>
            </w:pPr>
            <w:bookmarkStart w:id="265" w:name="_Toc29046"/>
            <w:bookmarkStart w:id="266" w:name="_Toc4635"/>
            <w:r>
              <w:rPr>
                <w:rFonts w:hint="default" w:ascii="Times New Roman" w:hAnsi="Times New Roman" w:cs="Times New Roman"/>
                <w:szCs w:val="21"/>
              </w:rPr>
              <w:t>μg/L</w:t>
            </w:r>
            <w:bookmarkEnd w:id="265"/>
            <w:bookmarkEnd w:id="266"/>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汞</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0.03</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0.04</w:t>
            </w:r>
          </w:p>
        </w:tc>
        <w:tc>
          <w:tcPr>
            <w:tcW w:w="1169"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0.03</w:t>
            </w:r>
          </w:p>
        </w:tc>
        <w:tc>
          <w:tcPr>
            <w:tcW w:w="704" w:type="pct"/>
            <w:vAlign w:val="center"/>
          </w:tcPr>
          <w:p>
            <w:pPr>
              <w:jc w:val="center"/>
              <w:outlineLvl w:val="0"/>
              <w:rPr>
                <w:rFonts w:hint="default" w:ascii="Times New Roman" w:hAnsi="Times New Roman" w:eastAsia="宋体" w:cs="Times New Roman"/>
                <w:kern w:val="2"/>
                <w:sz w:val="21"/>
                <w:szCs w:val="21"/>
                <w:lang w:val="en-US" w:eastAsia="zh-CN" w:bidi="ar-SA"/>
              </w:rPr>
            </w:pPr>
            <w:bookmarkStart w:id="267" w:name="_Toc26923"/>
            <w:bookmarkStart w:id="268" w:name="_Toc14231"/>
            <w:r>
              <w:rPr>
                <w:rFonts w:hint="default" w:ascii="Times New Roman" w:hAnsi="Times New Roman" w:cs="Times New Roman"/>
                <w:szCs w:val="21"/>
              </w:rPr>
              <w:t>μg/L</w:t>
            </w:r>
            <w:bookmarkEnd w:id="267"/>
            <w:bookmarkEnd w:id="268"/>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铬（六价）</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rPr>
              <w:t>0.004L</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rPr>
              <w:t>0.004L</w:t>
            </w:r>
          </w:p>
        </w:tc>
        <w:tc>
          <w:tcPr>
            <w:tcW w:w="1169"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rPr>
              <w:t>0.004L</w:t>
            </w:r>
          </w:p>
        </w:tc>
        <w:tc>
          <w:tcPr>
            <w:tcW w:w="704" w:type="pct"/>
            <w:vAlign w:val="center"/>
          </w:tcPr>
          <w:p>
            <w:pPr>
              <w:jc w:val="center"/>
              <w:outlineLvl w:val="0"/>
              <w:rPr>
                <w:rFonts w:hint="default" w:ascii="Times New Roman" w:hAnsi="Times New Roman" w:eastAsia="宋体" w:cs="Times New Roman"/>
                <w:kern w:val="2"/>
                <w:sz w:val="21"/>
                <w:szCs w:val="21"/>
                <w:lang w:val="en-US" w:eastAsia="zh-CN" w:bidi="ar-SA"/>
              </w:rPr>
            </w:pPr>
            <w:bookmarkStart w:id="269" w:name="_Toc13823"/>
            <w:bookmarkStart w:id="270" w:name="_Toc11965"/>
            <w:r>
              <w:rPr>
                <w:rFonts w:hint="default" w:ascii="Times New Roman" w:hAnsi="Times New Roman" w:cs="Times New Roman"/>
                <w:szCs w:val="21"/>
              </w:rPr>
              <w:t>mg/L</w:t>
            </w:r>
            <w:bookmarkEnd w:id="269"/>
            <w:bookmarkEnd w:id="270"/>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总硬度</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267</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255</w:t>
            </w:r>
          </w:p>
        </w:tc>
        <w:tc>
          <w:tcPr>
            <w:tcW w:w="1169"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272</w:t>
            </w:r>
          </w:p>
        </w:tc>
        <w:tc>
          <w:tcPr>
            <w:tcW w:w="704" w:type="pct"/>
            <w:vAlign w:val="center"/>
          </w:tcPr>
          <w:p>
            <w:pPr>
              <w:jc w:val="center"/>
              <w:outlineLvl w:val="0"/>
              <w:rPr>
                <w:rFonts w:hint="default" w:ascii="Times New Roman" w:hAnsi="Times New Roman" w:eastAsia="宋体" w:cs="Times New Roman"/>
                <w:kern w:val="2"/>
                <w:sz w:val="21"/>
                <w:szCs w:val="21"/>
                <w:lang w:val="en-US" w:eastAsia="zh-CN" w:bidi="ar-SA"/>
              </w:rPr>
            </w:pPr>
            <w:bookmarkStart w:id="271" w:name="_Toc29016"/>
            <w:bookmarkStart w:id="272" w:name="_Toc15337"/>
            <w:r>
              <w:rPr>
                <w:rFonts w:hint="default" w:ascii="Times New Roman" w:hAnsi="Times New Roman" w:cs="Times New Roman"/>
                <w:szCs w:val="21"/>
              </w:rPr>
              <w:t>mg/L</w:t>
            </w:r>
            <w:bookmarkEnd w:id="271"/>
            <w:bookmarkEnd w:id="272"/>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氟</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0.433</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0.457</w:t>
            </w:r>
          </w:p>
        </w:tc>
        <w:tc>
          <w:tcPr>
            <w:tcW w:w="1169"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0.440</w:t>
            </w:r>
          </w:p>
        </w:tc>
        <w:tc>
          <w:tcPr>
            <w:tcW w:w="704" w:type="pct"/>
            <w:vAlign w:val="center"/>
          </w:tcPr>
          <w:p>
            <w:pPr>
              <w:jc w:val="center"/>
              <w:outlineLvl w:val="0"/>
              <w:rPr>
                <w:rFonts w:hint="default" w:ascii="Times New Roman" w:hAnsi="Times New Roman" w:eastAsia="宋体" w:cs="Times New Roman"/>
                <w:kern w:val="2"/>
                <w:sz w:val="21"/>
                <w:szCs w:val="21"/>
                <w:lang w:val="en-US" w:eastAsia="zh-CN" w:bidi="ar-SA"/>
              </w:rPr>
            </w:pPr>
            <w:bookmarkStart w:id="273" w:name="_Toc24767"/>
            <w:bookmarkStart w:id="274" w:name="_Toc62"/>
            <w:r>
              <w:rPr>
                <w:rFonts w:hint="default" w:ascii="Times New Roman" w:hAnsi="Times New Roman" w:cs="Times New Roman"/>
                <w:szCs w:val="21"/>
              </w:rPr>
              <w:t>mg/L</w:t>
            </w:r>
            <w:bookmarkEnd w:id="273"/>
            <w:bookmarkEnd w:id="274"/>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镉</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0.0005L</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0.0005L</w:t>
            </w:r>
          </w:p>
        </w:tc>
        <w:tc>
          <w:tcPr>
            <w:tcW w:w="1169"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0.0005L</w:t>
            </w:r>
          </w:p>
        </w:tc>
        <w:tc>
          <w:tcPr>
            <w:tcW w:w="704" w:type="pct"/>
            <w:vAlign w:val="center"/>
          </w:tcPr>
          <w:p>
            <w:pPr>
              <w:jc w:val="center"/>
              <w:outlineLvl w:val="0"/>
              <w:rPr>
                <w:rFonts w:hint="default" w:ascii="Times New Roman" w:hAnsi="Times New Roman" w:eastAsia="宋体" w:cs="Times New Roman"/>
                <w:kern w:val="2"/>
                <w:sz w:val="21"/>
                <w:szCs w:val="21"/>
                <w:lang w:val="en-US" w:eastAsia="zh-CN" w:bidi="ar-SA"/>
              </w:rPr>
            </w:pPr>
            <w:bookmarkStart w:id="275" w:name="_Toc22887"/>
            <w:bookmarkStart w:id="276" w:name="_Toc25765"/>
            <w:r>
              <w:rPr>
                <w:rFonts w:hint="default" w:ascii="Times New Roman" w:hAnsi="Times New Roman" w:cs="Times New Roman"/>
                <w:szCs w:val="21"/>
              </w:rPr>
              <w:t>mg/L</w:t>
            </w:r>
            <w:bookmarkEnd w:id="275"/>
            <w:bookmarkEnd w:id="276"/>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铅</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0.0025L</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0.0025L</w:t>
            </w:r>
          </w:p>
        </w:tc>
        <w:tc>
          <w:tcPr>
            <w:tcW w:w="1169"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0.0025L</w:t>
            </w:r>
          </w:p>
        </w:tc>
        <w:tc>
          <w:tcPr>
            <w:tcW w:w="704" w:type="pct"/>
            <w:vAlign w:val="center"/>
          </w:tcPr>
          <w:p>
            <w:pPr>
              <w:jc w:val="center"/>
              <w:outlineLvl w:val="0"/>
              <w:rPr>
                <w:rFonts w:hint="default" w:ascii="Times New Roman" w:hAnsi="Times New Roman" w:eastAsia="宋体" w:cs="Times New Roman"/>
                <w:kern w:val="2"/>
                <w:sz w:val="21"/>
                <w:szCs w:val="21"/>
                <w:lang w:val="en-US" w:eastAsia="zh-CN" w:bidi="ar-SA"/>
              </w:rPr>
            </w:pPr>
            <w:bookmarkStart w:id="277" w:name="_Toc1132"/>
            <w:bookmarkStart w:id="278" w:name="_Toc22856"/>
            <w:r>
              <w:rPr>
                <w:rFonts w:hint="default" w:ascii="Times New Roman" w:hAnsi="Times New Roman" w:cs="Times New Roman"/>
                <w:szCs w:val="21"/>
              </w:rPr>
              <w:t>mg/L</w:t>
            </w:r>
            <w:bookmarkEnd w:id="277"/>
            <w:bookmarkEnd w:id="278"/>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铁</w:t>
            </w:r>
          </w:p>
        </w:tc>
        <w:tc>
          <w:tcPr>
            <w:tcW w:w="1168" w:type="pct"/>
            <w:vAlign w:val="center"/>
          </w:tcPr>
          <w:p>
            <w:pPr>
              <w:widowControl/>
              <w:jc w:val="center"/>
              <w:textAlignment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0.03L</w:t>
            </w:r>
          </w:p>
        </w:tc>
        <w:tc>
          <w:tcPr>
            <w:tcW w:w="1168" w:type="pct"/>
            <w:vAlign w:val="center"/>
          </w:tcPr>
          <w:p>
            <w:pPr>
              <w:widowControl/>
              <w:jc w:val="center"/>
              <w:textAlignment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0.03L</w:t>
            </w:r>
          </w:p>
        </w:tc>
        <w:tc>
          <w:tcPr>
            <w:tcW w:w="1169" w:type="pct"/>
            <w:vAlign w:val="center"/>
          </w:tcPr>
          <w:p>
            <w:pPr>
              <w:widowControl/>
              <w:jc w:val="center"/>
              <w:textAlignment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0.03L</w:t>
            </w:r>
          </w:p>
        </w:tc>
        <w:tc>
          <w:tcPr>
            <w:tcW w:w="704" w:type="pct"/>
            <w:vAlign w:val="center"/>
          </w:tcPr>
          <w:p>
            <w:pPr>
              <w:jc w:val="center"/>
              <w:outlineLvl w:val="0"/>
              <w:rPr>
                <w:rFonts w:hint="default" w:ascii="Times New Roman" w:hAnsi="Times New Roman" w:eastAsia="宋体" w:cs="Times New Roman"/>
                <w:kern w:val="2"/>
                <w:sz w:val="21"/>
                <w:szCs w:val="21"/>
                <w:lang w:val="en-US" w:eastAsia="zh-CN" w:bidi="ar-SA"/>
              </w:rPr>
            </w:pPr>
            <w:bookmarkStart w:id="279" w:name="_Toc8391"/>
            <w:bookmarkStart w:id="280" w:name="_Toc23185"/>
            <w:r>
              <w:rPr>
                <w:rFonts w:hint="default" w:ascii="Times New Roman" w:hAnsi="Times New Roman" w:cs="Times New Roman"/>
                <w:szCs w:val="21"/>
              </w:rPr>
              <w:t>mg/L</w:t>
            </w:r>
            <w:bookmarkEnd w:id="279"/>
            <w:bookmarkEnd w:id="280"/>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锰</w:t>
            </w:r>
          </w:p>
        </w:tc>
        <w:tc>
          <w:tcPr>
            <w:tcW w:w="1168" w:type="pct"/>
            <w:vAlign w:val="center"/>
          </w:tcPr>
          <w:p>
            <w:pPr>
              <w:widowControl/>
              <w:jc w:val="center"/>
              <w:textAlignment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1.34</w:t>
            </w:r>
          </w:p>
        </w:tc>
        <w:tc>
          <w:tcPr>
            <w:tcW w:w="1168" w:type="pct"/>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1.31</w:t>
            </w:r>
          </w:p>
        </w:tc>
        <w:tc>
          <w:tcPr>
            <w:tcW w:w="1169" w:type="pct"/>
            <w:vAlign w:val="center"/>
          </w:tcPr>
          <w:p>
            <w:pPr>
              <w:widowControl/>
              <w:jc w:val="center"/>
              <w:textAlignment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1.32</w:t>
            </w:r>
          </w:p>
        </w:tc>
        <w:tc>
          <w:tcPr>
            <w:tcW w:w="704" w:type="pct"/>
            <w:vAlign w:val="center"/>
          </w:tcPr>
          <w:p>
            <w:pPr>
              <w:jc w:val="center"/>
              <w:outlineLvl w:val="0"/>
              <w:rPr>
                <w:rFonts w:hint="default" w:ascii="Times New Roman" w:hAnsi="Times New Roman" w:eastAsia="宋体" w:cs="Times New Roman"/>
                <w:kern w:val="2"/>
                <w:sz w:val="21"/>
                <w:szCs w:val="21"/>
                <w:lang w:val="en-US" w:eastAsia="zh-CN" w:bidi="ar-SA"/>
              </w:rPr>
            </w:pPr>
            <w:bookmarkStart w:id="281" w:name="_Toc9935"/>
            <w:bookmarkStart w:id="282" w:name="_Toc8802"/>
            <w:r>
              <w:rPr>
                <w:rFonts w:hint="default" w:ascii="Times New Roman" w:hAnsi="Times New Roman" w:cs="Times New Roman"/>
                <w:szCs w:val="21"/>
              </w:rPr>
              <w:t>mg/L</w:t>
            </w:r>
            <w:bookmarkEnd w:id="281"/>
            <w:bookmarkEnd w:id="282"/>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溶解性总固体</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335</w:t>
            </w:r>
          </w:p>
        </w:tc>
        <w:tc>
          <w:tcPr>
            <w:tcW w:w="1168"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328</w:t>
            </w:r>
          </w:p>
        </w:tc>
        <w:tc>
          <w:tcPr>
            <w:tcW w:w="1169" w:type="pct"/>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348</w:t>
            </w:r>
          </w:p>
        </w:tc>
        <w:tc>
          <w:tcPr>
            <w:tcW w:w="704" w:type="pct"/>
            <w:vAlign w:val="center"/>
          </w:tcPr>
          <w:p>
            <w:pPr>
              <w:jc w:val="center"/>
              <w:outlineLvl w:val="0"/>
              <w:rPr>
                <w:rFonts w:hint="default" w:ascii="Times New Roman" w:hAnsi="Times New Roman" w:eastAsia="宋体" w:cs="Times New Roman"/>
                <w:kern w:val="2"/>
                <w:sz w:val="21"/>
                <w:szCs w:val="21"/>
                <w:lang w:val="en-US" w:eastAsia="zh-CN" w:bidi="ar-SA"/>
              </w:rPr>
            </w:pPr>
            <w:bookmarkStart w:id="283" w:name="_Toc10585"/>
            <w:bookmarkStart w:id="284" w:name="_Toc27681"/>
            <w:r>
              <w:rPr>
                <w:rFonts w:hint="default" w:ascii="Times New Roman" w:hAnsi="Times New Roman" w:cs="Times New Roman"/>
                <w:szCs w:val="21"/>
              </w:rPr>
              <w:t>mg/L</w:t>
            </w:r>
            <w:bookmarkEnd w:id="283"/>
            <w:bookmarkEnd w:id="284"/>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Style w:val="56"/>
                <w:rFonts w:hint="default" w:ascii="Times New Roman" w:hAnsi="Times New Roman" w:cs="Times New Roman"/>
                <w:color w:val="auto"/>
                <w:lang w:bidi="ar"/>
              </w:rPr>
              <w:t>耗氧量（</w:t>
            </w:r>
            <w:r>
              <w:rPr>
                <w:rFonts w:hint="default" w:ascii="Times New Roman" w:hAnsi="Times New Roman" w:cs="Times New Roman"/>
                <w:kern w:val="0"/>
                <w:szCs w:val="21"/>
                <w:lang w:bidi="ar"/>
              </w:rPr>
              <w:t>COD</w:t>
            </w:r>
            <w:r>
              <w:rPr>
                <w:rFonts w:hint="default" w:ascii="Times New Roman" w:hAnsi="Times New Roman" w:cs="Times New Roman"/>
                <w:kern w:val="0"/>
                <w:szCs w:val="21"/>
                <w:vertAlign w:val="subscript"/>
                <w:lang w:bidi="ar"/>
              </w:rPr>
              <w:t>Mn</w:t>
            </w:r>
            <w:r>
              <w:rPr>
                <w:rStyle w:val="56"/>
                <w:rFonts w:hint="default" w:ascii="Times New Roman" w:hAnsi="Times New Roman" w:cs="Times New Roman"/>
                <w:color w:val="auto"/>
                <w:lang w:bidi="ar"/>
              </w:rPr>
              <w:t>法）</w:t>
            </w:r>
          </w:p>
        </w:tc>
        <w:tc>
          <w:tcPr>
            <w:tcW w:w="1168" w:type="pct"/>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bidi="ar-SA"/>
              </w:rPr>
              <w:t>2.1</w:t>
            </w:r>
          </w:p>
        </w:tc>
        <w:tc>
          <w:tcPr>
            <w:tcW w:w="1168" w:type="pct"/>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bidi="ar-SA"/>
              </w:rPr>
              <w:t>1.8</w:t>
            </w:r>
          </w:p>
        </w:tc>
        <w:tc>
          <w:tcPr>
            <w:tcW w:w="1169" w:type="pct"/>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bidi="ar-SA"/>
              </w:rPr>
              <w:t>2.0</w:t>
            </w:r>
          </w:p>
        </w:tc>
        <w:tc>
          <w:tcPr>
            <w:tcW w:w="704" w:type="pct"/>
            <w:vAlign w:val="center"/>
          </w:tcPr>
          <w:p>
            <w:pPr>
              <w:jc w:val="center"/>
              <w:outlineLvl w:val="0"/>
              <w:rPr>
                <w:rFonts w:hint="default" w:ascii="Times New Roman" w:hAnsi="Times New Roman" w:eastAsia="宋体" w:cs="Times New Roman"/>
                <w:kern w:val="2"/>
                <w:sz w:val="21"/>
                <w:szCs w:val="21"/>
                <w:lang w:val="en-US" w:eastAsia="zh-CN" w:bidi="ar-SA"/>
              </w:rPr>
            </w:pPr>
            <w:bookmarkStart w:id="285" w:name="_Toc9544"/>
            <w:bookmarkStart w:id="286" w:name="_Toc27518"/>
            <w:r>
              <w:rPr>
                <w:rFonts w:hint="default" w:ascii="Times New Roman" w:hAnsi="Times New Roman" w:cs="Times New Roman"/>
                <w:szCs w:val="21"/>
              </w:rPr>
              <w:t>mg/L</w:t>
            </w:r>
            <w:bookmarkEnd w:id="285"/>
            <w:bookmarkEnd w:id="286"/>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9" w:type="pct"/>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硫酸盐</w:t>
            </w:r>
          </w:p>
        </w:tc>
        <w:tc>
          <w:tcPr>
            <w:tcW w:w="1168" w:type="pct"/>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val="en-US" w:eastAsia="zh-CN"/>
              </w:rPr>
              <w:t>4.20</w:t>
            </w:r>
          </w:p>
        </w:tc>
        <w:tc>
          <w:tcPr>
            <w:tcW w:w="1168" w:type="pct"/>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val="en-US" w:eastAsia="zh-CN"/>
              </w:rPr>
              <w:t>4.42</w:t>
            </w:r>
          </w:p>
        </w:tc>
        <w:tc>
          <w:tcPr>
            <w:tcW w:w="1169" w:type="pct"/>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val="en-US" w:eastAsia="zh-CN"/>
              </w:rPr>
              <w:t>4.12</w:t>
            </w:r>
          </w:p>
        </w:tc>
        <w:tc>
          <w:tcPr>
            <w:tcW w:w="704" w:type="pct"/>
            <w:vAlign w:val="center"/>
          </w:tcPr>
          <w:p>
            <w:pPr>
              <w:jc w:val="center"/>
              <w:outlineLvl w:val="0"/>
              <w:rPr>
                <w:rFonts w:hint="default" w:ascii="Times New Roman" w:hAnsi="Times New Roman" w:eastAsia="宋体" w:cs="Times New Roman"/>
                <w:kern w:val="2"/>
                <w:sz w:val="21"/>
                <w:szCs w:val="21"/>
                <w:lang w:val="en-US" w:eastAsia="zh-CN" w:bidi="ar-SA"/>
              </w:rPr>
            </w:pPr>
            <w:bookmarkStart w:id="287" w:name="_Toc8840"/>
            <w:bookmarkStart w:id="288" w:name="_Toc22284"/>
            <w:r>
              <w:rPr>
                <w:rFonts w:hint="default" w:ascii="Times New Roman" w:hAnsi="Times New Roman" w:cs="Times New Roman"/>
                <w:szCs w:val="21"/>
              </w:rPr>
              <w:t>mg/L</w:t>
            </w:r>
            <w:bookmarkEnd w:id="287"/>
            <w:bookmarkEnd w:id="288"/>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00"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氯化物</w:t>
            </w:r>
          </w:p>
        </w:tc>
        <w:tc>
          <w:tcPr>
            <w:tcW w:w="2221" w:type="dxa"/>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3.88</w:t>
            </w:r>
          </w:p>
        </w:tc>
        <w:tc>
          <w:tcPr>
            <w:tcW w:w="2221" w:type="dxa"/>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3.92</w:t>
            </w:r>
          </w:p>
        </w:tc>
        <w:tc>
          <w:tcPr>
            <w:tcW w:w="2225" w:type="dxa"/>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3.97</w:t>
            </w:r>
          </w:p>
        </w:tc>
        <w:tc>
          <w:tcPr>
            <w:tcW w:w="1339" w:type="dxa"/>
            <w:vAlign w:val="center"/>
          </w:tcPr>
          <w:p>
            <w:pPr>
              <w:jc w:val="center"/>
              <w:outlineLvl w:val="0"/>
              <w:rPr>
                <w:rFonts w:hint="default" w:ascii="Times New Roman" w:hAnsi="Times New Roman" w:cs="Times New Roman"/>
                <w:szCs w:val="21"/>
              </w:rPr>
            </w:pPr>
            <w:bookmarkStart w:id="289" w:name="_Toc6436"/>
            <w:bookmarkStart w:id="290" w:name="_Toc9357"/>
            <w:r>
              <w:rPr>
                <w:rFonts w:hint="default" w:ascii="Times New Roman" w:hAnsi="Times New Roman" w:cs="Times New Roman"/>
                <w:szCs w:val="21"/>
              </w:rPr>
              <w:t>mg/L</w:t>
            </w:r>
            <w:bookmarkEnd w:id="289"/>
            <w:bookmarkEnd w:id="290"/>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00"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总大肠菌群</w:t>
            </w:r>
          </w:p>
        </w:tc>
        <w:tc>
          <w:tcPr>
            <w:tcW w:w="2221" w:type="dxa"/>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rPr>
              <w:t>&lt;2</w:t>
            </w:r>
          </w:p>
        </w:tc>
        <w:tc>
          <w:tcPr>
            <w:tcW w:w="2221" w:type="dxa"/>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rPr>
              <w:t>&lt;2</w:t>
            </w:r>
          </w:p>
        </w:tc>
        <w:tc>
          <w:tcPr>
            <w:tcW w:w="2225" w:type="dxa"/>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rPr>
              <w:t>&lt;2</w:t>
            </w:r>
          </w:p>
        </w:tc>
        <w:tc>
          <w:tcPr>
            <w:tcW w:w="1339" w:type="dxa"/>
            <w:vAlign w:val="center"/>
          </w:tcPr>
          <w:p>
            <w:pPr>
              <w:jc w:val="center"/>
              <w:outlineLvl w:val="0"/>
              <w:rPr>
                <w:rFonts w:hint="default" w:ascii="Times New Roman" w:hAnsi="Times New Roman" w:cs="Times New Roman"/>
                <w:szCs w:val="21"/>
              </w:rPr>
            </w:pPr>
            <w:bookmarkStart w:id="291" w:name="_Toc2655"/>
            <w:bookmarkStart w:id="292" w:name="_Toc16261"/>
            <w:r>
              <w:rPr>
                <w:rFonts w:hint="default" w:ascii="Times New Roman" w:hAnsi="Times New Roman" w:cs="Times New Roman"/>
                <w:szCs w:val="21"/>
              </w:rPr>
              <w:t>CFU/100mL</w:t>
            </w:r>
            <w:bookmarkEnd w:id="291"/>
            <w:bookmarkEnd w:id="292"/>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00"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细菌总数</w:t>
            </w:r>
          </w:p>
        </w:tc>
        <w:tc>
          <w:tcPr>
            <w:tcW w:w="2221" w:type="dxa"/>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52</w:t>
            </w:r>
          </w:p>
        </w:tc>
        <w:tc>
          <w:tcPr>
            <w:tcW w:w="2221" w:type="dxa"/>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24</w:t>
            </w:r>
          </w:p>
        </w:tc>
        <w:tc>
          <w:tcPr>
            <w:tcW w:w="2225" w:type="dxa"/>
            <w:vAlign w:val="center"/>
          </w:tcPr>
          <w:p>
            <w:pPr>
              <w:widowControl/>
              <w:jc w:val="center"/>
              <w:textAlignment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44</w:t>
            </w:r>
          </w:p>
        </w:tc>
        <w:tc>
          <w:tcPr>
            <w:tcW w:w="1339" w:type="dxa"/>
            <w:vAlign w:val="center"/>
          </w:tcPr>
          <w:p>
            <w:pPr>
              <w:jc w:val="center"/>
              <w:outlineLvl w:val="0"/>
              <w:rPr>
                <w:rFonts w:hint="default" w:ascii="Times New Roman" w:hAnsi="Times New Roman" w:cs="Times New Roman"/>
                <w:szCs w:val="21"/>
              </w:rPr>
            </w:pPr>
            <w:bookmarkStart w:id="293" w:name="_Toc21907"/>
            <w:bookmarkStart w:id="294" w:name="_Toc18867"/>
            <w:r>
              <w:rPr>
                <w:rFonts w:hint="default" w:ascii="Times New Roman" w:hAnsi="Times New Roman" w:cs="Times New Roman"/>
                <w:szCs w:val="21"/>
              </w:rPr>
              <w:t>CFU/mL</w:t>
            </w:r>
            <w:bookmarkEnd w:id="293"/>
            <w:bookmarkEnd w:id="294"/>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00" w:type="dxa"/>
            <w:vAlign w:val="center"/>
          </w:tcPr>
          <w:p>
            <w:pPr>
              <w:jc w:val="center"/>
              <w:rPr>
                <w:rFonts w:hint="default" w:ascii="Times New Roman" w:hAnsi="Times New Roman" w:cs="Times New Roman"/>
                <w:szCs w:val="21"/>
              </w:rPr>
            </w:pPr>
            <w:r>
              <w:rPr>
                <w:rFonts w:hint="eastAsia" w:ascii="Times New Roman" w:hAnsi="Times New Roman"/>
                <w:szCs w:val="21"/>
                <w:lang w:val="en-US" w:eastAsia="zh-CN"/>
              </w:rPr>
              <w:t>石油类</w:t>
            </w:r>
          </w:p>
        </w:tc>
        <w:tc>
          <w:tcPr>
            <w:tcW w:w="2221" w:type="dxa"/>
            <w:vAlign w:val="center"/>
          </w:tcPr>
          <w:p>
            <w:pPr>
              <w:widowControl/>
              <w:jc w:val="center"/>
              <w:textAlignment w:val="center"/>
              <w:rPr>
                <w:rFonts w:hint="default" w:ascii="Times New Roman" w:hAnsi="Times New Roman" w:cs="Times New Roman"/>
                <w:szCs w:val="21"/>
                <w:lang w:val="en-US" w:eastAsia="zh-CN"/>
              </w:rPr>
            </w:pPr>
            <w:r>
              <w:rPr>
                <w:rFonts w:hint="eastAsia" w:ascii="Times New Roman" w:hAnsi="Times New Roman"/>
                <w:szCs w:val="21"/>
                <w:lang w:val="en-US" w:eastAsia="zh-CN"/>
              </w:rPr>
              <w:t>0.01L</w:t>
            </w:r>
          </w:p>
        </w:tc>
        <w:tc>
          <w:tcPr>
            <w:tcW w:w="2221" w:type="dxa"/>
            <w:vAlign w:val="center"/>
          </w:tcPr>
          <w:p>
            <w:pPr>
              <w:widowControl/>
              <w:jc w:val="center"/>
              <w:textAlignment w:val="center"/>
              <w:rPr>
                <w:rFonts w:hint="default" w:ascii="Times New Roman" w:hAnsi="Times New Roman" w:cs="Times New Roman"/>
                <w:szCs w:val="21"/>
                <w:lang w:val="en-US" w:eastAsia="zh-CN"/>
              </w:rPr>
            </w:pPr>
            <w:r>
              <w:rPr>
                <w:rFonts w:hint="eastAsia" w:ascii="Times New Roman" w:hAnsi="Times New Roman"/>
                <w:szCs w:val="21"/>
                <w:lang w:val="en-US" w:eastAsia="zh-CN"/>
              </w:rPr>
              <w:t>0.01L</w:t>
            </w:r>
          </w:p>
        </w:tc>
        <w:tc>
          <w:tcPr>
            <w:tcW w:w="2225" w:type="dxa"/>
            <w:vAlign w:val="center"/>
          </w:tcPr>
          <w:p>
            <w:pPr>
              <w:widowControl/>
              <w:jc w:val="center"/>
              <w:textAlignment w:val="center"/>
              <w:rPr>
                <w:rFonts w:hint="default" w:ascii="Times New Roman" w:hAnsi="Times New Roman" w:cs="Times New Roman"/>
                <w:szCs w:val="21"/>
                <w:lang w:val="en-US" w:eastAsia="zh-CN"/>
              </w:rPr>
            </w:pPr>
            <w:r>
              <w:rPr>
                <w:rFonts w:hint="eastAsia" w:ascii="Times New Roman" w:hAnsi="Times New Roman"/>
                <w:szCs w:val="21"/>
                <w:lang w:val="en-US" w:eastAsia="zh-CN"/>
              </w:rPr>
              <w:t>0.01L</w:t>
            </w:r>
          </w:p>
        </w:tc>
        <w:tc>
          <w:tcPr>
            <w:tcW w:w="1339" w:type="dxa"/>
            <w:vAlign w:val="center"/>
          </w:tcPr>
          <w:p>
            <w:pPr>
              <w:jc w:val="center"/>
              <w:outlineLvl w:val="0"/>
              <w:rPr>
                <w:rFonts w:hint="default" w:ascii="Times New Roman" w:hAnsi="Times New Roman" w:cs="Times New Roman"/>
                <w:szCs w:val="21"/>
              </w:rPr>
            </w:pPr>
            <w:bookmarkStart w:id="295" w:name="_Toc19013"/>
            <w:bookmarkStart w:id="296" w:name="_Toc23566"/>
            <w:r>
              <w:rPr>
                <w:rFonts w:ascii="Times New Roman" w:hAnsi="Times New Roman"/>
                <w:szCs w:val="21"/>
              </w:rPr>
              <w:t>mg/L</w:t>
            </w:r>
            <w:bookmarkEnd w:id="295"/>
            <w:bookmarkEnd w:id="296"/>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default" w:ascii="Times New Roman" w:hAnsi="Times New Roman" w:eastAsia="宋体" w:cs="Times New Roman"/>
          <w:b/>
          <w:bCs/>
          <w:spacing w:val="7"/>
          <w:sz w:val="20"/>
          <w:szCs w:val="20"/>
          <w:highlight w:val="magenta"/>
          <w:lang w:val="en-US" w:eastAsia="zh-CN"/>
        </w:rPr>
      </w:pPr>
      <w:r>
        <w:rPr>
          <w:rFonts w:hint="default" w:ascii="Times New Roman" w:hAnsi="Times New Roman" w:eastAsia="宋体" w:cs="Times New Roman"/>
          <w:b/>
          <w:bCs/>
          <w:spacing w:val="7"/>
          <w:sz w:val="20"/>
          <w:szCs w:val="20"/>
          <w:highlight w:val="none"/>
          <w:lang w:val="en-US" w:eastAsia="zh-CN"/>
        </w:rPr>
        <w:t>表4-5-4 地下水水位监测结果</w:t>
      </w:r>
    </w:p>
    <w:tbl>
      <w:tblPr>
        <w:tblStyle w:val="24"/>
        <w:tblW w:w="96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19"/>
        <w:gridCol w:w="1127"/>
        <w:gridCol w:w="1127"/>
        <w:gridCol w:w="1127"/>
        <w:gridCol w:w="1127"/>
        <w:gridCol w:w="1127"/>
        <w:gridCol w:w="1130"/>
        <w:gridCol w:w="13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95" w:hRule="atLeast"/>
          <w:jc w:val="center"/>
        </w:trPr>
        <w:tc>
          <w:tcPr>
            <w:tcW w:w="1519" w:type="dxa"/>
            <w:vAlign w:val="center"/>
          </w:tcPr>
          <w:p>
            <w:pPr>
              <w:jc w:val="center"/>
              <w:rPr>
                <w:rFonts w:hint="default" w:ascii="Times New Roman" w:hAnsi="Times New Roman" w:cs="Times New Roman"/>
                <w:b/>
                <w:bCs/>
                <w:szCs w:val="21"/>
              </w:rPr>
            </w:pPr>
            <w:r>
              <w:rPr>
                <w:rFonts w:hint="default" w:ascii="Times New Roman" w:hAnsi="Times New Roman" w:cs="Times New Roman"/>
                <w:b/>
                <w:bCs/>
                <w:kern w:val="0"/>
                <w:szCs w:val="21"/>
              </w:rPr>
              <w:t>检测点位</w:t>
            </w:r>
          </w:p>
        </w:tc>
        <w:tc>
          <w:tcPr>
            <w:tcW w:w="1127" w:type="dxa"/>
            <w:vAlign w:val="center"/>
          </w:tcPr>
          <w:p>
            <w:pPr>
              <w:jc w:val="center"/>
              <w:rPr>
                <w:rFonts w:hint="default" w:ascii="Times New Roman" w:hAnsi="Times New Roman" w:eastAsia="宋体" w:cs="Times New Roman"/>
                <w:b/>
                <w:bCs/>
                <w:szCs w:val="21"/>
                <w:lang w:val="en-US" w:eastAsia="zh-CN"/>
              </w:rPr>
            </w:pPr>
            <w:r>
              <w:rPr>
                <w:rFonts w:hint="default" w:ascii="Times New Roman" w:hAnsi="Times New Roman" w:cs="Times New Roman"/>
                <w:szCs w:val="21"/>
              </w:rPr>
              <w:t>1#</w:t>
            </w:r>
          </w:p>
        </w:tc>
        <w:tc>
          <w:tcPr>
            <w:tcW w:w="1127"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2#</w:t>
            </w:r>
          </w:p>
        </w:tc>
        <w:tc>
          <w:tcPr>
            <w:tcW w:w="1127"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3#</w:t>
            </w:r>
          </w:p>
        </w:tc>
        <w:tc>
          <w:tcPr>
            <w:tcW w:w="1127"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4#</w:t>
            </w:r>
          </w:p>
        </w:tc>
        <w:tc>
          <w:tcPr>
            <w:tcW w:w="1127" w:type="dxa"/>
            <w:vAlign w:val="center"/>
          </w:tcPr>
          <w:p>
            <w:pPr>
              <w:widowControl/>
              <w:jc w:val="center"/>
              <w:textAlignment w:val="center"/>
              <w:rPr>
                <w:rFonts w:hint="default" w:ascii="Times New Roman" w:hAnsi="Times New Roman" w:cs="Times New Roman"/>
                <w:szCs w:val="21"/>
              </w:rPr>
            </w:pPr>
            <w:r>
              <w:rPr>
                <w:rFonts w:hint="default" w:ascii="Times New Roman" w:hAnsi="Times New Roman" w:cs="Times New Roman"/>
                <w:szCs w:val="21"/>
              </w:rPr>
              <w:t>5#</w:t>
            </w:r>
          </w:p>
        </w:tc>
        <w:tc>
          <w:tcPr>
            <w:tcW w:w="1130" w:type="dxa"/>
            <w:vAlign w:val="center"/>
          </w:tcPr>
          <w:p>
            <w:pPr>
              <w:widowControl/>
              <w:jc w:val="center"/>
              <w:textAlignment w:val="center"/>
              <w:rPr>
                <w:rFonts w:hint="default" w:ascii="Times New Roman" w:hAnsi="Times New Roman" w:cs="Times New Roman"/>
                <w:szCs w:val="21"/>
              </w:rPr>
            </w:pPr>
            <w:r>
              <w:rPr>
                <w:rFonts w:hint="default" w:ascii="Times New Roman" w:hAnsi="Times New Roman" w:cs="Times New Roman"/>
                <w:szCs w:val="21"/>
              </w:rPr>
              <w:t>6#</w:t>
            </w:r>
          </w:p>
        </w:tc>
        <w:tc>
          <w:tcPr>
            <w:tcW w:w="1354" w:type="dxa"/>
            <w:vAlign w:val="center"/>
          </w:tcPr>
          <w:p>
            <w:pPr>
              <w:widowControl/>
              <w:jc w:val="center"/>
              <w:textAlignment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14" w:hRule="atLeast"/>
          <w:jc w:val="center"/>
        </w:trPr>
        <w:tc>
          <w:tcPr>
            <w:tcW w:w="1519" w:type="dxa"/>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水位</w:t>
            </w:r>
          </w:p>
        </w:tc>
        <w:tc>
          <w:tcPr>
            <w:tcW w:w="1127" w:type="dxa"/>
            <w:shd w:val="clear" w:color="auto" w:fill="auto"/>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9.5</w:t>
            </w:r>
          </w:p>
        </w:tc>
        <w:tc>
          <w:tcPr>
            <w:tcW w:w="1127" w:type="dxa"/>
            <w:shd w:val="clear" w:color="auto" w:fill="auto"/>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10.3</w:t>
            </w:r>
          </w:p>
        </w:tc>
        <w:tc>
          <w:tcPr>
            <w:tcW w:w="1127" w:type="dxa"/>
            <w:shd w:val="clear" w:color="auto" w:fill="auto"/>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10.9</w:t>
            </w:r>
          </w:p>
        </w:tc>
        <w:tc>
          <w:tcPr>
            <w:tcW w:w="1127" w:type="dxa"/>
            <w:shd w:val="clear" w:color="auto" w:fill="auto"/>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11.0</w:t>
            </w:r>
          </w:p>
        </w:tc>
        <w:tc>
          <w:tcPr>
            <w:tcW w:w="1127" w:type="dxa"/>
            <w:shd w:val="clear" w:color="auto" w:fill="auto"/>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10.0</w:t>
            </w:r>
          </w:p>
        </w:tc>
        <w:tc>
          <w:tcPr>
            <w:tcW w:w="1130" w:type="dxa"/>
            <w:shd w:val="clear" w:color="auto" w:fill="auto"/>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6.2</w:t>
            </w:r>
          </w:p>
        </w:tc>
        <w:tc>
          <w:tcPr>
            <w:tcW w:w="1354" w:type="dxa"/>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14" w:hRule="atLeast"/>
          <w:jc w:val="center"/>
        </w:trPr>
        <w:tc>
          <w:tcPr>
            <w:tcW w:w="1519" w:type="dxa"/>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井深</w:t>
            </w:r>
          </w:p>
        </w:tc>
        <w:tc>
          <w:tcPr>
            <w:tcW w:w="1127" w:type="dxa"/>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70</w:t>
            </w:r>
          </w:p>
        </w:tc>
        <w:tc>
          <w:tcPr>
            <w:tcW w:w="1127" w:type="dxa"/>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85</w:t>
            </w:r>
          </w:p>
        </w:tc>
        <w:tc>
          <w:tcPr>
            <w:tcW w:w="1127" w:type="dxa"/>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80</w:t>
            </w:r>
          </w:p>
        </w:tc>
        <w:tc>
          <w:tcPr>
            <w:tcW w:w="1127" w:type="dxa"/>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60</w:t>
            </w:r>
          </w:p>
        </w:tc>
        <w:tc>
          <w:tcPr>
            <w:tcW w:w="1127" w:type="dxa"/>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70</w:t>
            </w:r>
          </w:p>
        </w:tc>
        <w:tc>
          <w:tcPr>
            <w:tcW w:w="1130" w:type="dxa"/>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50</w:t>
            </w:r>
          </w:p>
        </w:tc>
        <w:tc>
          <w:tcPr>
            <w:tcW w:w="1354" w:type="dxa"/>
            <w:vAlign w:val="center"/>
          </w:tcPr>
          <w:p>
            <w:pPr>
              <w:widowControl/>
              <w:jc w:val="center"/>
              <w:textAlignment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14" w:hRule="atLeast"/>
          <w:jc w:val="center"/>
        </w:trPr>
        <w:tc>
          <w:tcPr>
            <w:tcW w:w="1519" w:type="dxa"/>
            <w:vAlign w:val="center"/>
          </w:tcPr>
          <w:p>
            <w:pPr>
              <w:jc w:val="center"/>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含水层</w:t>
            </w:r>
          </w:p>
        </w:tc>
        <w:tc>
          <w:tcPr>
            <w:tcW w:w="1127" w:type="dxa"/>
            <w:vAlign w:val="center"/>
          </w:tcPr>
          <w:p>
            <w:pPr>
              <w:widowControl/>
              <w:jc w:val="center"/>
              <w:textAlignment w:val="center"/>
              <w:rPr>
                <w:rFonts w:hint="default" w:ascii="Times New Roman" w:hAnsi="Times New Roman" w:cs="Times New Roman"/>
                <w:szCs w:val="21"/>
                <w:highlight w:val="none"/>
                <w:lang w:val="en-US" w:eastAsia="zh-CN"/>
              </w:rPr>
            </w:pPr>
            <w:r>
              <w:rPr>
                <w:rFonts w:hint="default"/>
                <w:color w:val="auto"/>
                <w:szCs w:val="22"/>
                <w:lang w:val="en-US" w:eastAsia="zh-CN"/>
              </w:rPr>
              <w:t>潜水层</w:t>
            </w:r>
          </w:p>
        </w:tc>
        <w:tc>
          <w:tcPr>
            <w:tcW w:w="1127" w:type="dxa"/>
            <w:vAlign w:val="center"/>
          </w:tcPr>
          <w:p>
            <w:pPr>
              <w:widowControl/>
              <w:jc w:val="center"/>
              <w:textAlignment w:val="center"/>
              <w:rPr>
                <w:rFonts w:hint="default" w:ascii="Times New Roman" w:hAnsi="Times New Roman" w:cs="Times New Roman"/>
                <w:szCs w:val="21"/>
                <w:highlight w:val="none"/>
                <w:lang w:val="en-US" w:eastAsia="zh-CN"/>
              </w:rPr>
            </w:pPr>
            <w:r>
              <w:rPr>
                <w:bCs/>
                <w:color w:val="auto"/>
              </w:rPr>
              <w:t>承压水</w:t>
            </w:r>
          </w:p>
        </w:tc>
        <w:tc>
          <w:tcPr>
            <w:tcW w:w="1127" w:type="dxa"/>
            <w:vAlign w:val="center"/>
          </w:tcPr>
          <w:p>
            <w:pPr>
              <w:widowControl/>
              <w:jc w:val="center"/>
              <w:textAlignment w:val="center"/>
              <w:rPr>
                <w:rFonts w:hint="default" w:ascii="Times New Roman" w:hAnsi="Times New Roman" w:cs="Times New Roman"/>
                <w:szCs w:val="21"/>
                <w:highlight w:val="none"/>
                <w:lang w:val="en-US" w:eastAsia="zh-CN"/>
              </w:rPr>
            </w:pPr>
            <w:r>
              <w:rPr>
                <w:bCs/>
                <w:color w:val="auto"/>
              </w:rPr>
              <w:t>承压水</w:t>
            </w:r>
          </w:p>
        </w:tc>
        <w:tc>
          <w:tcPr>
            <w:tcW w:w="1127" w:type="dxa"/>
            <w:vAlign w:val="center"/>
          </w:tcPr>
          <w:p>
            <w:pPr>
              <w:widowControl/>
              <w:jc w:val="center"/>
              <w:textAlignment w:val="center"/>
              <w:rPr>
                <w:rFonts w:hint="default" w:ascii="Times New Roman" w:hAnsi="Times New Roman" w:cs="Times New Roman"/>
                <w:szCs w:val="21"/>
                <w:highlight w:val="none"/>
                <w:lang w:val="en-US" w:eastAsia="zh-CN"/>
              </w:rPr>
            </w:pPr>
            <w:r>
              <w:rPr>
                <w:rFonts w:hint="default"/>
                <w:color w:val="auto"/>
                <w:szCs w:val="22"/>
                <w:lang w:val="en-US" w:eastAsia="zh-CN"/>
              </w:rPr>
              <w:t>潜水层</w:t>
            </w:r>
          </w:p>
        </w:tc>
        <w:tc>
          <w:tcPr>
            <w:tcW w:w="1127" w:type="dxa"/>
            <w:vAlign w:val="center"/>
          </w:tcPr>
          <w:p>
            <w:pPr>
              <w:widowControl/>
              <w:jc w:val="center"/>
              <w:textAlignment w:val="center"/>
              <w:rPr>
                <w:rFonts w:hint="default" w:ascii="Times New Roman" w:hAnsi="Times New Roman" w:cs="Times New Roman"/>
                <w:szCs w:val="21"/>
                <w:highlight w:val="none"/>
                <w:lang w:val="en-US" w:eastAsia="zh-CN"/>
              </w:rPr>
            </w:pPr>
            <w:r>
              <w:rPr>
                <w:rFonts w:hint="default"/>
                <w:color w:val="auto"/>
                <w:szCs w:val="22"/>
                <w:lang w:val="en-US" w:eastAsia="zh-CN"/>
              </w:rPr>
              <w:t>潜水层</w:t>
            </w:r>
          </w:p>
        </w:tc>
        <w:tc>
          <w:tcPr>
            <w:tcW w:w="1130" w:type="dxa"/>
            <w:vAlign w:val="center"/>
          </w:tcPr>
          <w:p>
            <w:pPr>
              <w:widowControl/>
              <w:jc w:val="center"/>
              <w:textAlignment w:val="center"/>
              <w:rPr>
                <w:rFonts w:hint="default" w:ascii="Times New Roman" w:hAnsi="Times New Roman" w:cs="Times New Roman"/>
                <w:szCs w:val="21"/>
                <w:highlight w:val="none"/>
                <w:lang w:val="en-US" w:eastAsia="zh-CN"/>
              </w:rPr>
            </w:pPr>
            <w:r>
              <w:rPr>
                <w:bCs/>
                <w:color w:val="auto"/>
              </w:rPr>
              <w:t>承压水</w:t>
            </w:r>
          </w:p>
        </w:tc>
        <w:tc>
          <w:tcPr>
            <w:tcW w:w="1354" w:type="dxa"/>
            <w:vAlign w:val="center"/>
          </w:tcPr>
          <w:p>
            <w:pPr>
              <w:widowControl/>
              <w:jc w:val="center"/>
              <w:textAlignment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14" w:hRule="atLeast"/>
          <w:jc w:val="center"/>
        </w:trPr>
        <w:tc>
          <w:tcPr>
            <w:tcW w:w="1519" w:type="dxa"/>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使用功能</w:t>
            </w:r>
          </w:p>
        </w:tc>
        <w:tc>
          <w:tcPr>
            <w:tcW w:w="1127" w:type="dxa"/>
            <w:vAlign w:val="center"/>
          </w:tcPr>
          <w:p>
            <w:pPr>
              <w:widowControl/>
              <w:jc w:val="center"/>
              <w:textAlignment w:val="center"/>
              <w:rPr>
                <w:rFonts w:hint="default"/>
                <w:color w:val="auto"/>
                <w:szCs w:val="22"/>
                <w:lang w:val="en-US" w:eastAsia="zh-CN"/>
              </w:rPr>
            </w:pPr>
            <w:r>
              <w:rPr>
                <w:rFonts w:hint="eastAsia"/>
                <w:color w:val="auto"/>
                <w:szCs w:val="22"/>
                <w:lang w:val="en-US" w:eastAsia="zh-CN"/>
              </w:rPr>
              <w:t>饮用</w:t>
            </w:r>
          </w:p>
        </w:tc>
        <w:tc>
          <w:tcPr>
            <w:tcW w:w="1127" w:type="dxa"/>
            <w:vAlign w:val="center"/>
          </w:tcPr>
          <w:p>
            <w:pPr>
              <w:widowControl/>
              <w:jc w:val="center"/>
              <w:textAlignment w:val="center"/>
              <w:rPr>
                <w:bCs/>
                <w:color w:val="auto"/>
              </w:rPr>
            </w:pPr>
            <w:r>
              <w:rPr>
                <w:snapToGrid w:val="0"/>
                <w:color w:val="auto"/>
                <w:szCs w:val="21"/>
              </w:rPr>
              <w:t>监测井</w:t>
            </w:r>
          </w:p>
        </w:tc>
        <w:tc>
          <w:tcPr>
            <w:tcW w:w="1127" w:type="dxa"/>
            <w:vAlign w:val="center"/>
          </w:tcPr>
          <w:p>
            <w:pPr>
              <w:widowControl/>
              <w:jc w:val="center"/>
              <w:textAlignment w:val="center"/>
              <w:rPr>
                <w:bCs/>
                <w:color w:val="auto"/>
              </w:rPr>
            </w:pPr>
            <w:r>
              <w:rPr>
                <w:rFonts w:hint="eastAsia"/>
                <w:color w:val="auto"/>
                <w:szCs w:val="22"/>
                <w:lang w:val="en-US" w:eastAsia="zh-CN"/>
              </w:rPr>
              <w:t>饮用</w:t>
            </w:r>
          </w:p>
        </w:tc>
        <w:tc>
          <w:tcPr>
            <w:tcW w:w="1127" w:type="dxa"/>
            <w:vAlign w:val="center"/>
          </w:tcPr>
          <w:p>
            <w:pPr>
              <w:widowControl/>
              <w:jc w:val="center"/>
              <w:textAlignment w:val="center"/>
              <w:rPr>
                <w:rFonts w:hint="default" w:eastAsia="宋体"/>
                <w:color w:val="auto"/>
                <w:szCs w:val="22"/>
                <w:lang w:val="en-US" w:eastAsia="zh-CN"/>
              </w:rPr>
            </w:pPr>
            <w:r>
              <w:rPr>
                <w:rFonts w:hint="eastAsia" w:eastAsia="宋体"/>
                <w:color w:val="auto"/>
                <w:szCs w:val="22"/>
                <w:lang w:val="en-US" w:eastAsia="zh-CN"/>
              </w:rPr>
              <w:t>饮用</w:t>
            </w:r>
          </w:p>
        </w:tc>
        <w:tc>
          <w:tcPr>
            <w:tcW w:w="1127" w:type="dxa"/>
            <w:vAlign w:val="center"/>
          </w:tcPr>
          <w:p>
            <w:pPr>
              <w:widowControl/>
              <w:jc w:val="center"/>
              <w:textAlignment w:val="center"/>
              <w:rPr>
                <w:rFonts w:hint="default"/>
                <w:color w:val="auto"/>
                <w:szCs w:val="22"/>
                <w:lang w:val="en-US" w:eastAsia="zh-CN"/>
              </w:rPr>
            </w:pPr>
            <w:r>
              <w:rPr>
                <w:rFonts w:hint="eastAsia"/>
                <w:color w:val="auto"/>
                <w:szCs w:val="22"/>
                <w:lang w:val="en-US" w:eastAsia="zh-CN"/>
              </w:rPr>
              <w:t>饮用</w:t>
            </w:r>
          </w:p>
        </w:tc>
        <w:tc>
          <w:tcPr>
            <w:tcW w:w="1130" w:type="dxa"/>
            <w:vAlign w:val="center"/>
          </w:tcPr>
          <w:p>
            <w:pPr>
              <w:widowControl/>
              <w:jc w:val="center"/>
              <w:textAlignment w:val="center"/>
              <w:rPr>
                <w:bCs/>
                <w:color w:val="auto"/>
              </w:rPr>
            </w:pPr>
            <w:r>
              <w:rPr>
                <w:rFonts w:hint="eastAsia"/>
                <w:color w:val="auto"/>
                <w:szCs w:val="22"/>
                <w:lang w:val="en-US" w:eastAsia="zh-CN"/>
              </w:rPr>
              <w:t>灌溉</w:t>
            </w:r>
          </w:p>
        </w:tc>
        <w:tc>
          <w:tcPr>
            <w:tcW w:w="1354" w:type="dxa"/>
            <w:vAlign w:val="center"/>
          </w:tcPr>
          <w:p>
            <w:pPr>
              <w:widowControl/>
              <w:jc w:val="center"/>
              <w:textAlignment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w:t>
            </w:r>
          </w:p>
        </w:tc>
      </w:tr>
    </w:tbl>
    <w:p>
      <w:pPr>
        <w:keepNext w:val="0"/>
        <w:keepLines w:val="0"/>
        <w:pageBreakBefore w:val="0"/>
        <w:widowControl/>
        <w:wordWrap/>
        <w:overflowPunct/>
        <w:topLinePunct w:val="0"/>
        <w:bidi w:val="0"/>
        <w:spacing w:line="360" w:lineRule="auto"/>
        <w:ind w:left="0" w:firstLine="468" w:firstLineChars="200"/>
        <w:jc w:val="both"/>
        <w:outlineLvl w:val="2"/>
        <w:rPr>
          <w:rFonts w:hint="default" w:ascii="Times New Roman" w:hAnsi="Times New Roman" w:eastAsia="黑体" w:cs="Times New Roman"/>
          <w:spacing w:val="-3"/>
          <w:sz w:val="24"/>
          <w:szCs w:val="24"/>
          <w:lang w:val="en-US" w:eastAsia="zh-CN"/>
        </w:rPr>
      </w:pPr>
      <w:r>
        <w:rPr>
          <w:rFonts w:hint="default" w:ascii="Times New Roman" w:hAnsi="Times New Roman" w:eastAsia="黑体" w:cs="Times New Roman"/>
          <w:spacing w:val="-3"/>
          <w:sz w:val="24"/>
          <w:szCs w:val="24"/>
          <w:lang w:val="en-US" w:eastAsia="zh-CN"/>
        </w:rPr>
        <w:t>4.5.2  地下水现状评价</w:t>
      </w:r>
    </w:p>
    <w:p>
      <w:pPr>
        <w:keepNext w:val="0"/>
        <w:keepLines w:val="0"/>
        <w:pageBreakBefore w:val="0"/>
        <w:kinsoku w:val="0"/>
        <w:wordWrap/>
        <w:overflowPunct/>
        <w:topLinePunct w:val="0"/>
        <w:autoSpaceDE w:val="0"/>
        <w:autoSpaceDN w:val="0"/>
        <w:bidi w:val="0"/>
        <w:spacing w:line="360" w:lineRule="auto"/>
        <w:ind w:left="0" w:firstLine="468" w:firstLineChars="200"/>
        <w:jc w:val="both"/>
        <w:textAlignment w:val="baseline"/>
        <w:rPr>
          <w:rFonts w:hint="default" w:ascii="Times New Roman" w:hAnsi="Times New Roman" w:eastAsia="宋体" w:cs="Times New Roman"/>
          <w:sz w:val="24"/>
          <w:szCs w:val="24"/>
          <w:lang w:eastAsia="zh-CN"/>
        </w:rPr>
      </w:pPr>
      <w:r>
        <w:rPr>
          <w:rFonts w:hint="default" w:ascii="Times New Roman" w:hAnsi="Times New Roman" w:eastAsia="宋体" w:cs="Times New Roman"/>
          <w:spacing w:val="-3"/>
          <w:sz w:val="24"/>
          <w:szCs w:val="24"/>
          <w14:textOutline w14:w="4358" w14:cap="sq" w14:cmpd="sng">
            <w14:solidFill>
              <w14:srgbClr w14:val="000000"/>
            </w14:solidFill>
            <w14:prstDash w14:val="solid"/>
            <w14:bevel/>
          </w14:textOutline>
        </w:rPr>
        <w:t>（</w:t>
      </w:r>
      <w:r>
        <w:rPr>
          <w:rFonts w:hint="default" w:ascii="Times New Roman" w:hAnsi="Times New Roman" w:eastAsia="宋体" w:cs="Times New Roman"/>
          <w:b/>
          <w:bCs/>
          <w:spacing w:val="-3"/>
          <w:sz w:val="24"/>
          <w:szCs w:val="24"/>
        </w:rPr>
        <w:t>1</w:t>
      </w:r>
      <w:r>
        <w:rPr>
          <w:rFonts w:hint="default" w:ascii="Times New Roman" w:hAnsi="Times New Roman" w:eastAsia="宋体" w:cs="Times New Roman"/>
          <w:spacing w:val="-3"/>
          <w:sz w:val="24"/>
          <w:szCs w:val="24"/>
          <w14:textOutline w14:w="4358" w14:cap="sq" w14:cmpd="sng">
            <w14:solidFill>
              <w14:srgbClr w14:val="000000"/>
            </w14:solidFill>
            <w14:prstDash w14:val="solid"/>
            <w14:bevel/>
          </w14:textOutline>
        </w:rPr>
        <w:t>）</w:t>
      </w:r>
      <w:r>
        <w:rPr>
          <w:rFonts w:hint="default" w:ascii="Times New Roman" w:hAnsi="Times New Roman" w:eastAsia="宋体" w:cs="Times New Roman"/>
          <w:spacing w:val="-3"/>
          <w:sz w:val="24"/>
          <w:szCs w:val="24"/>
        </w:rPr>
        <w:t xml:space="preserve"> </w:t>
      </w:r>
      <w:r>
        <w:rPr>
          <w:rFonts w:hint="default" w:ascii="Times New Roman" w:hAnsi="Times New Roman" w:eastAsia="宋体" w:cs="Times New Roman"/>
          <w:spacing w:val="-3"/>
          <w:sz w:val="24"/>
          <w:szCs w:val="24"/>
          <w14:textOutline w14:w="4358" w14:cap="sq" w14:cmpd="sng">
            <w14:solidFill>
              <w14:srgbClr w14:val="000000"/>
            </w14:solidFill>
            <w14:prstDash w14:val="solid"/>
            <w14:bevel/>
          </w14:textOutline>
        </w:rPr>
        <w:t>评价</w:t>
      </w:r>
      <w:r>
        <w:rPr>
          <w:rFonts w:hint="default" w:ascii="Times New Roman" w:hAnsi="Times New Roman" w:eastAsia="宋体" w:cs="Times New Roman"/>
          <w:spacing w:val="-3"/>
          <w:sz w:val="24"/>
          <w:szCs w:val="24"/>
          <w:lang w:val="en-US" w:eastAsia="zh-CN"/>
          <w14:textOutline w14:w="4358" w14:cap="sq" w14:cmpd="sng">
            <w14:solidFill>
              <w14:srgbClr w14:val="000000"/>
            </w14:solidFill>
            <w14:prstDash w14:val="solid"/>
            <w14:bevel/>
          </w14:textOutline>
        </w:rPr>
        <w:t>方法</w:t>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both"/>
        <w:textAlignment w:val="baseline"/>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①水质现状评价</w:t>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根据《环境影响评价技术导则 地下水环境》（HJ610-2016），本次地下水现状评价以评价区域地下水水体各监测点位的水质单项指标测定值作为水质评价参数，对照《地下水质量标准》（GB/T14848-2017）Ⅲ类标准，采用标准指数法进行水质参数的评价。</w:t>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对于评价标准为定值的水质因子，其标准指数计算公式：</w:t>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center"/>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114300" distR="114300">
            <wp:extent cx="661670" cy="510540"/>
            <wp:effectExtent l="0" t="0" r="0" b="3810"/>
            <wp:docPr id="7" name="对象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对象 74"/>
                    <pic:cNvPicPr>
                      <a:picLocks noChangeAspect="1"/>
                    </pic:cNvPicPr>
                  </pic:nvPicPr>
                  <pic:blipFill>
                    <a:blip r:embed="rId56" cstate="print"/>
                    <a:stretch>
                      <a:fillRect/>
                    </a:stretch>
                  </pic:blipFill>
                  <pic:spPr>
                    <a:xfrm>
                      <a:off x="0" y="0"/>
                      <a:ext cx="661670" cy="510540"/>
                    </a:xfrm>
                    <a:prstGeom prst="rect">
                      <a:avLst/>
                    </a:prstGeom>
                    <a:noFill/>
                    <a:ln>
                      <a:noFill/>
                    </a:ln>
                  </pic:spPr>
                </pic:pic>
              </a:graphicData>
            </a:graphic>
          </wp:inline>
        </w:drawing>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left"/>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left"/>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P</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 xml:space="preserve"> —第 i个水质因子的标准指数，无量纲；</w:t>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left"/>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—第 i个水质因子的监测浓度值，mg/L；</w:t>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left"/>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w:t>
      </w:r>
      <w:r>
        <w:rPr>
          <w:rFonts w:hint="default" w:ascii="Times New Roman" w:hAnsi="Times New Roman" w:eastAsia="宋体" w:cs="Times New Roman"/>
          <w:color w:val="auto"/>
          <w:sz w:val="24"/>
          <w:highlight w:val="none"/>
          <w:vertAlign w:val="subscript"/>
        </w:rPr>
        <w:t>si</w:t>
      </w:r>
      <w:r>
        <w:rPr>
          <w:rFonts w:hint="default" w:ascii="Times New Roman" w:hAnsi="Times New Roman" w:eastAsia="宋体" w:cs="Times New Roman"/>
          <w:color w:val="auto"/>
          <w:sz w:val="24"/>
          <w:highlight w:val="none"/>
        </w:rPr>
        <w:t>—第 i个水质因子的标准浓度值，mg/L。</w:t>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（2）对于评价标准为区间值的水质因子（如pH值），其标准指数计算公式：</w:t>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center"/>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114300" distR="114300">
            <wp:extent cx="1183005" cy="462915"/>
            <wp:effectExtent l="0" t="0" r="17145" b="13970"/>
            <wp:docPr id="103" name="对象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对象 75"/>
                    <pic:cNvPicPr>
                      <a:picLocks noChangeAspect="1"/>
                    </pic:cNvPicPr>
                  </pic:nvPicPr>
                  <pic:blipFill>
                    <a:blip r:embed="rId57" cstate="print"/>
                    <a:stretch>
                      <a:fillRect/>
                    </a:stretch>
                  </pic:blipFill>
                  <pic:spPr>
                    <a:xfrm>
                      <a:off x="0" y="0"/>
                      <a:ext cx="1183005" cy="462915"/>
                    </a:xfrm>
                    <a:prstGeom prst="rect">
                      <a:avLst/>
                    </a:prstGeom>
                    <a:noFill/>
                    <a:ln>
                      <a:noFill/>
                    </a:ln>
                  </pic:spPr>
                </pic:pic>
              </a:graphicData>
            </a:graphic>
          </wp:inline>
        </w:drawing>
      </w:r>
      <w:r>
        <w:rPr>
          <w:rFonts w:hint="default" w:ascii="Times New Roman" w:hAnsi="Times New Roman" w:eastAsia="宋体" w:cs="Times New Roman"/>
          <w:color w:val="auto"/>
          <w:sz w:val="24"/>
          <w:highlight w:val="none"/>
        </w:rPr>
        <w:t xml:space="preserve"> </w:t>
      </w:r>
      <w:r>
        <w:rPr>
          <w:rFonts w:hint="default" w:ascii="Times New Roman" w:hAnsi="Times New Roman" w:eastAsia="宋体" w:cs="Times New Roman"/>
          <w:color w:val="auto"/>
          <w:sz w:val="24"/>
          <w:highlight w:val="none"/>
        </w:rPr>
        <w:drawing>
          <wp:inline distT="0" distB="0" distL="114300" distR="114300">
            <wp:extent cx="653415" cy="225425"/>
            <wp:effectExtent l="0" t="0" r="13335" b="2540"/>
            <wp:docPr id="8" name="对象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对象 76"/>
                    <pic:cNvPicPr>
                      <a:picLocks noChangeAspect="1"/>
                    </pic:cNvPicPr>
                  </pic:nvPicPr>
                  <pic:blipFill>
                    <a:blip r:embed="rId58" cstate="print"/>
                    <a:stretch>
                      <a:fillRect/>
                    </a:stretch>
                  </pic:blipFill>
                  <pic:spPr>
                    <a:xfrm>
                      <a:off x="0" y="0"/>
                      <a:ext cx="653415" cy="225425"/>
                    </a:xfrm>
                    <a:prstGeom prst="rect">
                      <a:avLst/>
                    </a:prstGeom>
                    <a:noFill/>
                    <a:ln>
                      <a:noFill/>
                    </a:ln>
                  </pic:spPr>
                </pic:pic>
              </a:graphicData>
            </a:graphic>
          </wp:inline>
        </w:drawing>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center"/>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114300" distR="114300">
            <wp:extent cx="1294765" cy="505460"/>
            <wp:effectExtent l="0" t="0" r="635" b="8255"/>
            <wp:docPr id="105" name="对象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对象 77"/>
                    <pic:cNvPicPr>
                      <a:picLocks noChangeAspect="1"/>
                    </pic:cNvPicPr>
                  </pic:nvPicPr>
                  <pic:blipFill>
                    <a:blip r:embed="rId59" cstate="print"/>
                    <a:stretch>
                      <a:fillRect/>
                    </a:stretch>
                  </pic:blipFill>
                  <pic:spPr>
                    <a:xfrm>
                      <a:off x="0" y="0"/>
                      <a:ext cx="1294765" cy="505460"/>
                    </a:xfrm>
                    <a:prstGeom prst="rect">
                      <a:avLst/>
                    </a:prstGeom>
                    <a:noFill/>
                    <a:ln>
                      <a:noFill/>
                    </a:ln>
                  </pic:spPr>
                </pic:pic>
              </a:graphicData>
            </a:graphic>
          </wp:inline>
        </w:drawing>
      </w:r>
      <w:r>
        <w:rPr>
          <w:rFonts w:hint="default" w:ascii="Times New Roman" w:hAnsi="Times New Roman" w:eastAsia="宋体" w:cs="Times New Roman"/>
          <w:color w:val="auto"/>
          <w:sz w:val="24"/>
          <w:highlight w:val="none"/>
        </w:rPr>
        <w:drawing>
          <wp:inline distT="0" distB="0" distL="114300" distR="114300">
            <wp:extent cx="653415" cy="225425"/>
            <wp:effectExtent l="0" t="0" r="13335" b="2540"/>
            <wp:docPr id="10" name="对象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对象 78"/>
                    <pic:cNvPicPr>
                      <a:picLocks noChangeAspect="1"/>
                    </pic:cNvPicPr>
                  </pic:nvPicPr>
                  <pic:blipFill>
                    <a:blip r:embed="rId60" cstate="print"/>
                    <a:stretch>
                      <a:fillRect/>
                    </a:stretch>
                  </pic:blipFill>
                  <pic:spPr>
                    <a:xfrm>
                      <a:off x="0" y="0"/>
                      <a:ext cx="653415" cy="225425"/>
                    </a:xfrm>
                    <a:prstGeom prst="rect">
                      <a:avLst/>
                    </a:prstGeom>
                    <a:noFill/>
                    <a:ln>
                      <a:noFill/>
                    </a:ln>
                  </pic:spPr>
                </pic:pic>
              </a:graphicData>
            </a:graphic>
          </wp:inline>
        </w:drawing>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P</w:t>
      </w:r>
      <w:r>
        <w:rPr>
          <w:rFonts w:hint="default" w:ascii="Times New Roman" w:hAnsi="Times New Roman" w:eastAsia="宋体" w:cs="Times New Roman"/>
          <w:color w:val="auto"/>
          <w:sz w:val="24"/>
          <w:highlight w:val="none"/>
          <w:vertAlign w:val="subscript"/>
        </w:rPr>
        <w:t>pH</w:t>
      </w:r>
      <w:r>
        <w:rPr>
          <w:rFonts w:hint="default" w:ascii="Times New Roman" w:hAnsi="Times New Roman" w:eastAsia="宋体" w:cs="Times New Roman"/>
          <w:color w:val="auto"/>
          <w:sz w:val="24"/>
          <w:highlight w:val="none"/>
        </w:rPr>
        <w:t>—pH的标准指数，无量纲；</w:t>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pH—pH监测值；</w:t>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pH</w:t>
      </w:r>
      <w:r>
        <w:rPr>
          <w:rFonts w:hint="default" w:ascii="Times New Roman" w:hAnsi="Times New Roman" w:eastAsia="宋体" w:cs="Times New Roman"/>
          <w:color w:val="auto"/>
          <w:sz w:val="24"/>
          <w:highlight w:val="none"/>
          <w:vertAlign w:val="subscript"/>
        </w:rPr>
        <w:t>su</w:t>
      </w:r>
      <w:r>
        <w:rPr>
          <w:rFonts w:hint="default" w:ascii="Times New Roman" w:hAnsi="Times New Roman" w:eastAsia="宋体" w:cs="Times New Roman"/>
          <w:color w:val="auto"/>
          <w:sz w:val="24"/>
          <w:highlight w:val="none"/>
        </w:rPr>
        <w:t>—标准中pH的上限值；</w:t>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pH</w:t>
      </w:r>
      <w:r>
        <w:rPr>
          <w:rFonts w:hint="default" w:ascii="Times New Roman" w:hAnsi="Times New Roman" w:eastAsia="宋体" w:cs="Times New Roman"/>
          <w:color w:val="auto"/>
          <w:sz w:val="24"/>
          <w:highlight w:val="none"/>
          <w:vertAlign w:val="subscript"/>
        </w:rPr>
        <w:t>sd</w:t>
      </w:r>
      <w:r>
        <w:rPr>
          <w:rFonts w:hint="default" w:ascii="Times New Roman" w:hAnsi="Times New Roman" w:eastAsia="宋体" w:cs="Times New Roman"/>
          <w:color w:val="auto"/>
          <w:sz w:val="24"/>
          <w:highlight w:val="none"/>
        </w:rPr>
        <w:t>—标准中 pH的下限值。</w:t>
      </w:r>
    </w:p>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both"/>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标准指数P&gt;1时，即表明该水质因子已经超过了规定的水质标准，且指数越大，超标越严重。</w:t>
      </w:r>
    </w:p>
    <w:p>
      <w:pPr>
        <w:keepNext w:val="0"/>
        <w:keepLines w:val="0"/>
        <w:pageBreakBefore w:val="0"/>
        <w:kinsoku w:val="0"/>
        <w:wordWrap/>
        <w:overflowPunct/>
        <w:topLinePunct w:val="0"/>
        <w:autoSpaceDE w:val="0"/>
        <w:autoSpaceDN w:val="0"/>
        <w:bidi w:val="0"/>
        <w:spacing w:line="360" w:lineRule="auto"/>
        <w:ind w:left="0" w:firstLine="468" w:firstLineChars="200"/>
        <w:jc w:val="both"/>
        <w:textAlignment w:val="baseline"/>
        <w:rPr>
          <w:rFonts w:hint="default" w:ascii="Times New Roman" w:hAnsi="Times New Roman" w:eastAsia="宋体" w:cs="Times New Roman"/>
          <w:highlight w:val="none"/>
          <w:lang w:val="en-US"/>
        </w:rPr>
      </w:pPr>
      <w:r>
        <w:rPr>
          <w:rFonts w:hint="default" w:ascii="Times New Roman" w:hAnsi="Times New Roman" w:eastAsia="宋体" w:cs="Times New Roman"/>
          <w:spacing w:val="-3"/>
          <w:sz w:val="24"/>
          <w:szCs w:val="24"/>
          <w:highlight w:val="none"/>
          <w14:textOutline w14:w="4358" w14:cap="sq" w14:cmpd="sng">
            <w14:solidFill>
              <w14:srgbClr w14:val="000000"/>
            </w14:solidFill>
            <w14:prstDash w14:val="solid"/>
            <w14:bevel/>
          </w14:textOutline>
        </w:rPr>
        <w:t>（</w:t>
      </w:r>
      <w:r>
        <w:rPr>
          <w:rFonts w:hint="default" w:ascii="Times New Roman" w:hAnsi="Times New Roman" w:eastAsia="宋体" w:cs="Times New Roman"/>
          <w:b/>
          <w:bCs/>
          <w:spacing w:val="-3"/>
          <w:sz w:val="24"/>
          <w:szCs w:val="24"/>
          <w:highlight w:val="none"/>
        </w:rPr>
        <w:t>2</w:t>
      </w:r>
      <w:r>
        <w:rPr>
          <w:rFonts w:hint="default" w:ascii="Times New Roman" w:hAnsi="Times New Roman" w:eastAsia="宋体" w:cs="Times New Roman"/>
          <w:spacing w:val="-3"/>
          <w:sz w:val="24"/>
          <w:szCs w:val="24"/>
          <w:highlight w:val="none"/>
          <w14:textOutline w14:w="4358" w14:cap="sq" w14:cmpd="sng">
            <w14:solidFill>
              <w14:srgbClr w14:val="000000"/>
            </w14:solidFill>
            <w14:prstDash w14:val="solid"/>
            <w14:bevel/>
          </w14:textOutline>
        </w:rPr>
        <w:t>）</w:t>
      </w:r>
      <w:r>
        <w:rPr>
          <w:rFonts w:hint="default" w:ascii="Times New Roman" w:hAnsi="Times New Roman" w:eastAsia="宋体" w:cs="Times New Roman"/>
          <w:spacing w:val="-3"/>
          <w:sz w:val="24"/>
          <w:szCs w:val="24"/>
          <w:highlight w:val="none"/>
          <w:lang w:val="en-US" w:eastAsia="zh-CN"/>
          <w14:textOutline w14:w="4358" w14:cap="sq" w14:cmpd="sng">
            <w14:solidFill>
              <w14:srgbClr w14:val="000000"/>
            </w14:solidFill>
            <w14:prstDash w14:val="solid"/>
            <w14:bevel/>
          </w14:textOutline>
        </w:rPr>
        <w:t>评价结果</w:t>
      </w:r>
    </w:p>
    <w:p>
      <w:pPr>
        <w:pStyle w:val="6"/>
        <w:keepNext w:val="0"/>
        <w:keepLines w:val="0"/>
        <w:pageBreakBefore w:val="0"/>
        <w:widowControl/>
        <w:kinsoku w:val="0"/>
        <w:wordWrap/>
        <w:overflowPunct/>
        <w:topLinePunct w:val="0"/>
        <w:autoSpaceDE w:val="0"/>
        <w:autoSpaceDN w:val="0"/>
        <w:bidi w:val="0"/>
        <w:adjustRightInd w:val="0"/>
        <w:snapToGrid w:val="0"/>
        <w:spacing w:line="240" w:lineRule="auto"/>
        <w:ind w:left="0" w:firstLine="482" w:firstLineChars="200"/>
        <w:jc w:val="center"/>
        <w:textAlignment w:val="baseline"/>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color w:val="auto"/>
          <w:sz w:val="24"/>
          <w:highlight w:val="none"/>
        </w:rPr>
        <w:t>表4</w:t>
      </w:r>
      <w:r>
        <w:rPr>
          <w:rFonts w:hint="default" w:ascii="Times New Roman" w:hAnsi="Times New Roman" w:eastAsia="宋体" w:cs="Times New Roman"/>
          <w:b/>
          <w:color w:val="auto"/>
          <w:sz w:val="24"/>
          <w:highlight w:val="none"/>
          <w:lang w:val="en-US" w:eastAsia="zh-CN"/>
        </w:rPr>
        <w:t>-5</w:t>
      </w:r>
      <w:r>
        <w:rPr>
          <w:rFonts w:hint="default" w:ascii="Times New Roman" w:hAnsi="Times New Roman" w:eastAsia="宋体" w:cs="Times New Roman"/>
          <w:b/>
          <w:color w:val="auto"/>
          <w:sz w:val="24"/>
          <w:highlight w:val="none"/>
        </w:rPr>
        <w:t>-</w:t>
      </w:r>
      <w:r>
        <w:rPr>
          <w:rFonts w:hint="default" w:ascii="Times New Roman" w:hAnsi="Times New Roman" w:eastAsia="宋体" w:cs="Times New Roman"/>
          <w:b/>
          <w:color w:val="auto"/>
          <w:sz w:val="24"/>
          <w:highlight w:val="none"/>
          <w:lang w:val="en-US" w:eastAsia="zh-CN"/>
        </w:rPr>
        <w:t>5</w:t>
      </w:r>
      <w:r>
        <w:rPr>
          <w:rFonts w:hint="default" w:ascii="Times New Roman" w:hAnsi="Times New Roman" w:eastAsia="宋体" w:cs="Times New Roman"/>
          <w:b/>
          <w:color w:val="auto"/>
          <w:sz w:val="24"/>
          <w:highlight w:val="none"/>
        </w:rPr>
        <w:t xml:space="preserve">   </w:t>
      </w:r>
      <w:r>
        <w:rPr>
          <w:rFonts w:hint="default" w:ascii="Times New Roman" w:hAnsi="Times New Roman" w:cs="Times New Roman"/>
          <w:b/>
          <w:color w:val="auto"/>
          <w:sz w:val="24"/>
          <w:highlight w:val="none"/>
        </w:rPr>
        <w:t>地下水质现状评价结果</w:t>
      </w:r>
      <w:r>
        <w:rPr>
          <w:rFonts w:hint="default" w:ascii="Times New Roman" w:hAnsi="Times New Roman" w:eastAsia="宋体" w:cs="Times New Roman"/>
          <w:b/>
          <w:color w:val="auto"/>
          <w:sz w:val="24"/>
          <w:highlight w:val="none"/>
        </w:rPr>
        <w:t xml:space="preserve">   </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75"/>
        <w:gridCol w:w="2078"/>
        <w:gridCol w:w="2060"/>
        <w:gridCol w:w="2143"/>
        <w:gridCol w:w="164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9" w:hRule="atLeast"/>
          <w:jc w:val="center"/>
        </w:trPr>
        <w:tc>
          <w:tcPr>
            <w:tcW w:w="739" w:type="pct"/>
            <w:vMerge w:val="restart"/>
            <w:vAlign w:val="center"/>
          </w:tcPr>
          <w:p>
            <w:pPr>
              <w:widowControl/>
              <w:spacing w:line="0" w:lineRule="atLeast"/>
              <w:contextualSpacing/>
              <w:jc w:val="center"/>
              <w:rPr>
                <w:rFonts w:hint="default" w:ascii="Times New Roman" w:hAnsi="Times New Roman" w:cs="Times New Roman"/>
                <w:color w:val="auto"/>
                <w:szCs w:val="21"/>
                <w:highlight w:val="none"/>
              </w:rPr>
            </w:pPr>
            <w:bookmarkStart w:id="297" w:name="OLE_LINK3"/>
            <w:r>
              <w:rPr>
                <w:rFonts w:hint="default" w:ascii="Times New Roman" w:hAnsi="Times New Roman" w:cs="Times New Roman"/>
                <w:color w:val="auto"/>
                <w:szCs w:val="21"/>
                <w:highlight w:val="none"/>
              </w:rPr>
              <w:t>序号</w:t>
            </w:r>
          </w:p>
        </w:tc>
        <w:tc>
          <w:tcPr>
            <w:tcW w:w="1117" w:type="pct"/>
            <w:vMerge w:val="restar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监测项目</w:t>
            </w:r>
          </w:p>
        </w:tc>
        <w:tc>
          <w:tcPr>
            <w:tcW w:w="1107" w:type="pct"/>
            <w:vAlign w:val="center"/>
          </w:tcPr>
          <w:p>
            <w:pPr>
              <w:widowControl/>
              <w:spacing w:line="0" w:lineRule="atLeast"/>
              <w:contextualSpacing/>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1</w:t>
            </w:r>
            <w:r>
              <w:rPr>
                <w:rFonts w:hint="default" w:ascii="Times New Roman" w:hAnsi="Times New Roman" w:cs="Times New Roman"/>
                <w:color w:val="auto"/>
                <w:szCs w:val="21"/>
                <w:highlight w:val="none"/>
                <w:lang w:val="en-US" w:eastAsia="zh-CN"/>
              </w:rPr>
              <w:t>#</w:t>
            </w:r>
          </w:p>
        </w:tc>
        <w:tc>
          <w:tcPr>
            <w:tcW w:w="1152"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r>
              <w:rPr>
                <w:rFonts w:hint="default" w:ascii="Times New Roman" w:hAnsi="Times New Roman" w:cs="Times New Roman"/>
                <w:color w:val="auto"/>
                <w:szCs w:val="21"/>
                <w:highlight w:val="none"/>
                <w:lang w:val="en-US" w:eastAsia="zh-CN"/>
              </w:rPr>
              <w:t>#</w:t>
            </w:r>
          </w:p>
        </w:tc>
        <w:tc>
          <w:tcPr>
            <w:tcW w:w="881"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Merge w:val="continue"/>
            <w:vAlign w:val="center"/>
          </w:tcPr>
          <w:p>
            <w:pPr>
              <w:widowControl/>
              <w:spacing w:line="0" w:lineRule="atLeast"/>
              <w:contextualSpacing/>
              <w:jc w:val="center"/>
              <w:rPr>
                <w:rFonts w:hint="default" w:ascii="Times New Roman" w:hAnsi="Times New Roman" w:cs="Times New Roman"/>
                <w:color w:val="auto"/>
                <w:szCs w:val="21"/>
                <w:highlight w:val="none"/>
              </w:rPr>
            </w:pPr>
          </w:p>
        </w:tc>
        <w:tc>
          <w:tcPr>
            <w:tcW w:w="1117" w:type="pct"/>
            <w:vMerge w:val="continue"/>
            <w:vAlign w:val="center"/>
          </w:tcPr>
          <w:p>
            <w:pPr>
              <w:widowControl/>
              <w:spacing w:line="0" w:lineRule="atLeast"/>
              <w:contextualSpacing/>
              <w:jc w:val="center"/>
              <w:rPr>
                <w:rFonts w:hint="default" w:ascii="Times New Roman" w:hAnsi="Times New Roman" w:cs="Times New Roman"/>
                <w:color w:val="auto"/>
                <w:szCs w:val="21"/>
                <w:highlight w:val="none"/>
              </w:rPr>
            </w:pPr>
          </w:p>
        </w:tc>
        <w:tc>
          <w:tcPr>
            <w:tcW w:w="1107"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Pi</w:t>
            </w:r>
          </w:p>
        </w:tc>
        <w:tc>
          <w:tcPr>
            <w:tcW w:w="1152"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Pi</w:t>
            </w:r>
          </w:p>
        </w:tc>
        <w:tc>
          <w:tcPr>
            <w:tcW w:w="881"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Pi</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pH值</w:t>
            </w:r>
          </w:p>
        </w:tc>
        <w:tc>
          <w:tcPr>
            <w:tcW w:w="1107"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0.067</w:t>
            </w:r>
          </w:p>
        </w:tc>
        <w:tc>
          <w:tcPr>
            <w:tcW w:w="1152"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0.133</w:t>
            </w:r>
          </w:p>
        </w:tc>
        <w:tc>
          <w:tcPr>
            <w:tcW w:w="881"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1117"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总硬度</w:t>
            </w:r>
          </w:p>
        </w:tc>
        <w:tc>
          <w:tcPr>
            <w:tcW w:w="1107"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0.404</w:t>
            </w:r>
          </w:p>
        </w:tc>
        <w:tc>
          <w:tcPr>
            <w:tcW w:w="1152"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0.209</w:t>
            </w:r>
          </w:p>
        </w:tc>
        <w:tc>
          <w:tcPr>
            <w:tcW w:w="881"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溶解性总固体</w:t>
            </w:r>
          </w:p>
        </w:tc>
        <w:tc>
          <w:tcPr>
            <w:tcW w:w="1107"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0.231</w:t>
            </w:r>
          </w:p>
        </w:tc>
        <w:tc>
          <w:tcPr>
            <w:tcW w:w="1152"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0.133</w:t>
            </w:r>
          </w:p>
        </w:tc>
        <w:tc>
          <w:tcPr>
            <w:tcW w:w="881"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0.076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1117"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硫酸盐</w:t>
            </w:r>
          </w:p>
        </w:tc>
        <w:tc>
          <w:tcPr>
            <w:tcW w:w="1107"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0.0128</w:t>
            </w:r>
          </w:p>
        </w:tc>
        <w:tc>
          <w:tcPr>
            <w:tcW w:w="1152"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0.0616</w:t>
            </w:r>
          </w:p>
        </w:tc>
        <w:tc>
          <w:tcPr>
            <w:tcW w:w="881"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w:t>
            </w:r>
          </w:p>
        </w:tc>
        <w:tc>
          <w:tcPr>
            <w:tcW w:w="1117"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氯化物</w:t>
            </w:r>
          </w:p>
        </w:tc>
        <w:tc>
          <w:tcPr>
            <w:tcW w:w="1107"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0.2264</w:t>
            </w:r>
          </w:p>
        </w:tc>
        <w:tc>
          <w:tcPr>
            <w:tcW w:w="1152"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0.0317</w:t>
            </w:r>
          </w:p>
        </w:tc>
        <w:tc>
          <w:tcPr>
            <w:tcW w:w="881"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挥发酚</w:t>
            </w:r>
          </w:p>
        </w:tc>
        <w:tc>
          <w:tcPr>
            <w:tcW w:w="1107"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1152"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881"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耗氧量</w:t>
            </w:r>
          </w:p>
        </w:tc>
        <w:tc>
          <w:tcPr>
            <w:tcW w:w="1107"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0.833</w:t>
            </w:r>
          </w:p>
        </w:tc>
        <w:tc>
          <w:tcPr>
            <w:tcW w:w="1152"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0.4</w:t>
            </w:r>
          </w:p>
        </w:tc>
        <w:tc>
          <w:tcPr>
            <w:tcW w:w="881"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0.267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硝酸盐</w:t>
            </w:r>
          </w:p>
        </w:tc>
        <w:tc>
          <w:tcPr>
            <w:tcW w:w="1107"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0.98</w:t>
            </w:r>
          </w:p>
        </w:tc>
        <w:tc>
          <w:tcPr>
            <w:tcW w:w="1152"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0.062</w:t>
            </w:r>
          </w:p>
        </w:tc>
        <w:tc>
          <w:tcPr>
            <w:tcW w:w="881"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亚硝酸盐</w:t>
            </w:r>
          </w:p>
        </w:tc>
        <w:tc>
          <w:tcPr>
            <w:tcW w:w="1107" w:type="pct"/>
            <w:vAlign w:val="center"/>
          </w:tcPr>
          <w:p>
            <w:pPr>
              <w:keepNext w:val="0"/>
              <w:keepLines w:val="0"/>
              <w:widowControl/>
              <w:suppressLineNumbers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1152" w:type="pct"/>
            <w:vAlign w:val="center"/>
          </w:tcPr>
          <w:p>
            <w:pPr>
              <w:keepNext w:val="0"/>
              <w:keepLines w:val="0"/>
              <w:widowControl/>
              <w:suppressLineNumbers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881" w:type="pct"/>
            <w:vAlign w:val="center"/>
          </w:tcPr>
          <w:p>
            <w:pPr>
              <w:keepNext w:val="0"/>
              <w:keepLines w:val="0"/>
              <w:widowControl/>
              <w:suppressLineNumbers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氨氮</w:t>
            </w:r>
          </w:p>
        </w:tc>
        <w:tc>
          <w:tcPr>
            <w:tcW w:w="1107"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0.21</w:t>
            </w:r>
          </w:p>
        </w:tc>
        <w:tc>
          <w:tcPr>
            <w:tcW w:w="1152"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0.424</w:t>
            </w:r>
          </w:p>
        </w:tc>
        <w:tc>
          <w:tcPr>
            <w:tcW w:w="881"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0.804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六价铬</w:t>
            </w:r>
          </w:p>
        </w:tc>
        <w:tc>
          <w:tcPr>
            <w:tcW w:w="1107"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1152"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881"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lang w:val="zh-CN"/>
              </w:rPr>
            </w:pPr>
            <w:r>
              <w:rPr>
                <w:rFonts w:hint="default" w:ascii="Times New Roman" w:hAnsi="Times New Roman" w:cs="Times New Roman"/>
                <w:color w:val="auto"/>
                <w:szCs w:val="21"/>
                <w:highlight w:val="none"/>
                <w:lang w:val="zh-CN"/>
              </w:rPr>
              <w:t>12</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氟化物</w:t>
            </w:r>
          </w:p>
        </w:tc>
        <w:tc>
          <w:tcPr>
            <w:tcW w:w="1107"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0.258</w:t>
            </w:r>
          </w:p>
        </w:tc>
        <w:tc>
          <w:tcPr>
            <w:tcW w:w="1152"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0.14</w:t>
            </w:r>
          </w:p>
        </w:tc>
        <w:tc>
          <w:tcPr>
            <w:tcW w:w="881"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0.644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lang w:val="zh-CN"/>
              </w:rPr>
            </w:pPr>
            <w:r>
              <w:rPr>
                <w:rFonts w:hint="default" w:ascii="Times New Roman" w:hAnsi="Times New Roman" w:cs="Times New Roman"/>
                <w:color w:val="auto"/>
                <w:szCs w:val="21"/>
                <w:highlight w:val="none"/>
                <w:lang w:val="zh-CN"/>
              </w:rPr>
              <w:t>13</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氰化物</w:t>
            </w:r>
          </w:p>
        </w:tc>
        <w:tc>
          <w:tcPr>
            <w:tcW w:w="1107"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1152"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881"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lang w:val="zh-CN"/>
              </w:rPr>
            </w:pPr>
            <w:r>
              <w:rPr>
                <w:rFonts w:hint="default" w:ascii="Times New Roman" w:hAnsi="Times New Roman" w:cs="Times New Roman"/>
                <w:color w:val="auto"/>
                <w:szCs w:val="21"/>
                <w:highlight w:val="none"/>
                <w:lang w:val="zh-CN"/>
              </w:rPr>
              <w:t>14</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总大肠菌群</w:t>
            </w:r>
          </w:p>
        </w:tc>
        <w:tc>
          <w:tcPr>
            <w:tcW w:w="1107"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0.67</w:t>
            </w:r>
          </w:p>
        </w:tc>
        <w:tc>
          <w:tcPr>
            <w:tcW w:w="1152"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0.67</w:t>
            </w:r>
          </w:p>
        </w:tc>
        <w:tc>
          <w:tcPr>
            <w:tcW w:w="881"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lang w:val="zh-CN"/>
              </w:rPr>
            </w:pPr>
            <w:r>
              <w:rPr>
                <w:rFonts w:hint="default" w:ascii="Times New Roman" w:hAnsi="Times New Roman" w:cs="Times New Roman"/>
                <w:color w:val="auto"/>
                <w:szCs w:val="21"/>
                <w:highlight w:val="none"/>
                <w:lang w:val="zh-CN"/>
              </w:rPr>
              <w:t>15</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菌落总数</w:t>
            </w:r>
          </w:p>
        </w:tc>
        <w:tc>
          <w:tcPr>
            <w:tcW w:w="1107"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0.71</w:t>
            </w:r>
          </w:p>
        </w:tc>
        <w:tc>
          <w:tcPr>
            <w:tcW w:w="1152"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0.65</w:t>
            </w:r>
          </w:p>
        </w:tc>
        <w:tc>
          <w:tcPr>
            <w:tcW w:w="881"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lang w:val="zh-CN"/>
              </w:rPr>
            </w:pPr>
            <w:r>
              <w:rPr>
                <w:rFonts w:hint="default" w:ascii="Times New Roman" w:hAnsi="Times New Roman" w:cs="Times New Roman"/>
                <w:color w:val="auto"/>
                <w:szCs w:val="21"/>
                <w:highlight w:val="none"/>
                <w:lang w:val="zh-CN"/>
              </w:rPr>
              <w:t>16</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铁</w:t>
            </w:r>
          </w:p>
        </w:tc>
        <w:tc>
          <w:tcPr>
            <w:tcW w:w="1107"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0.4</w:t>
            </w:r>
          </w:p>
        </w:tc>
        <w:tc>
          <w:tcPr>
            <w:tcW w:w="1152"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0.47</w:t>
            </w:r>
          </w:p>
        </w:tc>
        <w:tc>
          <w:tcPr>
            <w:tcW w:w="881"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lang w:val="zh-CN"/>
              </w:rPr>
            </w:pPr>
            <w:r>
              <w:rPr>
                <w:rFonts w:hint="default" w:ascii="Times New Roman" w:hAnsi="Times New Roman" w:cs="Times New Roman"/>
                <w:color w:val="auto"/>
                <w:szCs w:val="21"/>
                <w:highlight w:val="none"/>
                <w:lang w:val="zh-CN"/>
              </w:rPr>
              <w:t>17</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锰</w:t>
            </w:r>
          </w:p>
        </w:tc>
        <w:tc>
          <w:tcPr>
            <w:tcW w:w="1107"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1152" w:type="pct"/>
            <w:vAlign w:val="bottom"/>
          </w:tcPr>
          <w:p>
            <w:pPr>
              <w:keepNext w:val="0"/>
              <w:keepLines w:val="0"/>
              <w:widowControl/>
              <w:suppressLineNumbers w:val="0"/>
              <w:jc w:val="center"/>
              <w:textAlignment w:val="bottom"/>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0.8</w:t>
            </w:r>
          </w:p>
        </w:tc>
        <w:tc>
          <w:tcPr>
            <w:tcW w:w="881"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lang w:val="zh-CN"/>
              </w:rPr>
            </w:pPr>
            <w:r>
              <w:rPr>
                <w:rFonts w:hint="default" w:ascii="Times New Roman" w:hAnsi="Times New Roman" w:cs="Times New Roman"/>
                <w:color w:val="auto"/>
                <w:szCs w:val="21"/>
                <w:highlight w:val="none"/>
                <w:lang w:val="zh-CN"/>
              </w:rPr>
              <w:t>18</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砷</w:t>
            </w:r>
          </w:p>
        </w:tc>
        <w:tc>
          <w:tcPr>
            <w:tcW w:w="1107"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1152"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881"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lang w:val="zh-CN"/>
              </w:rPr>
            </w:pPr>
            <w:r>
              <w:rPr>
                <w:rFonts w:hint="default" w:ascii="Times New Roman" w:hAnsi="Times New Roman" w:cs="Times New Roman"/>
                <w:color w:val="auto"/>
                <w:szCs w:val="21"/>
                <w:highlight w:val="none"/>
                <w:lang w:val="zh-CN"/>
              </w:rPr>
              <w:t>19</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汞</w:t>
            </w:r>
          </w:p>
        </w:tc>
        <w:tc>
          <w:tcPr>
            <w:tcW w:w="1107"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1152"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881"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lang w:val="zh-CN"/>
              </w:rPr>
            </w:pPr>
            <w:r>
              <w:rPr>
                <w:rFonts w:hint="default" w:ascii="Times New Roman" w:hAnsi="Times New Roman" w:cs="Times New Roman"/>
                <w:color w:val="auto"/>
                <w:szCs w:val="21"/>
                <w:highlight w:val="none"/>
                <w:lang w:val="zh-CN"/>
              </w:rPr>
              <w:t>20</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铅</w:t>
            </w:r>
          </w:p>
        </w:tc>
        <w:tc>
          <w:tcPr>
            <w:tcW w:w="1107"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1152"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881"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pct"/>
            <w:vAlign w:val="center"/>
          </w:tcPr>
          <w:p>
            <w:pPr>
              <w:widowControl/>
              <w:spacing w:line="0" w:lineRule="atLeast"/>
              <w:contextualSpacing/>
              <w:jc w:val="center"/>
              <w:rPr>
                <w:rFonts w:hint="default" w:ascii="Times New Roman" w:hAnsi="Times New Roman" w:cs="Times New Roman"/>
                <w:color w:val="auto"/>
                <w:szCs w:val="21"/>
                <w:highlight w:val="none"/>
                <w:lang w:val="zh-CN"/>
              </w:rPr>
            </w:pPr>
            <w:r>
              <w:rPr>
                <w:rFonts w:hint="default" w:ascii="Times New Roman" w:hAnsi="Times New Roman" w:cs="Times New Roman"/>
                <w:color w:val="auto"/>
                <w:szCs w:val="21"/>
                <w:highlight w:val="none"/>
                <w:lang w:val="zh-CN"/>
              </w:rPr>
              <w:t>21</w:t>
            </w:r>
          </w:p>
        </w:tc>
        <w:tc>
          <w:tcPr>
            <w:tcW w:w="1117" w:type="pct"/>
            <w:vAlign w:val="center"/>
          </w:tcPr>
          <w:p>
            <w:pPr>
              <w:widowControl/>
              <w:spacing w:line="0" w:lineRule="atLeast"/>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镉</w:t>
            </w:r>
          </w:p>
        </w:tc>
        <w:tc>
          <w:tcPr>
            <w:tcW w:w="1107"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1152"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881"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r>
      <w:bookmarkEnd w:id="297"/>
    </w:tbl>
    <w:p>
      <w:pPr>
        <w:keepNext w:val="0"/>
        <w:keepLines w:val="0"/>
        <w:pageBreakBefore w:val="0"/>
        <w:widowControl w:val="0"/>
        <w:kinsoku w:val="0"/>
        <w:wordWrap/>
        <w:overflowPunct/>
        <w:topLinePunct w:val="0"/>
        <w:autoSpaceDE w:val="0"/>
        <w:autoSpaceDN w:val="0"/>
        <w:bidi w:val="0"/>
        <w:adjustRightInd/>
        <w:snapToGrid/>
        <w:spacing w:line="360" w:lineRule="auto"/>
        <w:ind w:left="0" w:firstLine="480" w:firstLineChars="200"/>
        <w:jc w:val="both"/>
        <w:textAlignment w:val="baseline"/>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②地下水化学类型</w:t>
      </w:r>
    </w:p>
    <w:p>
      <w:pPr>
        <w:keepNext w:val="0"/>
        <w:keepLines w:val="0"/>
        <w:pageBreakBefore w:val="0"/>
        <w:kinsoku w:val="0"/>
        <w:wordWrap/>
        <w:overflowPunct/>
        <w:topLinePunct w:val="0"/>
        <w:autoSpaceDE w:val="0"/>
        <w:autoSpaceDN w:val="0"/>
        <w:bidi w:val="0"/>
        <w:spacing w:line="360" w:lineRule="auto"/>
        <w:ind w:firstLine="480" w:firstLineChars="200"/>
        <w:jc w:val="both"/>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用舒卡列夫分类法对地下水化学类型进行评价。地下水化学类型的舒卡列夫分类是根据地下水中6种主要离子（Na</w:t>
      </w:r>
      <w:r>
        <w:rPr>
          <w:rFonts w:hint="default" w:ascii="Times New Roman" w:hAnsi="Times New Roman" w:cs="Times New Roman"/>
          <w:color w:val="auto"/>
          <w:sz w:val="24"/>
          <w:highlight w:val="none"/>
          <w:vertAlign w:val="superscript"/>
        </w:rPr>
        <w:t>+</w:t>
      </w:r>
      <w:r>
        <w:rPr>
          <w:rFonts w:hint="default" w:ascii="Times New Roman" w:hAnsi="Times New Roman" w:cs="Times New Roman"/>
          <w:color w:val="auto"/>
          <w:sz w:val="24"/>
          <w:highlight w:val="none"/>
        </w:rPr>
        <w:t>、Ca</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、Mg</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、HCO</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vertAlign w:val="superscript"/>
        </w:rPr>
        <w:t>-</w:t>
      </w:r>
      <w:r>
        <w:rPr>
          <w:rFonts w:hint="default" w:ascii="Times New Roman" w:hAnsi="Times New Roman" w:cs="Times New Roman"/>
          <w:color w:val="auto"/>
          <w:sz w:val="24"/>
          <w:highlight w:val="none"/>
        </w:rPr>
        <w:t>、SO</w:t>
      </w:r>
      <w:r>
        <w:rPr>
          <w:rFonts w:hint="default" w:ascii="Times New Roman" w:hAnsi="Times New Roman" w:cs="Times New Roman"/>
          <w:color w:val="auto"/>
          <w:sz w:val="24"/>
          <w:highlight w:val="none"/>
          <w:vertAlign w:val="subscript"/>
        </w:rPr>
        <w:t>4</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、Cl</w:t>
      </w:r>
      <w:r>
        <w:rPr>
          <w:rFonts w:hint="default" w:ascii="Times New Roman" w:hAnsi="Times New Roman" w:cs="Times New Roman"/>
          <w:color w:val="auto"/>
          <w:sz w:val="24"/>
          <w:highlight w:val="none"/>
          <w:vertAlign w:val="superscript"/>
        </w:rPr>
        <w:t>-</w:t>
      </w:r>
      <w:r>
        <w:rPr>
          <w:rFonts w:hint="default" w:ascii="Times New Roman" w:hAnsi="Times New Roman" w:cs="Times New Roman"/>
          <w:color w:val="auto"/>
          <w:sz w:val="24"/>
          <w:highlight w:val="none"/>
        </w:rPr>
        <w:t>，K</w:t>
      </w:r>
      <w:r>
        <w:rPr>
          <w:rFonts w:hint="default" w:ascii="Times New Roman" w:hAnsi="Times New Roman" w:cs="Times New Roman"/>
          <w:color w:val="auto"/>
          <w:sz w:val="24"/>
          <w:highlight w:val="none"/>
          <w:vertAlign w:val="superscript"/>
        </w:rPr>
        <w:t>+</w:t>
      </w:r>
      <w:r>
        <w:rPr>
          <w:rFonts w:hint="default" w:ascii="Times New Roman" w:hAnsi="Times New Roman" w:cs="Times New Roman"/>
          <w:color w:val="auto"/>
          <w:sz w:val="24"/>
          <w:highlight w:val="none"/>
        </w:rPr>
        <w:t>合并于Na</w:t>
      </w:r>
      <w:r>
        <w:rPr>
          <w:rFonts w:hint="default" w:ascii="Times New Roman" w:hAnsi="Times New Roman" w:cs="Times New Roman"/>
          <w:color w:val="auto"/>
          <w:sz w:val="24"/>
          <w:highlight w:val="none"/>
          <w:vertAlign w:val="superscript"/>
        </w:rPr>
        <w:t>+</w:t>
      </w:r>
      <w:r>
        <w:rPr>
          <w:rFonts w:hint="default" w:ascii="Times New Roman" w:hAnsi="Times New Roman" w:cs="Times New Roman"/>
          <w:color w:val="auto"/>
          <w:sz w:val="24"/>
          <w:highlight w:val="none"/>
        </w:rPr>
        <w:t>）。具体步骤如下：</w:t>
      </w:r>
    </w:p>
    <w:p>
      <w:pPr>
        <w:keepNext w:val="0"/>
        <w:keepLines w:val="0"/>
        <w:pageBreakBefore w:val="0"/>
        <w:kinsoku w:val="0"/>
        <w:wordWrap/>
        <w:overflowPunct/>
        <w:topLinePunct w:val="0"/>
        <w:autoSpaceDE w:val="0"/>
        <w:autoSpaceDN w:val="0"/>
        <w:bidi w:val="0"/>
        <w:spacing w:line="360" w:lineRule="auto"/>
        <w:ind w:firstLine="480" w:firstLineChars="200"/>
        <w:jc w:val="both"/>
        <w:textAlignment w:val="baseline"/>
        <w:rPr>
          <w:rFonts w:hint="default" w:ascii="Times New Roman" w:hAnsi="Times New Roman" w:cs="Times New Roman"/>
          <w:b/>
          <w:color w:val="FF0000"/>
          <w:sz w:val="24"/>
          <w:highlight w:val="none"/>
        </w:rPr>
      </w:pPr>
      <w:r>
        <w:rPr>
          <w:rFonts w:hint="default" w:ascii="Times New Roman" w:hAnsi="Times New Roman" w:cs="Times New Roman"/>
          <w:color w:val="auto"/>
          <w:sz w:val="24"/>
          <w:highlight w:val="none"/>
        </w:rPr>
        <w:t>将6种主要离子中含量大于25％毫克当量的阴离子和阳离子进行组合，可组合出49型水，并将每型用一个阿拉伯数字作为代号，见表4-</w:t>
      </w:r>
      <w:r>
        <w:rPr>
          <w:rFonts w:hint="eastAsia" w:ascii="Times New Roman" w:hAnsi="Times New Roman" w:eastAsia="宋体" w:cs="Times New Roman"/>
          <w:color w:val="auto"/>
          <w:sz w:val="24"/>
          <w:highlight w:val="none"/>
          <w:lang w:val="en-US" w:eastAsia="zh-CN"/>
        </w:rPr>
        <w:t>5</w:t>
      </w:r>
      <w:r>
        <w:rPr>
          <w:rFonts w:hint="default" w:ascii="Times New Roman" w:hAnsi="Times New Roman" w:cs="Times New Roman"/>
          <w:color w:val="auto"/>
          <w:sz w:val="24"/>
          <w:highlight w:val="none"/>
        </w:rPr>
        <w:t>-</w:t>
      </w:r>
      <w:r>
        <w:rPr>
          <w:rFonts w:hint="eastAsia" w:ascii="Times New Roman" w:hAnsi="Times New Roman" w:eastAsia="宋体" w:cs="Times New Roman"/>
          <w:color w:val="auto"/>
          <w:sz w:val="24"/>
          <w:highlight w:val="none"/>
          <w:lang w:val="en-US" w:eastAsia="zh-CN"/>
        </w:rPr>
        <w:t>6</w:t>
      </w:r>
      <w:r>
        <w:rPr>
          <w:rFonts w:hint="default" w:ascii="Times New Roman" w:hAnsi="Times New Roman" w:cs="Times New Roman"/>
          <w:color w:val="auto"/>
          <w:highlight w:val="none"/>
        </w:rPr>
        <w:t>。</w:t>
      </w:r>
    </w:p>
    <w:p>
      <w:pPr>
        <w:pStyle w:val="6"/>
        <w:keepNext w:val="0"/>
        <w:keepLines w:val="0"/>
        <w:pageBreakBefore w:val="0"/>
        <w:widowControl/>
        <w:kinsoku w:val="0"/>
        <w:wordWrap/>
        <w:overflowPunct/>
        <w:topLinePunct w:val="0"/>
        <w:autoSpaceDE w:val="0"/>
        <w:autoSpaceDN w:val="0"/>
        <w:bidi w:val="0"/>
        <w:adjustRightInd w:val="0"/>
        <w:snapToGrid w:val="0"/>
        <w:spacing w:line="240" w:lineRule="auto"/>
        <w:ind w:left="0" w:firstLine="482" w:firstLineChars="200"/>
        <w:jc w:val="center"/>
        <w:textAlignment w:val="baseline"/>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表4-</w:t>
      </w:r>
      <w:r>
        <w:rPr>
          <w:rFonts w:hint="default" w:ascii="Times New Roman" w:hAnsi="Times New Roman" w:eastAsia="宋体" w:cs="Times New Roman"/>
          <w:b/>
          <w:color w:val="auto"/>
          <w:sz w:val="24"/>
          <w:highlight w:val="none"/>
          <w:lang w:val="en-US" w:eastAsia="zh-CN"/>
        </w:rPr>
        <w:t>5</w:t>
      </w:r>
      <w:r>
        <w:rPr>
          <w:rFonts w:hint="default" w:ascii="Times New Roman" w:hAnsi="Times New Roman" w:eastAsia="宋体" w:cs="Times New Roman"/>
          <w:b/>
          <w:color w:val="auto"/>
          <w:sz w:val="24"/>
          <w:highlight w:val="none"/>
        </w:rPr>
        <w:t>-</w:t>
      </w:r>
      <w:r>
        <w:rPr>
          <w:rFonts w:hint="default" w:ascii="Times New Roman" w:hAnsi="Times New Roman" w:eastAsia="宋体" w:cs="Times New Roman"/>
          <w:b/>
          <w:color w:val="auto"/>
          <w:sz w:val="24"/>
          <w:highlight w:val="none"/>
          <w:lang w:val="en-US" w:eastAsia="zh-CN"/>
        </w:rPr>
        <w:t xml:space="preserve">6 </w:t>
      </w:r>
      <w:r>
        <w:rPr>
          <w:rFonts w:hint="default" w:ascii="Times New Roman" w:hAnsi="Times New Roman" w:eastAsia="宋体" w:cs="Times New Roman"/>
          <w:b/>
          <w:color w:val="auto"/>
          <w:sz w:val="24"/>
          <w:highlight w:val="none"/>
        </w:rPr>
        <w:t>舒卡列夫分类表</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58"/>
        <w:gridCol w:w="858"/>
        <w:gridCol w:w="1239"/>
        <w:gridCol w:w="1107"/>
        <w:gridCol w:w="1107"/>
        <w:gridCol w:w="1107"/>
        <w:gridCol w:w="1109"/>
        <w:gridCol w:w="110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5" w:hRule="atLeast"/>
        </w:trPr>
        <w:tc>
          <w:tcPr>
            <w:tcW w:w="892" w:type="pct"/>
            <w:tcBorders>
              <w:top w:val="single" w:color="auto" w:sz="12" w:space="0"/>
              <w:left w:val="nil"/>
              <w:bottom w:val="single" w:color="auto" w:sz="6" w:space="0"/>
              <w:right w:val="single" w:color="auto" w:sz="6" w:space="0"/>
            </w:tcBorders>
            <w:vAlign w:val="center"/>
          </w:tcPr>
          <w:p>
            <w:pPr>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超过25%毫克当量的离子</w:t>
            </w:r>
          </w:p>
        </w:tc>
        <w:tc>
          <w:tcPr>
            <w:tcW w:w="461" w:type="pct"/>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HCO</w:t>
            </w:r>
            <w:r>
              <w:rPr>
                <w:rFonts w:hint="default" w:ascii="Times New Roman" w:hAnsi="Times New Roman" w:cs="Times New Roman" w:eastAsiaTheme="minorEastAsia"/>
                <w:color w:val="auto"/>
                <w:szCs w:val="21"/>
                <w:highlight w:val="none"/>
                <w:vertAlign w:val="subscript"/>
              </w:rPr>
              <w:t>3</w:t>
            </w:r>
            <w:r>
              <w:rPr>
                <w:rFonts w:hint="default" w:ascii="Times New Roman" w:hAnsi="Times New Roman" w:cs="Times New Roman" w:eastAsiaTheme="minorEastAsia"/>
                <w:color w:val="auto"/>
                <w:szCs w:val="21"/>
                <w:highlight w:val="none"/>
                <w:vertAlign w:val="superscript"/>
              </w:rPr>
              <w:t>-</w:t>
            </w:r>
          </w:p>
        </w:tc>
        <w:tc>
          <w:tcPr>
            <w:tcW w:w="666" w:type="pct"/>
            <w:tcBorders>
              <w:top w:val="single" w:color="auto" w:sz="12"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HCO</w:t>
            </w:r>
            <w:r>
              <w:rPr>
                <w:rFonts w:hint="default" w:ascii="Times New Roman" w:hAnsi="Times New Roman" w:cs="Times New Roman" w:eastAsiaTheme="minorEastAsia"/>
                <w:color w:val="auto"/>
                <w:szCs w:val="21"/>
                <w:highlight w:val="none"/>
                <w:vertAlign w:val="subscript"/>
              </w:rPr>
              <w:t>3</w:t>
            </w:r>
            <w:r>
              <w:rPr>
                <w:rFonts w:hint="default" w:ascii="Times New Roman" w:hAnsi="Times New Roman" w:cs="Times New Roman" w:eastAsiaTheme="minorEastAsia"/>
                <w:color w:val="auto"/>
                <w:szCs w:val="21"/>
                <w:highlight w:val="none"/>
                <w:vertAlign w:val="superscript"/>
              </w:rPr>
              <w:t>-</w:t>
            </w:r>
            <w:r>
              <w:rPr>
                <w:rFonts w:hint="default" w:ascii="Times New Roman" w:hAnsi="Times New Roman" w:cs="Times New Roman" w:eastAsiaTheme="minorEastAsia"/>
                <w:color w:val="auto"/>
                <w:szCs w:val="21"/>
                <w:highlight w:val="none"/>
              </w:rPr>
              <w:t>- SO</w:t>
            </w:r>
            <w:r>
              <w:rPr>
                <w:rFonts w:hint="default" w:ascii="Times New Roman" w:hAnsi="Times New Roman" w:cs="Times New Roman" w:eastAsiaTheme="minorEastAsia"/>
                <w:color w:val="auto"/>
                <w:szCs w:val="21"/>
                <w:highlight w:val="none"/>
                <w:vertAlign w:val="subscript"/>
              </w:rPr>
              <w:t>4</w:t>
            </w:r>
            <w:r>
              <w:rPr>
                <w:rFonts w:hint="default" w:ascii="Times New Roman" w:hAnsi="Times New Roman" w:cs="Times New Roman" w:eastAsiaTheme="minorEastAsia"/>
                <w:color w:val="auto"/>
                <w:szCs w:val="21"/>
                <w:highlight w:val="none"/>
                <w:vertAlign w:val="superscript"/>
              </w:rPr>
              <w:t>2-</w:t>
            </w:r>
          </w:p>
        </w:tc>
        <w:tc>
          <w:tcPr>
            <w:tcW w:w="595" w:type="pct"/>
            <w:tcBorders>
              <w:top w:val="single" w:color="auto" w:sz="12"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HCO</w:t>
            </w:r>
            <w:r>
              <w:rPr>
                <w:rFonts w:hint="default" w:ascii="Times New Roman" w:hAnsi="Times New Roman" w:cs="Times New Roman" w:eastAsiaTheme="minorEastAsia"/>
                <w:color w:val="auto"/>
                <w:szCs w:val="21"/>
                <w:highlight w:val="none"/>
                <w:vertAlign w:val="subscript"/>
              </w:rPr>
              <w:t>3</w:t>
            </w:r>
            <w:r>
              <w:rPr>
                <w:rFonts w:hint="default" w:ascii="Times New Roman" w:hAnsi="Times New Roman" w:cs="Times New Roman" w:eastAsiaTheme="minorEastAsia"/>
                <w:color w:val="auto"/>
                <w:szCs w:val="21"/>
                <w:highlight w:val="none"/>
                <w:vertAlign w:val="superscript"/>
              </w:rPr>
              <w:t>-</w:t>
            </w:r>
            <w:r>
              <w:rPr>
                <w:rFonts w:hint="default" w:ascii="Times New Roman" w:hAnsi="Times New Roman" w:cs="Times New Roman" w:eastAsiaTheme="minorEastAsia"/>
                <w:color w:val="auto"/>
                <w:szCs w:val="21"/>
                <w:highlight w:val="none"/>
              </w:rPr>
              <w:t>- SO</w:t>
            </w:r>
            <w:r>
              <w:rPr>
                <w:rFonts w:hint="default" w:ascii="Times New Roman" w:hAnsi="Times New Roman" w:cs="Times New Roman" w:eastAsiaTheme="minorEastAsia"/>
                <w:color w:val="auto"/>
                <w:szCs w:val="21"/>
                <w:highlight w:val="none"/>
                <w:vertAlign w:val="subscript"/>
              </w:rPr>
              <w:t>4</w:t>
            </w:r>
            <w:r>
              <w:rPr>
                <w:rFonts w:hint="default" w:ascii="Times New Roman" w:hAnsi="Times New Roman" w:cs="Times New Roman" w:eastAsiaTheme="minorEastAsia"/>
                <w:color w:val="auto"/>
                <w:szCs w:val="21"/>
                <w:highlight w:val="none"/>
                <w:vertAlign w:val="superscript"/>
              </w:rPr>
              <w:t>2-</w:t>
            </w:r>
            <w:r>
              <w:rPr>
                <w:rFonts w:hint="default" w:ascii="Times New Roman" w:hAnsi="Times New Roman" w:cs="Times New Roman" w:eastAsiaTheme="minorEastAsia"/>
                <w:color w:val="auto"/>
                <w:szCs w:val="21"/>
                <w:highlight w:val="none"/>
              </w:rPr>
              <w:t>- Cl</w:t>
            </w:r>
            <w:r>
              <w:rPr>
                <w:rFonts w:hint="default" w:ascii="Times New Roman" w:hAnsi="Times New Roman" w:cs="Times New Roman" w:eastAsiaTheme="minorEastAsia"/>
                <w:color w:val="auto"/>
                <w:szCs w:val="21"/>
                <w:highlight w:val="none"/>
                <w:vertAlign w:val="superscript"/>
              </w:rPr>
              <w:t>-</w:t>
            </w:r>
          </w:p>
        </w:tc>
        <w:tc>
          <w:tcPr>
            <w:tcW w:w="595" w:type="pct"/>
            <w:tcBorders>
              <w:top w:val="single" w:color="auto" w:sz="12"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HCO</w:t>
            </w:r>
            <w:r>
              <w:rPr>
                <w:rFonts w:hint="default" w:ascii="Times New Roman" w:hAnsi="Times New Roman" w:cs="Times New Roman" w:eastAsiaTheme="minorEastAsia"/>
                <w:color w:val="auto"/>
                <w:szCs w:val="21"/>
                <w:highlight w:val="none"/>
                <w:vertAlign w:val="subscript"/>
              </w:rPr>
              <w:t>3</w:t>
            </w:r>
            <w:r>
              <w:rPr>
                <w:rFonts w:hint="default" w:ascii="Times New Roman" w:hAnsi="Times New Roman" w:cs="Times New Roman" w:eastAsiaTheme="minorEastAsia"/>
                <w:color w:val="auto"/>
                <w:szCs w:val="21"/>
                <w:highlight w:val="none"/>
                <w:vertAlign w:val="superscript"/>
              </w:rPr>
              <w:t>-</w:t>
            </w:r>
            <w:r>
              <w:rPr>
                <w:rFonts w:hint="default" w:ascii="Times New Roman" w:hAnsi="Times New Roman" w:cs="Times New Roman" w:eastAsiaTheme="minorEastAsia"/>
                <w:color w:val="auto"/>
                <w:szCs w:val="21"/>
                <w:highlight w:val="none"/>
              </w:rPr>
              <w:t>- Cl</w:t>
            </w:r>
            <w:r>
              <w:rPr>
                <w:rFonts w:hint="default" w:ascii="Times New Roman" w:hAnsi="Times New Roman" w:cs="Times New Roman" w:eastAsiaTheme="minorEastAsia"/>
                <w:color w:val="auto"/>
                <w:szCs w:val="21"/>
                <w:highlight w:val="none"/>
                <w:vertAlign w:val="superscript"/>
              </w:rPr>
              <w:t>-</w:t>
            </w:r>
          </w:p>
        </w:tc>
        <w:tc>
          <w:tcPr>
            <w:tcW w:w="595" w:type="pct"/>
            <w:tcBorders>
              <w:top w:val="single" w:color="auto" w:sz="12"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SO</w:t>
            </w:r>
            <w:r>
              <w:rPr>
                <w:rFonts w:hint="default" w:ascii="Times New Roman" w:hAnsi="Times New Roman" w:cs="Times New Roman" w:eastAsiaTheme="minorEastAsia"/>
                <w:color w:val="auto"/>
                <w:szCs w:val="21"/>
                <w:highlight w:val="none"/>
                <w:vertAlign w:val="subscript"/>
              </w:rPr>
              <w:t>4</w:t>
            </w:r>
            <w:r>
              <w:rPr>
                <w:rFonts w:hint="default" w:ascii="Times New Roman" w:hAnsi="Times New Roman" w:cs="Times New Roman" w:eastAsiaTheme="minorEastAsia"/>
                <w:color w:val="auto"/>
                <w:szCs w:val="21"/>
                <w:highlight w:val="none"/>
                <w:vertAlign w:val="superscript"/>
              </w:rPr>
              <w:t>2-</w:t>
            </w:r>
          </w:p>
        </w:tc>
        <w:tc>
          <w:tcPr>
            <w:tcW w:w="596" w:type="pct"/>
            <w:tcBorders>
              <w:top w:val="single" w:color="auto" w:sz="12"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SO</w:t>
            </w:r>
            <w:r>
              <w:rPr>
                <w:rFonts w:hint="default" w:ascii="Times New Roman" w:hAnsi="Times New Roman" w:cs="Times New Roman" w:eastAsiaTheme="minorEastAsia"/>
                <w:color w:val="auto"/>
                <w:szCs w:val="21"/>
                <w:highlight w:val="none"/>
                <w:vertAlign w:val="subscript"/>
              </w:rPr>
              <w:t>4</w:t>
            </w:r>
            <w:r>
              <w:rPr>
                <w:rFonts w:hint="default" w:ascii="Times New Roman" w:hAnsi="Times New Roman" w:cs="Times New Roman" w:eastAsiaTheme="minorEastAsia"/>
                <w:color w:val="auto"/>
                <w:szCs w:val="21"/>
                <w:highlight w:val="none"/>
                <w:vertAlign w:val="superscript"/>
              </w:rPr>
              <w:t>2-</w:t>
            </w:r>
            <w:r>
              <w:rPr>
                <w:rFonts w:hint="default" w:ascii="Times New Roman" w:hAnsi="Times New Roman" w:cs="Times New Roman" w:eastAsiaTheme="minorEastAsia"/>
                <w:color w:val="auto"/>
                <w:szCs w:val="21"/>
                <w:highlight w:val="none"/>
              </w:rPr>
              <w:t>- Cl</w:t>
            </w:r>
            <w:r>
              <w:rPr>
                <w:rFonts w:hint="default" w:ascii="Times New Roman" w:hAnsi="Times New Roman" w:cs="Times New Roman" w:eastAsiaTheme="minorEastAsia"/>
                <w:color w:val="auto"/>
                <w:szCs w:val="21"/>
                <w:highlight w:val="none"/>
                <w:vertAlign w:val="superscript"/>
              </w:rPr>
              <w:t>-</w:t>
            </w:r>
          </w:p>
        </w:tc>
        <w:tc>
          <w:tcPr>
            <w:tcW w:w="595" w:type="pct"/>
            <w:tcBorders>
              <w:top w:val="single" w:color="auto" w:sz="12" w:space="0"/>
              <w:left w:val="single" w:color="auto" w:sz="6" w:space="0"/>
              <w:bottom w:val="single" w:color="auto" w:sz="6" w:space="0"/>
              <w:right w:val="nil"/>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Cl</w:t>
            </w:r>
            <w:r>
              <w:rPr>
                <w:rFonts w:hint="default" w:ascii="Times New Roman" w:hAnsi="Times New Roman" w:cs="Times New Roman" w:eastAsiaTheme="minorEastAsia"/>
                <w:color w:val="auto"/>
                <w:szCs w:val="21"/>
                <w:highlight w:val="none"/>
                <w:vertAlign w:val="superscript"/>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1" w:hRule="atLeast"/>
        </w:trPr>
        <w:tc>
          <w:tcPr>
            <w:tcW w:w="892" w:type="pct"/>
            <w:tcBorders>
              <w:top w:val="single" w:color="auto" w:sz="6" w:space="0"/>
              <w:left w:val="nil"/>
              <w:bottom w:val="single" w:color="auto" w:sz="6" w:space="0"/>
              <w:right w:val="single" w:color="auto" w:sz="6" w:space="0"/>
            </w:tcBorders>
            <w:vAlign w:val="center"/>
          </w:tcPr>
          <w:p>
            <w:pPr>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Ca</w:t>
            </w:r>
            <w:r>
              <w:rPr>
                <w:rFonts w:hint="default" w:ascii="Times New Roman" w:hAnsi="Times New Roman" w:cs="Times New Roman" w:eastAsiaTheme="minorEastAsia"/>
                <w:color w:val="auto"/>
                <w:szCs w:val="21"/>
                <w:highlight w:val="none"/>
                <w:vertAlign w:val="superscript"/>
              </w:rPr>
              <w:t>2+</w:t>
            </w:r>
          </w:p>
        </w:tc>
        <w:tc>
          <w:tcPr>
            <w:tcW w:w="461"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1</w:t>
            </w:r>
          </w:p>
        </w:tc>
        <w:tc>
          <w:tcPr>
            <w:tcW w:w="666"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8</w:t>
            </w:r>
          </w:p>
        </w:tc>
        <w:tc>
          <w:tcPr>
            <w:tcW w:w="59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15</w:t>
            </w:r>
          </w:p>
        </w:tc>
        <w:tc>
          <w:tcPr>
            <w:tcW w:w="59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22</w:t>
            </w:r>
          </w:p>
        </w:tc>
        <w:tc>
          <w:tcPr>
            <w:tcW w:w="59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29</w:t>
            </w:r>
          </w:p>
        </w:tc>
        <w:tc>
          <w:tcPr>
            <w:tcW w:w="596"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36</w:t>
            </w:r>
          </w:p>
        </w:tc>
        <w:tc>
          <w:tcPr>
            <w:tcW w:w="595" w:type="pct"/>
            <w:tcBorders>
              <w:top w:val="single" w:color="auto" w:sz="6" w:space="0"/>
              <w:left w:val="single" w:color="auto" w:sz="6" w:space="0"/>
              <w:bottom w:val="single" w:color="auto" w:sz="6" w:space="0"/>
              <w:right w:val="nil"/>
            </w:tcBorders>
            <w:vAlign w:val="center"/>
          </w:tcPr>
          <w:p>
            <w:pPr>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1" w:hRule="atLeast"/>
        </w:trPr>
        <w:tc>
          <w:tcPr>
            <w:tcW w:w="892" w:type="pct"/>
            <w:tcBorders>
              <w:top w:val="single" w:color="auto" w:sz="6" w:space="0"/>
              <w:left w:val="nil"/>
              <w:bottom w:val="single" w:color="auto" w:sz="6" w:space="0"/>
              <w:right w:val="single" w:color="auto" w:sz="6" w:space="0"/>
            </w:tcBorders>
            <w:vAlign w:val="center"/>
          </w:tcPr>
          <w:p>
            <w:pPr>
              <w:tabs>
                <w:tab w:val="left" w:pos="454"/>
                <w:tab w:val="center" w:pos="508"/>
              </w:tabs>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Ca</w:t>
            </w:r>
            <w:r>
              <w:rPr>
                <w:rFonts w:hint="default" w:ascii="Times New Roman" w:hAnsi="Times New Roman" w:cs="Times New Roman" w:eastAsiaTheme="minorEastAsia"/>
                <w:color w:val="auto"/>
                <w:szCs w:val="21"/>
                <w:highlight w:val="none"/>
                <w:vertAlign w:val="superscript"/>
              </w:rPr>
              <w:t>2+</w:t>
            </w:r>
            <w:r>
              <w:rPr>
                <w:rFonts w:hint="default" w:ascii="Times New Roman" w:hAnsi="Times New Roman" w:cs="Times New Roman" w:eastAsiaTheme="minorEastAsia"/>
                <w:color w:val="auto"/>
                <w:szCs w:val="21"/>
                <w:highlight w:val="none"/>
              </w:rPr>
              <w:t>-Mg</w:t>
            </w:r>
            <w:r>
              <w:rPr>
                <w:rFonts w:hint="default" w:ascii="Times New Roman" w:hAnsi="Times New Roman" w:cs="Times New Roman" w:eastAsiaTheme="minorEastAsia"/>
                <w:color w:val="auto"/>
                <w:szCs w:val="21"/>
                <w:highlight w:val="none"/>
                <w:vertAlign w:val="superscript"/>
              </w:rPr>
              <w:t>2+</w:t>
            </w:r>
          </w:p>
        </w:tc>
        <w:tc>
          <w:tcPr>
            <w:tcW w:w="461" w:type="pct"/>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default" w:ascii="Times New Roman" w:hAnsi="Times New Roman" w:cs="Times New Roman" w:eastAsiaTheme="minorEastAsia"/>
                <w:color w:val="auto"/>
                <w:kern w:val="0"/>
                <w:szCs w:val="21"/>
                <w:highlight w:val="none"/>
                <w:lang w:val="zh-CN"/>
              </w:rPr>
            </w:pPr>
            <w:r>
              <w:rPr>
                <w:rFonts w:hint="default" w:ascii="Times New Roman" w:hAnsi="Times New Roman" w:cs="Times New Roman" w:eastAsiaTheme="minorEastAsia"/>
                <w:color w:val="auto"/>
                <w:kern w:val="0"/>
                <w:szCs w:val="21"/>
                <w:highlight w:val="none"/>
              </w:rPr>
              <w:t>2</w:t>
            </w:r>
          </w:p>
        </w:tc>
        <w:tc>
          <w:tcPr>
            <w:tcW w:w="666"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9</w:t>
            </w:r>
          </w:p>
        </w:tc>
        <w:tc>
          <w:tcPr>
            <w:tcW w:w="595" w:type="pct"/>
            <w:tcBorders>
              <w:top w:val="single" w:color="auto" w:sz="6" w:space="0"/>
              <w:left w:val="single" w:color="auto" w:sz="6" w:space="0"/>
              <w:bottom w:val="single" w:color="auto" w:sz="6" w:space="0"/>
              <w:right w:val="single" w:color="auto" w:sz="6" w:space="0"/>
            </w:tcBorders>
            <w:vAlign w:val="center"/>
          </w:tcPr>
          <w:p>
            <w:pPr>
              <w:widowControl/>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t>16</w:t>
            </w:r>
          </w:p>
        </w:tc>
        <w:tc>
          <w:tcPr>
            <w:tcW w:w="595"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23</w:t>
            </w:r>
          </w:p>
        </w:tc>
        <w:tc>
          <w:tcPr>
            <w:tcW w:w="595"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30</w:t>
            </w:r>
          </w:p>
        </w:tc>
        <w:tc>
          <w:tcPr>
            <w:tcW w:w="596"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37</w:t>
            </w:r>
          </w:p>
        </w:tc>
        <w:tc>
          <w:tcPr>
            <w:tcW w:w="595" w:type="pct"/>
            <w:tcBorders>
              <w:top w:val="single" w:color="auto" w:sz="6" w:space="0"/>
              <w:left w:val="single" w:color="auto" w:sz="6" w:space="0"/>
              <w:bottom w:val="single" w:color="auto" w:sz="6" w:space="0"/>
              <w:right w:val="nil"/>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1" w:hRule="atLeast"/>
        </w:trPr>
        <w:tc>
          <w:tcPr>
            <w:tcW w:w="892" w:type="pct"/>
            <w:tcBorders>
              <w:top w:val="single" w:color="auto" w:sz="6" w:space="0"/>
              <w:left w:val="nil"/>
              <w:bottom w:val="single" w:color="auto" w:sz="6" w:space="0"/>
              <w:right w:val="single" w:color="auto" w:sz="6" w:space="0"/>
            </w:tcBorders>
            <w:vAlign w:val="center"/>
          </w:tcPr>
          <w:p>
            <w:pPr>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Mg</w:t>
            </w:r>
            <w:r>
              <w:rPr>
                <w:rFonts w:hint="default" w:ascii="Times New Roman" w:hAnsi="Times New Roman" w:cs="Times New Roman" w:eastAsiaTheme="minorEastAsia"/>
                <w:color w:val="auto"/>
                <w:szCs w:val="21"/>
                <w:highlight w:val="none"/>
                <w:vertAlign w:val="superscript"/>
              </w:rPr>
              <w:t>2+</w:t>
            </w:r>
          </w:p>
        </w:tc>
        <w:tc>
          <w:tcPr>
            <w:tcW w:w="461" w:type="pct"/>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default" w:ascii="Times New Roman" w:hAnsi="Times New Roman" w:cs="Times New Roman" w:eastAsiaTheme="minorEastAsia"/>
                <w:color w:val="auto"/>
                <w:kern w:val="0"/>
                <w:szCs w:val="21"/>
                <w:highlight w:val="none"/>
                <w:lang w:val="zh-CN"/>
              </w:rPr>
            </w:pPr>
            <w:r>
              <w:rPr>
                <w:rFonts w:hint="default" w:ascii="Times New Roman" w:hAnsi="Times New Roman" w:cs="Times New Roman" w:eastAsiaTheme="minorEastAsia"/>
                <w:color w:val="auto"/>
                <w:kern w:val="0"/>
                <w:szCs w:val="21"/>
                <w:highlight w:val="none"/>
                <w:lang w:val="zh-CN"/>
              </w:rPr>
              <w:t>3</w:t>
            </w:r>
          </w:p>
        </w:tc>
        <w:tc>
          <w:tcPr>
            <w:tcW w:w="666"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10</w:t>
            </w:r>
          </w:p>
        </w:tc>
        <w:tc>
          <w:tcPr>
            <w:tcW w:w="595" w:type="pct"/>
            <w:tcBorders>
              <w:top w:val="single" w:color="auto" w:sz="6" w:space="0"/>
              <w:left w:val="single" w:color="auto" w:sz="6" w:space="0"/>
              <w:bottom w:val="single" w:color="auto" w:sz="6" w:space="0"/>
              <w:right w:val="single" w:color="auto" w:sz="6" w:space="0"/>
            </w:tcBorders>
            <w:vAlign w:val="center"/>
          </w:tcPr>
          <w:p>
            <w:pPr>
              <w:widowControl/>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t>17</w:t>
            </w:r>
          </w:p>
        </w:tc>
        <w:tc>
          <w:tcPr>
            <w:tcW w:w="595"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24</w:t>
            </w:r>
          </w:p>
        </w:tc>
        <w:tc>
          <w:tcPr>
            <w:tcW w:w="595"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31</w:t>
            </w:r>
          </w:p>
        </w:tc>
        <w:tc>
          <w:tcPr>
            <w:tcW w:w="596"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38</w:t>
            </w:r>
          </w:p>
        </w:tc>
        <w:tc>
          <w:tcPr>
            <w:tcW w:w="595" w:type="pct"/>
            <w:tcBorders>
              <w:top w:val="single" w:color="auto" w:sz="6" w:space="0"/>
              <w:left w:val="single" w:color="auto" w:sz="6" w:space="0"/>
              <w:bottom w:val="single" w:color="auto" w:sz="6" w:space="0"/>
              <w:right w:val="nil"/>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1" w:hRule="atLeast"/>
        </w:trPr>
        <w:tc>
          <w:tcPr>
            <w:tcW w:w="892" w:type="pct"/>
            <w:tcBorders>
              <w:top w:val="single" w:color="auto" w:sz="6" w:space="0"/>
              <w:left w:val="nil"/>
              <w:bottom w:val="single" w:color="auto" w:sz="6" w:space="0"/>
              <w:right w:val="single" w:color="auto" w:sz="6" w:space="0"/>
            </w:tcBorders>
            <w:vAlign w:val="center"/>
          </w:tcPr>
          <w:p>
            <w:pPr>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Na</w:t>
            </w:r>
            <w:r>
              <w:rPr>
                <w:rFonts w:hint="default" w:ascii="Times New Roman" w:hAnsi="Times New Roman" w:cs="Times New Roman" w:eastAsiaTheme="minorEastAsia"/>
                <w:color w:val="auto"/>
                <w:szCs w:val="21"/>
                <w:highlight w:val="none"/>
                <w:vertAlign w:val="superscript"/>
              </w:rPr>
              <w:t>+</w:t>
            </w:r>
            <w:r>
              <w:rPr>
                <w:rFonts w:hint="default" w:ascii="Times New Roman" w:hAnsi="Times New Roman" w:cs="Times New Roman" w:eastAsiaTheme="minorEastAsia"/>
                <w:color w:val="auto"/>
                <w:szCs w:val="21"/>
                <w:highlight w:val="none"/>
              </w:rPr>
              <w:t>-Ca</w:t>
            </w:r>
            <w:r>
              <w:rPr>
                <w:rFonts w:hint="default" w:ascii="Times New Roman" w:hAnsi="Times New Roman" w:cs="Times New Roman" w:eastAsiaTheme="minorEastAsia"/>
                <w:color w:val="auto"/>
                <w:szCs w:val="21"/>
                <w:highlight w:val="none"/>
                <w:vertAlign w:val="superscript"/>
              </w:rPr>
              <w:t>2+</w:t>
            </w:r>
          </w:p>
        </w:tc>
        <w:tc>
          <w:tcPr>
            <w:tcW w:w="461"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4</w:t>
            </w:r>
          </w:p>
        </w:tc>
        <w:tc>
          <w:tcPr>
            <w:tcW w:w="666"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11</w:t>
            </w:r>
          </w:p>
        </w:tc>
        <w:tc>
          <w:tcPr>
            <w:tcW w:w="595" w:type="pct"/>
            <w:tcBorders>
              <w:top w:val="single" w:color="auto" w:sz="6" w:space="0"/>
              <w:left w:val="single" w:color="auto" w:sz="6" w:space="0"/>
              <w:bottom w:val="single" w:color="auto" w:sz="6" w:space="0"/>
              <w:right w:val="single" w:color="auto" w:sz="6" w:space="0"/>
            </w:tcBorders>
            <w:vAlign w:val="center"/>
          </w:tcPr>
          <w:p>
            <w:pPr>
              <w:widowControl/>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t>18</w:t>
            </w:r>
          </w:p>
        </w:tc>
        <w:tc>
          <w:tcPr>
            <w:tcW w:w="595"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25</w:t>
            </w:r>
          </w:p>
        </w:tc>
        <w:tc>
          <w:tcPr>
            <w:tcW w:w="595"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32</w:t>
            </w:r>
          </w:p>
        </w:tc>
        <w:tc>
          <w:tcPr>
            <w:tcW w:w="596"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39</w:t>
            </w:r>
          </w:p>
        </w:tc>
        <w:tc>
          <w:tcPr>
            <w:tcW w:w="595" w:type="pct"/>
            <w:tcBorders>
              <w:top w:val="single" w:color="auto" w:sz="6" w:space="0"/>
              <w:left w:val="single" w:color="auto" w:sz="6" w:space="0"/>
              <w:bottom w:val="single" w:color="auto" w:sz="6" w:space="0"/>
              <w:right w:val="nil"/>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1" w:hRule="atLeast"/>
        </w:trPr>
        <w:tc>
          <w:tcPr>
            <w:tcW w:w="892" w:type="pct"/>
            <w:tcBorders>
              <w:top w:val="single" w:color="auto" w:sz="6" w:space="0"/>
              <w:left w:val="nil"/>
              <w:bottom w:val="single" w:color="auto" w:sz="6" w:space="0"/>
              <w:right w:val="single" w:color="auto" w:sz="6" w:space="0"/>
            </w:tcBorders>
            <w:vAlign w:val="center"/>
          </w:tcPr>
          <w:p>
            <w:pPr>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Na</w:t>
            </w:r>
            <w:r>
              <w:rPr>
                <w:rFonts w:hint="default" w:ascii="Times New Roman" w:hAnsi="Times New Roman" w:cs="Times New Roman" w:eastAsiaTheme="minorEastAsia"/>
                <w:color w:val="auto"/>
                <w:szCs w:val="21"/>
                <w:highlight w:val="none"/>
                <w:vertAlign w:val="superscript"/>
              </w:rPr>
              <w:t>+</w:t>
            </w:r>
            <w:r>
              <w:rPr>
                <w:rFonts w:hint="default" w:ascii="Times New Roman" w:hAnsi="Times New Roman" w:cs="Times New Roman" w:eastAsiaTheme="minorEastAsia"/>
                <w:color w:val="auto"/>
                <w:szCs w:val="21"/>
                <w:highlight w:val="none"/>
              </w:rPr>
              <w:t>-Ca</w:t>
            </w:r>
            <w:r>
              <w:rPr>
                <w:rFonts w:hint="default" w:ascii="Times New Roman" w:hAnsi="Times New Roman" w:cs="Times New Roman" w:eastAsiaTheme="minorEastAsia"/>
                <w:color w:val="auto"/>
                <w:szCs w:val="21"/>
                <w:highlight w:val="none"/>
                <w:vertAlign w:val="superscript"/>
              </w:rPr>
              <w:t>2+</w:t>
            </w:r>
            <w:r>
              <w:rPr>
                <w:rFonts w:hint="default" w:ascii="Times New Roman" w:hAnsi="Times New Roman" w:cs="Times New Roman" w:eastAsiaTheme="minorEastAsia"/>
                <w:color w:val="auto"/>
                <w:szCs w:val="21"/>
                <w:highlight w:val="none"/>
              </w:rPr>
              <w:t>-Mg</w:t>
            </w:r>
            <w:r>
              <w:rPr>
                <w:rFonts w:hint="default" w:ascii="Times New Roman" w:hAnsi="Times New Roman" w:cs="Times New Roman" w:eastAsiaTheme="minorEastAsia"/>
                <w:color w:val="auto"/>
                <w:szCs w:val="21"/>
                <w:highlight w:val="none"/>
                <w:vertAlign w:val="superscript"/>
              </w:rPr>
              <w:t>2+</w:t>
            </w:r>
          </w:p>
        </w:tc>
        <w:tc>
          <w:tcPr>
            <w:tcW w:w="461" w:type="pct"/>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default" w:ascii="Times New Roman" w:hAnsi="Times New Roman" w:cs="Times New Roman" w:eastAsiaTheme="minorEastAsia"/>
                <w:color w:val="auto"/>
                <w:kern w:val="0"/>
                <w:szCs w:val="21"/>
                <w:highlight w:val="none"/>
                <w:lang w:val="zh-CN"/>
              </w:rPr>
            </w:pPr>
            <w:r>
              <w:rPr>
                <w:rFonts w:hint="default" w:ascii="Times New Roman" w:hAnsi="Times New Roman" w:cs="Times New Roman" w:eastAsiaTheme="minorEastAsia"/>
                <w:color w:val="auto"/>
                <w:kern w:val="0"/>
                <w:szCs w:val="21"/>
                <w:highlight w:val="none"/>
                <w:lang w:val="zh-CN"/>
              </w:rPr>
              <w:t>5</w:t>
            </w:r>
          </w:p>
        </w:tc>
        <w:tc>
          <w:tcPr>
            <w:tcW w:w="666"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12</w:t>
            </w:r>
          </w:p>
        </w:tc>
        <w:tc>
          <w:tcPr>
            <w:tcW w:w="595" w:type="pct"/>
            <w:tcBorders>
              <w:top w:val="single" w:color="auto" w:sz="6" w:space="0"/>
              <w:left w:val="single" w:color="auto" w:sz="6" w:space="0"/>
              <w:bottom w:val="single" w:color="auto" w:sz="6" w:space="0"/>
              <w:right w:val="single" w:color="auto" w:sz="6" w:space="0"/>
            </w:tcBorders>
            <w:vAlign w:val="center"/>
          </w:tcPr>
          <w:p>
            <w:pPr>
              <w:widowControl/>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t>19</w:t>
            </w:r>
          </w:p>
        </w:tc>
        <w:tc>
          <w:tcPr>
            <w:tcW w:w="595"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26</w:t>
            </w:r>
          </w:p>
        </w:tc>
        <w:tc>
          <w:tcPr>
            <w:tcW w:w="595"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33</w:t>
            </w:r>
          </w:p>
        </w:tc>
        <w:tc>
          <w:tcPr>
            <w:tcW w:w="596"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40</w:t>
            </w:r>
          </w:p>
        </w:tc>
        <w:tc>
          <w:tcPr>
            <w:tcW w:w="595" w:type="pct"/>
            <w:tcBorders>
              <w:top w:val="single" w:color="auto" w:sz="6" w:space="0"/>
              <w:left w:val="single" w:color="auto" w:sz="6" w:space="0"/>
              <w:bottom w:val="single" w:color="auto" w:sz="6" w:space="0"/>
              <w:right w:val="nil"/>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47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7" w:hRule="atLeast"/>
        </w:trPr>
        <w:tc>
          <w:tcPr>
            <w:tcW w:w="892" w:type="pct"/>
            <w:tcBorders>
              <w:top w:val="single" w:color="auto" w:sz="6" w:space="0"/>
              <w:left w:val="nil"/>
              <w:bottom w:val="single" w:color="auto" w:sz="6" w:space="0"/>
              <w:right w:val="single" w:color="auto" w:sz="6" w:space="0"/>
            </w:tcBorders>
            <w:vAlign w:val="center"/>
          </w:tcPr>
          <w:p>
            <w:pPr>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Na</w:t>
            </w:r>
            <w:r>
              <w:rPr>
                <w:rFonts w:hint="default" w:ascii="Times New Roman" w:hAnsi="Times New Roman" w:cs="Times New Roman" w:eastAsiaTheme="minorEastAsia"/>
                <w:color w:val="auto"/>
                <w:szCs w:val="21"/>
                <w:highlight w:val="none"/>
                <w:vertAlign w:val="superscript"/>
              </w:rPr>
              <w:t>+</w:t>
            </w:r>
            <w:r>
              <w:rPr>
                <w:rFonts w:hint="default" w:ascii="Times New Roman" w:hAnsi="Times New Roman" w:cs="Times New Roman" w:eastAsiaTheme="minorEastAsia"/>
                <w:color w:val="auto"/>
                <w:szCs w:val="21"/>
                <w:highlight w:val="none"/>
              </w:rPr>
              <w:t>-Mg</w:t>
            </w:r>
            <w:r>
              <w:rPr>
                <w:rFonts w:hint="default" w:ascii="Times New Roman" w:hAnsi="Times New Roman" w:cs="Times New Roman" w:eastAsiaTheme="minorEastAsia"/>
                <w:color w:val="auto"/>
                <w:szCs w:val="21"/>
                <w:highlight w:val="none"/>
                <w:vertAlign w:val="superscript"/>
              </w:rPr>
              <w:t>2</w:t>
            </w:r>
          </w:p>
        </w:tc>
        <w:tc>
          <w:tcPr>
            <w:tcW w:w="461" w:type="pct"/>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hint="default" w:ascii="Times New Roman" w:hAnsi="Times New Roman" w:cs="Times New Roman" w:eastAsiaTheme="minorEastAsia"/>
                <w:color w:val="auto"/>
                <w:kern w:val="0"/>
                <w:szCs w:val="21"/>
                <w:highlight w:val="none"/>
                <w:lang w:val="zh-CN"/>
              </w:rPr>
            </w:pPr>
            <w:r>
              <w:rPr>
                <w:rFonts w:hint="default" w:ascii="Times New Roman" w:hAnsi="Times New Roman" w:cs="Times New Roman" w:eastAsiaTheme="minorEastAsia"/>
                <w:color w:val="auto"/>
                <w:kern w:val="0"/>
                <w:szCs w:val="21"/>
                <w:highlight w:val="none"/>
                <w:lang w:val="zh-CN"/>
              </w:rPr>
              <w:t>6</w:t>
            </w:r>
          </w:p>
        </w:tc>
        <w:tc>
          <w:tcPr>
            <w:tcW w:w="666"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13</w:t>
            </w:r>
          </w:p>
        </w:tc>
        <w:tc>
          <w:tcPr>
            <w:tcW w:w="595" w:type="pct"/>
            <w:tcBorders>
              <w:top w:val="single" w:color="auto" w:sz="6" w:space="0"/>
              <w:left w:val="single" w:color="auto" w:sz="6" w:space="0"/>
              <w:bottom w:val="single" w:color="auto" w:sz="6" w:space="0"/>
              <w:right w:val="single" w:color="auto" w:sz="6" w:space="0"/>
            </w:tcBorders>
            <w:vAlign w:val="center"/>
          </w:tcPr>
          <w:p>
            <w:pPr>
              <w:widowControl/>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t>20</w:t>
            </w:r>
          </w:p>
        </w:tc>
        <w:tc>
          <w:tcPr>
            <w:tcW w:w="595"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27</w:t>
            </w:r>
          </w:p>
        </w:tc>
        <w:tc>
          <w:tcPr>
            <w:tcW w:w="595"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34</w:t>
            </w:r>
          </w:p>
        </w:tc>
        <w:tc>
          <w:tcPr>
            <w:tcW w:w="596" w:type="pct"/>
            <w:tcBorders>
              <w:top w:val="single" w:color="auto" w:sz="6" w:space="0"/>
              <w:left w:val="single" w:color="auto" w:sz="6" w:space="0"/>
              <w:bottom w:val="single" w:color="auto" w:sz="6"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41</w:t>
            </w:r>
          </w:p>
        </w:tc>
        <w:tc>
          <w:tcPr>
            <w:tcW w:w="595" w:type="pct"/>
            <w:tcBorders>
              <w:top w:val="single" w:color="auto" w:sz="6" w:space="0"/>
              <w:left w:val="single" w:color="auto" w:sz="6" w:space="0"/>
              <w:bottom w:val="single" w:color="auto" w:sz="6" w:space="0"/>
              <w:right w:val="nil"/>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1" w:hRule="atLeast"/>
        </w:trPr>
        <w:tc>
          <w:tcPr>
            <w:tcW w:w="892" w:type="pct"/>
            <w:tcBorders>
              <w:top w:val="single" w:color="auto" w:sz="6" w:space="0"/>
              <w:left w:val="nil"/>
              <w:bottom w:val="single" w:color="auto" w:sz="12" w:space="0"/>
              <w:right w:val="single" w:color="auto" w:sz="6" w:space="0"/>
            </w:tcBorders>
            <w:vAlign w:val="center"/>
          </w:tcPr>
          <w:p>
            <w:pPr>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Na</w:t>
            </w:r>
            <w:r>
              <w:rPr>
                <w:rFonts w:hint="default" w:ascii="Times New Roman" w:hAnsi="Times New Roman" w:cs="Times New Roman" w:eastAsiaTheme="minorEastAsia"/>
                <w:color w:val="auto"/>
                <w:szCs w:val="21"/>
                <w:highlight w:val="none"/>
                <w:vertAlign w:val="superscript"/>
              </w:rPr>
              <w:t>+</w:t>
            </w:r>
          </w:p>
        </w:tc>
        <w:tc>
          <w:tcPr>
            <w:tcW w:w="461" w:type="pct"/>
            <w:tcBorders>
              <w:top w:val="single" w:color="auto" w:sz="6" w:space="0"/>
              <w:left w:val="single" w:color="auto" w:sz="6" w:space="0"/>
              <w:bottom w:val="single" w:color="auto" w:sz="12" w:space="0"/>
              <w:right w:val="single" w:color="auto" w:sz="6" w:space="0"/>
            </w:tcBorders>
            <w:vAlign w:val="center"/>
          </w:tcPr>
          <w:p>
            <w:pPr>
              <w:autoSpaceDE w:val="0"/>
              <w:autoSpaceDN w:val="0"/>
              <w:adjustRightInd w:val="0"/>
              <w:jc w:val="center"/>
              <w:rPr>
                <w:rFonts w:hint="default" w:ascii="Times New Roman" w:hAnsi="Times New Roman" w:cs="Times New Roman" w:eastAsiaTheme="minorEastAsia"/>
                <w:color w:val="auto"/>
                <w:kern w:val="0"/>
                <w:szCs w:val="21"/>
                <w:highlight w:val="none"/>
                <w:lang w:val="zh-CN"/>
              </w:rPr>
            </w:pPr>
            <w:r>
              <w:rPr>
                <w:rFonts w:hint="default" w:ascii="Times New Roman" w:hAnsi="Times New Roman" w:cs="Times New Roman" w:eastAsiaTheme="minorEastAsia"/>
                <w:color w:val="auto"/>
                <w:kern w:val="0"/>
                <w:szCs w:val="21"/>
                <w:highlight w:val="none"/>
                <w:lang w:val="zh-CN"/>
              </w:rPr>
              <w:t>7</w:t>
            </w:r>
          </w:p>
        </w:tc>
        <w:tc>
          <w:tcPr>
            <w:tcW w:w="666" w:type="pct"/>
            <w:tcBorders>
              <w:top w:val="single" w:color="auto" w:sz="6" w:space="0"/>
              <w:left w:val="single" w:color="auto" w:sz="6" w:space="0"/>
              <w:bottom w:val="single" w:color="auto" w:sz="12"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14</w:t>
            </w:r>
          </w:p>
        </w:tc>
        <w:tc>
          <w:tcPr>
            <w:tcW w:w="595" w:type="pct"/>
            <w:tcBorders>
              <w:top w:val="single" w:color="auto" w:sz="6" w:space="0"/>
              <w:left w:val="single" w:color="auto" w:sz="6" w:space="0"/>
              <w:bottom w:val="single" w:color="auto" w:sz="12" w:space="0"/>
              <w:right w:val="single" w:color="auto" w:sz="6" w:space="0"/>
            </w:tcBorders>
            <w:vAlign w:val="center"/>
          </w:tcPr>
          <w:p>
            <w:pPr>
              <w:widowControl/>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t>21</w:t>
            </w:r>
          </w:p>
        </w:tc>
        <w:tc>
          <w:tcPr>
            <w:tcW w:w="595" w:type="pct"/>
            <w:tcBorders>
              <w:top w:val="single" w:color="auto" w:sz="6" w:space="0"/>
              <w:left w:val="single" w:color="auto" w:sz="6" w:space="0"/>
              <w:bottom w:val="single" w:color="auto" w:sz="12"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28</w:t>
            </w:r>
          </w:p>
        </w:tc>
        <w:tc>
          <w:tcPr>
            <w:tcW w:w="595" w:type="pct"/>
            <w:tcBorders>
              <w:top w:val="single" w:color="auto" w:sz="6" w:space="0"/>
              <w:left w:val="single" w:color="auto" w:sz="6" w:space="0"/>
              <w:bottom w:val="single" w:color="auto" w:sz="12"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35</w:t>
            </w:r>
          </w:p>
        </w:tc>
        <w:tc>
          <w:tcPr>
            <w:tcW w:w="596" w:type="pct"/>
            <w:tcBorders>
              <w:top w:val="single" w:color="auto" w:sz="6" w:space="0"/>
              <w:left w:val="single" w:color="auto" w:sz="6" w:space="0"/>
              <w:bottom w:val="single" w:color="auto" w:sz="12" w:space="0"/>
              <w:right w:val="single" w:color="auto" w:sz="6" w:space="0"/>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42</w:t>
            </w:r>
          </w:p>
        </w:tc>
        <w:tc>
          <w:tcPr>
            <w:tcW w:w="595" w:type="pct"/>
            <w:tcBorders>
              <w:top w:val="single" w:color="auto" w:sz="6" w:space="0"/>
              <w:left w:val="single" w:color="auto" w:sz="6" w:space="0"/>
              <w:bottom w:val="single" w:color="auto" w:sz="12" w:space="0"/>
              <w:right w:val="nil"/>
            </w:tcBorders>
            <w:vAlign w:val="center"/>
          </w:tcPr>
          <w:p>
            <w:pPr>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49</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③矿化度</w:t>
      </w:r>
    </w:p>
    <w:p>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按矿化度（M）的大小划分为4组。</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A组——M≤1.5g/L；B组——1.5＜M≤10g/L；</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C组——10＜M≤40g/L；D组——M＞40g/L</w:t>
      </w:r>
    </w:p>
    <w:p>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矿化度的计算采用《用主要阴离子含量计算水的矿化度》（高仁先.山东省水利科学研究院），计算方法如下：</w:t>
      </w:r>
    </w:p>
    <w:p>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rPr>
          <w:rFonts w:hint="default" w:ascii="Times New Roman" w:hAnsi="Times New Roman" w:cs="Times New Roman"/>
          <w:color w:val="auto"/>
          <w:sz w:val="24"/>
          <w:highlight w:val="none"/>
          <w:vertAlign w:val="subscript"/>
        </w:rPr>
      </w:pPr>
      <w:r>
        <w:rPr>
          <w:rFonts w:hint="default" w:ascii="Times New Roman" w:hAnsi="Times New Roman" w:cs="Times New Roman"/>
          <w:color w:val="auto"/>
          <w:sz w:val="24"/>
          <w:highlight w:val="none"/>
        </w:rPr>
        <w:t>矿化度（g/L）=C（∑A）×M</w:t>
      </w:r>
      <w:r>
        <w:rPr>
          <w:rFonts w:hint="default" w:ascii="Times New Roman" w:hAnsi="Times New Roman" w:cs="Times New Roman"/>
          <w:color w:val="auto"/>
          <w:sz w:val="24"/>
          <w:highlight w:val="none"/>
          <w:vertAlign w:val="subscript"/>
        </w:rPr>
        <w:t>S</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SB=</w:t>
      </w:r>
      <m:oMath>
        <m:f>
          <m:fPr>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sz w:val="24"/>
                <w:highlight w:val="none"/>
              </w:rPr>
              <m:t>C（</m:t>
            </m:r>
            <m:f>
              <m:fPr>
                <m:type m:val="skw"/>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sz w:val="24"/>
                    <w:highlight w:val="none"/>
                  </w:rPr>
                  <m:t>1</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sz w:val="24"/>
                    <w:highlight w:val="none"/>
                  </w:rPr>
                  <m:t>2</m:t>
                </m:r>
                <m:ctrlPr>
                  <w:rPr>
                    <w:rFonts w:hint="default" w:ascii="Cambria Math" w:hAnsi="Cambria Math" w:cs="Times New Roman"/>
                    <w:color w:val="auto"/>
                    <w:sz w:val="24"/>
                    <w:highlight w:val="none"/>
                  </w:rPr>
                </m:ctrlPr>
              </m:den>
            </m:f>
            <m:sSubSup>
              <m:sSubSupPr>
                <m:ctrlPr>
                  <w:rPr>
                    <w:rFonts w:hint="default" w:ascii="Cambria Math" w:hAnsi="Cambria Math" w:cs="Times New Roman"/>
                    <w:color w:val="auto"/>
                    <w:sz w:val="24"/>
                    <w:highlight w:val="none"/>
                  </w:rPr>
                </m:ctrlPr>
              </m:sSubSupPr>
              <m:e>
                <m:r>
                  <m:rPr>
                    <m:sty m:val="p"/>
                  </m:rPr>
                  <w:rPr>
                    <w:rFonts w:hint="default" w:ascii="Cambria Math" w:hAnsi="Cambria Math" w:cs="Times New Roman"/>
                    <w:color w:val="auto"/>
                    <w:sz w:val="24"/>
                    <w:highlight w:val="none"/>
                  </w:rPr>
                  <m:t>SO</m:t>
                </m:r>
                <m:ctrlPr>
                  <w:rPr>
                    <w:rFonts w:hint="default" w:ascii="Cambria Math" w:hAnsi="Cambria Math" w:cs="Times New Roman"/>
                    <w:color w:val="auto"/>
                    <w:sz w:val="24"/>
                    <w:highlight w:val="none"/>
                  </w:rPr>
                </m:ctrlPr>
              </m:e>
              <m:sub>
                <m:r>
                  <m:rPr>
                    <m:sty m:val="p"/>
                  </m:rPr>
                  <w:rPr>
                    <w:rFonts w:hint="default" w:ascii="Cambria Math" w:hAnsi="Cambria Math" w:cs="Times New Roman"/>
                    <w:color w:val="auto"/>
                    <w:sz w:val="24"/>
                    <w:highlight w:val="none"/>
                  </w:rPr>
                  <m:t>4</m:t>
                </m:r>
                <m:ctrlPr>
                  <w:rPr>
                    <w:rFonts w:hint="default" w:ascii="Cambria Math" w:hAnsi="Cambria Math" w:cs="Times New Roman"/>
                    <w:color w:val="auto"/>
                    <w:sz w:val="24"/>
                    <w:highlight w:val="none"/>
                  </w:rPr>
                </m:ctrlPr>
              </m:sub>
              <m:sup>
                <m:r>
                  <m:rPr>
                    <m:sty m:val="p"/>
                  </m:rPr>
                  <w:rPr>
                    <w:rFonts w:hint="default" w:ascii="Cambria Math" w:hAnsi="Cambria Math" w:cs="Times New Roman"/>
                    <w:color w:val="auto"/>
                    <w:sz w:val="24"/>
                    <w:highlight w:val="none"/>
                  </w:rPr>
                  <m:t>2−</m:t>
                </m:r>
                <m:ctrlPr>
                  <w:rPr>
                    <w:rFonts w:hint="default" w:ascii="Cambria Math" w:hAnsi="Cambria Math" w:cs="Times New Roman"/>
                    <w:color w:val="auto"/>
                    <w:sz w:val="24"/>
                    <w:highlight w:val="none"/>
                  </w:rPr>
                </m:ctrlPr>
              </m:sup>
            </m:sSubSup>
            <m:r>
              <m:rPr>
                <m:sty m:val="p"/>
              </m:rPr>
              <w:rPr>
                <w:rFonts w:hint="default" w:ascii="Cambria Math" w:hAnsi="Cambria Math" w:cs="Times New Roman"/>
                <w:color w:val="auto"/>
                <w:sz w:val="24"/>
                <w:highlight w:val="none"/>
              </w:rPr>
              <m:t>）</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sz w:val="24"/>
                <w:highlight w:val="none"/>
              </w:rPr>
              <m:t>C(∑A)</m:t>
            </m:r>
            <m:ctrlPr>
              <w:rPr>
                <w:rFonts w:hint="default" w:ascii="Cambria Math" w:hAnsi="Cambria Math" w:cs="Times New Roman"/>
                <w:color w:val="auto"/>
                <w:sz w:val="24"/>
                <w:highlight w:val="none"/>
              </w:rPr>
            </m:ctrlPr>
          </m:den>
        </m:f>
      </m:oMath>
      <w:r>
        <w:rPr>
          <w:rFonts w:hint="default" w:ascii="Times New Roman" w:hAnsi="Times New Roman" w:cs="Times New Roman"/>
          <w:color w:val="auto"/>
          <w:sz w:val="24"/>
          <w:highlight w:val="none"/>
        </w:rPr>
        <w:t>或</w:t>
      </w:r>
      <m:oMath>
        <m:f>
          <m:fPr>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sz w:val="24"/>
                <w:highlight w:val="none"/>
              </w:rPr>
              <m:t>C</m:t>
            </m:r>
            <m:d>
              <m:dPr>
                <m:ctrlPr>
                  <w:rPr>
                    <w:rFonts w:hint="default" w:ascii="Cambria Math" w:hAnsi="Cambria Math" w:cs="Times New Roman"/>
                    <w:color w:val="auto"/>
                    <w:sz w:val="24"/>
                    <w:highlight w:val="none"/>
                  </w:rPr>
                </m:ctrlPr>
              </m:dPr>
              <m:e>
                <m:r>
                  <m:rPr>
                    <m:sty m:val="p"/>
                  </m:rPr>
                  <w:rPr>
                    <w:rFonts w:hint="default" w:ascii="Cambria Math" w:hAnsi="Cambria Math" w:cs="Times New Roman"/>
                    <w:color w:val="auto"/>
                    <w:sz w:val="24"/>
                    <w:highlight w:val="none"/>
                  </w:rPr>
                  <m:t>∑H</m:t>
                </m:r>
                <m:ctrlPr>
                  <w:rPr>
                    <w:rFonts w:hint="default" w:ascii="Cambria Math" w:hAnsi="Cambria Math" w:cs="Times New Roman"/>
                    <w:color w:val="auto"/>
                    <w:sz w:val="24"/>
                    <w:highlight w:val="none"/>
                  </w:rPr>
                </m:ctrlPr>
              </m:e>
            </m:d>
            <m:r>
              <m:rPr>
                <m:sty m:val="p"/>
              </m:rPr>
              <w:rPr>
                <w:rFonts w:hint="default" w:ascii="Cambria Math" w:hAnsi="Cambria Math" w:cs="Times New Roman"/>
                <w:color w:val="auto"/>
                <w:sz w:val="24"/>
                <w:highlight w:val="none"/>
              </w:rPr>
              <m:t>−C(</m:t>
            </m:r>
            <m:sSup>
              <m:sSupPr>
                <m:ctrlPr>
                  <w:rPr>
                    <w:rFonts w:hint="default" w:ascii="Cambria Math" w:hAnsi="Cambria Math" w:cs="Times New Roman"/>
                    <w:color w:val="auto"/>
                    <w:sz w:val="24"/>
                    <w:highlight w:val="none"/>
                  </w:rPr>
                </m:ctrlPr>
              </m:sSupPr>
              <m:e>
                <m:r>
                  <m:rPr>
                    <m:sty m:val="p"/>
                  </m:rPr>
                  <w:rPr>
                    <w:rFonts w:hint="default" w:ascii="Cambria Math" w:hAnsi="Cambria Math" w:cs="Times New Roman"/>
                    <w:color w:val="auto"/>
                    <w:sz w:val="24"/>
                    <w:highlight w:val="none"/>
                  </w:rPr>
                  <m:t>Cl</m:t>
                </m:r>
                <m:ctrlPr>
                  <w:rPr>
                    <w:rFonts w:hint="default" w:ascii="Cambria Math" w:hAnsi="Cambria Math" w:cs="Times New Roman"/>
                    <w:color w:val="auto"/>
                    <w:sz w:val="24"/>
                    <w:highlight w:val="none"/>
                  </w:rPr>
                </m:ctrlPr>
              </m:e>
              <m:sup>
                <m:r>
                  <m:rPr>
                    <m:sty m:val="p"/>
                  </m:rPr>
                  <w:rPr>
                    <w:rFonts w:hint="default" w:ascii="Cambria Math" w:hAnsi="Cambria Math" w:cs="Times New Roman"/>
                    <w:color w:val="auto"/>
                    <w:sz w:val="24"/>
                    <w:highlight w:val="none"/>
                  </w:rPr>
                  <m:t>−</m:t>
                </m:r>
                <m:ctrlPr>
                  <w:rPr>
                    <w:rFonts w:hint="default" w:ascii="Cambria Math" w:hAnsi="Cambria Math" w:cs="Times New Roman"/>
                    <w:color w:val="auto"/>
                    <w:sz w:val="24"/>
                    <w:highlight w:val="none"/>
                  </w:rPr>
                </m:ctrlPr>
              </m:sup>
            </m:sSup>
            <m:r>
              <m:rPr>
                <m:sty m:val="p"/>
              </m:rPr>
              <w:rPr>
                <w:rFonts w:hint="default" w:ascii="Cambria Math" w:hAnsi="Cambria Math" w:cs="Times New Roman"/>
                <w:color w:val="auto"/>
                <w:sz w:val="24"/>
                <w:highlight w:val="none"/>
              </w:rPr>
              <m:t>)</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sz w:val="24"/>
                <w:highlight w:val="none"/>
              </w:rPr>
              <m:t>C(∑A)</m:t>
            </m:r>
            <m:ctrlPr>
              <w:rPr>
                <w:rFonts w:hint="default" w:ascii="Cambria Math" w:hAnsi="Cambria Math" w:cs="Times New Roman"/>
                <w:color w:val="auto"/>
                <w:sz w:val="24"/>
                <w:highlight w:val="none"/>
              </w:rPr>
            </m:ctrlPr>
          </m:den>
        </m:f>
      </m:oMath>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HCB=</w:t>
      </w:r>
      <m:oMath>
        <m:f>
          <m:fPr>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sz w:val="24"/>
                <w:highlight w:val="none"/>
              </w:rPr>
              <m:t>C(</m:t>
            </m:r>
            <m:sSubSup>
              <m:sSubSupPr>
                <m:ctrlPr>
                  <w:rPr>
                    <w:rFonts w:hint="default" w:ascii="Cambria Math" w:hAnsi="Cambria Math" w:cs="Times New Roman"/>
                    <w:color w:val="auto"/>
                    <w:sz w:val="24"/>
                    <w:highlight w:val="none"/>
                  </w:rPr>
                </m:ctrlPr>
              </m:sSubSupPr>
              <m:e>
                <m:r>
                  <m:rPr>
                    <m:sty m:val="p"/>
                  </m:rPr>
                  <w:rPr>
                    <w:rFonts w:hint="default" w:ascii="Cambria Math" w:hAnsi="Cambria Math" w:cs="Times New Roman"/>
                    <w:color w:val="auto"/>
                    <w:sz w:val="24"/>
                    <w:highlight w:val="none"/>
                  </w:rPr>
                  <m:t>HCO</m:t>
                </m:r>
                <m:ctrlPr>
                  <w:rPr>
                    <w:rFonts w:hint="default" w:ascii="Cambria Math" w:hAnsi="Cambria Math" w:cs="Times New Roman"/>
                    <w:color w:val="auto"/>
                    <w:sz w:val="24"/>
                    <w:highlight w:val="none"/>
                  </w:rPr>
                </m:ctrlPr>
              </m:e>
              <m:sub>
                <m:r>
                  <m:rPr>
                    <m:sty m:val="p"/>
                  </m:rPr>
                  <w:rPr>
                    <w:rFonts w:hint="default" w:ascii="Cambria Math" w:hAnsi="Cambria Math" w:cs="Times New Roman"/>
                    <w:color w:val="auto"/>
                    <w:sz w:val="24"/>
                    <w:highlight w:val="none"/>
                  </w:rPr>
                  <m:t>3</m:t>
                </m:r>
                <m:ctrlPr>
                  <w:rPr>
                    <w:rFonts w:hint="default" w:ascii="Cambria Math" w:hAnsi="Cambria Math" w:cs="Times New Roman"/>
                    <w:color w:val="auto"/>
                    <w:sz w:val="24"/>
                    <w:highlight w:val="none"/>
                  </w:rPr>
                </m:ctrlPr>
              </m:sub>
              <m:sup>
                <m:r>
                  <m:rPr>
                    <m:sty m:val="p"/>
                  </m:rPr>
                  <w:rPr>
                    <w:rFonts w:hint="default" w:ascii="Cambria Math" w:hAnsi="Cambria Math" w:cs="Times New Roman"/>
                    <w:color w:val="auto"/>
                    <w:sz w:val="24"/>
                    <w:highlight w:val="none"/>
                  </w:rPr>
                  <m:t>−</m:t>
                </m:r>
                <m:ctrlPr>
                  <w:rPr>
                    <w:rFonts w:hint="default" w:ascii="Cambria Math" w:hAnsi="Cambria Math" w:cs="Times New Roman"/>
                    <w:color w:val="auto"/>
                    <w:sz w:val="24"/>
                    <w:highlight w:val="none"/>
                  </w:rPr>
                </m:ctrlPr>
              </m:sup>
            </m:sSubSup>
            <m:r>
              <m:rPr>
                <m:sty m:val="p"/>
              </m:rPr>
              <w:rPr>
                <w:rFonts w:hint="default" w:ascii="Cambria Math" w:hAnsi="Cambria Math" w:cs="Times New Roman"/>
                <w:color w:val="auto"/>
                <w:sz w:val="24"/>
                <w:highlight w:val="none"/>
              </w:rPr>
              <m:t>)</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sz w:val="24"/>
                <w:highlight w:val="none"/>
              </w:rPr>
              <m:t>C</m:t>
            </m:r>
            <m:d>
              <m:dPr>
                <m:ctrlPr>
                  <w:rPr>
                    <w:rFonts w:hint="default" w:ascii="Cambria Math" w:hAnsi="Cambria Math" w:cs="Times New Roman"/>
                    <w:color w:val="auto"/>
                    <w:sz w:val="24"/>
                    <w:highlight w:val="none"/>
                  </w:rPr>
                </m:ctrlPr>
              </m:dPr>
              <m:e>
                <m:f>
                  <m:fPr>
                    <m:type m:val="skw"/>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sz w:val="24"/>
                        <w:highlight w:val="none"/>
                      </w:rPr>
                      <m:t>1</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sz w:val="24"/>
                        <w:highlight w:val="none"/>
                      </w:rPr>
                      <m:t>2</m:t>
                    </m:r>
                    <m:ctrlPr>
                      <w:rPr>
                        <w:rFonts w:hint="default" w:ascii="Cambria Math" w:hAnsi="Cambria Math" w:cs="Times New Roman"/>
                        <w:color w:val="auto"/>
                        <w:sz w:val="24"/>
                        <w:highlight w:val="none"/>
                      </w:rPr>
                    </m:ctrlPr>
                  </m:den>
                </m:f>
                <m:sSubSup>
                  <m:sSubSupPr>
                    <m:ctrlPr>
                      <w:rPr>
                        <w:rFonts w:hint="default" w:ascii="Cambria Math" w:hAnsi="Cambria Math" w:cs="Times New Roman"/>
                        <w:color w:val="auto"/>
                        <w:sz w:val="24"/>
                        <w:highlight w:val="none"/>
                      </w:rPr>
                    </m:ctrlPr>
                  </m:sSubSupPr>
                  <m:e>
                    <m:r>
                      <m:rPr>
                        <m:sty m:val="p"/>
                      </m:rPr>
                      <w:rPr>
                        <w:rFonts w:hint="default" w:ascii="Cambria Math" w:hAnsi="Cambria Math" w:cs="Times New Roman"/>
                        <w:color w:val="auto"/>
                        <w:sz w:val="24"/>
                        <w:highlight w:val="none"/>
                      </w:rPr>
                      <m:t>CO</m:t>
                    </m:r>
                    <m:ctrlPr>
                      <w:rPr>
                        <w:rFonts w:hint="default" w:ascii="Cambria Math" w:hAnsi="Cambria Math" w:cs="Times New Roman"/>
                        <w:color w:val="auto"/>
                        <w:sz w:val="24"/>
                        <w:highlight w:val="none"/>
                      </w:rPr>
                    </m:ctrlPr>
                  </m:e>
                  <m:sub>
                    <m:r>
                      <m:rPr>
                        <m:sty m:val="p"/>
                      </m:rPr>
                      <w:rPr>
                        <w:rFonts w:hint="default" w:ascii="Cambria Math" w:hAnsi="Cambria Math" w:cs="Times New Roman"/>
                        <w:color w:val="auto"/>
                        <w:sz w:val="24"/>
                        <w:highlight w:val="none"/>
                      </w:rPr>
                      <m:t>3</m:t>
                    </m:r>
                    <m:ctrlPr>
                      <w:rPr>
                        <w:rFonts w:hint="default" w:ascii="Cambria Math" w:hAnsi="Cambria Math" w:cs="Times New Roman"/>
                        <w:color w:val="auto"/>
                        <w:sz w:val="24"/>
                        <w:highlight w:val="none"/>
                      </w:rPr>
                    </m:ctrlPr>
                  </m:sub>
                  <m:sup>
                    <m:r>
                      <m:rPr>
                        <m:sty m:val="p"/>
                      </m:rPr>
                      <w:rPr>
                        <w:rFonts w:hint="default" w:ascii="Cambria Math" w:hAnsi="Cambria Math" w:cs="Times New Roman"/>
                        <w:color w:val="auto"/>
                        <w:sz w:val="24"/>
                        <w:highlight w:val="none"/>
                      </w:rPr>
                      <m:t>2−</m:t>
                    </m:r>
                    <m:ctrlPr>
                      <w:rPr>
                        <w:rFonts w:hint="default" w:ascii="Cambria Math" w:hAnsi="Cambria Math" w:cs="Times New Roman"/>
                        <w:color w:val="auto"/>
                        <w:sz w:val="24"/>
                        <w:highlight w:val="none"/>
                      </w:rPr>
                    </m:ctrlPr>
                  </m:sup>
                </m:sSubSup>
                <m:ctrlPr>
                  <w:rPr>
                    <w:rFonts w:hint="default" w:ascii="Cambria Math" w:hAnsi="Cambria Math" w:cs="Times New Roman"/>
                    <w:color w:val="auto"/>
                    <w:sz w:val="24"/>
                    <w:highlight w:val="none"/>
                  </w:rPr>
                </m:ctrlPr>
              </m:e>
            </m:d>
            <m:r>
              <m:rPr>
                <m:sty m:val="p"/>
              </m:rPr>
              <w:rPr>
                <w:rFonts w:hint="default" w:ascii="Cambria Math" w:hAnsi="Cambria Math" w:cs="Times New Roman"/>
                <w:color w:val="auto"/>
                <w:sz w:val="24"/>
                <w:highlight w:val="none"/>
              </w:rPr>
              <m:t>+C(</m:t>
            </m:r>
            <m:sSup>
              <m:sSupPr>
                <m:ctrlPr>
                  <w:rPr>
                    <w:rFonts w:hint="default" w:ascii="Cambria Math" w:hAnsi="Cambria Math" w:cs="Times New Roman"/>
                    <w:color w:val="auto"/>
                    <w:sz w:val="24"/>
                    <w:highlight w:val="none"/>
                  </w:rPr>
                </m:ctrlPr>
              </m:sSupPr>
              <m:e>
                <m:r>
                  <m:rPr>
                    <m:sty m:val="p"/>
                  </m:rPr>
                  <w:rPr>
                    <w:rFonts w:hint="default" w:ascii="Cambria Math" w:hAnsi="Cambria Math" w:cs="Times New Roman"/>
                    <w:color w:val="auto"/>
                    <w:sz w:val="24"/>
                    <w:highlight w:val="none"/>
                  </w:rPr>
                  <m:t>Cl</m:t>
                </m:r>
                <m:ctrlPr>
                  <w:rPr>
                    <w:rFonts w:hint="default" w:ascii="Cambria Math" w:hAnsi="Cambria Math" w:cs="Times New Roman"/>
                    <w:color w:val="auto"/>
                    <w:sz w:val="24"/>
                    <w:highlight w:val="none"/>
                  </w:rPr>
                </m:ctrlPr>
              </m:e>
              <m:sup>
                <m:r>
                  <m:rPr>
                    <m:sty m:val="p"/>
                  </m:rPr>
                  <w:rPr>
                    <w:rFonts w:hint="default" w:ascii="Cambria Math" w:hAnsi="Cambria Math" w:cs="Times New Roman"/>
                    <w:color w:val="auto"/>
                    <w:sz w:val="24"/>
                    <w:highlight w:val="none"/>
                  </w:rPr>
                  <m:t>−</m:t>
                </m:r>
                <m:ctrlPr>
                  <w:rPr>
                    <w:rFonts w:hint="default" w:ascii="Cambria Math" w:hAnsi="Cambria Math" w:cs="Times New Roman"/>
                    <w:color w:val="auto"/>
                    <w:sz w:val="24"/>
                    <w:highlight w:val="none"/>
                  </w:rPr>
                </m:ctrlPr>
              </m:sup>
            </m:sSup>
            <m:r>
              <m:rPr>
                <m:sty m:val="p"/>
              </m:rPr>
              <w:rPr>
                <w:rFonts w:hint="default" w:ascii="Cambria Math" w:hAnsi="Cambria Math" w:cs="Times New Roman"/>
                <w:color w:val="auto"/>
                <w:sz w:val="24"/>
                <w:highlight w:val="none"/>
              </w:rPr>
              <m:t>)</m:t>
            </m:r>
            <m:ctrlPr>
              <w:rPr>
                <w:rFonts w:hint="default" w:ascii="Cambria Math" w:hAnsi="Cambria Math" w:cs="Times New Roman"/>
                <w:color w:val="auto"/>
                <w:sz w:val="24"/>
                <w:highlight w:val="none"/>
              </w:rPr>
            </m:ctrlPr>
          </m:den>
        </m:f>
      </m:oMath>
    </w:p>
    <w:p>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注：Ms是在计算出SB值和HCB值后查表4-</w:t>
      </w:r>
      <w:r>
        <w:rPr>
          <w:rFonts w:hint="eastAsia" w:ascii="Times New Roman" w:hAnsi="Times New Roman" w:eastAsia="宋体" w:cs="Times New Roman"/>
          <w:color w:val="auto"/>
          <w:sz w:val="24"/>
          <w:highlight w:val="none"/>
          <w:lang w:val="en-US" w:eastAsia="zh-CN"/>
        </w:rPr>
        <w:t>5</w:t>
      </w:r>
      <w:r>
        <w:rPr>
          <w:rFonts w:hint="default" w:ascii="Times New Roman" w:hAnsi="Times New Roman" w:cs="Times New Roman"/>
          <w:color w:val="auto"/>
          <w:sz w:val="24"/>
          <w:highlight w:val="none"/>
        </w:rPr>
        <w:t>-</w:t>
      </w:r>
      <w:r>
        <w:rPr>
          <w:rFonts w:hint="eastAsia" w:ascii="Times New Roman" w:hAnsi="Times New Roman" w:eastAsia="宋体" w:cs="Times New Roman"/>
          <w:color w:val="auto"/>
          <w:sz w:val="24"/>
          <w:highlight w:val="none"/>
          <w:lang w:val="en-US" w:eastAsia="zh-CN"/>
        </w:rPr>
        <w:t>7</w:t>
      </w:r>
      <w:r>
        <w:rPr>
          <w:rFonts w:hint="default" w:ascii="Times New Roman" w:hAnsi="Times New Roman" w:cs="Times New Roman"/>
          <w:color w:val="auto"/>
          <w:sz w:val="24"/>
          <w:highlight w:val="none"/>
        </w:rPr>
        <w:t>中查得。</w:t>
      </w:r>
    </w:p>
    <w:p>
      <w:pPr>
        <w:pStyle w:val="6"/>
        <w:keepNext w:val="0"/>
        <w:keepLines w:val="0"/>
        <w:pageBreakBefore w:val="0"/>
        <w:widowControl/>
        <w:kinsoku w:val="0"/>
        <w:wordWrap/>
        <w:overflowPunct/>
        <w:topLinePunct w:val="0"/>
        <w:autoSpaceDE w:val="0"/>
        <w:autoSpaceDN w:val="0"/>
        <w:bidi w:val="0"/>
        <w:adjustRightInd w:val="0"/>
        <w:snapToGrid w:val="0"/>
        <w:spacing w:line="240" w:lineRule="auto"/>
        <w:ind w:left="0" w:firstLine="482" w:firstLineChars="200"/>
        <w:jc w:val="center"/>
        <w:textAlignment w:val="baseline"/>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表4-</w:t>
      </w:r>
      <w:r>
        <w:rPr>
          <w:rFonts w:hint="default" w:ascii="Times New Roman" w:hAnsi="Times New Roman" w:eastAsia="宋体" w:cs="Times New Roman"/>
          <w:b/>
          <w:color w:val="auto"/>
          <w:sz w:val="24"/>
          <w:highlight w:val="none"/>
          <w:lang w:val="en-US" w:eastAsia="zh-CN"/>
        </w:rPr>
        <w:t>5-7</w:t>
      </w:r>
      <w:r>
        <w:rPr>
          <w:rFonts w:hint="default" w:ascii="Times New Roman" w:hAnsi="Times New Roman" w:eastAsia="宋体" w:cs="Times New Roman"/>
          <w:b/>
          <w:color w:val="auto"/>
          <w:sz w:val="24"/>
          <w:highlight w:val="none"/>
        </w:rPr>
        <w:t xml:space="preserve">  SB、HCB、Ms关系表</w:t>
      </w:r>
    </w:p>
    <w:p>
      <w:pPr>
        <w:jc w:val="center"/>
        <w:rPr>
          <w:rFonts w:hint="default" w:ascii="Times New Roman" w:hAnsi="Times New Roman" w:cs="Times New Roman"/>
          <w:color w:val="FF0000"/>
          <w:sz w:val="24"/>
          <w:highlight w:val="none"/>
        </w:rPr>
      </w:pPr>
      <w:r>
        <w:rPr>
          <w:rFonts w:hint="default" w:ascii="Times New Roman" w:hAnsi="Times New Roman" w:cs="Times New Roman"/>
          <w:color w:val="FF0000"/>
          <w:highlight w:val="none"/>
        </w:rPr>
        <w:drawing>
          <wp:inline distT="0" distB="0" distL="0" distR="0">
            <wp:extent cx="5673090" cy="3201035"/>
            <wp:effectExtent l="0" t="0" r="3810" b="1841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noChangeArrowheads="1"/>
                    </pic:cNvPicPr>
                  </pic:nvPicPr>
                  <pic:blipFill>
                    <a:blip r:embed="rId61" cstate="print"/>
                    <a:srcRect/>
                    <a:stretch>
                      <a:fillRect/>
                    </a:stretch>
                  </pic:blipFill>
                  <pic:spPr>
                    <a:xfrm>
                      <a:off x="0" y="0"/>
                      <a:ext cx="5673090" cy="3201035"/>
                    </a:xfrm>
                    <a:prstGeom prst="rect">
                      <a:avLst/>
                    </a:prstGeom>
                    <a:noFill/>
                    <a:ln w="9525">
                      <a:noFill/>
                      <a:miter lim="800000"/>
                      <a:headEnd/>
                      <a:tailEnd/>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第三步，将地下水化学类型用阿拉伯数字（1～49）与字母（A、B、C或D）组合在一起的表达式表示。</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lang w:val="en-US" w:eastAsia="zh-CN"/>
        </w:rPr>
        <w:t>③</w:t>
      </w:r>
      <w:r>
        <w:rPr>
          <w:rFonts w:hint="default" w:ascii="Times New Roman" w:hAnsi="Times New Roman" w:cs="Times New Roman"/>
          <w:color w:val="auto"/>
          <w:sz w:val="24"/>
          <w:highlight w:val="none"/>
        </w:rPr>
        <w:t>地下水化学类型评价结果</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首先对水文资料进行整理，换算毫克/升为毫克当量/升及毫克当量百分数；知道了离子在水中的毫克当量数以后，根据计算公式计算其毫克当量百分数。</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本次监测换算结果见表4-</w:t>
      </w:r>
      <w:r>
        <w:rPr>
          <w:rFonts w:hint="default" w:ascii="Times New Roman" w:hAnsi="Times New Roman" w:eastAsia="宋体" w:cs="Times New Roman"/>
          <w:color w:val="auto"/>
          <w:sz w:val="24"/>
          <w:highlight w:val="none"/>
          <w:lang w:val="en-US" w:eastAsia="zh-CN"/>
        </w:rPr>
        <w:t>5</w:t>
      </w:r>
      <w:r>
        <w:rPr>
          <w:rFonts w:hint="default" w:ascii="Times New Roman" w:hAnsi="Times New Roman" w:cs="Times New Roman"/>
          <w:color w:val="auto"/>
          <w:sz w:val="24"/>
          <w:highlight w:val="none"/>
        </w:rPr>
        <w:t>-</w:t>
      </w:r>
      <w:r>
        <w:rPr>
          <w:rFonts w:hint="default" w:ascii="Times New Roman" w:hAnsi="Times New Roman" w:eastAsia="宋体" w:cs="Times New Roman"/>
          <w:color w:val="auto"/>
          <w:sz w:val="24"/>
          <w:highlight w:val="none"/>
          <w:lang w:val="en-US" w:eastAsia="zh-CN"/>
        </w:rPr>
        <w:t>8</w:t>
      </w:r>
      <w:r>
        <w:rPr>
          <w:rFonts w:hint="default" w:ascii="Times New Roman" w:hAnsi="Times New Roman" w:cs="Times New Roman"/>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表4-</w:t>
      </w:r>
      <w:r>
        <w:rPr>
          <w:rFonts w:hint="default" w:ascii="Times New Roman" w:hAnsi="Times New Roman" w:eastAsia="宋体" w:cs="Times New Roman"/>
          <w:b/>
          <w:color w:val="auto"/>
          <w:sz w:val="24"/>
          <w:highlight w:val="none"/>
          <w:lang w:val="en-US" w:eastAsia="zh-CN"/>
        </w:rPr>
        <w:t>5</w:t>
      </w:r>
      <w:r>
        <w:rPr>
          <w:rFonts w:hint="default" w:ascii="Times New Roman" w:hAnsi="Times New Roman" w:cs="Times New Roman"/>
          <w:b/>
          <w:color w:val="auto"/>
          <w:sz w:val="24"/>
          <w:highlight w:val="none"/>
        </w:rPr>
        <w:t>-</w:t>
      </w:r>
      <w:r>
        <w:rPr>
          <w:rFonts w:hint="default" w:ascii="Times New Roman" w:hAnsi="Times New Roman" w:eastAsia="宋体" w:cs="Times New Roman"/>
          <w:b/>
          <w:color w:val="auto"/>
          <w:sz w:val="24"/>
          <w:highlight w:val="none"/>
          <w:lang w:val="en-US" w:eastAsia="zh-CN"/>
        </w:rPr>
        <w:t>8</w:t>
      </w:r>
      <w:r>
        <w:rPr>
          <w:rFonts w:hint="default" w:ascii="Times New Roman" w:hAnsi="Times New Roman" w:cs="Times New Roman"/>
          <w:b/>
          <w:color w:val="auto"/>
          <w:sz w:val="24"/>
          <w:highlight w:val="none"/>
        </w:rPr>
        <w:t>监测换算结果表</w:t>
      </w:r>
    </w:p>
    <w:tbl>
      <w:tblPr>
        <w:tblStyle w:val="2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54"/>
        <w:gridCol w:w="1863"/>
        <w:gridCol w:w="1857"/>
        <w:gridCol w:w="1859"/>
        <w:gridCol w:w="18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0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1#</w:t>
            </w:r>
            <w:r>
              <w:rPr>
                <w:rFonts w:hint="default" w:ascii="Times New Roman" w:hAnsi="Times New Roman" w:cs="Times New Roman"/>
                <w:color w:val="auto"/>
                <w:sz w:val="21"/>
                <w:szCs w:val="21"/>
                <w:highlight w:val="none"/>
              </w:rPr>
              <w:t>离子</w:t>
            </w:r>
          </w:p>
        </w:tc>
        <w:tc>
          <w:tcPr>
            <w:tcW w:w="9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meq/L</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meq%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阳离子</w:t>
            </w: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K</w:t>
            </w:r>
            <w:r>
              <w:rPr>
                <w:rFonts w:hint="default" w:ascii="Times New Roman" w:hAnsi="Times New Roman" w:cs="Times New Roman"/>
                <w:color w:val="auto"/>
                <w:sz w:val="21"/>
                <w:szCs w:val="21"/>
                <w:highlight w:val="none"/>
                <w:vertAlign w:val="superscript"/>
              </w:rPr>
              <w:t>+</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1.06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0.027</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 w:hRule="atLeast"/>
        </w:trPr>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Na</w:t>
            </w:r>
            <w:r>
              <w:rPr>
                <w:rFonts w:hint="default" w:ascii="Times New Roman" w:hAnsi="Times New Roman" w:cs="Times New Roman"/>
                <w:color w:val="auto"/>
                <w:sz w:val="21"/>
                <w:szCs w:val="21"/>
                <w:highlight w:val="none"/>
                <w:vertAlign w:val="superscript"/>
              </w:rPr>
              <w:t>+</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20.4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0.887</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32.99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Ca</w:t>
            </w:r>
            <w:r>
              <w:rPr>
                <w:rFonts w:hint="default" w:ascii="Times New Roman" w:hAnsi="Times New Roman" w:cs="Times New Roman"/>
                <w:color w:val="auto"/>
                <w:sz w:val="21"/>
                <w:szCs w:val="21"/>
                <w:highlight w:val="none"/>
                <w:vertAlign w:val="superscript"/>
              </w:rPr>
              <w:t>2+</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51</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1.275</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47.41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w:t>
            </w:r>
            <w:r>
              <w:rPr>
                <w:rFonts w:hint="default" w:ascii="Times New Roman" w:hAnsi="Times New Roman" w:cs="Times New Roman"/>
                <w:color w:val="auto"/>
                <w:sz w:val="21"/>
                <w:szCs w:val="21"/>
                <w:highlight w:val="none"/>
                <w:vertAlign w:val="superscript"/>
              </w:rPr>
              <w:t>2+</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12</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总计</w:t>
            </w:r>
          </w:p>
        </w:tc>
        <w:tc>
          <w:tcPr>
            <w:tcW w:w="9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84.46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2.689</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阴离子</w:t>
            </w: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HCO</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vertAlign w:val="superscript"/>
              </w:rPr>
              <w:t>-</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116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1.785</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Cl</w:t>
            </w:r>
            <w:r>
              <w:rPr>
                <w:rFonts w:hint="default" w:ascii="Times New Roman" w:hAnsi="Times New Roman" w:cs="Times New Roman"/>
                <w:color w:val="auto"/>
                <w:sz w:val="21"/>
                <w:szCs w:val="21"/>
                <w:highlight w:val="none"/>
                <w:vertAlign w:val="superscript"/>
              </w:rPr>
              <w:t>-</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56.6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1.594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46.72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4</w:t>
            </w:r>
            <w:r>
              <w:rPr>
                <w:rFonts w:hint="default" w:ascii="Times New Roman" w:hAnsi="Times New Roman" w:cs="Times New Roman"/>
                <w:color w:val="auto"/>
                <w:sz w:val="21"/>
                <w:szCs w:val="21"/>
                <w:highlight w:val="none"/>
                <w:vertAlign w:val="superscript"/>
              </w:rPr>
              <w:t>2-</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3.2</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0.033</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总计</w:t>
            </w:r>
          </w:p>
        </w:tc>
        <w:tc>
          <w:tcPr>
            <w:tcW w:w="9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175.8</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3.412</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0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2#</w:t>
            </w:r>
            <w:r>
              <w:rPr>
                <w:rFonts w:hint="default" w:ascii="Times New Roman" w:hAnsi="Times New Roman" w:cs="Times New Roman"/>
                <w:color w:val="auto"/>
                <w:sz w:val="21"/>
                <w:szCs w:val="21"/>
                <w:highlight w:val="none"/>
              </w:rPr>
              <w:t>离子</w:t>
            </w:r>
          </w:p>
        </w:tc>
        <w:tc>
          <w:tcPr>
            <w:tcW w:w="9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meq/L</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meq%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9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阳离子</w:t>
            </w: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K</w:t>
            </w:r>
            <w:r>
              <w:rPr>
                <w:rFonts w:hint="default" w:ascii="Times New Roman" w:hAnsi="Times New Roman" w:cs="Times New Roman"/>
                <w:color w:val="auto"/>
                <w:sz w:val="21"/>
                <w:szCs w:val="21"/>
                <w:highlight w:val="none"/>
                <w:vertAlign w:val="superscript"/>
              </w:rPr>
              <w:t>+</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0.95</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0.024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Na</w:t>
            </w:r>
            <w:r>
              <w:rPr>
                <w:rFonts w:hint="default" w:ascii="Times New Roman" w:hAnsi="Times New Roman" w:cs="Times New Roman"/>
                <w:color w:val="auto"/>
                <w:sz w:val="21"/>
                <w:szCs w:val="21"/>
                <w:highlight w:val="none"/>
                <w:vertAlign w:val="superscript"/>
              </w:rPr>
              <w:t>+</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18.7</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0.813</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47.88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Ca</w:t>
            </w:r>
            <w:r>
              <w:rPr>
                <w:rFonts w:hint="default" w:ascii="Times New Roman" w:hAnsi="Times New Roman" w:cs="Times New Roman"/>
                <w:color w:val="auto"/>
                <w:sz w:val="21"/>
                <w:szCs w:val="21"/>
                <w:highlight w:val="none"/>
                <w:vertAlign w:val="superscript"/>
              </w:rPr>
              <w:t>2+</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25.5</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0.638</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37.54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w:t>
            </w:r>
            <w:r>
              <w:rPr>
                <w:rFonts w:hint="default" w:ascii="Times New Roman" w:hAnsi="Times New Roman" w:cs="Times New Roman"/>
                <w:color w:val="auto"/>
                <w:sz w:val="21"/>
                <w:szCs w:val="21"/>
                <w:highlight w:val="none"/>
                <w:vertAlign w:val="superscript"/>
              </w:rPr>
              <w:t>2+</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5.36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0.223</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总计</w:t>
            </w:r>
          </w:p>
        </w:tc>
        <w:tc>
          <w:tcPr>
            <w:tcW w:w="9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50.51</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1.698</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阴离子</w:t>
            </w: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HCO</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vertAlign w:val="superscript"/>
              </w:rPr>
              <w:t>-</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136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2.092</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84.49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Cl</w:t>
            </w:r>
            <w:r>
              <w:rPr>
                <w:rFonts w:hint="default" w:ascii="Times New Roman" w:hAnsi="Times New Roman" w:cs="Times New Roman"/>
                <w:color w:val="auto"/>
                <w:sz w:val="21"/>
                <w:szCs w:val="21"/>
                <w:highlight w:val="none"/>
                <w:vertAlign w:val="superscript"/>
              </w:rPr>
              <w:t>-</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7.94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0.224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4</w:t>
            </w:r>
            <w:r>
              <w:rPr>
                <w:rFonts w:hint="default" w:ascii="Times New Roman" w:hAnsi="Times New Roman" w:cs="Times New Roman"/>
                <w:color w:val="auto"/>
                <w:sz w:val="21"/>
                <w:szCs w:val="21"/>
                <w:highlight w:val="none"/>
                <w:vertAlign w:val="superscript"/>
              </w:rPr>
              <w:t>2-</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总计</w:t>
            </w:r>
          </w:p>
        </w:tc>
        <w:tc>
          <w:tcPr>
            <w:tcW w:w="9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159.34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2.476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0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3#</w:t>
            </w:r>
            <w:r>
              <w:rPr>
                <w:rFonts w:hint="default" w:ascii="Times New Roman" w:hAnsi="Times New Roman" w:cs="Times New Roman"/>
                <w:color w:val="auto"/>
                <w:sz w:val="21"/>
                <w:szCs w:val="21"/>
                <w:highlight w:val="none"/>
              </w:rPr>
              <w:t>离子</w:t>
            </w:r>
          </w:p>
        </w:tc>
        <w:tc>
          <w:tcPr>
            <w:tcW w:w="9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meq/L</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meq%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9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阳离子</w:t>
            </w: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K</w:t>
            </w:r>
            <w:r>
              <w:rPr>
                <w:rFonts w:hint="default" w:ascii="Times New Roman" w:hAnsi="Times New Roman" w:cs="Times New Roman"/>
                <w:color w:val="auto"/>
                <w:sz w:val="21"/>
                <w:szCs w:val="21"/>
                <w:highlight w:val="none"/>
                <w:vertAlign w:val="superscript"/>
              </w:rPr>
              <w:t>+</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0.48</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0.012</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Na</w:t>
            </w:r>
            <w:r>
              <w:rPr>
                <w:rFonts w:hint="default" w:ascii="Times New Roman" w:hAnsi="Times New Roman" w:cs="Times New Roman"/>
                <w:color w:val="auto"/>
                <w:sz w:val="21"/>
                <w:szCs w:val="21"/>
                <w:highlight w:val="none"/>
                <w:vertAlign w:val="superscript"/>
              </w:rPr>
              <w:t>+</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9.1</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0.396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45.21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Ca</w:t>
            </w:r>
            <w:r>
              <w:rPr>
                <w:rFonts w:hint="default" w:ascii="Times New Roman" w:hAnsi="Times New Roman" w:cs="Times New Roman"/>
                <w:color w:val="auto"/>
                <w:sz w:val="21"/>
                <w:szCs w:val="21"/>
                <w:highlight w:val="none"/>
                <w:vertAlign w:val="superscript"/>
              </w:rPr>
              <w:t>2+</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13.8</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0.345</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39.38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w:t>
            </w:r>
            <w:r>
              <w:rPr>
                <w:rFonts w:hint="default" w:ascii="Times New Roman" w:hAnsi="Times New Roman" w:cs="Times New Roman"/>
                <w:color w:val="auto"/>
                <w:sz w:val="21"/>
                <w:szCs w:val="21"/>
                <w:highlight w:val="none"/>
                <w:vertAlign w:val="superscript"/>
              </w:rPr>
              <w:t>2+</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2.96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0.123</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总计</w:t>
            </w:r>
          </w:p>
        </w:tc>
        <w:tc>
          <w:tcPr>
            <w:tcW w:w="9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26.34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0.876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阴离子</w:t>
            </w: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HCO</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vertAlign w:val="superscript"/>
              </w:rPr>
              <w:t>-</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71.2</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1.095</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91.13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Cl</w:t>
            </w:r>
            <w:r>
              <w:rPr>
                <w:rFonts w:hint="default" w:ascii="Times New Roman" w:hAnsi="Times New Roman" w:cs="Times New Roman"/>
                <w:color w:val="auto"/>
                <w:sz w:val="21"/>
                <w:szCs w:val="21"/>
                <w:highlight w:val="none"/>
                <w:vertAlign w:val="superscript"/>
              </w:rPr>
              <w:t>-</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2.21</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0.062</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4</w:t>
            </w:r>
            <w:r>
              <w:rPr>
                <w:rFonts w:hint="default" w:ascii="Times New Roman" w:hAnsi="Times New Roman" w:cs="Times New Roman"/>
                <w:color w:val="auto"/>
                <w:sz w:val="21"/>
                <w:szCs w:val="21"/>
                <w:highlight w:val="none"/>
                <w:vertAlign w:val="superscript"/>
              </w:rPr>
              <w:t>2-</w:t>
            </w:r>
          </w:p>
        </w:tc>
        <w:tc>
          <w:tcPr>
            <w:tcW w:w="999" w:type="pct"/>
            <w:tcBorders>
              <w:tl2br w:val="nil"/>
              <w:tr2bl w:val="nil"/>
            </w:tcBorders>
            <w:noWrap w:val="0"/>
            <w:vAlign w:val="bottom"/>
          </w:tcPr>
          <w:p>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4.26</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0.044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总计</w:t>
            </w:r>
          </w:p>
        </w:tc>
        <w:tc>
          <w:tcPr>
            <w:tcW w:w="9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77.67</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1.201</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w:t>
            </w:r>
          </w:p>
        </w:tc>
      </w:tr>
    </w:tbl>
    <w:p>
      <w:pPr>
        <w:spacing w:line="360" w:lineRule="auto"/>
        <w:ind w:firstLine="372"/>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1#</w:t>
      </w:r>
      <w:r>
        <w:rPr>
          <w:rFonts w:hint="default" w:ascii="Times New Roman" w:hAnsi="Times New Roman" w:cs="Times New Roman"/>
          <w:color w:val="auto"/>
          <w:sz w:val="24"/>
          <w:highlight w:val="none"/>
        </w:rPr>
        <w:t>水质矿化度计算过程：</w:t>
      </w:r>
    </w:p>
    <w:p>
      <w:pPr>
        <w:spacing w:line="360" w:lineRule="auto"/>
        <w:ind w:firstLine="480" w:firstLineChars="200"/>
        <w:contextualSpacing/>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应先将阴离子的mg/L数换算成mmol/L数。它们的摩尔质量—mg/mmol数分别采用：M（</w:t>
      </w:r>
      <m:oMath>
        <m:f>
          <m:fPr>
            <m:type m:val="skw"/>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highlight w:val="none"/>
              </w:rPr>
              <m:t>1</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highlight w:val="none"/>
              </w:rPr>
              <m:t>2</m:t>
            </m:r>
            <m:ctrlPr>
              <w:rPr>
                <w:rFonts w:hint="default" w:ascii="Cambria Math" w:hAnsi="Cambria Math" w:cs="Times New Roman"/>
                <w:color w:val="auto"/>
                <w:sz w:val="24"/>
                <w:highlight w:val="none"/>
              </w:rPr>
            </m:ctrlPr>
          </m:den>
        </m:f>
        <m:sSubSup>
          <m:sSubSupPr>
            <m:ctrlPr>
              <w:rPr>
                <w:rFonts w:hint="default" w:ascii="Cambria Math" w:hAnsi="Cambria Math" w:cs="Times New Roman"/>
                <w:color w:val="auto"/>
                <w:sz w:val="24"/>
                <w:highlight w:val="none"/>
              </w:rPr>
            </m:ctrlPr>
          </m:sSubSupPr>
          <m:e>
            <m:r>
              <m:rPr>
                <m:sty m:val="p"/>
              </m:rPr>
              <w:rPr>
                <w:rFonts w:hint="default" w:ascii="Cambria Math" w:hAnsi="Cambria Math" w:cs="Times New Roman"/>
                <w:color w:val="auto"/>
                <w:highlight w:val="none"/>
              </w:rPr>
              <m:t>CO</m:t>
            </m:r>
            <m:ctrlPr>
              <w:rPr>
                <w:rFonts w:hint="default" w:ascii="Cambria Math" w:hAnsi="Cambria Math" w:cs="Times New Roman"/>
                <w:color w:val="auto"/>
                <w:sz w:val="24"/>
                <w:highlight w:val="none"/>
              </w:rPr>
            </m:ctrlPr>
          </m:e>
          <m:sub>
            <m:r>
              <m:rPr>
                <m:sty m:val="p"/>
              </m:rPr>
              <w:rPr>
                <w:rFonts w:hint="default" w:ascii="Cambria Math" w:hAnsi="Cambria Math" w:cs="Times New Roman"/>
                <w:color w:val="auto"/>
                <w:highlight w:val="none"/>
              </w:rPr>
              <m:t>3</m:t>
            </m:r>
            <m:ctrlPr>
              <w:rPr>
                <w:rFonts w:hint="default" w:ascii="Cambria Math" w:hAnsi="Cambria Math" w:cs="Times New Roman"/>
                <w:color w:val="auto"/>
                <w:sz w:val="24"/>
                <w:highlight w:val="none"/>
              </w:rPr>
            </m:ctrlPr>
          </m:sub>
          <m:sup>
            <m:r>
              <m:rPr>
                <m:sty m:val="p"/>
              </m:rPr>
              <w:rPr>
                <w:rFonts w:hint="default" w:ascii="Cambria Math" w:hAnsi="Cambria Math" w:cs="Times New Roman"/>
                <w:color w:val="auto"/>
                <w:highlight w:val="none"/>
              </w:rPr>
              <m:t>2−</m:t>
            </m:r>
            <m:ctrlPr>
              <w:rPr>
                <w:rFonts w:hint="default" w:ascii="Cambria Math" w:hAnsi="Cambria Math" w:cs="Times New Roman"/>
                <w:color w:val="auto"/>
                <w:sz w:val="24"/>
                <w:highlight w:val="none"/>
              </w:rPr>
            </m:ctrlPr>
          </m:sup>
        </m:sSubSup>
      </m:oMath>
      <w:r>
        <w:rPr>
          <w:rFonts w:hint="default" w:ascii="Times New Roman" w:hAnsi="Times New Roman" w:cs="Times New Roman"/>
          <w:color w:val="auto"/>
          <w:sz w:val="24"/>
          <w:highlight w:val="none"/>
        </w:rPr>
        <w:t>）是30，M（</w:t>
      </w:r>
      <m:oMath>
        <m:r>
          <m:rPr>
            <m:sty m:val="p"/>
          </m:rPr>
          <w:rPr>
            <w:rFonts w:hint="default" w:ascii="Cambria Math" w:hAnsi="Cambria Math" w:cs="Times New Roman"/>
            <w:color w:val="auto"/>
            <w:highlight w:val="none"/>
          </w:rPr>
          <m:t>H</m:t>
        </m:r>
        <m:sSubSup>
          <m:sSubSupPr>
            <m:ctrlPr>
              <w:rPr>
                <w:rFonts w:hint="default" w:ascii="Cambria Math" w:hAnsi="Cambria Math" w:cs="Times New Roman"/>
                <w:color w:val="auto"/>
                <w:sz w:val="24"/>
                <w:highlight w:val="none"/>
              </w:rPr>
            </m:ctrlPr>
          </m:sSubSupPr>
          <m:e>
            <m:r>
              <m:rPr>
                <m:sty m:val="p"/>
              </m:rPr>
              <w:rPr>
                <w:rFonts w:hint="default" w:ascii="Cambria Math" w:hAnsi="Cambria Math" w:cs="Times New Roman"/>
                <w:color w:val="auto"/>
                <w:highlight w:val="none"/>
              </w:rPr>
              <m:t>CO</m:t>
            </m:r>
            <m:ctrlPr>
              <w:rPr>
                <w:rFonts w:hint="default" w:ascii="Cambria Math" w:hAnsi="Cambria Math" w:cs="Times New Roman"/>
                <w:color w:val="auto"/>
                <w:sz w:val="24"/>
                <w:highlight w:val="none"/>
              </w:rPr>
            </m:ctrlPr>
          </m:e>
          <m:sub>
            <m:r>
              <m:rPr>
                <m:sty m:val="p"/>
              </m:rPr>
              <w:rPr>
                <w:rFonts w:hint="default" w:ascii="Cambria Math" w:hAnsi="Cambria Math" w:cs="Times New Roman"/>
                <w:color w:val="auto"/>
                <w:highlight w:val="none"/>
              </w:rPr>
              <m:t>3</m:t>
            </m:r>
            <m:ctrlPr>
              <w:rPr>
                <w:rFonts w:hint="default" w:ascii="Cambria Math" w:hAnsi="Cambria Math" w:cs="Times New Roman"/>
                <w:color w:val="auto"/>
                <w:sz w:val="24"/>
                <w:highlight w:val="none"/>
              </w:rPr>
            </m:ctrlPr>
          </m:sub>
          <m:sup>
            <m:r>
              <m:rPr>
                <m:sty m:val="p"/>
              </m:rPr>
              <w:rPr>
                <w:rFonts w:hint="default" w:ascii="Cambria Math" w:hAnsi="Cambria Math" w:cs="Times New Roman"/>
                <w:color w:val="auto"/>
                <w:highlight w:val="none"/>
              </w:rPr>
              <m:t>−</m:t>
            </m:r>
            <m:ctrlPr>
              <w:rPr>
                <w:rFonts w:hint="default" w:ascii="Cambria Math" w:hAnsi="Cambria Math" w:cs="Times New Roman"/>
                <w:color w:val="auto"/>
                <w:sz w:val="24"/>
                <w:highlight w:val="none"/>
              </w:rPr>
            </m:ctrlPr>
          </m:sup>
        </m:sSubSup>
      </m:oMath>
      <w:r>
        <w:rPr>
          <w:rFonts w:hint="default" w:ascii="Times New Roman" w:hAnsi="Times New Roman" w:cs="Times New Roman"/>
          <w:color w:val="auto"/>
          <w:sz w:val="24"/>
          <w:highlight w:val="none"/>
        </w:rPr>
        <w:t>）是61，M（Cl</w:t>
      </w:r>
      <w:r>
        <w:rPr>
          <w:rFonts w:hint="default" w:ascii="Times New Roman" w:hAnsi="Times New Roman" w:cs="Times New Roman"/>
          <w:color w:val="auto"/>
          <w:sz w:val="24"/>
          <w:highlight w:val="none"/>
          <w:vertAlign w:val="superscript"/>
        </w:rPr>
        <w:t>-</w:t>
      </w:r>
      <w:r>
        <w:rPr>
          <w:rFonts w:hint="default" w:ascii="Times New Roman" w:hAnsi="Times New Roman" w:cs="Times New Roman"/>
          <w:color w:val="auto"/>
          <w:sz w:val="24"/>
          <w:highlight w:val="none"/>
        </w:rPr>
        <w:t>）是35.5，M（</w:t>
      </w:r>
      <m:oMath>
        <m:f>
          <m:fPr>
            <m:type m:val="skw"/>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highlight w:val="none"/>
              </w:rPr>
              <m:t>1</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highlight w:val="none"/>
              </w:rPr>
              <m:t>2</m:t>
            </m:r>
            <m:ctrlPr>
              <w:rPr>
                <w:rFonts w:hint="default" w:ascii="Cambria Math" w:hAnsi="Cambria Math" w:cs="Times New Roman"/>
                <w:color w:val="auto"/>
                <w:sz w:val="24"/>
                <w:highlight w:val="none"/>
              </w:rPr>
            </m:ctrlPr>
          </m:den>
        </m:f>
        <m:r>
          <m:rPr>
            <m:sty m:val="p"/>
          </m:rPr>
          <w:rPr>
            <w:rFonts w:hint="default" w:ascii="Cambria Math" w:hAnsi="Cambria Math" w:cs="Times New Roman"/>
            <w:color w:val="auto"/>
            <w:highlight w:val="none"/>
          </w:rPr>
          <m:t>H</m:t>
        </m:r>
        <m:sSubSup>
          <m:sSubSupPr>
            <m:ctrlPr>
              <w:rPr>
                <w:rFonts w:hint="default" w:ascii="Cambria Math" w:hAnsi="Cambria Math" w:cs="Times New Roman"/>
                <w:color w:val="auto"/>
                <w:sz w:val="24"/>
                <w:highlight w:val="none"/>
              </w:rPr>
            </m:ctrlPr>
          </m:sSubSupPr>
          <m:e>
            <m:r>
              <m:rPr>
                <m:sty m:val="p"/>
              </m:rPr>
              <w:rPr>
                <w:rFonts w:hint="default" w:ascii="Cambria Math" w:hAnsi="Cambria Math" w:cs="Times New Roman"/>
                <w:color w:val="auto"/>
                <w:highlight w:val="none"/>
              </w:rPr>
              <m:t>SO</m:t>
            </m:r>
            <m:ctrlPr>
              <w:rPr>
                <w:rFonts w:hint="default" w:ascii="Cambria Math" w:hAnsi="Cambria Math" w:cs="Times New Roman"/>
                <w:color w:val="auto"/>
                <w:sz w:val="24"/>
                <w:highlight w:val="none"/>
              </w:rPr>
            </m:ctrlPr>
          </m:e>
          <m:sub>
            <m:r>
              <m:rPr>
                <m:sty m:val="p"/>
              </m:rPr>
              <w:rPr>
                <w:rFonts w:hint="default" w:ascii="Cambria Math" w:hAnsi="Cambria Math" w:cs="Times New Roman"/>
                <w:color w:val="auto"/>
                <w:highlight w:val="none"/>
              </w:rPr>
              <m:t>4</m:t>
            </m:r>
            <m:ctrlPr>
              <w:rPr>
                <w:rFonts w:hint="default" w:ascii="Cambria Math" w:hAnsi="Cambria Math" w:cs="Times New Roman"/>
                <w:color w:val="auto"/>
                <w:sz w:val="24"/>
                <w:highlight w:val="none"/>
              </w:rPr>
            </m:ctrlPr>
          </m:sub>
          <m:sup>
            <m:r>
              <m:rPr>
                <m:sty m:val="p"/>
              </m:rPr>
              <w:rPr>
                <w:rFonts w:hint="default" w:ascii="Cambria Math" w:hAnsi="Cambria Math" w:cs="Times New Roman"/>
                <w:color w:val="auto"/>
                <w:highlight w:val="none"/>
              </w:rPr>
              <m:t>2−</m:t>
            </m:r>
            <m:ctrlPr>
              <w:rPr>
                <w:rFonts w:hint="default" w:ascii="Cambria Math" w:hAnsi="Cambria Math" w:cs="Times New Roman"/>
                <w:color w:val="auto"/>
                <w:sz w:val="24"/>
                <w:highlight w:val="none"/>
              </w:rPr>
            </m:ctrlPr>
          </m:sup>
        </m:sSubSup>
      </m:oMath>
      <w:r>
        <w:rPr>
          <w:rFonts w:hint="default" w:ascii="Times New Roman" w:hAnsi="Times New Roman" w:cs="Times New Roman"/>
          <w:color w:val="auto"/>
          <w:sz w:val="24"/>
          <w:highlight w:val="none"/>
        </w:rPr>
        <w:t>）是48。</w:t>
      </w:r>
    </w:p>
    <w:p>
      <w:pPr>
        <w:spacing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所以，C（</w:t>
      </w:r>
      <m:oMath>
        <m:r>
          <m:rPr>
            <m:sty m:val="p"/>
          </m:rPr>
          <w:rPr>
            <w:rFonts w:hint="default" w:ascii="Cambria Math" w:hAnsi="Cambria Math" w:cs="Times New Roman"/>
            <w:color w:val="auto"/>
            <w:highlight w:val="none"/>
          </w:rPr>
          <m:t>H</m:t>
        </m:r>
        <m:sSubSup>
          <m:sSubSupPr>
            <m:ctrlPr>
              <w:rPr>
                <w:rFonts w:hint="default" w:ascii="Cambria Math" w:hAnsi="Cambria Math" w:cs="Times New Roman"/>
                <w:color w:val="auto"/>
                <w:sz w:val="24"/>
                <w:highlight w:val="none"/>
              </w:rPr>
            </m:ctrlPr>
          </m:sSubSupPr>
          <m:e>
            <m:r>
              <m:rPr>
                <m:sty m:val="p"/>
              </m:rPr>
              <w:rPr>
                <w:rFonts w:hint="default" w:ascii="Cambria Math" w:hAnsi="Cambria Math" w:cs="Times New Roman"/>
                <w:color w:val="auto"/>
                <w:highlight w:val="none"/>
              </w:rPr>
              <m:t>CO</m:t>
            </m:r>
            <m:ctrlPr>
              <w:rPr>
                <w:rFonts w:hint="default" w:ascii="Cambria Math" w:hAnsi="Cambria Math" w:cs="Times New Roman"/>
                <w:color w:val="auto"/>
                <w:sz w:val="24"/>
                <w:highlight w:val="none"/>
              </w:rPr>
            </m:ctrlPr>
          </m:e>
          <m:sub>
            <m:r>
              <m:rPr>
                <m:sty m:val="p"/>
              </m:rPr>
              <w:rPr>
                <w:rFonts w:hint="default" w:ascii="Cambria Math" w:hAnsi="Cambria Math" w:cs="Times New Roman"/>
                <w:color w:val="auto"/>
                <w:highlight w:val="none"/>
              </w:rPr>
              <m:t>3</m:t>
            </m:r>
            <m:ctrlPr>
              <w:rPr>
                <w:rFonts w:hint="default" w:ascii="Cambria Math" w:hAnsi="Cambria Math" w:cs="Times New Roman"/>
                <w:color w:val="auto"/>
                <w:sz w:val="24"/>
                <w:highlight w:val="none"/>
              </w:rPr>
            </m:ctrlPr>
          </m:sub>
          <m:sup>
            <m:r>
              <m:rPr>
                <m:sty m:val="p"/>
              </m:rPr>
              <w:rPr>
                <w:rFonts w:hint="default" w:ascii="Cambria Math" w:hAnsi="Cambria Math" w:cs="Times New Roman"/>
                <w:color w:val="auto"/>
                <w:highlight w:val="none"/>
              </w:rPr>
              <m:t>−</m:t>
            </m:r>
            <m:ctrlPr>
              <w:rPr>
                <w:rFonts w:hint="default" w:ascii="Cambria Math" w:hAnsi="Cambria Math" w:cs="Times New Roman"/>
                <w:color w:val="auto"/>
                <w:sz w:val="24"/>
                <w:highlight w:val="none"/>
              </w:rPr>
            </m:ctrlPr>
          </m:sup>
        </m:sSubSup>
      </m:oMath>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rPr>
        <w:softHyphen/>
      </w:r>
      <m:oMath>
        <m:f>
          <m:fPr>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sz w:val="24"/>
                <w:highlight w:val="none"/>
                <w:lang w:val="en-US" w:eastAsia="zh-CN"/>
              </w:rPr>
              <m:t>116</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sz w:val="24"/>
                <w:highlight w:val="none"/>
              </w:rPr>
              <m:t>61</m:t>
            </m:r>
            <m:ctrlPr>
              <w:rPr>
                <w:rFonts w:hint="default" w:ascii="Cambria Math" w:hAnsi="Cambria Math" w:cs="Times New Roman"/>
                <w:color w:val="auto"/>
                <w:sz w:val="24"/>
                <w:highlight w:val="none"/>
              </w:rPr>
            </m:ctrlPr>
          </m:den>
        </m:f>
      </m:oMath>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QUOTE </w:instrText>
      </w:r>
      <m:oMath>
        <m:f>
          <m:fPr>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highlight w:val="none"/>
              </w:rPr>
              <m:t xml:space="preserve">231</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highlight w:val="none"/>
              </w:rPr>
              <m:t xml:space="preserve">61</m:t>
            </m:r>
            <m:ctrlPr>
              <w:rPr>
                <w:rFonts w:hint="default" w:ascii="Cambria Math" w:hAnsi="Cambria Math" w:cs="Times New Roman"/>
                <w:color w:val="auto"/>
                <w:sz w:val="24"/>
                <w:highlight w:val="none"/>
              </w:rPr>
            </m:ctrlPr>
          </m:den>
        </m:f>
      </m:oMath>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1.9</w:t>
      </w:r>
    </w:p>
    <w:p>
      <w:pPr>
        <w:spacing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 xml:space="preserve">      C（Cl</w:t>
      </w:r>
      <w:r>
        <w:rPr>
          <w:rFonts w:hint="default" w:ascii="Times New Roman" w:hAnsi="Times New Roman" w:cs="Times New Roman"/>
          <w:color w:val="auto"/>
          <w:sz w:val="24"/>
          <w:highlight w:val="none"/>
          <w:vertAlign w:val="superscript"/>
        </w:rPr>
        <w:t>-</w:t>
      </w:r>
      <w:r>
        <w:rPr>
          <w:rFonts w:hint="default" w:ascii="Times New Roman" w:hAnsi="Times New Roman" w:cs="Times New Roman"/>
          <w:color w:val="auto"/>
          <w:sz w:val="24"/>
          <w:highlight w:val="none"/>
        </w:rPr>
        <w:t>）=</w:t>
      </w:r>
      <m:oMath>
        <m:f>
          <m:fPr>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sz w:val="24"/>
                <w:highlight w:val="none"/>
                <w:lang w:val="en-US" w:eastAsia="zh-CN"/>
              </w:rPr>
              <m:t>56.6</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highlight w:val="none"/>
              </w:rPr>
              <m:t>35.5</m:t>
            </m:r>
            <m:ctrlPr>
              <w:rPr>
                <w:rFonts w:hint="default" w:ascii="Cambria Math" w:hAnsi="Cambria Math" w:cs="Times New Roman"/>
                <w:color w:val="auto"/>
                <w:sz w:val="24"/>
                <w:highlight w:val="none"/>
              </w:rPr>
            </m:ctrlPr>
          </m:den>
        </m:f>
      </m:oMath>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1.59</w:t>
      </w:r>
    </w:p>
    <w:p>
      <w:pPr>
        <w:spacing w:line="360" w:lineRule="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 xml:space="preserve">      C（</w:t>
      </w:r>
      <m:oMath>
        <m:f>
          <m:fPr>
            <m:type m:val="skw"/>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highlight w:val="none"/>
              </w:rPr>
              <m:t>1</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highlight w:val="none"/>
              </w:rPr>
              <m:t>2</m:t>
            </m:r>
            <m:ctrlPr>
              <w:rPr>
                <w:rFonts w:hint="default" w:ascii="Cambria Math" w:hAnsi="Cambria Math" w:cs="Times New Roman"/>
                <w:color w:val="auto"/>
                <w:sz w:val="24"/>
                <w:highlight w:val="none"/>
              </w:rPr>
            </m:ctrlPr>
          </m:den>
        </m:f>
        <m:sSubSup>
          <m:sSubSupPr>
            <m:ctrlPr>
              <w:rPr>
                <w:rFonts w:hint="default" w:ascii="Cambria Math" w:hAnsi="Cambria Math" w:cs="Times New Roman"/>
                <w:color w:val="auto"/>
                <w:sz w:val="24"/>
                <w:highlight w:val="none"/>
              </w:rPr>
            </m:ctrlPr>
          </m:sSubSupPr>
          <m:e>
            <m:r>
              <m:rPr>
                <m:sty m:val="p"/>
              </m:rPr>
              <w:rPr>
                <w:rFonts w:hint="default" w:ascii="Cambria Math" w:hAnsi="Cambria Math" w:cs="Times New Roman"/>
                <w:color w:val="auto"/>
                <w:highlight w:val="none"/>
              </w:rPr>
              <m:t>SO</m:t>
            </m:r>
            <m:ctrlPr>
              <w:rPr>
                <w:rFonts w:hint="default" w:ascii="Cambria Math" w:hAnsi="Cambria Math" w:cs="Times New Roman"/>
                <w:color w:val="auto"/>
                <w:sz w:val="24"/>
                <w:highlight w:val="none"/>
              </w:rPr>
            </m:ctrlPr>
          </m:e>
          <m:sub>
            <m:r>
              <m:rPr>
                <m:sty m:val="p"/>
              </m:rPr>
              <w:rPr>
                <w:rFonts w:hint="default" w:ascii="Cambria Math" w:hAnsi="Cambria Math" w:cs="Times New Roman"/>
                <w:color w:val="auto"/>
                <w:highlight w:val="none"/>
              </w:rPr>
              <m:t>4</m:t>
            </m:r>
            <m:ctrlPr>
              <w:rPr>
                <w:rFonts w:hint="default" w:ascii="Cambria Math" w:hAnsi="Cambria Math" w:cs="Times New Roman"/>
                <w:color w:val="auto"/>
                <w:sz w:val="24"/>
                <w:highlight w:val="none"/>
              </w:rPr>
            </m:ctrlPr>
          </m:sub>
          <m:sup>
            <m:r>
              <m:rPr>
                <m:sty m:val="p"/>
              </m:rPr>
              <w:rPr>
                <w:rFonts w:hint="default" w:ascii="Cambria Math" w:hAnsi="Cambria Math" w:cs="Times New Roman"/>
                <w:color w:val="auto"/>
                <w:highlight w:val="none"/>
              </w:rPr>
              <m:t>2−</m:t>
            </m:r>
            <m:ctrlPr>
              <w:rPr>
                <w:rFonts w:hint="default" w:ascii="Cambria Math" w:hAnsi="Cambria Math" w:cs="Times New Roman"/>
                <w:color w:val="auto"/>
                <w:sz w:val="24"/>
                <w:highlight w:val="none"/>
              </w:rPr>
            </m:ctrlPr>
          </m:sup>
        </m:sSubSup>
      </m:oMath>
      <w:r>
        <w:rPr>
          <w:rFonts w:hint="default" w:ascii="Times New Roman" w:hAnsi="Times New Roman" w:cs="Times New Roman"/>
          <w:color w:val="auto"/>
          <w:sz w:val="24"/>
          <w:highlight w:val="none"/>
        </w:rPr>
        <w:t>）=</w:t>
      </w:r>
      <m:oMath>
        <m:f>
          <m:fPr>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sz w:val="24"/>
                <w:highlight w:val="none"/>
              </w:rPr>
              <m:t>3.</m:t>
            </m:r>
            <m:r>
              <m:rPr>
                <m:sty m:val="p"/>
              </m:rPr>
              <w:rPr>
                <w:rFonts w:hint="default" w:ascii="Cambria Math" w:hAnsi="Cambria Math" w:cs="Times New Roman"/>
                <w:color w:val="auto"/>
                <w:sz w:val="24"/>
                <w:highlight w:val="none"/>
                <w:lang w:val="en-US" w:eastAsia="zh-CN"/>
              </w:rPr>
              <m:t>2</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highlight w:val="none"/>
              </w:rPr>
              <m:t>48</m:t>
            </m:r>
            <m:ctrlPr>
              <w:rPr>
                <w:rFonts w:hint="default" w:ascii="Cambria Math" w:hAnsi="Cambria Math" w:cs="Times New Roman"/>
                <w:color w:val="auto"/>
                <w:sz w:val="24"/>
                <w:highlight w:val="none"/>
              </w:rPr>
            </m:ctrlPr>
          </m:den>
        </m:f>
      </m:oMath>
      <w:r>
        <w:rPr>
          <w:rFonts w:hint="default" w:ascii="Times New Roman" w:hAnsi="Times New Roman" w:cs="Times New Roman"/>
          <w:color w:val="auto"/>
          <w:sz w:val="24"/>
          <w:highlight w:val="none"/>
        </w:rPr>
        <w:t>=0.0</w:t>
      </w:r>
      <w:r>
        <w:rPr>
          <w:rFonts w:hint="default" w:ascii="Times New Roman" w:hAnsi="Times New Roman" w:cs="Times New Roman"/>
          <w:color w:val="auto"/>
          <w:sz w:val="24"/>
          <w:highlight w:val="none"/>
          <w:lang w:val="en-US" w:eastAsia="zh-CN"/>
        </w:rPr>
        <w:t>7</w:t>
      </w:r>
    </w:p>
    <w:p>
      <w:pPr>
        <w:spacing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则：C（∑A）=</w:t>
      </w:r>
      <w:r>
        <w:rPr>
          <w:rFonts w:hint="default" w:ascii="Times New Roman" w:hAnsi="Times New Roman" w:cs="Times New Roman"/>
          <w:color w:val="auto"/>
          <w:sz w:val="24"/>
          <w:highlight w:val="none"/>
          <w:lang w:val="en-US" w:eastAsia="zh-CN"/>
        </w:rPr>
        <w:t>1.9</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1.59</w:t>
      </w:r>
      <w:r>
        <w:rPr>
          <w:rFonts w:hint="default" w:ascii="Times New Roman" w:hAnsi="Times New Roman" w:cs="Times New Roman"/>
          <w:color w:val="auto"/>
          <w:sz w:val="24"/>
          <w:highlight w:val="none"/>
        </w:rPr>
        <w:t>+0.0</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3.56</w:t>
      </w:r>
    </w:p>
    <w:p>
      <w:pPr>
        <w:spacing w:line="360" w:lineRule="auto"/>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SB=</w:t>
      </w:r>
      <m:oMath>
        <m:f>
          <m:fPr>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sz w:val="24"/>
                <w:highlight w:val="none"/>
              </w:rPr>
              <m:t>0.0</m:t>
            </m:r>
            <m:r>
              <m:rPr>
                <m:sty m:val="p"/>
              </m:rPr>
              <w:rPr>
                <w:rFonts w:hint="default" w:ascii="Cambria Math" w:hAnsi="Cambria Math" w:cs="Times New Roman"/>
                <w:color w:val="auto"/>
                <w:sz w:val="24"/>
                <w:highlight w:val="none"/>
                <w:lang w:val="en-US" w:eastAsia="zh-CN"/>
              </w:rPr>
              <m:t>7</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sz w:val="24"/>
                <w:highlight w:val="none"/>
              </w:rPr>
              <m:t>3.</m:t>
            </m:r>
            <m:r>
              <m:rPr>
                <m:sty m:val="p"/>
              </m:rPr>
              <w:rPr>
                <w:rFonts w:hint="default" w:ascii="Cambria Math" w:hAnsi="Cambria Math" w:cs="Times New Roman"/>
                <w:color w:val="auto"/>
                <w:sz w:val="24"/>
                <w:highlight w:val="none"/>
                <w:lang w:val="en-US" w:eastAsia="zh-CN"/>
              </w:rPr>
              <m:t>56</m:t>
            </m:r>
            <m:ctrlPr>
              <w:rPr>
                <w:rFonts w:hint="default" w:ascii="Cambria Math" w:hAnsi="Cambria Math" w:cs="Times New Roman"/>
                <w:color w:val="auto"/>
                <w:sz w:val="24"/>
                <w:highlight w:val="none"/>
              </w:rPr>
            </m:ctrlPr>
          </m:den>
        </m:f>
      </m:oMath>
      <w:r>
        <w:rPr>
          <w:rFonts w:hint="default" w:ascii="Times New Roman" w:hAnsi="Times New Roman" w:cs="Times New Roman"/>
          <w:color w:val="auto"/>
          <w:sz w:val="24"/>
          <w:highlight w:val="none"/>
        </w:rPr>
        <w:t>=0.02</w:t>
      </w:r>
    </w:p>
    <w:p>
      <w:pPr>
        <w:spacing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HCB=</w:t>
      </w:r>
      <m:oMath>
        <m:f>
          <m:fPr>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sz w:val="24"/>
                <w:highlight w:val="none"/>
                <w:lang w:val="en-US" w:eastAsia="zh-CN"/>
              </w:rPr>
              <m:t>1.9</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sz w:val="24"/>
                <w:highlight w:val="none"/>
                <w:lang w:val="en-US" w:eastAsia="zh-CN"/>
              </w:rPr>
              <m:t>1.59</m:t>
            </m:r>
            <m:ctrlPr>
              <w:rPr>
                <w:rFonts w:hint="default" w:ascii="Cambria Math" w:hAnsi="Cambria Math" w:cs="Times New Roman"/>
                <w:color w:val="auto"/>
                <w:sz w:val="24"/>
                <w:highlight w:val="none"/>
              </w:rPr>
            </m:ctrlPr>
          </m:den>
        </m:f>
      </m:oMath>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1.19</w:t>
      </w:r>
    </w:p>
    <w:p>
      <w:pPr>
        <w:spacing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经查表4-2-13得Ms为</w:t>
      </w:r>
      <w:r>
        <w:rPr>
          <w:rFonts w:hint="default" w:ascii="Times New Roman" w:hAnsi="Times New Roman" w:cs="Times New Roman"/>
          <w:color w:val="auto"/>
          <w:sz w:val="24"/>
          <w:highlight w:val="none"/>
          <w:lang w:val="en-US" w:eastAsia="zh-CN"/>
        </w:rPr>
        <w:t>0.068</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矿化度（g/L）=</w:t>
      </w:r>
      <w:r>
        <w:rPr>
          <w:rFonts w:hint="default" w:ascii="Times New Roman" w:hAnsi="Times New Roman" w:cs="Times New Roman"/>
          <w:color w:val="auto"/>
          <w:sz w:val="24"/>
          <w:highlight w:val="none"/>
          <w:lang w:val="en-US" w:eastAsia="zh-CN"/>
        </w:rPr>
        <w:t>3.56</w:t>
      </w:r>
      <w:r>
        <w:rPr>
          <w:rFonts w:hint="default" w:ascii="Times New Roman" w:hAnsi="Times New Roman" w:cs="Times New Roman"/>
          <w:color w:val="auto"/>
          <w:sz w:val="24"/>
          <w:highlight w:val="none"/>
        </w:rPr>
        <w:t>×0.0</w:t>
      </w:r>
      <w:r>
        <w:rPr>
          <w:rFonts w:hint="default" w:ascii="Times New Roman" w:hAnsi="Times New Roman" w:cs="Times New Roman"/>
          <w:color w:val="auto"/>
          <w:sz w:val="24"/>
          <w:highlight w:val="none"/>
          <w:lang w:val="en-US" w:eastAsia="zh-CN"/>
        </w:rPr>
        <w:t>68</w:t>
      </w:r>
      <w:r>
        <w:rPr>
          <w:rFonts w:hint="default" w:ascii="Times New Roman" w:hAnsi="Times New Roman" w:cs="Times New Roman"/>
          <w:color w:val="auto"/>
          <w:sz w:val="24"/>
          <w:highlight w:val="none"/>
        </w:rPr>
        <w:t>=0.31，所以1矿化度处于A组，其它监测点位参考以上方法计算，水质矿化度计算结果见表4-</w:t>
      </w:r>
      <w:r>
        <w:rPr>
          <w:rFonts w:hint="default" w:ascii="Times New Roman" w:hAnsi="Times New Roman" w:eastAsia="宋体" w:cs="Times New Roman"/>
          <w:color w:val="auto"/>
          <w:sz w:val="24"/>
          <w:highlight w:val="none"/>
          <w:lang w:val="en-US" w:eastAsia="zh-CN"/>
        </w:rPr>
        <w:t>5</w:t>
      </w:r>
      <w:r>
        <w:rPr>
          <w:rFonts w:hint="default" w:ascii="Times New Roman" w:hAnsi="Times New Roman" w:cs="Times New Roman"/>
          <w:color w:val="auto"/>
          <w:sz w:val="24"/>
          <w:highlight w:val="none"/>
        </w:rPr>
        <w:t>-</w:t>
      </w:r>
      <w:r>
        <w:rPr>
          <w:rFonts w:hint="default" w:ascii="Times New Roman" w:hAnsi="Times New Roman" w:eastAsia="宋体" w:cs="Times New Roman"/>
          <w:color w:val="auto"/>
          <w:sz w:val="24"/>
          <w:highlight w:val="none"/>
          <w:lang w:val="en-US" w:eastAsia="zh-CN"/>
        </w:rPr>
        <w:t>9</w:t>
      </w:r>
      <w:r>
        <w:rPr>
          <w:rFonts w:hint="default" w:ascii="Times New Roman" w:hAnsi="Times New Roman" w:cs="Times New Roman"/>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表4-</w:t>
      </w:r>
      <w:r>
        <w:rPr>
          <w:rFonts w:hint="default" w:ascii="Times New Roman" w:hAnsi="Times New Roman" w:eastAsia="宋体" w:cs="Times New Roman"/>
          <w:b/>
          <w:color w:val="auto"/>
          <w:sz w:val="24"/>
          <w:highlight w:val="none"/>
          <w:lang w:val="en-US" w:eastAsia="zh-CN"/>
        </w:rPr>
        <w:t>5</w:t>
      </w:r>
      <w:r>
        <w:rPr>
          <w:rFonts w:hint="default" w:ascii="Times New Roman" w:hAnsi="Times New Roman" w:cs="Times New Roman"/>
          <w:b/>
          <w:color w:val="auto"/>
          <w:sz w:val="24"/>
          <w:highlight w:val="none"/>
        </w:rPr>
        <w:t>-</w:t>
      </w:r>
      <w:r>
        <w:rPr>
          <w:rFonts w:hint="default" w:ascii="Times New Roman" w:hAnsi="Times New Roman" w:eastAsia="宋体" w:cs="Times New Roman"/>
          <w:b/>
          <w:color w:val="auto"/>
          <w:sz w:val="24"/>
          <w:highlight w:val="none"/>
          <w:lang w:val="en-US" w:eastAsia="zh-CN"/>
        </w:rPr>
        <w:t>9</w:t>
      </w:r>
      <w:r>
        <w:rPr>
          <w:rFonts w:hint="default" w:ascii="Times New Roman" w:hAnsi="Times New Roman" w:cs="Times New Roman"/>
          <w:b/>
          <w:color w:val="auto"/>
          <w:sz w:val="24"/>
          <w:highlight w:val="none"/>
        </w:rPr>
        <w:t>水质矿化度</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23"/>
        <w:gridCol w:w="2323"/>
        <w:gridCol w:w="2325"/>
        <w:gridCol w:w="23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tcBorders>
              <w:top w:val="single" w:color="auto" w:sz="12" w:space="0"/>
              <w:left w:val="nil"/>
              <w:bottom w:val="single" w:color="auto" w:sz="4" w:space="0"/>
              <w:right w:val="single" w:color="auto" w:sz="4" w:space="0"/>
              <w:tl2br w:val="single" w:color="000000" w:sz="12" w:space="0"/>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编号</w:t>
            </w:r>
          </w:p>
          <w:p>
            <w:pPr>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项目</w:t>
            </w:r>
          </w:p>
        </w:tc>
        <w:tc>
          <w:tcPr>
            <w:tcW w:w="1249" w:type="pct"/>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szCs w:val="21"/>
                <w:highlight w:val="none"/>
                <w:lang w:eastAsia="zh-CN"/>
              </w:rPr>
              <w:t>1#</w:t>
            </w:r>
          </w:p>
        </w:tc>
        <w:tc>
          <w:tcPr>
            <w:tcW w:w="1250" w:type="pct"/>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szCs w:val="21"/>
                <w:highlight w:val="none"/>
                <w:lang w:eastAsia="zh-CN"/>
              </w:rPr>
              <w:t>2#</w:t>
            </w:r>
          </w:p>
        </w:tc>
        <w:tc>
          <w:tcPr>
            <w:tcW w:w="1250" w:type="pct"/>
            <w:tcBorders>
              <w:top w:val="single" w:color="auto" w:sz="12" w:space="0"/>
              <w:left w:val="single" w:color="auto" w:sz="4" w:space="0"/>
              <w:bottom w:val="single" w:color="auto" w:sz="4" w:space="0"/>
              <w:right w:val="nil"/>
            </w:tcBorders>
            <w:vAlign w:val="center"/>
          </w:tcPr>
          <w:p>
            <w:pPr>
              <w:widowControl/>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szCs w:val="21"/>
                <w:highlight w:val="none"/>
                <w:lang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矿化度（M）</w:t>
            </w:r>
          </w:p>
        </w:tc>
        <w:tc>
          <w:tcPr>
            <w:tcW w:w="1249"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0.24</w:t>
            </w:r>
          </w:p>
        </w:tc>
        <w:tc>
          <w:tcPr>
            <w:tcW w:w="1250"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0.22</w:t>
            </w:r>
          </w:p>
        </w:tc>
        <w:tc>
          <w:tcPr>
            <w:tcW w:w="1250" w:type="pct"/>
            <w:tcBorders>
              <w:top w:val="single" w:color="auto" w:sz="4" w:space="0"/>
              <w:left w:val="single" w:color="auto" w:sz="4" w:space="0"/>
              <w:bottom w:val="single" w:color="auto" w:sz="4" w:space="0"/>
              <w:right w:val="nil"/>
            </w:tcBorders>
            <w:vAlign w:val="center"/>
          </w:tcPr>
          <w:p>
            <w:pPr>
              <w:jc w:val="center"/>
              <w:rPr>
                <w:rFonts w:hint="default" w:ascii="Times New Roman" w:hAnsi="Times New Roman" w:eastAsia="宋体"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tcBorders>
              <w:top w:val="single" w:color="auto" w:sz="4" w:space="0"/>
              <w:left w:val="nil"/>
              <w:bottom w:val="single" w:color="auto" w:sz="12" w:space="0"/>
              <w:right w:val="single" w:color="auto" w:sz="4" w:space="0"/>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矿化度分组</w:t>
            </w:r>
          </w:p>
        </w:tc>
        <w:tc>
          <w:tcPr>
            <w:tcW w:w="1249" w:type="pct"/>
            <w:tcBorders>
              <w:top w:val="single" w:color="auto" w:sz="4" w:space="0"/>
              <w:left w:val="single" w:color="auto" w:sz="4" w:space="0"/>
              <w:bottom w:val="single" w:color="auto" w:sz="12" w:space="0"/>
              <w:right w:val="single" w:color="auto" w:sz="4" w:space="0"/>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A</w:t>
            </w:r>
          </w:p>
        </w:tc>
        <w:tc>
          <w:tcPr>
            <w:tcW w:w="1250" w:type="pct"/>
            <w:tcBorders>
              <w:top w:val="single" w:color="auto" w:sz="4" w:space="0"/>
              <w:left w:val="single" w:color="auto" w:sz="4" w:space="0"/>
              <w:bottom w:val="single" w:color="auto" w:sz="12" w:space="0"/>
              <w:right w:val="single" w:color="auto" w:sz="4" w:space="0"/>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A</w:t>
            </w:r>
          </w:p>
        </w:tc>
        <w:tc>
          <w:tcPr>
            <w:tcW w:w="1250" w:type="pct"/>
            <w:tcBorders>
              <w:top w:val="single" w:color="auto" w:sz="4" w:space="0"/>
              <w:left w:val="single" w:color="auto" w:sz="4" w:space="0"/>
              <w:bottom w:val="single" w:color="auto" w:sz="12" w:space="0"/>
              <w:right w:val="nil"/>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A</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综上所述，项目区矿化度小于1.5g/L。</w:t>
      </w:r>
    </w:p>
    <w:p>
      <w:pPr>
        <w:keepNext w:val="0"/>
        <w:keepLines w:val="0"/>
        <w:pageBreakBefore w:val="0"/>
        <w:kinsoku w:val="0"/>
        <w:wordWrap/>
        <w:overflowPunct/>
        <w:topLinePunct w:val="0"/>
        <w:autoSpaceDE w:val="0"/>
        <w:autoSpaceDN w:val="0"/>
        <w:bidi w:val="0"/>
        <w:spacing w:line="360" w:lineRule="auto"/>
        <w:ind w:left="0" w:firstLine="468" w:firstLineChars="200"/>
        <w:jc w:val="both"/>
        <w:textAlignment w:val="baseline"/>
        <w:rPr>
          <w:rFonts w:hint="default" w:ascii="Times New Roman" w:hAnsi="Times New Roman" w:eastAsia="宋体" w:cs="Times New Roman"/>
          <w:spacing w:val="-3"/>
          <w:sz w:val="24"/>
          <w:szCs w:val="24"/>
          <w:highlight w:val="magenta"/>
          <w:lang w:val="en-US" w:eastAsia="zh-CN"/>
          <w14:textOutline w14:w="4358" w14:cap="sq" w14:cmpd="sng">
            <w14:solidFill>
              <w14:srgbClr w14:val="000000"/>
            </w14:solidFill>
            <w14:prstDash w14:val="solid"/>
            <w14:bevel/>
          </w14:textOutline>
        </w:rPr>
      </w:pPr>
      <w:r>
        <w:rPr>
          <w:rFonts w:hint="default" w:ascii="Times New Roman" w:hAnsi="Times New Roman" w:eastAsia="宋体" w:cs="Times New Roman"/>
          <w:spacing w:val="-3"/>
          <w:sz w:val="24"/>
          <w:szCs w:val="24"/>
          <w:highlight w:val="none"/>
          <w:lang w:val="en-US" w:eastAsia="zh-CN"/>
          <w14:textOutline w14:w="4358" w14:cap="sq" w14:cmpd="sng">
            <w14:solidFill>
              <w14:srgbClr w14:val="000000"/>
            </w14:solidFill>
            <w14:prstDash w14:val="solid"/>
            <w14:bevel/>
          </w14:textOutline>
        </w:rPr>
        <w:t>（3）现状评价结论</w:t>
      </w:r>
    </w:p>
    <w:p>
      <w:pPr>
        <w:keepNext w:val="0"/>
        <w:keepLines w:val="0"/>
        <w:pageBreakBefore w:val="0"/>
        <w:widowControl w:val="0"/>
        <w:kinsoku w:val="0"/>
        <w:wordWrap/>
        <w:overflowPunct/>
        <w:topLinePunct w:val="0"/>
        <w:autoSpaceDE w:val="0"/>
        <w:autoSpaceDN w:val="0"/>
        <w:bidi w:val="0"/>
        <w:adjustRightInd/>
        <w:snapToGrid/>
        <w:spacing w:line="360" w:lineRule="auto"/>
        <w:ind w:firstLine="480" w:firstLineChars="200"/>
        <w:jc w:val="both"/>
        <w:textAlignment w:val="baseline"/>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由上表可以看出，各监测点处地下水各项监测因子均符合《地下水质量标准》（GB/T14848-2017）中Ⅲ类标准</w:t>
      </w:r>
      <w:r>
        <w:rPr>
          <w:rFonts w:hint="eastAsia" w:ascii="Times New Roman" w:hAnsi="Times New Roman" w:cs="Times New Roman"/>
          <w:color w:val="auto"/>
          <w:sz w:val="24"/>
          <w:highlight w:val="none"/>
          <w:lang w:val="zh-CN"/>
        </w:rPr>
        <w:t>，</w:t>
      </w:r>
      <w:r>
        <w:rPr>
          <w:rFonts w:hint="eastAsia" w:ascii="Times New Roman" w:hAnsi="Times New Roman" w:cs="Times New Roman"/>
          <w:color w:val="auto"/>
          <w:sz w:val="24"/>
          <w:highlight w:val="none"/>
          <w:lang w:val="en-US" w:eastAsia="zh-CN"/>
        </w:rPr>
        <w:t>石油类，执行《地表水环境质量标准》</w:t>
      </w:r>
      <w:r>
        <w:rPr>
          <w:rFonts w:hint="default" w:ascii="Times New Roman" w:hAnsi="Times New Roman" w:cs="Times New Roman"/>
          <w:color w:val="auto"/>
          <w:sz w:val="24"/>
          <w:highlight w:val="none"/>
          <w:lang w:val="zh-CN"/>
        </w:rPr>
        <w:t>（</w:t>
      </w:r>
      <w:r>
        <w:rPr>
          <w:rFonts w:hint="default" w:ascii="Times New Roman" w:hAnsi="Times New Roman" w:cs="Times New Roman"/>
          <w:color w:val="auto"/>
          <w:sz w:val="24"/>
          <w:highlight w:val="none"/>
        </w:rPr>
        <w:t>GB</w:t>
      </w:r>
      <w:r>
        <w:rPr>
          <w:rFonts w:hint="eastAsia" w:ascii="Times New Roman" w:hAnsi="Times New Roman" w:eastAsia="宋体" w:cs="Times New Roman"/>
          <w:color w:val="auto"/>
          <w:sz w:val="24"/>
          <w:highlight w:val="none"/>
          <w:lang w:val="en-US" w:eastAsia="zh-CN"/>
        </w:rPr>
        <w:t>3838-2008</w:t>
      </w:r>
      <w:r>
        <w:rPr>
          <w:rFonts w:hint="default" w:ascii="Times New Roman" w:hAnsi="Times New Roman" w:cs="Times New Roman"/>
          <w:color w:val="auto"/>
          <w:sz w:val="24"/>
          <w:highlight w:val="none"/>
        </w:rPr>
        <w:t>）中Ⅲ类标准</w:t>
      </w:r>
      <w:r>
        <w:rPr>
          <w:rFonts w:hint="default" w:ascii="Times New Roman" w:hAnsi="Times New Roman" w:cs="Times New Roman"/>
          <w:color w:val="auto"/>
          <w:sz w:val="24"/>
          <w:highlight w:val="none"/>
          <w:lang w:val="zh-CN"/>
        </w:rPr>
        <w:t>，本项目所在区域地下水环境质量良好。</w:t>
      </w:r>
    </w:p>
    <w:p>
      <w:pPr>
        <w:keepNext w:val="0"/>
        <w:keepLines w:val="0"/>
        <w:pageBreakBefore w:val="0"/>
        <w:widowControl w:val="0"/>
        <w:kinsoku w:val="0"/>
        <w:wordWrap/>
        <w:overflowPunct/>
        <w:topLinePunct w:val="0"/>
        <w:autoSpaceDE w:val="0"/>
        <w:autoSpaceDN w:val="0"/>
        <w:bidi w:val="0"/>
        <w:adjustRightInd/>
        <w:snapToGrid/>
        <w:spacing w:line="360" w:lineRule="auto"/>
        <w:ind w:firstLine="480" w:firstLineChars="200"/>
        <w:jc w:val="both"/>
        <w:textAlignment w:val="baseline"/>
        <w:rPr>
          <w:rFonts w:hint="default" w:ascii="Times New Roman" w:hAnsi="Times New Roman" w:cs="Times New Roman"/>
          <w:highlight w:val="none"/>
        </w:rPr>
      </w:pPr>
      <w:r>
        <w:rPr>
          <w:rFonts w:hint="default" w:ascii="Times New Roman" w:hAnsi="Times New Roman" w:cs="Times New Roman"/>
          <w:color w:val="auto"/>
          <w:sz w:val="24"/>
          <w:highlight w:val="none"/>
        </w:rPr>
        <w:t>由表4</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5-</w:t>
      </w:r>
      <w:r>
        <w:rPr>
          <w:rFonts w:hint="eastAsia" w:ascii="Times New Roman" w:hAnsi="Times New Roman" w:eastAsia="宋体" w:cs="Times New Roman"/>
          <w:color w:val="auto"/>
          <w:sz w:val="24"/>
          <w:highlight w:val="none"/>
          <w:lang w:val="en-US" w:eastAsia="zh-CN"/>
        </w:rPr>
        <w:t>5</w:t>
      </w:r>
      <w:r>
        <w:rPr>
          <w:rFonts w:hint="default" w:ascii="Times New Roman" w:hAnsi="Times New Roman" w:cs="Times New Roman"/>
          <w:color w:val="auto"/>
          <w:sz w:val="24"/>
          <w:highlight w:val="none"/>
        </w:rPr>
        <w:t>可知：监测点水质整体较好，所有指标标准指数值均小于1。1#、2#、3#点位监测指标满足《地下水质量标准》（GB/T14848-2017）中Ⅲ类标准。</w:t>
      </w:r>
    </w:p>
    <w:p>
      <w:pPr>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宋体" w:cs="Times New Roman"/>
          <w:b/>
          <w:bCs/>
          <w:snapToGrid/>
          <w:color w:val="auto"/>
          <w:kern w:val="44"/>
          <w:sz w:val="30"/>
          <w:szCs w:val="30"/>
          <w:lang w:eastAsia="zh-CN"/>
        </w:rPr>
      </w:pPr>
      <w:bookmarkStart w:id="298" w:name="_Toc29927"/>
      <w:bookmarkStart w:id="299" w:name="_Toc4174"/>
      <w:r>
        <w:rPr>
          <w:rFonts w:hint="default" w:ascii="Times New Roman" w:hAnsi="Times New Roman" w:eastAsia="宋体" w:cs="Times New Roman"/>
          <w:b/>
          <w:bCs/>
          <w:snapToGrid/>
          <w:color w:val="auto"/>
          <w:kern w:val="44"/>
          <w:sz w:val="30"/>
          <w:szCs w:val="30"/>
          <w:lang w:eastAsia="zh-CN"/>
        </w:rPr>
        <w:t>4.</w:t>
      </w:r>
      <w:r>
        <w:rPr>
          <w:rFonts w:hint="eastAsia" w:ascii="Times New Roman" w:hAnsi="Times New Roman" w:eastAsia="宋体" w:cs="Times New Roman"/>
          <w:b/>
          <w:bCs/>
          <w:snapToGrid/>
          <w:color w:val="auto"/>
          <w:kern w:val="44"/>
          <w:sz w:val="30"/>
          <w:szCs w:val="30"/>
          <w:lang w:val="en-US" w:eastAsia="zh-CN"/>
        </w:rPr>
        <w:t xml:space="preserve">6  </w:t>
      </w:r>
      <w:r>
        <w:rPr>
          <w:rFonts w:hint="default" w:ascii="Times New Roman" w:hAnsi="Times New Roman" w:eastAsia="宋体" w:cs="Times New Roman"/>
          <w:b/>
          <w:bCs/>
          <w:snapToGrid/>
          <w:color w:val="auto"/>
          <w:kern w:val="44"/>
          <w:sz w:val="30"/>
          <w:szCs w:val="30"/>
          <w:lang w:eastAsia="zh-CN"/>
        </w:rPr>
        <w:t>区域污染源调查</w:t>
      </w:r>
      <w:bookmarkEnd w:id="298"/>
      <w:bookmarkEnd w:id="299"/>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val="en-US" w:eastAsia="zh-CN"/>
        </w:rPr>
        <w:t>4.</w:t>
      </w:r>
      <w:r>
        <w:rPr>
          <w:rFonts w:hint="eastAsia" w:ascii="Times New Roman" w:hAnsi="Times New Roman" w:eastAsia="宋体" w:cs="Times New Roman"/>
          <w:b/>
          <w:bCs w:val="0"/>
          <w:snapToGrid/>
          <w:color w:val="auto"/>
          <w:kern w:val="2"/>
          <w:sz w:val="28"/>
          <w:szCs w:val="28"/>
          <w:lang w:val="en-US" w:eastAsia="zh-CN"/>
        </w:rPr>
        <w:t>6</w:t>
      </w:r>
      <w:r>
        <w:rPr>
          <w:rFonts w:hint="default" w:ascii="Times New Roman" w:hAnsi="Times New Roman" w:eastAsia="宋体" w:cs="Times New Roman"/>
          <w:b/>
          <w:bCs w:val="0"/>
          <w:snapToGrid/>
          <w:color w:val="auto"/>
          <w:kern w:val="2"/>
          <w:sz w:val="28"/>
          <w:szCs w:val="28"/>
          <w:lang w:val="en-US" w:eastAsia="zh-CN"/>
        </w:rPr>
        <w:t>.1大气污染源</w:t>
      </w:r>
    </w:p>
    <w:p>
      <w:pPr>
        <w:keepNext w:val="0"/>
        <w:keepLines w:val="0"/>
        <w:pageBreakBefore w:val="0"/>
        <w:widowControl w:val="0"/>
        <w:kinsoku w:val="0"/>
        <w:wordWrap/>
        <w:overflowPunct/>
        <w:topLinePunct w:val="0"/>
        <w:autoSpaceDE w:val="0"/>
        <w:autoSpaceDN w:val="0"/>
        <w:bidi w:val="0"/>
        <w:adjustRightInd/>
        <w:snapToGrid/>
        <w:spacing w:line="360" w:lineRule="auto"/>
        <w:ind w:firstLine="480" w:firstLineChars="200"/>
        <w:jc w:val="both"/>
        <w:textAlignment w:val="baseline"/>
        <w:rPr>
          <w:rFonts w:hint="default" w:ascii="Times New Roman" w:hAnsi="Times New Roman" w:cs="Times New Roman"/>
          <w:color w:val="auto"/>
          <w:sz w:val="24"/>
          <w:highlight w:val="none"/>
          <w:lang w:val="zh-CN"/>
        </w:rPr>
      </w:pPr>
      <w:r>
        <w:rPr>
          <w:rFonts w:hint="eastAsia" w:ascii="Times New Roman" w:hAnsi="Times New Roman" w:eastAsia="宋体" w:cs="Times New Roman"/>
          <w:color w:val="auto"/>
          <w:sz w:val="24"/>
          <w:highlight w:val="none"/>
          <w:lang w:val="en-US" w:eastAsia="zh-CN"/>
        </w:rPr>
        <w:t>本</w:t>
      </w:r>
      <w:r>
        <w:rPr>
          <w:rFonts w:hint="default" w:ascii="Times New Roman" w:hAnsi="Times New Roman" w:cs="Times New Roman"/>
          <w:color w:val="auto"/>
          <w:sz w:val="24"/>
          <w:highlight w:val="none"/>
          <w:lang w:val="zh-CN"/>
        </w:rPr>
        <w:t>项目厂址位于农村地区，区域大气污染源主要来自农村居民生活燃用燃料（煤、物秸秆等）排放的烟气，污染物主要为SO</w:t>
      </w:r>
      <w:r>
        <w:rPr>
          <w:rFonts w:hint="default" w:ascii="Times New Roman" w:hAnsi="Times New Roman" w:cs="Times New Roman"/>
          <w:color w:val="auto"/>
          <w:sz w:val="24"/>
          <w:highlight w:val="none"/>
          <w:vertAlign w:val="subscript"/>
          <w:lang w:val="zh-CN"/>
        </w:rPr>
        <w:t>2</w:t>
      </w:r>
      <w:r>
        <w:rPr>
          <w:rFonts w:hint="default" w:ascii="Times New Roman" w:hAnsi="Times New Roman" w:cs="Times New Roman"/>
          <w:color w:val="auto"/>
          <w:sz w:val="24"/>
          <w:highlight w:val="none"/>
          <w:lang w:val="zh-CN"/>
        </w:rPr>
        <w:t>、NOx及颗粒物等。</w:t>
      </w:r>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bookmarkStart w:id="300" w:name="_Toc15991670"/>
      <w:r>
        <w:rPr>
          <w:rFonts w:hint="default" w:ascii="Times New Roman" w:hAnsi="Times New Roman" w:eastAsia="宋体" w:cs="Times New Roman"/>
          <w:b/>
          <w:bCs w:val="0"/>
          <w:snapToGrid/>
          <w:color w:val="auto"/>
          <w:kern w:val="2"/>
          <w:sz w:val="28"/>
          <w:szCs w:val="28"/>
          <w:lang w:val="en-US" w:eastAsia="zh-CN"/>
        </w:rPr>
        <w:t>4.</w:t>
      </w:r>
      <w:r>
        <w:rPr>
          <w:rFonts w:hint="eastAsia" w:ascii="Times New Roman" w:hAnsi="Times New Roman" w:eastAsia="宋体" w:cs="Times New Roman"/>
          <w:b/>
          <w:bCs w:val="0"/>
          <w:snapToGrid/>
          <w:color w:val="auto"/>
          <w:kern w:val="2"/>
          <w:sz w:val="28"/>
          <w:szCs w:val="28"/>
          <w:lang w:val="en-US" w:eastAsia="zh-CN"/>
        </w:rPr>
        <w:t>6</w:t>
      </w:r>
      <w:r>
        <w:rPr>
          <w:rFonts w:hint="default" w:ascii="Times New Roman" w:hAnsi="Times New Roman" w:eastAsia="宋体" w:cs="Times New Roman"/>
          <w:b/>
          <w:bCs w:val="0"/>
          <w:snapToGrid/>
          <w:color w:val="auto"/>
          <w:kern w:val="2"/>
          <w:sz w:val="28"/>
          <w:szCs w:val="28"/>
          <w:lang w:val="en-US" w:eastAsia="zh-CN"/>
        </w:rPr>
        <w:t>.2地表水污染源</w:t>
      </w:r>
      <w:bookmarkEnd w:id="300"/>
    </w:p>
    <w:p>
      <w:pPr>
        <w:keepNext w:val="0"/>
        <w:keepLines w:val="0"/>
        <w:pageBreakBefore w:val="0"/>
        <w:widowControl w:val="0"/>
        <w:kinsoku w:val="0"/>
        <w:wordWrap/>
        <w:overflowPunct/>
        <w:topLinePunct w:val="0"/>
        <w:autoSpaceDE w:val="0"/>
        <w:autoSpaceDN w:val="0"/>
        <w:bidi w:val="0"/>
        <w:adjustRightInd/>
        <w:snapToGrid/>
        <w:spacing w:line="360" w:lineRule="auto"/>
        <w:ind w:firstLine="480" w:firstLineChars="200"/>
        <w:jc w:val="both"/>
        <w:textAlignment w:val="baseline"/>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本项目地表水污染主要为农村生活污水及农药化肥地表径流污染。</w:t>
      </w:r>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bookmarkStart w:id="301" w:name="_Toc15991671"/>
      <w:r>
        <w:rPr>
          <w:rFonts w:hint="default" w:ascii="Times New Roman" w:hAnsi="Times New Roman" w:eastAsia="宋体" w:cs="Times New Roman"/>
          <w:b/>
          <w:bCs w:val="0"/>
          <w:snapToGrid/>
          <w:color w:val="auto"/>
          <w:kern w:val="2"/>
          <w:sz w:val="28"/>
          <w:szCs w:val="28"/>
          <w:lang w:val="en-US" w:eastAsia="zh-CN"/>
        </w:rPr>
        <w:t>4.</w:t>
      </w:r>
      <w:r>
        <w:rPr>
          <w:rFonts w:hint="eastAsia" w:ascii="Times New Roman" w:hAnsi="Times New Roman" w:eastAsia="宋体" w:cs="Times New Roman"/>
          <w:b/>
          <w:bCs w:val="0"/>
          <w:snapToGrid/>
          <w:color w:val="auto"/>
          <w:kern w:val="2"/>
          <w:sz w:val="28"/>
          <w:szCs w:val="28"/>
          <w:lang w:val="en-US" w:eastAsia="zh-CN"/>
        </w:rPr>
        <w:t>6</w:t>
      </w:r>
      <w:r>
        <w:rPr>
          <w:rFonts w:hint="default" w:ascii="Times New Roman" w:hAnsi="Times New Roman" w:eastAsia="宋体" w:cs="Times New Roman"/>
          <w:b/>
          <w:bCs w:val="0"/>
          <w:snapToGrid/>
          <w:color w:val="auto"/>
          <w:kern w:val="2"/>
          <w:sz w:val="28"/>
          <w:szCs w:val="28"/>
          <w:lang w:val="en-US" w:eastAsia="zh-CN"/>
        </w:rPr>
        <w:t>.3地下水污染源</w:t>
      </w:r>
      <w:bookmarkEnd w:id="301"/>
    </w:p>
    <w:p>
      <w:pPr>
        <w:keepNext w:val="0"/>
        <w:keepLines w:val="0"/>
        <w:pageBreakBefore w:val="0"/>
        <w:widowControl w:val="0"/>
        <w:kinsoku w:val="0"/>
        <w:wordWrap/>
        <w:overflowPunct/>
        <w:topLinePunct w:val="0"/>
        <w:autoSpaceDE w:val="0"/>
        <w:autoSpaceDN w:val="0"/>
        <w:bidi w:val="0"/>
        <w:adjustRightInd/>
        <w:snapToGrid/>
        <w:spacing w:line="360" w:lineRule="auto"/>
        <w:ind w:firstLine="480" w:firstLineChars="200"/>
        <w:jc w:val="both"/>
        <w:textAlignment w:val="baseline"/>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本项目地下水污染源主要为农药化肥，经降雨和灌溉随水淋溶进入地下水，对地下水造成污染。</w:t>
      </w:r>
    </w:p>
    <w:p>
      <w:pPr>
        <w:pStyle w:val="11"/>
        <w:widowControl w:val="0"/>
        <w:numPr>
          <w:ilvl w:val="2"/>
          <w:numId w:val="0"/>
        </w:numPr>
        <w:kinsoku/>
        <w:autoSpaceDE/>
        <w:autoSpaceDN/>
        <w:adjustRightInd/>
        <w:snapToGrid/>
        <w:spacing w:before="0" w:after="0" w:line="360" w:lineRule="auto"/>
        <w:jc w:val="both"/>
        <w:textAlignment w:val="auto"/>
        <w:rPr>
          <w:rFonts w:hint="default" w:ascii="Times New Roman" w:hAnsi="Times New Roman" w:eastAsia="宋体" w:cs="Times New Roman"/>
          <w:b/>
          <w:bCs w:val="0"/>
          <w:snapToGrid/>
          <w:color w:val="auto"/>
          <w:kern w:val="2"/>
          <w:sz w:val="28"/>
          <w:szCs w:val="28"/>
          <w:lang w:val="en-US" w:eastAsia="zh-CN"/>
        </w:rPr>
      </w:pPr>
      <w:bookmarkStart w:id="302" w:name="_Toc15991672"/>
      <w:r>
        <w:rPr>
          <w:rFonts w:hint="default" w:ascii="Times New Roman" w:hAnsi="Times New Roman" w:eastAsia="宋体" w:cs="Times New Roman"/>
          <w:b/>
          <w:bCs w:val="0"/>
          <w:snapToGrid/>
          <w:color w:val="auto"/>
          <w:kern w:val="2"/>
          <w:sz w:val="28"/>
          <w:szCs w:val="28"/>
          <w:lang w:val="en-US" w:eastAsia="zh-CN"/>
        </w:rPr>
        <w:t>4.</w:t>
      </w:r>
      <w:r>
        <w:rPr>
          <w:rFonts w:hint="eastAsia" w:ascii="Times New Roman" w:hAnsi="Times New Roman" w:eastAsia="宋体" w:cs="Times New Roman"/>
          <w:b/>
          <w:bCs w:val="0"/>
          <w:snapToGrid/>
          <w:color w:val="auto"/>
          <w:kern w:val="2"/>
          <w:sz w:val="28"/>
          <w:szCs w:val="28"/>
          <w:lang w:val="en-US" w:eastAsia="zh-CN"/>
        </w:rPr>
        <w:t>6</w:t>
      </w:r>
      <w:r>
        <w:rPr>
          <w:rFonts w:hint="default" w:ascii="Times New Roman" w:hAnsi="Times New Roman" w:eastAsia="宋体" w:cs="Times New Roman"/>
          <w:b/>
          <w:bCs w:val="0"/>
          <w:snapToGrid/>
          <w:color w:val="auto"/>
          <w:kern w:val="2"/>
          <w:sz w:val="28"/>
          <w:szCs w:val="28"/>
          <w:lang w:val="en-US" w:eastAsia="zh-CN"/>
        </w:rPr>
        <w:t>.4噪声污染源</w:t>
      </w:r>
      <w:bookmarkEnd w:id="302"/>
    </w:p>
    <w:p>
      <w:pPr>
        <w:keepNext w:val="0"/>
        <w:keepLines w:val="0"/>
        <w:pageBreakBefore w:val="0"/>
        <w:widowControl w:val="0"/>
        <w:kinsoku w:val="0"/>
        <w:wordWrap/>
        <w:overflowPunct/>
        <w:topLinePunct w:val="0"/>
        <w:autoSpaceDE w:val="0"/>
        <w:autoSpaceDN w:val="0"/>
        <w:bidi w:val="0"/>
        <w:adjustRightInd/>
        <w:snapToGrid/>
        <w:spacing w:line="360" w:lineRule="auto"/>
        <w:ind w:firstLine="480" w:firstLineChars="200"/>
        <w:jc w:val="both"/>
        <w:textAlignment w:val="baseline"/>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建设项目评价区域空旷，无工业噪声污染源存在；噪声污染主要为农耕时机械噪声</w:t>
      </w:r>
      <w:r>
        <w:rPr>
          <w:rFonts w:hint="default" w:ascii="Times New Roman" w:hAnsi="Times New Roman" w:cs="Times New Roman"/>
          <w:color w:val="auto"/>
          <w:sz w:val="24"/>
          <w:highlight w:val="none"/>
          <w:lang w:val="en-US" w:eastAsia="zh-CN"/>
        </w:rPr>
        <w:t>和道路运输车辆噪声</w:t>
      </w:r>
      <w:r>
        <w:rPr>
          <w:rFonts w:hint="default" w:ascii="Times New Roman" w:hAnsi="Times New Roman" w:cs="Times New Roman"/>
          <w:color w:val="auto"/>
          <w:sz w:val="24"/>
          <w:highlight w:val="none"/>
          <w:lang w:val="zh-CN"/>
        </w:rPr>
        <w:t>。</w:t>
      </w:r>
    </w:p>
    <w:p>
      <w:pPr>
        <w:rPr>
          <w:rFonts w:hint="default" w:ascii="Times New Roman" w:hAnsi="Times New Roman" w:cs="Times New Roman"/>
        </w:rPr>
      </w:pPr>
      <w:r>
        <w:rPr>
          <w:rFonts w:hint="default" w:ascii="Times New Roman" w:hAnsi="Times New Roman" w:cs="Times New Roman"/>
        </w:rPr>
        <w:br w:type="page"/>
      </w:r>
    </w:p>
    <w:p>
      <w:pPr>
        <w:keepNext w:val="0"/>
        <w:keepLines w:val="0"/>
        <w:pageBreakBefore w:val="0"/>
        <w:widowControl/>
        <w:tabs>
          <w:tab w:val="left" w:leader="middleDot" w:pos="7371"/>
        </w:tabs>
        <w:kinsoku/>
        <w:wordWrap/>
        <w:overflowPunct/>
        <w:topLinePunct w:val="0"/>
        <w:autoSpaceDE/>
        <w:autoSpaceDN/>
        <w:bidi w:val="0"/>
        <w:adjustRightInd/>
        <w:snapToGrid/>
        <w:spacing w:line="360" w:lineRule="auto"/>
        <w:ind w:right="0"/>
        <w:jc w:val="both"/>
        <w:textAlignment w:val="auto"/>
        <w:outlineLvl w:val="0"/>
        <w:rPr>
          <w:rFonts w:hint="default" w:ascii="Times New Roman" w:hAnsi="Times New Roman" w:cs="Times New Roman"/>
        </w:rPr>
      </w:pPr>
      <w:bookmarkStart w:id="303" w:name="_Toc14274"/>
      <w:r>
        <w:rPr>
          <w:rFonts w:hint="default" w:ascii="Times New Roman" w:hAnsi="Times New Roman" w:eastAsia="宋体" w:cs="Times New Roman"/>
          <w:b/>
          <w:snapToGrid/>
          <w:color w:val="auto"/>
          <w:kern w:val="0"/>
          <w:sz w:val="32"/>
          <w:szCs w:val="32"/>
          <w:highlight w:val="none"/>
          <w:lang w:eastAsia="zh-CN"/>
        </w:rPr>
        <w:t>5  环境影响预测及评价</w:t>
      </w:r>
      <w:bookmarkEnd w:id="303"/>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1"/>
        <w:rPr>
          <w:rFonts w:hint="default" w:ascii="Times New Roman" w:hAnsi="Times New Roman" w:eastAsia="宋体" w:cs="Times New Roman"/>
          <w:sz w:val="28"/>
          <w:szCs w:val="28"/>
          <w:highlight w:val="magenta"/>
          <w:lang w:eastAsia="zh-CN"/>
          <w14:textOutline w14:w="5103" w14:cap="sq" w14:cmpd="sng">
            <w14:solidFill>
              <w14:srgbClr w14:val="000000"/>
            </w14:solidFill>
            <w14:prstDash w14:val="solid"/>
            <w14:bevel/>
          </w14:textOutline>
        </w:rPr>
      </w:pPr>
      <w:bookmarkStart w:id="304" w:name="_Toc25324"/>
      <w:r>
        <w:rPr>
          <w:rFonts w:hint="default" w:ascii="Times New Roman" w:hAnsi="Times New Roman" w:eastAsia="宋体" w:cs="Times New Roman"/>
          <w:sz w:val="28"/>
          <w:szCs w:val="28"/>
          <w:lang w:eastAsia="zh-CN"/>
          <w14:textOutline w14:w="5103" w14:cap="sq" w14:cmpd="sng">
            <w14:solidFill>
              <w14:srgbClr w14:val="000000"/>
            </w14:solidFill>
            <w14:prstDash w14:val="solid"/>
            <w14:bevel/>
          </w14:textOutline>
        </w:rPr>
        <w:t>5.1 施工期环境影响分析</w:t>
      </w:r>
      <w:bookmarkEnd w:id="304"/>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default" w:ascii="Times New Roman" w:hAnsi="Times New Roman" w:eastAsia="宋体" w:cs="Times New Roman"/>
          <w:spacing w:val="-2"/>
          <w:position w:val="18"/>
          <w:sz w:val="24"/>
          <w:szCs w:val="24"/>
        </w:rPr>
        <w:t>项目</w:t>
      </w:r>
      <w:r>
        <w:rPr>
          <w:rFonts w:hint="default" w:ascii="Times New Roman" w:hAnsi="Times New Roman" w:eastAsia="宋体" w:cs="Times New Roman"/>
          <w:spacing w:val="-2"/>
          <w:position w:val="18"/>
          <w:sz w:val="24"/>
          <w:szCs w:val="24"/>
          <w:lang w:eastAsia="zh-CN"/>
        </w:rPr>
        <w:t>大部分</w:t>
      </w:r>
      <w:r>
        <w:rPr>
          <w:rFonts w:hint="default" w:ascii="Times New Roman" w:hAnsi="Times New Roman" w:eastAsia="宋体" w:cs="Times New Roman"/>
          <w:spacing w:val="-2"/>
          <w:position w:val="18"/>
          <w:sz w:val="24"/>
          <w:szCs w:val="24"/>
        </w:rPr>
        <w:t>主体及附属工程的主体土建已基本完成。待建部分包括</w:t>
      </w:r>
      <w:r>
        <w:rPr>
          <w:rFonts w:hint="default" w:ascii="Times New Roman" w:hAnsi="Times New Roman" w:eastAsia="宋体" w:cs="Times New Roman"/>
          <w:spacing w:val="-2"/>
          <w:position w:val="18"/>
          <w:sz w:val="24"/>
          <w:szCs w:val="24"/>
          <w:lang w:val="en-US" w:eastAsia="zh-CN"/>
        </w:rPr>
        <w:t>屠宰</w:t>
      </w:r>
      <w:r>
        <w:rPr>
          <w:rFonts w:hint="eastAsia" w:ascii="Times New Roman" w:hAnsi="Times New Roman" w:eastAsia="宋体" w:cs="Times New Roman"/>
          <w:spacing w:val="-2"/>
          <w:position w:val="18"/>
          <w:sz w:val="24"/>
          <w:szCs w:val="24"/>
          <w:lang w:val="en-US" w:eastAsia="zh-CN"/>
        </w:rPr>
        <w:t>加工</w:t>
      </w:r>
      <w:r>
        <w:rPr>
          <w:rFonts w:hint="default" w:ascii="Times New Roman" w:hAnsi="Times New Roman" w:eastAsia="宋体" w:cs="Times New Roman"/>
          <w:spacing w:val="-2"/>
          <w:position w:val="18"/>
          <w:sz w:val="24"/>
          <w:szCs w:val="24"/>
          <w:lang w:eastAsia="zh-CN"/>
        </w:rPr>
        <w:t>车间</w:t>
      </w:r>
      <w:r>
        <w:rPr>
          <w:rFonts w:hint="default" w:ascii="Times New Roman" w:hAnsi="Times New Roman" w:eastAsia="宋体" w:cs="Times New Roman"/>
          <w:spacing w:val="-2"/>
          <w:position w:val="18"/>
          <w:sz w:val="24"/>
          <w:szCs w:val="24"/>
          <w:lang w:val="en-US" w:eastAsia="zh-CN"/>
        </w:rPr>
        <w:t>以及污水处理站</w:t>
      </w:r>
      <w:r>
        <w:rPr>
          <w:rFonts w:hint="eastAsia" w:ascii="Times New Roman" w:hAnsi="Times New Roman" w:eastAsia="宋体" w:cs="Times New Roman"/>
          <w:spacing w:val="-2"/>
          <w:position w:val="18"/>
          <w:sz w:val="24"/>
          <w:szCs w:val="24"/>
          <w:lang w:val="en-US" w:eastAsia="zh-CN"/>
        </w:rPr>
        <w:t>的废气处理设施及事故池</w:t>
      </w:r>
      <w:r>
        <w:rPr>
          <w:rFonts w:hint="default" w:ascii="Times New Roman" w:hAnsi="Times New Roman" w:eastAsia="宋体" w:cs="Times New Roman"/>
          <w:spacing w:val="-2"/>
          <w:position w:val="18"/>
          <w:sz w:val="24"/>
          <w:szCs w:val="24"/>
          <w:lang w:val="en-US" w:eastAsia="zh-CN"/>
        </w:rPr>
        <w:t>的</w:t>
      </w:r>
      <w:r>
        <w:rPr>
          <w:rFonts w:hint="eastAsia" w:ascii="Times New Roman" w:hAnsi="Times New Roman" w:eastAsia="宋体" w:cs="Times New Roman"/>
          <w:spacing w:val="-2"/>
          <w:position w:val="18"/>
          <w:sz w:val="24"/>
          <w:szCs w:val="24"/>
          <w:lang w:val="en-US" w:eastAsia="zh-CN"/>
        </w:rPr>
        <w:t>建设</w:t>
      </w:r>
      <w:r>
        <w:rPr>
          <w:rFonts w:hint="eastAsia" w:ascii="Times New Roman" w:hAnsi="Times New Roman" w:eastAsia="宋体" w:cs="Times New Roman"/>
          <w:spacing w:val="-2"/>
          <w:position w:val="18"/>
          <w:sz w:val="24"/>
          <w:szCs w:val="24"/>
          <w:lang w:eastAsia="zh-CN"/>
        </w:rPr>
        <w:t>。施工期</w:t>
      </w:r>
      <w:r>
        <w:rPr>
          <w:rFonts w:hint="eastAsia" w:ascii="Times New Roman" w:hAnsi="Times New Roman" w:eastAsia="宋体" w:cs="Times New Roman"/>
          <w:spacing w:val="-2"/>
          <w:position w:val="18"/>
          <w:sz w:val="24"/>
          <w:szCs w:val="24"/>
          <w:lang w:val="en-US" w:eastAsia="zh-CN"/>
        </w:rPr>
        <w:t>环境影响较小</w:t>
      </w:r>
      <w:r>
        <w:rPr>
          <w:rFonts w:hint="eastAsia" w:ascii="Times New Roman" w:hAnsi="Times New Roman" w:eastAsia="宋体" w:cs="Times New Roman"/>
          <w:spacing w:val="-2"/>
          <w:position w:val="18"/>
          <w:sz w:val="24"/>
          <w:szCs w:val="24"/>
          <w:lang w:eastAsia="zh-CN"/>
        </w:rPr>
        <w:t>。环境影响主要来源于运营期。</w:t>
      </w:r>
    </w:p>
    <w:p>
      <w:pPr>
        <w:keepNext w:val="0"/>
        <w:keepLines w:val="0"/>
        <w:pageBreakBefore w:val="0"/>
        <w:wordWrap/>
        <w:overflowPunct/>
        <w:topLinePunct w:val="0"/>
        <w:bidi w:val="0"/>
        <w:spacing w:line="360" w:lineRule="auto"/>
        <w:ind w:left="0" w:firstLine="500" w:firstLineChars="200"/>
        <w:jc w:val="both"/>
        <w:outlineLvl w:val="3"/>
        <w:rPr>
          <w:rFonts w:hint="default" w:ascii="Times New Roman" w:hAnsi="Times New Roman" w:eastAsia="黑体" w:cs="Times New Roman"/>
          <w:spacing w:val="5"/>
          <w:sz w:val="24"/>
          <w:szCs w:val="24"/>
          <w:highlight w:val="none"/>
          <w:lang w:val="zh-CN" w:eastAsia="zh-CN"/>
        </w:rPr>
      </w:pPr>
      <w:r>
        <w:rPr>
          <w:rFonts w:hint="eastAsia" w:ascii="Times New Roman" w:hAnsi="Times New Roman" w:eastAsia="黑体" w:cs="Times New Roman"/>
          <w:spacing w:val="5"/>
          <w:sz w:val="24"/>
          <w:szCs w:val="24"/>
          <w:highlight w:val="none"/>
          <w:lang w:val="en-US" w:eastAsia="zh-CN"/>
        </w:rPr>
        <w:t>5.1.1</w:t>
      </w:r>
      <w:r>
        <w:rPr>
          <w:rFonts w:hint="default" w:ascii="Times New Roman" w:hAnsi="Times New Roman" w:eastAsia="黑体" w:cs="Times New Roman"/>
          <w:spacing w:val="5"/>
          <w:sz w:val="24"/>
          <w:szCs w:val="24"/>
          <w:highlight w:val="none"/>
          <w:lang w:val="en-US" w:eastAsia="zh-CN"/>
        </w:rPr>
        <w:t>施工期大气环境影响因素分析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default" w:ascii="Times New Roman" w:hAnsi="Times New Roman" w:eastAsia="宋体" w:cs="Times New Roman"/>
          <w:spacing w:val="-2"/>
          <w:position w:val="18"/>
          <w:sz w:val="24"/>
          <w:szCs w:val="24"/>
        </w:rPr>
        <w:t>对整个施工期而言，施工过程中对环境造成影响较为突出的是扬尘污染。施工期产生的扬尘主要集中在平整土地等施工阶段。按起尘的原因可分为风力起尘和动力起尘，其中风力起尘主要是由于露天堆放的建材及裸露的施工区表层浮尘因天气干燥及大风，产生风力扬尘；而动力起尘，主要是在建材的装卸、搅拌过程中，由于外力而产生的尘粒再悬浮而造成，其中施工及装卸车辆造成的扬尘最为严重。</w:t>
      </w:r>
    </w:p>
    <w:p>
      <w:pPr>
        <w:keepNext w:val="0"/>
        <w:keepLines w:val="0"/>
        <w:pageBreakBefore w:val="0"/>
        <w:wordWrap/>
        <w:overflowPunct/>
        <w:topLinePunct w:val="0"/>
        <w:bidi w:val="0"/>
        <w:spacing w:line="360" w:lineRule="auto"/>
        <w:ind w:left="0" w:firstLine="500" w:firstLineChars="200"/>
        <w:jc w:val="both"/>
        <w:outlineLvl w:val="3"/>
        <w:rPr>
          <w:rFonts w:hint="default" w:ascii="Times New Roman" w:hAnsi="Times New Roman" w:eastAsia="黑体" w:cs="Times New Roman"/>
          <w:spacing w:val="5"/>
          <w:sz w:val="24"/>
          <w:szCs w:val="24"/>
          <w:highlight w:val="none"/>
          <w:lang w:val="en-US" w:eastAsia="zh-CN"/>
        </w:rPr>
      </w:pPr>
      <w:r>
        <w:rPr>
          <w:rFonts w:hint="eastAsia" w:ascii="Times New Roman" w:hAnsi="Times New Roman" w:eastAsia="黑体" w:cs="Times New Roman"/>
          <w:spacing w:val="5"/>
          <w:sz w:val="24"/>
          <w:szCs w:val="24"/>
          <w:highlight w:val="none"/>
          <w:lang w:val="en-US" w:eastAsia="zh-CN"/>
        </w:rPr>
        <w:t>5.1.2</w:t>
      </w:r>
      <w:r>
        <w:rPr>
          <w:rFonts w:hint="default" w:ascii="Times New Roman" w:hAnsi="Times New Roman" w:eastAsia="黑体" w:cs="Times New Roman"/>
          <w:spacing w:val="5"/>
          <w:sz w:val="24"/>
          <w:szCs w:val="24"/>
          <w:highlight w:val="none"/>
          <w:lang w:val="en-US" w:eastAsia="zh-CN"/>
        </w:rPr>
        <w:t>施工期水环境影响因素分析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eastAsia" w:ascii="Times New Roman" w:hAnsi="Times New Roman" w:eastAsia="宋体" w:cs="Times New Roman"/>
          <w:spacing w:val="-2"/>
          <w:position w:val="18"/>
          <w:sz w:val="24"/>
          <w:szCs w:val="24"/>
        </w:rPr>
        <w:t>①施工废水</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default" w:ascii="Times New Roman" w:hAnsi="Times New Roman" w:eastAsia="宋体" w:cs="Times New Roman"/>
          <w:spacing w:val="-2"/>
          <w:position w:val="18"/>
          <w:sz w:val="24"/>
          <w:szCs w:val="24"/>
        </w:rPr>
        <w:t>施工废水主要来源于机械设备及运输车辆冲洗废水。施工现场设置沉淀池，</w:t>
      </w:r>
      <w:r>
        <w:rPr>
          <w:rFonts w:hint="eastAsia" w:ascii="Times New Roman" w:hAnsi="Times New Roman" w:eastAsia="宋体" w:cs="Times New Roman"/>
          <w:spacing w:val="-2"/>
          <w:position w:val="18"/>
          <w:sz w:val="24"/>
          <w:szCs w:val="24"/>
        </w:rPr>
        <w:t>施工</w:t>
      </w:r>
      <w:r>
        <w:rPr>
          <w:rFonts w:hint="default" w:ascii="Times New Roman" w:hAnsi="Times New Roman" w:eastAsia="宋体" w:cs="Times New Roman"/>
          <w:spacing w:val="-2"/>
          <w:position w:val="18"/>
          <w:sz w:val="24"/>
          <w:szCs w:val="24"/>
        </w:rPr>
        <w:t>废水</w:t>
      </w:r>
      <w:r>
        <w:rPr>
          <w:rFonts w:hint="eastAsia" w:ascii="Times New Roman" w:hAnsi="Times New Roman" w:eastAsia="宋体" w:cs="Times New Roman"/>
          <w:spacing w:val="-2"/>
          <w:position w:val="18"/>
          <w:sz w:val="24"/>
          <w:szCs w:val="24"/>
        </w:rPr>
        <w:t>经</w:t>
      </w:r>
      <w:r>
        <w:rPr>
          <w:rFonts w:hint="default" w:ascii="Times New Roman" w:hAnsi="Times New Roman" w:eastAsia="宋体" w:cs="Times New Roman"/>
          <w:spacing w:val="-2"/>
          <w:position w:val="18"/>
          <w:sz w:val="24"/>
          <w:szCs w:val="24"/>
        </w:rPr>
        <w:t>沉淀后</w:t>
      </w:r>
      <w:r>
        <w:rPr>
          <w:rFonts w:hint="eastAsia" w:ascii="Times New Roman" w:hAnsi="Times New Roman" w:eastAsia="宋体" w:cs="Times New Roman"/>
          <w:spacing w:val="-2"/>
          <w:position w:val="18"/>
          <w:sz w:val="24"/>
          <w:szCs w:val="24"/>
        </w:rPr>
        <w:t>用于</w:t>
      </w:r>
      <w:r>
        <w:rPr>
          <w:rFonts w:hint="default" w:ascii="Times New Roman" w:hAnsi="Times New Roman" w:eastAsia="宋体" w:cs="Times New Roman"/>
          <w:spacing w:val="-2"/>
          <w:position w:val="18"/>
          <w:sz w:val="24"/>
          <w:szCs w:val="24"/>
        </w:rPr>
        <w:t>场地降尘，不外排。</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eastAsia" w:ascii="Times New Roman" w:hAnsi="Times New Roman" w:eastAsia="宋体" w:cs="Times New Roman"/>
          <w:spacing w:val="-2"/>
          <w:position w:val="18"/>
          <w:sz w:val="24"/>
          <w:szCs w:val="24"/>
        </w:rPr>
        <w:t>②生活污水</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lang w:val="zh-CN"/>
        </w:rPr>
      </w:pPr>
      <w:r>
        <w:rPr>
          <w:rFonts w:hint="default" w:ascii="Times New Roman" w:hAnsi="Times New Roman" w:eastAsia="宋体" w:cs="Times New Roman"/>
          <w:spacing w:val="-2"/>
          <w:position w:val="18"/>
          <w:sz w:val="24"/>
          <w:szCs w:val="24"/>
        </w:rPr>
        <w:t>本项目施工人员产生的生活污水排入防渗旱厕，定期清掏，外运堆肥。</w:t>
      </w:r>
    </w:p>
    <w:p>
      <w:pPr>
        <w:keepNext w:val="0"/>
        <w:keepLines w:val="0"/>
        <w:pageBreakBefore w:val="0"/>
        <w:wordWrap/>
        <w:overflowPunct/>
        <w:topLinePunct w:val="0"/>
        <w:bidi w:val="0"/>
        <w:spacing w:line="360" w:lineRule="auto"/>
        <w:ind w:left="0" w:firstLine="500" w:firstLineChars="200"/>
        <w:jc w:val="both"/>
        <w:outlineLvl w:val="3"/>
        <w:rPr>
          <w:rFonts w:hint="default" w:ascii="Times New Roman" w:hAnsi="Times New Roman" w:eastAsia="黑体" w:cs="Times New Roman"/>
          <w:spacing w:val="5"/>
          <w:sz w:val="24"/>
          <w:szCs w:val="24"/>
          <w:highlight w:val="none"/>
          <w:lang w:val="zh-CN" w:eastAsia="zh-CN"/>
        </w:rPr>
      </w:pPr>
      <w:r>
        <w:rPr>
          <w:rFonts w:hint="eastAsia" w:ascii="Times New Roman" w:hAnsi="Times New Roman" w:eastAsia="黑体" w:cs="Times New Roman"/>
          <w:spacing w:val="5"/>
          <w:sz w:val="24"/>
          <w:szCs w:val="24"/>
          <w:highlight w:val="none"/>
          <w:lang w:val="en-US" w:eastAsia="zh-CN"/>
        </w:rPr>
        <w:t>5.1.3</w:t>
      </w:r>
      <w:r>
        <w:rPr>
          <w:rFonts w:hint="default" w:ascii="Times New Roman" w:hAnsi="Times New Roman" w:eastAsia="黑体" w:cs="Times New Roman"/>
          <w:spacing w:val="5"/>
          <w:sz w:val="24"/>
          <w:szCs w:val="24"/>
          <w:highlight w:val="none"/>
          <w:lang w:val="en-US" w:eastAsia="zh-CN"/>
        </w:rPr>
        <w:t>施工期噪声影响因素分析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lang w:val="zh-CN"/>
        </w:rPr>
      </w:pPr>
      <w:r>
        <w:rPr>
          <w:rFonts w:hint="default" w:ascii="Times New Roman" w:hAnsi="Times New Roman" w:eastAsia="宋体" w:cs="Times New Roman"/>
          <w:spacing w:val="-2"/>
          <w:position w:val="18"/>
          <w:sz w:val="24"/>
          <w:szCs w:val="24"/>
        </w:rPr>
        <w:t>施工期的噪声主要可分为机械噪声、施工作业噪声和施工车辆噪声。机械噪声主要由施工机械所造成，多为点声源；施工作业噪声主要指一些零星的敲打声、装卸车辆的撞击声、吆喝声、拆装模板的撞击声等，多为瞬间噪声；施工车辆的噪声属于交通噪声</w:t>
      </w:r>
      <w:r>
        <w:rPr>
          <w:rFonts w:hint="eastAsia" w:ascii="Times New Roman" w:hAnsi="Times New Roman" w:eastAsia="宋体" w:cs="Times New Roman"/>
          <w:spacing w:val="-2"/>
          <w:position w:val="18"/>
          <w:sz w:val="24"/>
          <w:szCs w:val="24"/>
        </w:rPr>
        <w:t>。</w:t>
      </w:r>
    </w:p>
    <w:p>
      <w:pPr>
        <w:keepNext w:val="0"/>
        <w:keepLines w:val="0"/>
        <w:pageBreakBefore w:val="0"/>
        <w:wordWrap/>
        <w:overflowPunct/>
        <w:topLinePunct w:val="0"/>
        <w:bidi w:val="0"/>
        <w:spacing w:line="360" w:lineRule="auto"/>
        <w:ind w:left="0" w:firstLine="500" w:firstLineChars="200"/>
        <w:jc w:val="both"/>
        <w:outlineLvl w:val="3"/>
        <w:rPr>
          <w:rFonts w:hint="default" w:ascii="Times New Roman" w:hAnsi="Times New Roman" w:eastAsia="黑体" w:cs="Times New Roman"/>
          <w:spacing w:val="5"/>
          <w:sz w:val="24"/>
          <w:szCs w:val="24"/>
          <w:highlight w:val="none"/>
          <w:lang w:val="zh-CN" w:eastAsia="zh-CN"/>
        </w:rPr>
      </w:pPr>
      <w:r>
        <w:rPr>
          <w:rFonts w:hint="eastAsia" w:ascii="Times New Roman" w:hAnsi="Times New Roman" w:eastAsia="黑体" w:cs="Times New Roman"/>
          <w:spacing w:val="5"/>
          <w:sz w:val="24"/>
          <w:szCs w:val="24"/>
          <w:highlight w:val="none"/>
          <w:lang w:val="en-US" w:eastAsia="zh-CN"/>
        </w:rPr>
        <w:t>5.1.4</w:t>
      </w:r>
      <w:r>
        <w:rPr>
          <w:rFonts w:hint="default" w:ascii="Times New Roman" w:hAnsi="Times New Roman" w:eastAsia="黑体" w:cs="Times New Roman"/>
          <w:spacing w:val="5"/>
          <w:sz w:val="24"/>
          <w:szCs w:val="24"/>
          <w:highlight w:val="none"/>
          <w:lang w:val="zh-CN" w:eastAsia="zh-CN"/>
        </w:rPr>
        <w:t>施工期固体废物影响因素分析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default" w:ascii="Times New Roman" w:hAnsi="Times New Roman" w:eastAsia="宋体" w:cs="Times New Roman"/>
          <w:spacing w:val="-2"/>
          <w:position w:val="18"/>
          <w:sz w:val="24"/>
          <w:szCs w:val="24"/>
        </w:rPr>
        <w:t>施工期产生的固体废弃物主要是</w:t>
      </w:r>
      <w:r>
        <w:rPr>
          <w:rFonts w:hint="eastAsia" w:ascii="Times New Roman" w:hAnsi="Times New Roman" w:eastAsia="宋体" w:cs="Times New Roman"/>
          <w:spacing w:val="-2"/>
          <w:position w:val="18"/>
          <w:sz w:val="24"/>
          <w:szCs w:val="24"/>
        </w:rPr>
        <w:t>施工废物</w:t>
      </w:r>
      <w:r>
        <w:rPr>
          <w:rFonts w:hint="default" w:ascii="Times New Roman" w:hAnsi="Times New Roman" w:eastAsia="宋体" w:cs="Times New Roman"/>
          <w:spacing w:val="-2"/>
          <w:position w:val="18"/>
          <w:sz w:val="24"/>
          <w:szCs w:val="24"/>
        </w:rPr>
        <w:t>及施工人员生活垃圾。</w:t>
      </w:r>
      <w:r>
        <w:rPr>
          <w:rFonts w:hint="eastAsia" w:ascii="Times New Roman" w:hAnsi="Times New Roman" w:eastAsia="宋体" w:cs="Times New Roman"/>
          <w:spacing w:val="-2"/>
          <w:position w:val="18"/>
          <w:sz w:val="24"/>
          <w:szCs w:val="24"/>
        </w:rPr>
        <w:t>施工废物</w:t>
      </w:r>
      <w:r>
        <w:rPr>
          <w:rFonts w:hint="default" w:ascii="Times New Roman" w:hAnsi="Times New Roman" w:eastAsia="宋体" w:cs="Times New Roman"/>
          <w:spacing w:val="-2"/>
          <w:position w:val="18"/>
          <w:sz w:val="24"/>
          <w:szCs w:val="24"/>
        </w:rPr>
        <w:t>主要包括平整场地</w:t>
      </w:r>
      <w:r>
        <w:rPr>
          <w:rFonts w:hint="eastAsia" w:ascii="Times New Roman" w:hAnsi="Times New Roman" w:eastAsia="宋体" w:cs="Times New Roman"/>
          <w:spacing w:val="-2"/>
          <w:position w:val="18"/>
          <w:sz w:val="24"/>
          <w:szCs w:val="24"/>
        </w:rPr>
        <w:t>和地基开挖</w:t>
      </w:r>
      <w:r>
        <w:rPr>
          <w:rFonts w:hint="default" w:ascii="Times New Roman" w:hAnsi="Times New Roman" w:eastAsia="宋体" w:cs="Times New Roman"/>
          <w:spacing w:val="-2"/>
          <w:position w:val="18"/>
          <w:sz w:val="24"/>
          <w:szCs w:val="24"/>
        </w:rPr>
        <w:t>产生的</w:t>
      </w:r>
      <w:r>
        <w:rPr>
          <w:rFonts w:hint="eastAsia" w:ascii="Times New Roman" w:hAnsi="Times New Roman" w:eastAsia="宋体" w:cs="Times New Roman"/>
          <w:spacing w:val="-2"/>
          <w:position w:val="18"/>
          <w:sz w:val="24"/>
          <w:szCs w:val="24"/>
        </w:rPr>
        <w:t>少量</w:t>
      </w:r>
      <w:r>
        <w:rPr>
          <w:rFonts w:hint="default" w:ascii="Times New Roman" w:hAnsi="Times New Roman" w:eastAsia="宋体" w:cs="Times New Roman"/>
          <w:spacing w:val="-2"/>
          <w:position w:val="18"/>
          <w:sz w:val="24"/>
          <w:szCs w:val="24"/>
        </w:rPr>
        <w:t>弃土弃渣</w:t>
      </w:r>
      <w:r>
        <w:rPr>
          <w:rFonts w:hint="eastAsia" w:ascii="Times New Roman" w:hAnsi="Times New Roman" w:eastAsia="宋体" w:cs="Times New Roman"/>
          <w:spacing w:val="-2"/>
          <w:position w:val="18"/>
          <w:sz w:val="24"/>
          <w:szCs w:val="24"/>
        </w:rPr>
        <w:t>、</w:t>
      </w:r>
      <w:r>
        <w:rPr>
          <w:rFonts w:hint="default" w:ascii="Times New Roman" w:hAnsi="Times New Roman" w:eastAsia="宋体" w:cs="Times New Roman"/>
          <w:spacing w:val="-2"/>
          <w:position w:val="18"/>
          <w:sz w:val="24"/>
          <w:szCs w:val="24"/>
        </w:rPr>
        <w:t>建筑</w:t>
      </w:r>
      <w:r>
        <w:rPr>
          <w:rFonts w:hint="eastAsia" w:ascii="Times New Roman" w:hAnsi="Times New Roman" w:eastAsia="宋体" w:cs="Times New Roman"/>
          <w:spacing w:val="-2"/>
          <w:position w:val="18"/>
          <w:sz w:val="24"/>
          <w:szCs w:val="24"/>
        </w:rPr>
        <w:t>垃圾</w:t>
      </w:r>
      <w:r>
        <w:rPr>
          <w:rFonts w:hint="default" w:ascii="Times New Roman" w:hAnsi="Times New Roman" w:eastAsia="宋体" w:cs="Times New Roman"/>
          <w:spacing w:val="-2"/>
          <w:position w:val="18"/>
          <w:sz w:val="24"/>
          <w:szCs w:val="24"/>
        </w:rPr>
        <w:t>等。</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1"/>
        <w:rPr>
          <w:rFonts w:hint="default" w:ascii="Times New Roman" w:hAnsi="Times New Roman" w:eastAsia="宋体" w:cs="Times New Roman"/>
          <w:sz w:val="28"/>
          <w:szCs w:val="28"/>
        </w:rPr>
      </w:pPr>
      <w:bookmarkStart w:id="305" w:name="_Toc4682"/>
      <w:r>
        <w:rPr>
          <w:rFonts w:hint="default" w:ascii="Times New Roman" w:hAnsi="Times New Roman" w:eastAsia="Times New Roman" w:cs="Times New Roman"/>
          <w:b/>
          <w:bCs/>
          <w:sz w:val="28"/>
          <w:szCs w:val="28"/>
        </w:rPr>
        <w:t xml:space="preserve">5.2 </w:t>
      </w:r>
      <w:r>
        <w:rPr>
          <w:rFonts w:hint="default" w:ascii="Times New Roman" w:hAnsi="Times New Roman" w:eastAsia="宋体" w:cs="Times New Roman"/>
          <w:sz w:val="28"/>
          <w:szCs w:val="28"/>
          <w14:textOutline w14:w="5103" w14:cap="sq" w14:cmpd="sng">
            <w14:solidFill>
              <w14:srgbClr w14:val="000000"/>
            </w14:solidFill>
            <w14:prstDash w14:val="solid"/>
            <w14:bevel/>
          </w14:textOutline>
        </w:rPr>
        <w:t>运营期环境影响预测及分析</w:t>
      </w:r>
      <w:bookmarkEnd w:id="305"/>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1"/>
        <w:rPr>
          <w:rFonts w:hint="default" w:ascii="Times New Roman" w:hAnsi="Times New Roman" w:eastAsia="宋体" w:cs="Times New Roman"/>
          <w:sz w:val="24"/>
          <w:szCs w:val="24"/>
        </w:rPr>
      </w:pPr>
      <w:bookmarkStart w:id="306" w:name="_Toc17907"/>
      <w:bookmarkStart w:id="307" w:name="_Toc29005"/>
      <w:r>
        <w:rPr>
          <w:rFonts w:hint="default" w:ascii="Times New Roman" w:hAnsi="Times New Roman" w:eastAsia="Times New Roman" w:cs="Times New Roman"/>
          <w:b/>
          <w:bCs/>
          <w:spacing w:val="-1"/>
          <w:sz w:val="24"/>
          <w:szCs w:val="24"/>
        </w:rPr>
        <w:t>5.2.1  大气环境影响预测与评价</w:t>
      </w:r>
      <w:bookmarkEnd w:id="306"/>
      <w:bookmarkEnd w:id="307"/>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pacing w:val="-1"/>
          <w:sz w:val="24"/>
          <w:szCs w:val="24"/>
        </w:rPr>
      </w:pPr>
      <w:bookmarkStart w:id="308" w:name="_Hlk6926034"/>
      <w:r>
        <w:rPr>
          <w:rFonts w:hint="default" w:ascii="Times New Roman" w:hAnsi="Times New Roman" w:eastAsia="宋体" w:cs="Times New Roman"/>
          <w:snapToGrid w:val="0"/>
          <w:color w:val="auto"/>
          <w:sz w:val="24"/>
          <w:szCs w:val="24"/>
        </w:rPr>
        <w:t>根据《环境影响评价技术导则大气环境》（HJ2.2-2018）</w:t>
      </w:r>
      <w:r>
        <w:rPr>
          <w:rFonts w:hint="default" w:ascii="Times New Roman" w:hAnsi="Times New Roman" w:eastAsia="宋体" w:cs="Times New Roman"/>
          <w:snapToGrid w:val="0"/>
          <w:color w:val="auto"/>
          <w:kern w:val="0"/>
          <w:sz w:val="24"/>
          <w:szCs w:val="24"/>
        </w:rPr>
        <w:t>中附录A推荐的估算模式进行计算，由估算模式计算结果可知，本项目排放污染物</w:t>
      </w:r>
      <w:r>
        <w:rPr>
          <w:rFonts w:hint="default" w:ascii="Times New Roman" w:hAnsi="Times New Roman" w:eastAsia="宋体" w:cs="Times New Roman"/>
          <w:color w:val="auto"/>
          <w:sz w:val="24"/>
          <w:szCs w:val="24"/>
          <w:lang w:val="zh-CN"/>
        </w:rPr>
        <w:t>的</w:t>
      </w:r>
      <w:r>
        <w:rPr>
          <w:rFonts w:hint="default" w:ascii="Times New Roman" w:hAnsi="Times New Roman" w:eastAsia="宋体" w:cs="Times New Roman"/>
          <w:snapToGrid w:val="0"/>
          <w:color w:val="auto"/>
          <w:kern w:val="0"/>
          <w:sz w:val="24"/>
          <w:szCs w:val="24"/>
        </w:rPr>
        <w:t>最大地面空气质量浓度占标率</w:t>
      </w:r>
      <w:r>
        <w:rPr>
          <w:rFonts w:hint="default" w:ascii="Times New Roman" w:hAnsi="Times New Roman" w:eastAsia="宋体" w:cs="Times New Roman"/>
          <w:snapToGrid w:val="0"/>
          <w:color w:val="auto"/>
          <w:kern w:val="0"/>
          <w:sz w:val="24"/>
          <w:szCs w:val="24"/>
          <w:lang w:val="zh-CN"/>
        </w:rPr>
        <w:t>P</w:t>
      </w:r>
      <w:r>
        <w:rPr>
          <w:rFonts w:hint="default" w:ascii="Times New Roman" w:hAnsi="Times New Roman" w:eastAsia="宋体" w:cs="Times New Roman"/>
          <w:snapToGrid w:val="0"/>
          <w:color w:val="auto"/>
          <w:kern w:val="0"/>
          <w:sz w:val="24"/>
          <w:szCs w:val="24"/>
          <w:vertAlign w:val="subscript"/>
          <w:lang w:val="zh-CN"/>
        </w:rPr>
        <w:t>max</w:t>
      </w:r>
      <w:r>
        <w:rPr>
          <w:rFonts w:hint="default" w:ascii="Times New Roman" w:hAnsi="Times New Roman" w:eastAsia="宋体" w:cs="Times New Roman"/>
          <w:snapToGrid w:val="0"/>
          <w:color w:val="auto"/>
          <w:kern w:val="0"/>
          <w:sz w:val="24"/>
          <w:szCs w:val="24"/>
          <w:lang w:val="zh-CN"/>
        </w:rPr>
        <w:t>≤10%且P</w:t>
      </w:r>
      <w:r>
        <w:rPr>
          <w:rFonts w:hint="default" w:ascii="Times New Roman" w:hAnsi="Times New Roman" w:eastAsia="宋体" w:cs="Times New Roman"/>
          <w:snapToGrid w:val="0"/>
          <w:color w:val="auto"/>
          <w:kern w:val="0"/>
          <w:sz w:val="24"/>
          <w:szCs w:val="24"/>
          <w:vertAlign w:val="subscript"/>
          <w:lang w:val="zh-CN"/>
        </w:rPr>
        <w:t>max</w:t>
      </w:r>
      <w:r>
        <w:rPr>
          <w:rFonts w:hint="default" w:ascii="Times New Roman" w:hAnsi="Times New Roman" w:eastAsia="宋体" w:cs="Times New Roman"/>
          <w:snapToGrid w:val="0"/>
          <w:color w:val="auto"/>
          <w:kern w:val="0"/>
          <w:sz w:val="24"/>
          <w:szCs w:val="24"/>
          <w:lang w:val="zh-CN"/>
        </w:rPr>
        <w:t>＞1%</w:t>
      </w:r>
      <w:r>
        <w:rPr>
          <w:rFonts w:hint="default" w:ascii="Times New Roman" w:hAnsi="Times New Roman" w:eastAsia="宋体" w:cs="Times New Roman"/>
          <w:snapToGrid w:val="0"/>
          <w:color w:val="auto"/>
          <w:kern w:val="0"/>
          <w:sz w:val="24"/>
          <w:szCs w:val="24"/>
        </w:rPr>
        <w:t>。因此，本项目大气环境影响评价等级为</w:t>
      </w:r>
      <w:r>
        <w:rPr>
          <w:rFonts w:hint="default" w:ascii="Times New Roman" w:hAnsi="Times New Roman" w:eastAsia="宋体" w:cs="Times New Roman"/>
          <w:snapToGrid w:val="0"/>
          <w:color w:val="auto"/>
          <w:sz w:val="24"/>
          <w:szCs w:val="24"/>
        </w:rPr>
        <w:t>二级。根据《环境影响评价技术导则大气环境》（HJ2.2-2018）中要求，二级评价项目不进行进一步预测与评价，只对污染物排放量进行核算。</w:t>
      </w:r>
      <w:bookmarkEnd w:id="308"/>
    </w:p>
    <w:p>
      <w:pPr>
        <w:keepNext w:val="0"/>
        <w:keepLines w:val="0"/>
        <w:pageBreakBefore w:val="0"/>
        <w:widowControl/>
        <w:kinsoku w:val="0"/>
        <w:wordWrap/>
        <w:overflowPunct/>
        <w:topLinePunct w:val="0"/>
        <w:autoSpaceDE w:val="0"/>
        <w:autoSpaceDN w:val="0"/>
        <w:bidi w:val="0"/>
        <w:spacing w:line="360" w:lineRule="auto"/>
        <w:ind w:right="0" w:firstLine="240" w:firstLineChars="100"/>
        <w:jc w:val="both"/>
        <w:textAlignment w:val="baseline"/>
        <w:outlineLvl w:val="9"/>
        <w:rPr>
          <w:rFonts w:hint="default" w:ascii="Times New Roman" w:hAnsi="Times New Roman" w:cs="Times New Roman"/>
          <w:b/>
          <w:color w:val="auto"/>
          <w:sz w:val="24"/>
        </w:rPr>
      </w:pPr>
      <w:r>
        <w:rPr>
          <w:rFonts w:hint="default" w:ascii="Times New Roman" w:hAnsi="Times New Roman" w:cs="Times New Roman"/>
          <w:b/>
          <w:color w:val="auto"/>
          <w:sz w:val="24"/>
        </w:rPr>
        <w:t>5.2.1.1废气影响分析</w:t>
      </w:r>
    </w:p>
    <w:p>
      <w:pPr>
        <w:pStyle w:val="45"/>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jc w:val="both"/>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（1）预测因子及采用的标准</w:t>
      </w:r>
    </w:p>
    <w:p>
      <w:pPr>
        <w:pStyle w:val="45"/>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jc w:val="both"/>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有组织预测因子选择</w:t>
      </w:r>
      <w:r>
        <w:rPr>
          <w:rFonts w:hint="default" w:ascii="Times New Roman" w:hAnsi="Times New Roman" w:cs="Times New Roman"/>
          <w:color w:val="auto"/>
          <w:sz w:val="24"/>
        </w:rPr>
        <w:t>锅炉排放烟气、</w:t>
      </w:r>
      <w:r>
        <w:rPr>
          <w:rFonts w:hint="default" w:ascii="Times New Roman" w:hAnsi="Times New Roman" w:eastAsia="宋体" w:cs="Times New Roman"/>
          <w:color w:val="auto"/>
        </w:rPr>
        <w:t>待宰间、屠宰车间及污水处理站恶臭气体（NH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及H</w:t>
      </w:r>
      <w:r>
        <w:rPr>
          <w:rFonts w:hint="default" w:ascii="Times New Roman" w:hAnsi="Times New Roman" w:eastAsia="宋体" w:cs="Times New Roman"/>
          <w:color w:val="auto"/>
          <w:vertAlign w:val="subscript"/>
        </w:rPr>
        <w:t>2</w:t>
      </w:r>
      <w:r>
        <w:rPr>
          <w:rFonts w:hint="default" w:ascii="Times New Roman" w:hAnsi="Times New Roman" w:eastAsia="宋体" w:cs="Times New Roman"/>
          <w:color w:val="auto"/>
        </w:rPr>
        <w:t>S），无组织废气主要包括待宰间、屠宰车间及污水处理站未收集的恶臭气体（包括NH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、H</w:t>
      </w:r>
      <w:r>
        <w:rPr>
          <w:rFonts w:hint="default" w:ascii="Times New Roman" w:hAnsi="Times New Roman" w:eastAsia="宋体" w:cs="Times New Roman"/>
          <w:color w:val="auto"/>
          <w:vertAlign w:val="subscript"/>
        </w:rPr>
        <w:t>2</w:t>
      </w:r>
      <w:r>
        <w:rPr>
          <w:rFonts w:hint="default" w:ascii="Times New Roman" w:hAnsi="Times New Roman" w:eastAsia="宋体" w:cs="Times New Roman"/>
          <w:color w:val="auto"/>
        </w:rPr>
        <w:t>S）。采用的标准见表5-2-1。</w:t>
      </w:r>
    </w:p>
    <w:p>
      <w:pPr>
        <w:pStyle w:val="45"/>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jc w:val="both"/>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（2）预测模式和参数选取</w:t>
      </w:r>
    </w:p>
    <w:p>
      <w:pPr>
        <w:pStyle w:val="45"/>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jc w:val="both"/>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①预测模式</w:t>
      </w:r>
    </w:p>
    <w:p>
      <w:pPr>
        <w:pStyle w:val="45"/>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jc w:val="both"/>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根据《环境影响评价技术导则大气环境》（HJ2.2-2018）推荐的ARESCREEN估算模式对有组织及无组织排放的污染物进行估算。</w:t>
      </w:r>
    </w:p>
    <w:p>
      <w:pPr>
        <w:pStyle w:val="45"/>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jc w:val="both"/>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本项目产生的所有有组织污染物进行预测，评价因子和评价标准见表5-2-1，污染源参数见表5-2-2至表5-2-4。</w:t>
      </w:r>
    </w:p>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pP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35"/>
          <w:sz w:val="20"/>
          <w:szCs w:val="20"/>
        </w:rPr>
        <w:t xml:space="preserve"> </w:t>
      </w:r>
      <w:r>
        <w:rPr>
          <w:rFonts w:hint="default" w:ascii="Times New Roman" w:hAnsi="Times New Roman" w:eastAsia="Times New Roman" w:cs="Times New Roman"/>
          <w:b/>
          <w:bCs/>
          <w:spacing w:val="6"/>
          <w:sz w:val="20"/>
          <w:szCs w:val="20"/>
        </w:rPr>
        <w:t>5</w:t>
      </w:r>
      <w:r>
        <w:rPr>
          <w:rFonts w:hint="default" w:ascii="Times New Roman" w:hAnsi="Times New Roman" w:eastAsia="宋体" w:cs="Times New Roman"/>
          <w:b/>
          <w:bCs/>
          <w:spacing w:val="6"/>
          <w:sz w:val="20"/>
          <w:szCs w:val="20"/>
          <w:lang w:val="en-US" w:eastAsia="zh-CN"/>
        </w:rPr>
        <w:t>-</w:t>
      </w:r>
      <w:r>
        <w:rPr>
          <w:rFonts w:hint="default" w:ascii="Times New Roman" w:hAnsi="Times New Roman" w:eastAsia="Times New Roman" w:cs="Times New Roman"/>
          <w:b/>
          <w:bCs/>
          <w:spacing w:val="6"/>
          <w:sz w:val="20"/>
          <w:szCs w:val="20"/>
        </w:rPr>
        <w:t xml:space="preserve">2-1  </w:t>
      </w: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评价因子和评价标准表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3"/>
        <w:gridCol w:w="2323"/>
        <w:gridCol w:w="2325"/>
        <w:gridCol w:w="2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9" w:type="pct"/>
          </w:tcPr>
          <w:p>
            <w:pPr>
              <w:pStyle w:val="29"/>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评价因子</w:t>
            </w:r>
          </w:p>
        </w:tc>
        <w:tc>
          <w:tcPr>
            <w:tcW w:w="1249" w:type="pct"/>
          </w:tcPr>
          <w:p>
            <w:pPr>
              <w:pStyle w:val="29"/>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平均时段</w:t>
            </w:r>
          </w:p>
        </w:tc>
        <w:tc>
          <w:tcPr>
            <w:tcW w:w="1250" w:type="pct"/>
          </w:tcPr>
          <w:p>
            <w:pPr>
              <w:pStyle w:val="29"/>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标准值/（</w:t>
            </w:r>
            <w:r>
              <w:rPr>
                <w:rFonts w:hint="default" w:ascii="Times New Roman" w:hAnsi="Times New Roman" w:eastAsia="宋体" w:cs="Times New Roman"/>
                <w:b w:val="0"/>
                <w:color w:val="auto"/>
                <w:sz w:val="21"/>
                <w:szCs w:val="21"/>
              </w:rPr>
              <w:t>μg/m</w:t>
            </w:r>
            <w:r>
              <w:rPr>
                <w:rFonts w:hint="default" w:ascii="Times New Roman" w:hAnsi="Times New Roman" w:eastAsia="宋体" w:cs="Times New Roman"/>
                <w:b w:val="0"/>
                <w:color w:val="auto"/>
                <w:sz w:val="21"/>
                <w:szCs w:val="21"/>
                <w:vertAlign w:val="superscript"/>
              </w:rPr>
              <w:t>3</w:t>
            </w:r>
            <w:r>
              <w:rPr>
                <w:rFonts w:hint="default" w:ascii="Times New Roman" w:hAnsi="Times New Roman" w:eastAsia="宋体" w:cs="Times New Roman"/>
                <w:sz w:val="21"/>
                <w:szCs w:val="21"/>
                <w:vertAlign w:val="baseline"/>
                <w:lang w:val="en-US" w:eastAsia="zh-CN"/>
              </w:rPr>
              <w:t>）</w:t>
            </w:r>
          </w:p>
        </w:tc>
        <w:tc>
          <w:tcPr>
            <w:tcW w:w="1250" w:type="pct"/>
          </w:tcPr>
          <w:p>
            <w:pPr>
              <w:pStyle w:val="29"/>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Pr>
          <w:p>
            <w:pPr>
              <w:pStyle w:val="29"/>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NH</w:t>
            </w:r>
            <w:r>
              <w:rPr>
                <w:rFonts w:hint="default" w:ascii="Times New Roman" w:hAnsi="Times New Roman" w:eastAsia="宋体" w:cs="Times New Roman"/>
                <w:sz w:val="21"/>
                <w:szCs w:val="21"/>
                <w:vertAlign w:val="subscript"/>
                <w:lang w:val="en-US" w:eastAsia="zh-CN"/>
              </w:rPr>
              <w:t>3</w:t>
            </w:r>
          </w:p>
        </w:tc>
        <w:tc>
          <w:tcPr>
            <w:tcW w:w="1249" w:type="pct"/>
            <w:vAlign w:val="center"/>
          </w:tcPr>
          <w:p>
            <w:pPr>
              <w:pStyle w:val="39"/>
              <w:widowControl w:val="0"/>
              <w:spacing w:line="0" w:lineRule="atLeast"/>
              <w:contextualSpacing w:val="0"/>
              <w:jc w:val="center"/>
              <w:rPr>
                <w:rFonts w:hint="default" w:ascii="Times New Roman" w:hAnsi="Times New Roman" w:eastAsia="宋体" w:cs="Times New Roman"/>
                <w:sz w:val="21"/>
                <w:szCs w:val="21"/>
                <w:vertAlign w:val="baseline"/>
              </w:rPr>
            </w:pPr>
            <w:bookmarkStart w:id="309" w:name="_Toc7470"/>
            <w:bookmarkStart w:id="310" w:name="_Toc19936"/>
            <w:r>
              <w:rPr>
                <w:rFonts w:hint="default" w:ascii="Times New Roman" w:hAnsi="Times New Roman" w:eastAsia="宋体" w:cs="Times New Roman"/>
                <w:b w:val="0"/>
                <w:color w:val="auto"/>
                <w:sz w:val="21"/>
                <w:szCs w:val="21"/>
              </w:rPr>
              <w:t>1小时平均</w:t>
            </w:r>
            <w:bookmarkEnd w:id="309"/>
            <w:bookmarkEnd w:id="310"/>
          </w:p>
        </w:tc>
        <w:tc>
          <w:tcPr>
            <w:tcW w:w="1250" w:type="pct"/>
            <w:vAlign w:val="center"/>
          </w:tcPr>
          <w:p>
            <w:pPr>
              <w:pStyle w:val="39"/>
              <w:widowControl w:val="0"/>
              <w:spacing w:line="0" w:lineRule="atLeast"/>
              <w:contextualSpacing w:val="0"/>
              <w:jc w:val="center"/>
              <w:rPr>
                <w:rFonts w:hint="default" w:ascii="Times New Roman" w:hAnsi="Times New Roman" w:eastAsia="宋体" w:cs="Times New Roman"/>
                <w:sz w:val="21"/>
                <w:szCs w:val="21"/>
                <w:vertAlign w:val="baseline"/>
              </w:rPr>
            </w:pPr>
            <w:bookmarkStart w:id="311" w:name="_Toc18561"/>
            <w:bookmarkStart w:id="312" w:name="_Toc30068"/>
            <w:r>
              <w:rPr>
                <w:rFonts w:hint="default" w:ascii="Times New Roman" w:hAnsi="Times New Roman" w:eastAsia="宋体" w:cs="Times New Roman"/>
                <w:b w:val="0"/>
                <w:color w:val="auto"/>
                <w:sz w:val="21"/>
                <w:szCs w:val="21"/>
              </w:rPr>
              <w:t>200</w:t>
            </w:r>
            <w:bookmarkEnd w:id="311"/>
            <w:bookmarkEnd w:id="312"/>
          </w:p>
        </w:tc>
        <w:tc>
          <w:tcPr>
            <w:tcW w:w="2381" w:type="dxa"/>
            <w:vMerge w:val="restart"/>
            <w:vAlign w:val="center"/>
          </w:tcPr>
          <w:p>
            <w:pPr>
              <w:pStyle w:val="39"/>
              <w:widowControl w:val="0"/>
              <w:spacing w:line="0" w:lineRule="atLeast"/>
              <w:contextualSpacing w:val="0"/>
              <w:jc w:val="center"/>
              <w:rPr>
                <w:rFonts w:hint="default" w:ascii="Times New Roman" w:hAnsi="Times New Roman" w:eastAsia="宋体" w:cs="Times New Roman"/>
                <w:sz w:val="21"/>
                <w:szCs w:val="21"/>
                <w:vertAlign w:val="baseline"/>
              </w:rPr>
            </w:pPr>
            <w:bookmarkStart w:id="313" w:name="_Toc28679"/>
            <w:bookmarkStart w:id="314" w:name="_Toc4272"/>
            <w:r>
              <w:rPr>
                <w:rFonts w:hint="default" w:ascii="Times New Roman" w:hAnsi="Times New Roman" w:eastAsia="宋体" w:cs="Times New Roman"/>
                <w:b w:val="0"/>
                <w:color w:val="auto"/>
                <w:sz w:val="21"/>
                <w:szCs w:val="21"/>
              </w:rPr>
              <w:t>《环境影响评价技术导则大气环境》（HJ2.2-2018）附录D</w:t>
            </w:r>
            <w:bookmarkEnd w:id="313"/>
            <w:bookmarkEnd w:id="31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Pr>
          <w:p>
            <w:pPr>
              <w:pStyle w:val="29"/>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H</w:t>
            </w:r>
            <w:r>
              <w:rPr>
                <w:rFonts w:hint="default" w:ascii="Times New Roman" w:hAnsi="Times New Roman" w:eastAsia="宋体" w:cs="Times New Roman"/>
                <w:sz w:val="21"/>
                <w:szCs w:val="21"/>
                <w:vertAlign w:val="subscript"/>
                <w:lang w:val="en-US" w:eastAsia="zh-CN"/>
              </w:rPr>
              <w:t>2</w:t>
            </w:r>
            <w:r>
              <w:rPr>
                <w:rFonts w:hint="default" w:ascii="Times New Roman" w:hAnsi="Times New Roman" w:eastAsia="宋体" w:cs="Times New Roman"/>
                <w:sz w:val="21"/>
                <w:szCs w:val="21"/>
                <w:vertAlign w:val="baseline"/>
                <w:lang w:val="en-US" w:eastAsia="zh-CN"/>
              </w:rPr>
              <w:t>S</w:t>
            </w:r>
          </w:p>
        </w:tc>
        <w:tc>
          <w:tcPr>
            <w:tcW w:w="1249" w:type="pct"/>
            <w:vAlign w:val="center"/>
          </w:tcPr>
          <w:p>
            <w:pPr>
              <w:pStyle w:val="39"/>
              <w:widowControl w:val="0"/>
              <w:spacing w:line="0" w:lineRule="atLeast"/>
              <w:contextualSpacing w:val="0"/>
              <w:jc w:val="center"/>
              <w:rPr>
                <w:rFonts w:hint="default" w:ascii="Times New Roman" w:hAnsi="Times New Roman" w:eastAsia="宋体" w:cs="Times New Roman"/>
                <w:sz w:val="21"/>
                <w:szCs w:val="21"/>
                <w:vertAlign w:val="baseline"/>
              </w:rPr>
            </w:pPr>
            <w:bookmarkStart w:id="315" w:name="_Toc6630"/>
            <w:bookmarkStart w:id="316" w:name="_Toc22791"/>
            <w:r>
              <w:rPr>
                <w:rFonts w:hint="default" w:ascii="Times New Roman" w:hAnsi="Times New Roman" w:eastAsia="宋体" w:cs="Times New Roman"/>
                <w:b w:val="0"/>
                <w:color w:val="auto"/>
                <w:sz w:val="21"/>
                <w:szCs w:val="21"/>
              </w:rPr>
              <w:t>1小时平均</w:t>
            </w:r>
            <w:bookmarkEnd w:id="315"/>
            <w:bookmarkEnd w:id="316"/>
          </w:p>
        </w:tc>
        <w:tc>
          <w:tcPr>
            <w:tcW w:w="1250" w:type="pct"/>
            <w:vAlign w:val="center"/>
          </w:tcPr>
          <w:p>
            <w:pPr>
              <w:pStyle w:val="39"/>
              <w:widowControl w:val="0"/>
              <w:spacing w:line="0" w:lineRule="atLeast"/>
              <w:contextualSpacing w:val="0"/>
              <w:jc w:val="center"/>
              <w:rPr>
                <w:rFonts w:hint="default" w:ascii="Times New Roman" w:hAnsi="Times New Roman" w:eastAsia="宋体" w:cs="Times New Roman"/>
                <w:sz w:val="21"/>
                <w:szCs w:val="21"/>
                <w:vertAlign w:val="baseline"/>
              </w:rPr>
            </w:pPr>
            <w:bookmarkStart w:id="317" w:name="_Toc18148"/>
            <w:bookmarkStart w:id="318" w:name="_Toc24396"/>
            <w:r>
              <w:rPr>
                <w:rFonts w:hint="default" w:ascii="Times New Roman" w:hAnsi="Times New Roman" w:eastAsia="宋体" w:cs="Times New Roman"/>
                <w:b w:val="0"/>
                <w:color w:val="auto"/>
                <w:sz w:val="21"/>
                <w:szCs w:val="21"/>
              </w:rPr>
              <w:t>10</w:t>
            </w:r>
            <w:bookmarkEnd w:id="317"/>
            <w:bookmarkEnd w:id="318"/>
          </w:p>
        </w:tc>
        <w:tc>
          <w:tcPr>
            <w:tcW w:w="1250" w:type="pct"/>
            <w:vMerge w:val="continue"/>
          </w:tcPr>
          <w:p>
            <w:pPr>
              <w:pStyle w:val="29"/>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Pr>
          <w:p>
            <w:pPr>
              <w:pStyle w:val="29"/>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NO</w:t>
            </w:r>
            <w:r>
              <w:rPr>
                <w:rFonts w:hint="default" w:ascii="Times New Roman" w:hAnsi="Times New Roman" w:eastAsia="宋体" w:cs="Times New Roman"/>
                <w:sz w:val="21"/>
                <w:szCs w:val="21"/>
                <w:vertAlign w:val="subscript"/>
                <w:lang w:val="en-US" w:eastAsia="zh-CN"/>
              </w:rPr>
              <w:t>X</w:t>
            </w:r>
          </w:p>
        </w:tc>
        <w:tc>
          <w:tcPr>
            <w:tcW w:w="1249"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sz w:val="21"/>
                <w:szCs w:val="21"/>
                <w:vertAlign w:val="baseline"/>
              </w:rPr>
            </w:pPr>
            <w:r>
              <w:rPr>
                <w:rFonts w:hint="default" w:ascii="Times New Roman" w:hAnsi="Times New Roman" w:eastAsia="宋体" w:cs="Times New Roman"/>
                <w:smallCaps w:val="0"/>
                <w:snapToGrid w:val="0"/>
                <w:color w:val="auto"/>
                <w:kern w:val="2"/>
                <w:sz w:val="21"/>
                <w:szCs w:val="21"/>
                <w:lang w:val="en-US" w:eastAsia="en-US" w:bidi="ar-SA"/>
              </w:rPr>
              <w:t>1小时</w:t>
            </w:r>
          </w:p>
        </w:tc>
        <w:tc>
          <w:tcPr>
            <w:tcW w:w="1250"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sz w:val="21"/>
                <w:szCs w:val="21"/>
                <w:vertAlign w:val="baseline"/>
              </w:rPr>
            </w:pPr>
            <w:r>
              <w:rPr>
                <w:rFonts w:hint="default" w:ascii="Times New Roman" w:hAnsi="Times New Roman" w:eastAsia="宋体" w:cs="Times New Roman"/>
                <w:smallCaps w:val="0"/>
                <w:snapToGrid w:val="0"/>
                <w:color w:val="auto"/>
                <w:kern w:val="2"/>
                <w:sz w:val="21"/>
                <w:szCs w:val="21"/>
                <w:lang w:val="en-US" w:eastAsia="zh-CN" w:bidi="ar-SA"/>
              </w:rPr>
              <w:t>250</w:t>
            </w:r>
          </w:p>
        </w:tc>
        <w:tc>
          <w:tcPr>
            <w:tcW w:w="2381" w:type="dxa"/>
            <w:vMerge w:val="restart"/>
            <w:vAlign w:val="center"/>
          </w:tcPr>
          <w:p>
            <w:pPr>
              <w:pStyle w:val="39"/>
              <w:widowControl w:val="0"/>
              <w:spacing w:line="0" w:lineRule="atLeast"/>
              <w:contextualSpacing w:val="0"/>
              <w:jc w:val="center"/>
              <w:rPr>
                <w:rFonts w:hint="default" w:ascii="Times New Roman" w:hAnsi="Times New Roman" w:eastAsia="宋体" w:cs="Times New Roman"/>
                <w:sz w:val="21"/>
                <w:szCs w:val="21"/>
                <w:vertAlign w:val="baseline"/>
              </w:rPr>
            </w:pPr>
            <w:bookmarkStart w:id="319" w:name="_Toc23629"/>
            <w:bookmarkStart w:id="320" w:name="_Toc26191"/>
            <w:r>
              <w:rPr>
                <w:rFonts w:hint="default" w:ascii="Times New Roman" w:hAnsi="Times New Roman" w:eastAsia="宋体" w:cs="Times New Roman"/>
                <w:b w:val="0"/>
                <w:color w:val="auto"/>
                <w:sz w:val="21"/>
                <w:szCs w:val="21"/>
                <w:lang w:val="en-US" w:eastAsia="zh-CN"/>
              </w:rPr>
              <w:t>《环境空气质量标准》（GB3095-2012）二级标准</w:t>
            </w:r>
            <w:bookmarkEnd w:id="319"/>
            <w:bookmarkEnd w:id="32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Pr>
          <w:p>
            <w:pPr>
              <w:pStyle w:val="29"/>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SO</w:t>
            </w:r>
            <w:r>
              <w:rPr>
                <w:rFonts w:hint="default" w:ascii="Times New Roman" w:hAnsi="Times New Roman" w:eastAsia="宋体" w:cs="Times New Roman"/>
                <w:sz w:val="21"/>
                <w:szCs w:val="21"/>
                <w:vertAlign w:val="subscript"/>
                <w:lang w:val="en-US" w:eastAsia="zh-CN"/>
              </w:rPr>
              <w:t>2</w:t>
            </w:r>
          </w:p>
        </w:tc>
        <w:tc>
          <w:tcPr>
            <w:tcW w:w="1249"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sz w:val="21"/>
                <w:szCs w:val="21"/>
                <w:vertAlign w:val="baseline"/>
              </w:rPr>
            </w:pPr>
            <w:r>
              <w:rPr>
                <w:rFonts w:hint="default" w:ascii="Times New Roman" w:hAnsi="Times New Roman" w:eastAsia="宋体" w:cs="Times New Roman"/>
                <w:smallCaps w:val="0"/>
                <w:snapToGrid w:val="0"/>
                <w:color w:val="auto"/>
                <w:kern w:val="2"/>
                <w:sz w:val="21"/>
                <w:szCs w:val="21"/>
                <w:lang w:val="en-US" w:eastAsia="zh-CN" w:bidi="ar-SA"/>
              </w:rPr>
              <w:t>1小时</w:t>
            </w:r>
          </w:p>
        </w:tc>
        <w:tc>
          <w:tcPr>
            <w:tcW w:w="1250"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sz w:val="21"/>
                <w:szCs w:val="21"/>
                <w:vertAlign w:val="baseline"/>
              </w:rPr>
            </w:pPr>
            <w:r>
              <w:rPr>
                <w:rFonts w:hint="default" w:ascii="Times New Roman" w:hAnsi="Times New Roman" w:eastAsia="宋体" w:cs="Times New Roman"/>
                <w:smallCaps w:val="0"/>
                <w:snapToGrid w:val="0"/>
                <w:color w:val="auto"/>
                <w:kern w:val="2"/>
                <w:sz w:val="21"/>
                <w:szCs w:val="21"/>
                <w:lang w:val="en-US" w:eastAsia="zh-CN" w:bidi="ar-SA"/>
              </w:rPr>
              <w:t>500</w:t>
            </w:r>
          </w:p>
        </w:tc>
        <w:tc>
          <w:tcPr>
            <w:tcW w:w="1250" w:type="pct"/>
            <w:vMerge w:val="continue"/>
          </w:tcPr>
          <w:p>
            <w:pPr>
              <w:pStyle w:val="29"/>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Pr>
          <w:p>
            <w:pPr>
              <w:pStyle w:val="29"/>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颗粒物（PM</w:t>
            </w:r>
            <w:r>
              <w:rPr>
                <w:rFonts w:hint="default" w:ascii="Times New Roman" w:hAnsi="Times New Roman" w:eastAsia="宋体" w:cs="Times New Roman"/>
                <w:sz w:val="21"/>
                <w:szCs w:val="21"/>
                <w:vertAlign w:val="subscript"/>
                <w:lang w:val="en-US" w:eastAsia="zh-CN"/>
              </w:rPr>
              <w:t>10</w:t>
            </w:r>
            <w:r>
              <w:rPr>
                <w:rFonts w:hint="default" w:ascii="Times New Roman" w:hAnsi="Times New Roman" w:eastAsia="宋体" w:cs="Times New Roman"/>
                <w:sz w:val="21"/>
                <w:szCs w:val="21"/>
                <w:vertAlign w:val="baseline"/>
                <w:lang w:val="en-US" w:eastAsia="zh-CN"/>
              </w:rPr>
              <w:t>）</w:t>
            </w:r>
          </w:p>
        </w:tc>
        <w:tc>
          <w:tcPr>
            <w:tcW w:w="1249"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sz w:val="21"/>
                <w:szCs w:val="21"/>
                <w:vertAlign w:val="baseline"/>
              </w:rPr>
            </w:pPr>
            <w:r>
              <w:rPr>
                <w:rFonts w:hint="default" w:ascii="Times New Roman" w:hAnsi="Times New Roman" w:eastAsia="宋体" w:cs="Times New Roman"/>
                <w:smallCaps w:val="0"/>
                <w:snapToGrid w:val="0"/>
                <w:color w:val="auto"/>
                <w:kern w:val="2"/>
                <w:sz w:val="21"/>
                <w:szCs w:val="21"/>
                <w:lang w:val="en-US" w:eastAsia="zh-CN" w:bidi="ar-SA"/>
              </w:rPr>
              <w:t>24小时</w:t>
            </w:r>
          </w:p>
        </w:tc>
        <w:tc>
          <w:tcPr>
            <w:tcW w:w="1250"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sz w:val="21"/>
                <w:szCs w:val="21"/>
                <w:vertAlign w:val="baseline"/>
              </w:rPr>
            </w:pPr>
            <w:r>
              <w:rPr>
                <w:rFonts w:hint="default" w:ascii="Times New Roman" w:hAnsi="Times New Roman" w:eastAsia="宋体" w:cs="Times New Roman"/>
                <w:smallCaps w:val="0"/>
                <w:snapToGrid w:val="0"/>
                <w:color w:val="auto"/>
                <w:kern w:val="2"/>
                <w:sz w:val="21"/>
                <w:szCs w:val="21"/>
                <w:lang w:val="en-US" w:eastAsia="zh-CN" w:bidi="ar-SA"/>
              </w:rPr>
              <w:t>150</w:t>
            </w:r>
          </w:p>
        </w:tc>
        <w:tc>
          <w:tcPr>
            <w:tcW w:w="1250" w:type="pct"/>
            <w:vMerge w:val="continue"/>
          </w:tcPr>
          <w:p>
            <w:pPr>
              <w:pStyle w:val="29"/>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vertAlign w:val="baseline"/>
              </w:rPr>
            </w:pPr>
          </w:p>
        </w:tc>
      </w:tr>
    </w:tbl>
    <w:p>
      <w:pPr>
        <w:spacing w:line="19" w:lineRule="exact"/>
        <w:rPr>
          <w:rFonts w:hint="default" w:ascii="Times New Roman" w:hAnsi="Times New Roman" w:cs="Times New Roman"/>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eastAsia" w:ascii="Times New Roman" w:hAnsi="Times New Roman" w:eastAsia="宋体" w:cs="Times New Roman"/>
          <w:spacing w:val="6"/>
          <w:sz w:val="20"/>
          <w:szCs w:val="20"/>
          <w:highlight w:val="magenta"/>
          <w:lang w:eastAsia="zh-CN"/>
          <w14:textOutline w14:w="3795" w14:cap="sq" w14:cmpd="sng">
            <w14:solidFill>
              <w14:srgbClr w14:val="000000"/>
            </w14:solidFill>
            <w14:prstDash w14:val="solid"/>
            <w14:bevel/>
          </w14:textOutline>
        </w:rPr>
      </w:pP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表5-2-2  主要废气污染源参数一览表(点源)</w:t>
      </w:r>
    </w:p>
    <w:tbl>
      <w:tblPr>
        <w:tblStyle w:val="24"/>
        <w:tblpPr w:leftFromText="180" w:rightFromText="180" w:vertAnchor="text" w:tblpXSpec="center" w:tblpY="1"/>
        <w:tblOverlap w:val="never"/>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52"/>
        <w:gridCol w:w="252"/>
        <w:gridCol w:w="510"/>
        <w:gridCol w:w="694"/>
        <w:gridCol w:w="608"/>
        <w:gridCol w:w="608"/>
        <w:gridCol w:w="608"/>
        <w:gridCol w:w="742"/>
        <w:gridCol w:w="565"/>
        <w:gridCol w:w="698"/>
        <w:gridCol w:w="555"/>
        <w:gridCol w:w="727"/>
        <w:gridCol w:w="656"/>
        <w:gridCol w:w="502"/>
        <w:gridCol w:w="552"/>
        <w:gridCol w:w="5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802" w:hRule="atLeast"/>
        </w:trPr>
        <w:tc>
          <w:tcPr>
            <w:tcW w:w="138"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编号</w:t>
            </w:r>
          </w:p>
        </w:tc>
        <w:tc>
          <w:tcPr>
            <w:tcW w:w="138"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659" w:type="pct"/>
            <w:gridSpan w:val="2"/>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排气筒底部中心坐标（</w:t>
            </w:r>
            <w:r>
              <w:rPr>
                <w:rFonts w:hint="default" w:ascii="Times New Roman" w:hAnsi="Times New Roman" w:eastAsia="Times New Roman" w:cs="Times New Roman"/>
                <w:spacing w:val="9"/>
                <w:sz w:val="20"/>
                <w:szCs w:val="20"/>
              </w:rPr>
              <w:t>m</w:t>
            </w:r>
            <w:r>
              <w:rPr>
                <w:rFonts w:hint="default" w:ascii="Times New Roman" w:hAnsi="Times New Roman" w:eastAsia="宋体" w:cs="Times New Roman"/>
                <w:color w:val="auto"/>
                <w:sz w:val="21"/>
                <w:szCs w:val="21"/>
              </w:rPr>
              <w:t>）</w:t>
            </w:r>
          </w:p>
        </w:tc>
        <w:tc>
          <w:tcPr>
            <w:tcW w:w="333"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排气筒底部海拔高度（m）</w:t>
            </w:r>
          </w:p>
        </w:tc>
        <w:tc>
          <w:tcPr>
            <w:tcW w:w="333"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排气筒高度（m）</w:t>
            </w:r>
          </w:p>
        </w:tc>
        <w:tc>
          <w:tcPr>
            <w:tcW w:w="333"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排气筒出口内径（m）</w:t>
            </w:r>
          </w:p>
        </w:tc>
        <w:tc>
          <w:tcPr>
            <w:tcW w:w="406"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烟气流速（m/s）</w:t>
            </w:r>
          </w:p>
        </w:tc>
        <w:tc>
          <w:tcPr>
            <w:tcW w:w="309"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烟气温度</w:t>
            </w:r>
          </w:p>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382"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年排放小时数（h）</w:t>
            </w:r>
          </w:p>
        </w:tc>
        <w:tc>
          <w:tcPr>
            <w:tcW w:w="303" w:type="pct"/>
            <w:vMerge w:val="restar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排放工况</w:t>
            </w:r>
          </w:p>
        </w:tc>
        <w:tc>
          <w:tcPr>
            <w:tcW w:w="1660" w:type="pct"/>
            <w:gridSpan w:val="5"/>
            <w:vMerge w:val="restar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12" w:hRule="atLeast"/>
        </w:trPr>
        <w:tc>
          <w:tcPr>
            <w:tcW w:w="13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13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279" w:type="pct"/>
            <w:vMerge w:val="restar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X</w:t>
            </w:r>
          </w:p>
        </w:tc>
        <w:tc>
          <w:tcPr>
            <w:tcW w:w="380" w:type="pct"/>
            <w:vMerge w:val="restart"/>
            <w:vAlign w:val="center"/>
          </w:tcPr>
          <w:p>
            <w:pPr>
              <w:spacing w:line="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Y</w:t>
            </w:r>
          </w:p>
        </w:tc>
        <w:tc>
          <w:tcPr>
            <w:tcW w:w="333"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33"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33"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06"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09" w:type="pct"/>
            <w:vMerge w:val="continue"/>
            <w:vAlign w:val="center"/>
          </w:tcPr>
          <w:p>
            <w:pPr>
              <w:widowControl/>
              <w:spacing w:line="0" w:lineRule="atLeast"/>
              <w:jc w:val="center"/>
              <w:rPr>
                <w:rFonts w:hint="default" w:ascii="Times New Roman" w:hAnsi="Times New Roman" w:eastAsia="宋体" w:cs="Times New Roman"/>
                <w:color w:val="auto"/>
                <w:sz w:val="21"/>
                <w:szCs w:val="21"/>
              </w:rPr>
            </w:pPr>
          </w:p>
        </w:tc>
        <w:tc>
          <w:tcPr>
            <w:tcW w:w="382"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03"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1660" w:type="pct"/>
            <w:gridSpan w:val="5"/>
            <w:vMerge w:val="continue"/>
            <w:vAlign w:val="center"/>
          </w:tcPr>
          <w:p>
            <w:pPr>
              <w:spacing w:line="0" w:lineRule="atLeast"/>
              <w:jc w:val="center"/>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172" w:hRule="atLeast"/>
        </w:trPr>
        <w:tc>
          <w:tcPr>
            <w:tcW w:w="13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13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279"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80"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33"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33"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33"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06"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09" w:type="pct"/>
            <w:vMerge w:val="continue"/>
            <w:vAlign w:val="center"/>
          </w:tcPr>
          <w:p>
            <w:pPr>
              <w:widowControl/>
              <w:spacing w:line="0" w:lineRule="atLeast"/>
              <w:jc w:val="center"/>
              <w:rPr>
                <w:rFonts w:hint="default" w:ascii="Times New Roman" w:hAnsi="Times New Roman" w:eastAsia="宋体" w:cs="Times New Roman"/>
                <w:color w:val="auto"/>
                <w:sz w:val="21"/>
                <w:szCs w:val="21"/>
              </w:rPr>
            </w:pPr>
          </w:p>
        </w:tc>
        <w:tc>
          <w:tcPr>
            <w:tcW w:w="382"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03"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98"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p>
        </w:tc>
        <w:tc>
          <w:tcPr>
            <w:tcW w:w="359"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S</w:t>
            </w:r>
          </w:p>
        </w:tc>
        <w:tc>
          <w:tcPr>
            <w:tcW w:w="275"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302" w:type="pct"/>
            <w:vAlign w:val="center"/>
          </w:tcPr>
          <w:p>
            <w:pPr>
              <w:spacing w:line="0" w:lineRule="atLeast"/>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snapToGrid w:val="0"/>
                <w:color w:val="auto"/>
                <w:kern w:val="0"/>
                <w:sz w:val="21"/>
                <w:szCs w:val="21"/>
                <w:highlight w:val="none"/>
              </w:rPr>
              <w:t>NO</w:t>
            </w:r>
            <w:r>
              <w:rPr>
                <w:rFonts w:hint="default" w:ascii="Times New Roman" w:hAnsi="Times New Roman" w:eastAsia="宋体" w:cs="Times New Roman"/>
                <w:snapToGrid w:val="0"/>
                <w:color w:val="auto"/>
                <w:kern w:val="0"/>
                <w:sz w:val="21"/>
                <w:szCs w:val="21"/>
                <w:highlight w:val="none"/>
                <w:vertAlign w:val="subscript"/>
              </w:rPr>
              <w:t>x</w:t>
            </w:r>
          </w:p>
        </w:tc>
        <w:tc>
          <w:tcPr>
            <w:tcW w:w="325" w:type="pct"/>
            <w:vAlign w:val="center"/>
          </w:tcPr>
          <w:p>
            <w:pPr>
              <w:spacing w:line="0" w:lineRule="atLeast"/>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snapToGrid w:val="0"/>
                <w:color w:val="auto"/>
                <w:kern w:val="0"/>
                <w:sz w:val="21"/>
                <w:szCs w:val="21"/>
                <w:highlight w:val="none"/>
              </w:rPr>
              <w:t>SO</w:t>
            </w:r>
            <w:r>
              <w:rPr>
                <w:rFonts w:hint="default" w:ascii="Times New Roman" w:hAnsi="Times New Roman" w:eastAsia="宋体" w:cs="Times New Roman"/>
                <w:snapToGrid w:val="0"/>
                <w:color w:val="auto"/>
                <w:kern w:val="0"/>
                <w:sz w:val="21"/>
                <w:szCs w:val="21"/>
                <w:highlight w:val="none"/>
                <w:vertAlign w:val="sub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814" w:hRule="atLeast"/>
        </w:trPr>
        <w:tc>
          <w:tcPr>
            <w:tcW w:w="13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val="en-US" w:eastAsia="zh-CN"/>
              </w:rPr>
              <w:t>G</w:t>
            </w:r>
            <w:r>
              <w:rPr>
                <w:rFonts w:hint="default" w:ascii="Times New Roman" w:hAnsi="Times New Roman" w:eastAsia="宋体" w:cs="Times New Roman"/>
                <w:bCs/>
                <w:color w:val="auto"/>
                <w:sz w:val="21"/>
                <w:szCs w:val="21"/>
              </w:rPr>
              <w:t>1</w:t>
            </w:r>
          </w:p>
        </w:tc>
        <w:tc>
          <w:tcPr>
            <w:tcW w:w="13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屠宰车间排气筒</w:t>
            </w:r>
          </w:p>
        </w:tc>
        <w:tc>
          <w:tcPr>
            <w:tcW w:w="279"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38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333"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175.1</w:t>
            </w:r>
          </w:p>
        </w:tc>
        <w:tc>
          <w:tcPr>
            <w:tcW w:w="333"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333" w:type="pct"/>
            <w:vAlign w:val="center"/>
          </w:tcPr>
          <w:p>
            <w:pPr>
              <w:spacing w:line="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0.3</w:t>
            </w:r>
            <w:r>
              <w:rPr>
                <w:rFonts w:hint="default" w:ascii="Times New Roman" w:hAnsi="Times New Roman" w:eastAsia="宋体" w:cs="Times New Roman"/>
                <w:color w:val="auto"/>
                <w:sz w:val="21"/>
                <w:szCs w:val="21"/>
                <w:lang w:val="en-US" w:eastAsia="zh-CN"/>
              </w:rPr>
              <w:t>0</w:t>
            </w:r>
          </w:p>
        </w:tc>
        <w:tc>
          <w:tcPr>
            <w:tcW w:w="406"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11.9</w:t>
            </w:r>
          </w:p>
        </w:tc>
        <w:tc>
          <w:tcPr>
            <w:tcW w:w="309"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382"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2720</w:t>
            </w:r>
          </w:p>
        </w:tc>
        <w:tc>
          <w:tcPr>
            <w:tcW w:w="303" w:type="pct"/>
            <w:vMerge w:val="restart"/>
            <w:vAlign w:val="center"/>
          </w:tcPr>
          <w:p>
            <w:pPr>
              <w:spacing w:line="0" w:lineRule="atLeast"/>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rPr>
              <w:t>正常排放工况</w:t>
            </w:r>
          </w:p>
        </w:tc>
        <w:tc>
          <w:tcPr>
            <w:tcW w:w="398" w:type="pct"/>
            <w:vAlign w:val="center"/>
          </w:tcPr>
          <w:p>
            <w:pPr>
              <w:spacing w:line="0" w:lineRule="atLeast"/>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snapToGrid w:val="0"/>
                <w:color w:val="auto"/>
                <w:sz w:val="21"/>
                <w:szCs w:val="21"/>
                <w:lang w:val="en-US" w:eastAsia="zh-CN"/>
              </w:rPr>
              <w:t>0.002</w:t>
            </w:r>
          </w:p>
        </w:tc>
        <w:tc>
          <w:tcPr>
            <w:tcW w:w="359" w:type="pct"/>
            <w:vAlign w:val="center"/>
          </w:tcPr>
          <w:p>
            <w:pPr>
              <w:spacing w:line="0" w:lineRule="atLeast"/>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snapToGrid w:val="0"/>
                <w:color w:val="auto"/>
                <w:sz w:val="21"/>
                <w:szCs w:val="21"/>
                <w:lang w:val="en-US" w:eastAsia="zh-CN"/>
              </w:rPr>
              <w:t>0.0001</w:t>
            </w:r>
          </w:p>
        </w:tc>
        <w:tc>
          <w:tcPr>
            <w:tcW w:w="275" w:type="pct"/>
            <w:vAlign w:val="center"/>
          </w:tcPr>
          <w:p>
            <w:pPr>
              <w:pStyle w:val="36"/>
              <w:snapToGrid w:val="0"/>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highlight w:val="none"/>
                <w:lang w:val="en-US"/>
              </w:rPr>
              <w:t>/</w:t>
            </w:r>
          </w:p>
        </w:tc>
        <w:tc>
          <w:tcPr>
            <w:tcW w:w="302" w:type="pct"/>
            <w:vAlign w:val="center"/>
          </w:tcPr>
          <w:p>
            <w:pPr>
              <w:pStyle w:val="36"/>
              <w:snapToGrid w:val="0"/>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highlight w:val="none"/>
                <w:lang w:val="en-US"/>
              </w:rPr>
              <w:t>/</w:t>
            </w:r>
          </w:p>
        </w:tc>
        <w:tc>
          <w:tcPr>
            <w:tcW w:w="325" w:type="pct"/>
            <w:vAlign w:val="center"/>
          </w:tcPr>
          <w:p>
            <w:pPr>
              <w:pStyle w:val="36"/>
              <w:snapToGrid w:val="0"/>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highlight w:val="none"/>
                <w:lang w:val="en-U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72" w:hRule="atLeast"/>
        </w:trPr>
        <w:tc>
          <w:tcPr>
            <w:tcW w:w="13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val="en-US" w:eastAsia="zh-CN"/>
              </w:rPr>
              <w:t>G</w:t>
            </w:r>
            <w:r>
              <w:rPr>
                <w:rFonts w:hint="default" w:ascii="Times New Roman" w:hAnsi="Times New Roman" w:eastAsia="宋体" w:cs="Times New Roman"/>
                <w:bCs/>
                <w:color w:val="auto"/>
                <w:sz w:val="21"/>
                <w:szCs w:val="21"/>
              </w:rPr>
              <w:t>2</w:t>
            </w:r>
          </w:p>
        </w:tc>
        <w:tc>
          <w:tcPr>
            <w:tcW w:w="13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污水处理站排气筒</w:t>
            </w:r>
          </w:p>
        </w:tc>
        <w:tc>
          <w:tcPr>
            <w:tcW w:w="279"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23</w:t>
            </w:r>
          </w:p>
        </w:tc>
        <w:tc>
          <w:tcPr>
            <w:tcW w:w="380"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5</w:t>
            </w:r>
          </w:p>
        </w:tc>
        <w:tc>
          <w:tcPr>
            <w:tcW w:w="333"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175.1</w:t>
            </w:r>
          </w:p>
        </w:tc>
        <w:tc>
          <w:tcPr>
            <w:tcW w:w="333"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333"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0.30</w:t>
            </w:r>
          </w:p>
        </w:tc>
        <w:tc>
          <w:tcPr>
            <w:tcW w:w="406" w:type="pct"/>
            <w:vAlign w:val="center"/>
          </w:tcPr>
          <w:p>
            <w:pPr>
              <w:spacing w:line="0" w:lineRule="atLeast"/>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11.9</w:t>
            </w:r>
          </w:p>
        </w:tc>
        <w:tc>
          <w:tcPr>
            <w:tcW w:w="309"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382"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4080</w:t>
            </w:r>
          </w:p>
        </w:tc>
        <w:tc>
          <w:tcPr>
            <w:tcW w:w="303" w:type="pct"/>
            <w:vMerge w:val="continue"/>
            <w:vAlign w:val="center"/>
          </w:tcPr>
          <w:p>
            <w:pPr>
              <w:spacing w:line="0" w:lineRule="atLeast"/>
              <w:jc w:val="center"/>
              <w:rPr>
                <w:rFonts w:hint="default" w:ascii="Times New Roman" w:hAnsi="Times New Roman" w:eastAsia="宋体" w:cs="Times New Roman"/>
                <w:color w:val="FF0000"/>
                <w:sz w:val="21"/>
                <w:szCs w:val="21"/>
              </w:rPr>
            </w:pPr>
          </w:p>
        </w:tc>
        <w:tc>
          <w:tcPr>
            <w:tcW w:w="398" w:type="pct"/>
            <w:vAlign w:val="center"/>
          </w:tcPr>
          <w:p>
            <w:pPr>
              <w:spacing w:line="0" w:lineRule="atLeast"/>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bCs/>
                <w:color w:val="auto"/>
                <w:sz w:val="21"/>
                <w:szCs w:val="21"/>
                <w:lang w:val="en-US" w:eastAsia="zh-CN"/>
              </w:rPr>
              <w:t>0.00</w:t>
            </w:r>
            <w:r>
              <w:rPr>
                <w:rFonts w:hint="eastAsia" w:ascii="Times New Roman" w:hAnsi="Times New Roman" w:eastAsia="宋体" w:cs="Times New Roman"/>
                <w:bCs/>
                <w:color w:val="auto"/>
                <w:sz w:val="21"/>
                <w:szCs w:val="21"/>
                <w:lang w:val="en-US" w:eastAsia="zh-CN"/>
              </w:rPr>
              <w:t>25</w:t>
            </w:r>
          </w:p>
        </w:tc>
        <w:tc>
          <w:tcPr>
            <w:tcW w:w="359" w:type="pct"/>
            <w:vAlign w:val="center"/>
          </w:tcPr>
          <w:p>
            <w:pPr>
              <w:spacing w:line="0" w:lineRule="atLeast"/>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bCs/>
                <w:color w:val="auto"/>
                <w:sz w:val="21"/>
                <w:szCs w:val="21"/>
                <w:lang w:val="en-US" w:eastAsia="zh-CN"/>
              </w:rPr>
              <w:t>0.00</w:t>
            </w:r>
            <w:r>
              <w:rPr>
                <w:rFonts w:hint="eastAsia" w:ascii="Times New Roman" w:hAnsi="Times New Roman" w:eastAsia="宋体" w:cs="Times New Roman"/>
                <w:bCs/>
                <w:color w:val="auto"/>
                <w:sz w:val="21"/>
                <w:szCs w:val="21"/>
                <w:lang w:val="en-US" w:eastAsia="zh-CN"/>
              </w:rPr>
              <w:t>009</w:t>
            </w:r>
          </w:p>
        </w:tc>
        <w:tc>
          <w:tcPr>
            <w:tcW w:w="275" w:type="pct"/>
            <w:vAlign w:val="center"/>
          </w:tcPr>
          <w:p>
            <w:pPr>
              <w:pStyle w:val="36"/>
              <w:snapToGrid w:val="0"/>
              <w:rPr>
                <w:rFonts w:hint="default" w:ascii="Times New Roman" w:hAnsi="Times New Roman" w:eastAsia="宋体" w:cs="Times New Roman"/>
                <w:bCs/>
                <w:color w:val="FF0000"/>
                <w:kern w:val="0"/>
                <w:sz w:val="21"/>
                <w:szCs w:val="21"/>
              </w:rPr>
            </w:pPr>
            <w:r>
              <w:rPr>
                <w:rFonts w:hint="default" w:ascii="Times New Roman" w:hAnsi="Times New Roman" w:eastAsia="宋体" w:cs="Times New Roman"/>
                <w:color w:val="auto"/>
                <w:sz w:val="21"/>
                <w:szCs w:val="21"/>
                <w:highlight w:val="none"/>
                <w:lang w:val="en-US"/>
              </w:rPr>
              <w:t>/</w:t>
            </w:r>
          </w:p>
        </w:tc>
        <w:tc>
          <w:tcPr>
            <w:tcW w:w="302" w:type="pct"/>
            <w:vAlign w:val="center"/>
          </w:tcPr>
          <w:p>
            <w:pPr>
              <w:pStyle w:val="36"/>
              <w:snapToGrid w:val="0"/>
              <w:rPr>
                <w:rFonts w:hint="default" w:ascii="Times New Roman" w:hAnsi="Times New Roman" w:eastAsia="宋体" w:cs="Times New Roman"/>
                <w:bCs/>
                <w:color w:val="FF0000"/>
                <w:kern w:val="0"/>
                <w:sz w:val="21"/>
                <w:szCs w:val="21"/>
              </w:rPr>
            </w:pPr>
            <w:r>
              <w:rPr>
                <w:rFonts w:hint="default" w:ascii="Times New Roman" w:hAnsi="Times New Roman" w:eastAsia="宋体" w:cs="Times New Roman"/>
                <w:color w:val="auto"/>
                <w:sz w:val="21"/>
                <w:szCs w:val="21"/>
                <w:highlight w:val="none"/>
                <w:lang w:val="en-US"/>
              </w:rPr>
              <w:t>/</w:t>
            </w:r>
          </w:p>
        </w:tc>
        <w:tc>
          <w:tcPr>
            <w:tcW w:w="325" w:type="pct"/>
            <w:vAlign w:val="center"/>
          </w:tcPr>
          <w:p>
            <w:pPr>
              <w:pStyle w:val="36"/>
              <w:snapToGrid w:val="0"/>
              <w:rPr>
                <w:rFonts w:hint="default" w:ascii="Times New Roman" w:hAnsi="Times New Roman" w:eastAsia="宋体" w:cs="Times New Roman"/>
                <w:bCs/>
                <w:color w:val="FF0000"/>
                <w:kern w:val="0"/>
                <w:sz w:val="21"/>
                <w:szCs w:val="21"/>
              </w:rPr>
            </w:pPr>
            <w:r>
              <w:rPr>
                <w:rFonts w:hint="default" w:ascii="Times New Roman" w:hAnsi="Times New Roman" w:eastAsia="宋体" w:cs="Times New Roman"/>
                <w:color w:val="auto"/>
                <w:sz w:val="21"/>
                <w:szCs w:val="21"/>
                <w:highlight w:val="none"/>
                <w:lang w:val="en-U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57" w:hRule="atLeast"/>
        </w:trPr>
        <w:tc>
          <w:tcPr>
            <w:tcW w:w="13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val="en-US" w:eastAsia="zh-CN"/>
              </w:rPr>
              <w:t>G</w:t>
            </w:r>
            <w:r>
              <w:rPr>
                <w:rFonts w:hint="default" w:ascii="Times New Roman" w:hAnsi="Times New Roman" w:eastAsia="宋体" w:cs="Times New Roman"/>
                <w:bCs/>
                <w:color w:val="auto"/>
                <w:sz w:val="21"/>
                <w:szCs w:val="21"/>
              </w:rPr>
              <w:t>3</w:t>
            </w:r>
          </w:p>
        </w:tc>
        <w:tc>
          <w:tcPr>
            <w:tcW w:w="13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待宰</w:t>
            </w:r>
            <w:r>
              <w:rPr>
                <w:rFonts w:hint="default" w:ascii="Times New Roman" w:hAnsi="Times New Roman" w:eastAsia="宋体" w:cs="Times New Roman"/>
                <w:bCs/>
                <w:color w:val="auto"/>
                <w:sz w:val="21"/>
                <w:szCs w:val="21"/>
                <w:lang w:val="en-US" w:eastAsia="zh-CN"/>
              </w:rPr>
              <w:t>圈</w:t>
            </w:r>
            <w:r>
              <w:rPr>
                <w:rFonts w:hint="default" w:ascii="Times New Roman" w:hAnsi="Times New Roman" w:eastAsia="宋体" w:cs="Times New Roman"/>
                <w:bCs/>
                <w:color w:val="auto"/>
                <w:sz w:val="21"/>
                <w:szCs w:val="21"/>
              </w:rPr>
              <w:t>排气筒</w:t>
            </w:r>
          </w:p>
        </w:tc>
        <w:tc>
          <w:tcPr>
            <w:tcW w:w="279"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-35</w:t>
            </w:r>
          </w:p>
        </w:tc>
        <w:tc>
          <w:tcPr>
            <w:tcW w:w="380"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2</w:t>
            </w:r>
          </w:p>
        </w:tc>
        <w:tc>
          <w:tcPr>
            <w:tcW w:w="333"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175.1</w:t>
            </w:r>
          </w:p>
        </w:tc>
        <w:tc>
          <w:tcPr>
            <w:tcW w:w="333"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333" w:type="pct"/>
            <w:vAlign w:val="center"/>
          </w:tcPr>
          <w:p>
            <w:pPr>
              <w:spacing w:line="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0.3</w:t>
            </w:r>
            <w:r>
              <w:rPr>
                <w:rFonts w:hint="default" w:ascii="Times New Roman" w:hAnsi="Times New Roman" w:eastAsia="宋体" w:cs="Times New Roman"/>
                <w:color w:val="auto"/>
                <w:sz w:val="21"/>
                <w:szCs w:val="21"/>
                <w:lang w:val="en-US" w:eastAsia="zh-CN"/>
              </w:rPr>
              <w:t>0</w:t>
            </w:r>
          </w:p>
        </w:tc>
        <w:tc>
          <w:tcPr>
            <w:tcW w:w="406" w:type="pct"/>
            <w:vAlign w:val="center"/>
          </w:tcPr>
          <w:p>
            <w:pPr>
              <w:spacing w:line="0" w:lineRule="atLeast"/>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11.9</w:t>
            </w:r>
          </w:p>
        </w:tc>
        <w:tc>
          <w:tcPr>
            <w:tcW w:w="309"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382"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4080</w:t>
            </w:r>
          </w:p>
        </w:tc>
        <w:tc>
          <w:tcPr>
            <w:tcW w:w="303" w:type="pct"/>
            <w:vMerge w:val="continue"/>
            <w:vAlign w:val="center"/>
          </w:tcPr>
          <w:p>
            <w:pPr>
              <w:spacing w:line="0" w:lineRule="atLeast"/>
              <w:jc w:val="center"/>
              <w:rPr>
                <w:rFonts w:hint="default" w:ascii="Times New Roman" w:hAnsi="Times New Roman" w:eastAsia="宋体" w:cs="Times New Roman"/>
                <w:color w:val="FF0000"/>
                <w:sz w:val="21"/>
                <w:szCs w:val="21"/>
              </w:rPr>
            </w:pPr>
          </w:p>
        </w:tc>
        <w:tc>
          <w:tcPr>
            <w:tcW w:w="398" w:type="pct"/>
            <w:vAlign w:val="center"/>
          </w:tcPr>
          <w:p>
            <w:pPr>
              <w:spacing w:line="0" w:lineRule="atLeast"/>
              <w:jc w:val="center"/>
              <w:rPr>
                <w:rFonts w:hint="default" w:ascii="Times New Roman" w:hAnsi="Times New Roman" w:eastAsia="宋体" w:cs="Times New Roman"/>
                <w:bCs/>
                <w:color w:val="FF0000"/>
                <w:sz w:val="21"/>
                <w:szCs w:val="21"/>
                <w:lang w:val="en-US" w:eastAsia="zh-CN"/>
              </w:rPr>
            </w:pPr>
            <w:r>
              <w:rPr>
                <w:rFonts w:hint="eastAsia" w:ascii="Times New Roman" w:hAnsi="Times New Roman" w:eastAsia="宋体" w:cs="Times New Roman"/>
                <w:bCs/>
                <w:color w:val="auto"/>
                <w:sz w:val="21"/>
                <w:szCs w:val="21"/>
                <w:lang w:val="en-US" w:eastAsia="zh-CN"/>
              </w:rPr>
              <w:t>0.0195</w:t>
            </w:r>
          </w:p>
        </w:tc>
        <w:tc>
          <w:tcPr>
            <w:tcW w:w="359" w:type="pct"/>
            <w:vAlign w:val="center"/>
          </w:tcPr>
          <w:p>
            <w:pPr>
              <w:spacing w:line="0" w:lineRule="atLeast"/>
              <w:jc w:val="center"/>
              <w:rPr>
                <w:rFonts w:hint="default" w:ascii="Times New Roman" w:hAnsi="Times New Roman" w:eastAsia="宋体" w:cs="Times New Roman"/>
                <w:bCs/>
                <w:color w:val="FF0000"/>
                <w:sz w:val="21"/>
                <w:szCs w:val="21"/>
                <w:lang w:val="en-US" w:eastAsia="zh-CN"/>
              </w:rPr>
            </w:pPr>
            <w:r>
              <w:rPr>
                <w:rFonts w:hint="eastAsia" w:ascii="Times New Roman" w:hAnsi="Times New Roman" w:eastAsia="宋体" w:cs="Times New Roman"/>
                <w:snapToGrid w:val="0"/>
                <w:color w:val="auto"/>
                <w:sz w:val="21"/>
                <w:szCs w:val="21"/>
                <w:lang w:val="en-US" w:eastAsia="zh-CN"/>
              </w:rPr>
              <w:t>0.0029</w:t>
            </w:r>
          </w:p>
        </w:tc>
        <w:tc>
          <w:tcPr>
            <w:tcW w:w="275" w:type="pct"/>
            <w:vAlign w:val="center"/>
          </w:tcPr>
          <w:p>
            <w:pPr>
              <w:pStyle w:val="36"/>
              <w:snapToGrid w:val="0"/>
              <w:rPr>
                <w:rFonts w:hint="default" w:ascii="Times New Roman" w:hAnsi="Times New Roman" w:eastAsia="宋体" w:cs="Times New Roman"/>
                <w:bCs/>
                <w:color w:val="FF0000"/>
                <w:sz w:val="21"/>
                <w:szCs w:val="21"/>
              </w:rPr>
            </w:pPr>
            <w:r>
              <w:rPr>
                <w:rFonts w:hint="default" w:ascii="Times New Roman" w:hAnsi="Times New Roman" w:eastAsia="宋体" w:cs="Times New Roman"/>
                <w:color w:val="auto"/>
                <w:sz w:val="21"/>
                <w:szCs w:val="21"/>
                <w:highlight w:val="none"/>
                <w:lang w:val="en-US"/>
              </w:rPr>
              <w:t>/</w:t>
            </w:r>
          </w:p>
        </w:tc>
        <w:tc>
          <w:tcPr>
            <w:tcW w:w="302" w:type="pct"/>
            <w:vAlign w:val="center"/>
          </w:tcPr>
          <w:p>
            <w:pPr>
              <w:pStyle w:val="36"/>
              <w:snapToGrid w:val="0"/>
              <w:rPr>
                <w:rFonts w:hint="default" w:ascii="Times New Roman" w:hAnsi="Times New Roman" w:eastAsia="宋体" w:cs="Times New Roman"/>
                <w:bCs/>
                <w:color w:val="FF0000"/>
                <w:sz w:val="21"/>
                <w:szCs w:val="21"/>
              </w:rPr>
            </w:pPr>
            <w:r>
              <w:rPr>
                <w:rFonts w:hint="default" w:ascii="Times New Roman" w:hAnsi="Times New Roman" w:eastAsia="宋体" w:cs="Times New Roman"/>
                <w:color w:val="auto"/>
                <w:sz w:val="21"/>
                <w:szCs w:val="21"/>
                <w:highlight w:val="none"/>
                <w:lang w:val="en-US"/>
              </w:rPr>
              <w:t>/</w:t>
            </w:r>
          </w:p>
        </w:tc>
        <w:tc>
          <w:tcPr>
            <w:tcW w:w="325" w:type="pct"/>
            <w:vAlign w:val="center"/>
          </w:tcPr>
          <w:p>
            <w:pPr>
              <w:pStyle w:val="36"/>
              <w:snapToGrid w:val="0"/>
              <w:rPr>
                <w:rFonts w:hint="default" w:ascii="Times New Roman" w:hAnsi="Times New Roman" w:eastAsia="宋体" w:cs="Times New Roman"/>
                <w:bCs/>
                <w:color w:val="FF0000"/>
                <w:sz w:val="21"/>
                <w:szCs w:val="21"/>
              </w:rPr>
            </w:pPr>
            <w:r>
              <w:rPr>
                <w:rFonts w:hint="default" w:ascii="Times New Roman" w:hAnsi="Times New Roman" w:eastAsia="宋体" w:cs="Times New Roman"/>
                <w:color w:val="auto"/>
                <w:sz w:val="21"/>
                <w:szCs w:val="21"/>
                <w:highlight w:val="none"/>
                <w:lang w:val="en-US"/>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327" w:hRule="atLeast"/>
        </w:trPr>
        <w:tc>
          <w:tcPr>
            <w:tcW w:w="138" w:type="pct"/>
            <w:vAlign w:val="center"/>
          </w:tcPr>
          <w:p>
            <w:pPr>
              <w:spacing w:line="0" w:lineRule="atLeas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G4</w:t>
            </w:r>
          </w:p>
        </w:tc>
        <w:tc>
          <w:tcPr>
            <w:tcW w:w="138" w:type="pct"/>
            <w:vAlign w:val="center"/>
          </w:tcPr>
          <w:p>
            <w:pPr>
              <w:spacing w:line="0" w:lineRule="atLeas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锅炉房烟囱</w:t>
            </w:r>
          </w:p>
        </w:tc>
        <w:tc>
          <w:tcPr>
            <w:tcW w:w="279"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380"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8</w:t>
            </w:r>
          </w:p>
        </w:tc>
        <w:tc>
          <w:tcPr>
            <w:tcW w:w="333"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175.1</w:t>
            </w:r>
          </w:p>
        </w:tc>
        <w:tc>
          <w:tcPr>
            <w:tcW w:w="333"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333"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0.30</w:t>
            </w:r>
          </w:p>
        </w:tc>
        <w:tc>
          <w:tcPr>
            <w:tcW w:w="406"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8.5</w:t>
            </w:r>
          </w:p>
        </w:tc>
        <w:tc>
          <w:tcPr>
            <w:tcW w:w="30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382"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4080</w:t>
            </w:r>
          </w:p>
        </w:tc>
        <w:tc>
          <w:tcPr>
            <w:tcW w:w="303" w:type="pct"/>
            <w:vMerge w:val="continue"/>
            <w:vAlign w:val="center"/>
          </w:tcPr>
          <w:p>
            <w:pPr>
              <w:spacing w:line="0" w:lineRule="atLeast"/>
              <w:jc w:val="center"/>
              <w:rPr>
                <w:rFonts w:hint="default" w:ascii="Times New Roman" w:hAnsi="Times New Roman" w:eastAsia="宋体" w:cs="Times New Roman"/>
                <w:color w:val="FF0000"/>
                <w:sz w:val="21"/>
                <w:szCs w:val="21"/>
              </w:rPr>
            </w:pPr>
          </w:p>
        </w:tc>
        <w:tc>
          <w:tcPr>
            <w:tcW w:w="398" w:type="pct"/>
            <w:vAlign w:val="center"/>
          </w:tcPr>
          <w:p>
            <w:pPr>
              <w:pStyle w:val="36"/>
              <w:snapToGrid w:val="0"/>
              <w:rPr>
                <w:rFonts w:hint="default" w:ascii="Times New Roman" w:hAnsi="Times New Roman" w:eastAsia="宋体" w:cs="Times New Roman"/>
                <w:bCs/>
                <w:color w:val="FF0000"/>
                <w:sz w:val="21"/>
                <w:szCs w:val="21"/>
              </w:rPr>
            </w:pPr>
            <w:r>
              <w:rPr>
                <w:rFonts w:hint="default" w:ascii="Times New Roman" w:hAnsi="Times New Roman" w:eastAsia="宋体" w:cs="Times New Roman"/>
                <w:color w:val="auto"/>
                <w:sz w:val="21"/>
                <w:szCs w:val="21"/>
                <w:highlight w:val="none"/>
                <w:lang w:val="en-US"/>
              </w:rPr>
              <w:t>/</w:t>
            </w:r>
          </w:p>
        </w:tc>
        <w:tc>
          <w:tcPr>
            <w:tcW w:w="359" w:type="pct"/>
            <w:vAlign w:val="center"/>
          </w:tcPr>
          <w:p>
            <w:pPr>
              <w:pStyle w:val="36"/>
              <w:snapToGrid w:val="0"/>
              <w:rPr>
                <w:rFonts w:hint="default" w:ascii="Times New Roman" w:hAnsi="Times New Roman" w:eastAsia="宋体" w:cs="Times New Roman"/>
                <w:bCs/>
                <w:color w:val="FF0000"/>
                <w:sz w:val="21"/>
                <w:szCs w:val="21"/>
              </w:rPr>
            </w:pPr>
            <w:r>
              <w:rPr>
                <w:rFonts w:hint="default" w:ascii="Times New Roman" w:hAnsi="Times New Roman" w:eastAsia="宋体" w:cs="Times New Roman"/>
                <w:color w:val="auto"/>
                <w:sz w:val="21"/>
                <w:szCs w:val="21"/>
                <w:highlight w:val="none"/>
                <w:lang w:val="en-US"/>
              </w:rPr>
              <w:t>/</w:t>
            </w:r>
          </w:p>
        </w:tc>
        <w:tc>
          <w:tcPr>
            <w:tcW w:w="275" w:type="pct"/>
            <w:vAlign w:val="center"/>
          </w:tcPr>
          <w:p>
            <w:pPr>
              <w:spacing w:line="0" w:lineRule="atLeast"/>
              <w:jc w:val="center"/>
              <w:rPr>
                <w:rFonts w:hint="default" w:ascii="Times New Roman" w:hAnsi="Times New Roman" w:eastAsia="宋体" w:cs="Times New Roman"/>
                <w:bCs/>
                <w:color w:val="FF0000"/>
                <w:sz w:val="21"/>
                <w:szCs w:val="21"/>
                <w:lang w:val="en-US"/>
              </w:rPr>
            </w:pPr>
            <w:r>
              <w:rPr>
                <w:rFonts w:hint="eastAsia" w:ascii="Times New Roman" w:hAnsi="Times New Roman" w:eastAsia="宋体" w:cs="Times New Roman"/>
                <w:snapToGrid w:val="0"/>
                <w:color w:val="auto"/>
                <w:sz w:val="21"/>
                <w:szCs w:val="21"/>
                <w:lang w:val="en-US" w:eastAsia="zh-CN"/>
              </w:rPr>
              <w:t>0.002</w:t>
            </w:r>
          </w:p>
        </w:tc>
        <w:tc>
          <w:tcPr>
            <w:tcW w:w="302" w:type="pct"/>
            <w:vAlign w:val="center"/>
          </w:tcPr>
          <w:p>
            <w:pPr>
              <w:spacing w:line="0" w:lineRule="atLeast"/>
              <w:jc w:val="center"/>
              <w:rPr>
                <w:rFonts w:hint="default" w:ascii="Times New Roman" w:hAnsi="Times New Roman" w:eastAsia="宋体" w:cs="Times New Roman"/>
                <w:bCs/>
                <w:color w:val="FF0000"/>
                <w:sz w:val="21"/>
                <w:szCs w:val="21"/>
                <w:lang w:val="en-US"/>
              </w:rPr>
            </w:pPr>
            <w:r>
              <w:rPr>
                <w:rFonts w:hint="eastAsia" w:ascii="Times New Roman" w:hAnsi="Times New Roman" w:eastAsia="宋体" w:cs="Times New Roman"/>
                <w:snapToGrid w:val="0"/>
                <w:color w:val="auto"/>
                <w:sz w:val="21"/>
                <w:szCs w:val="21"/>
                <w:lang w:val="en-US" w:eastAsia="zh-CN"/>
              </w:rPr>
              <w:t>0.024</w:t>
            </w:r>
          </w:p>
        </w:tc>
        <w:tc>
          <w:tcPr>
            <w:tcW w:w="325" w:type="pct"/>
            <w:vAlign w:val="center"/>
          </w:tcPr>
          <w:p>
            <w:pPr>
              <w:spacing w:line="0" w:lineRule="atLeast"/>
              <w:jc w:val="center"/>
              <w:rPr>
                <w:rFonts w:hint="default" w:ascii="Times New Roman" w:hAnsi="Times New Roman" w:eastAsia="宋体" w:cs="Times New Roman"/>
                <w:bCs/>
                <w:color w:val="FF0000"/>
                <w:sz w:val="21"/>
                <w:szCs w:val="21"/>
                <w:lang w:val="en-US"/>
              </w:rPr>
            </w:pPr>
            <w:r>
              <w:rPr>
                <w:rFonts w:hint="eastAsia" w:ascii="Times New Roman" w:hAnsi="Times New Roman" w:eastAsia="宋体" w:cs="Times New Roman"/>
                <w:snapToGrid w:val="0"/>
                <w:color w:val="auto"/>
                <w:sz w:val="21"/>
                <w:szCs w:val="21"/>
                <w:lang w:val="en-US" w:eastAsia="zh-CN"/>
              </w:rPr>
              <w:t>0.008</w:t>
            </w:r>
          </w:p>
        </w:tc>
      </w:tr>
    </w:tbl>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pP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表5-2-3主要废气污染源参数一览表(矩形面源)</w:t>
      </w:r>
    </w:p>
    <w:tbl>
      <w:tblPr>
        <w:tblStyle w:val="24"/>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5"/>
        <w:gridCol w:w="406"/>
        <w:gridCol w:w="363"/>
        <w:gridCol w:w="400"/>
        <w:gridCol w:w="762"/>
        <w:gridCol w:w="762"/>
        <w:gridCol w:w="762"/>
        <w:gridCol w:w="685"/>
        <w:gridCol w:w="762"/>
        <w:gridCol w:w="705"/>
        <w:gridCol w:w="406"/>
        <w:gridCol w:w="799"/>
        <w:gridCol w:w="1001"/>
        <w:gridCol w:w="10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 w:hRule="atLeast"/>
          <w:jc w:val="center"/>
        </w:trPr>
        <w:tc>
          <w:tcPr>
            <w:tcW w:w="217"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编号</w:t>
            </w:r>
          </w:p>
        </w:tc>
        <w:tc>
          <w:tcPr>
            <w:tcW w:w="218"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410" w:type="pct"/>
            <w:gridSpan w:val="2"/>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面源各顶点坐标（</w:t>
            </w:r>
            <w:r>
              <w:rPr>
                <w:rFonts w:hint="default" w:ascii="Times New Roman" w:hAnsi="Times New Roman" w:eastAsia="Times New Roman" w:cs="Times New Roman"/>
                <w:spacing w:val="9"/>
                <w:sz w:val="20"/>
                <w:szCs w:val="20"/>
              </w:rPr>
              <w:t>m</w:t>
            </w:r>
            <w:r>
              <w:rPr>
                <w:rFonts w:hint="default" w:ascii="Times New Roman" w:hAnsi="Times New Roman" w:eastAsia="宋体" w:cs="Times New Roman"/>
                <w:color w:val="auto"/>
                <w:sz w:val="21"/>
                <w:szCs w:val="21"/>
              </w:rPr>
              <w:t>）</w:t>
            </w:r>
          </w:p>
        </w:tc>
        <w:tc>
          <w:tcPr>
            <w:tcW w:w="410"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面源海拔高度（m）</w:t>
            </w:r>
          </w:p>
        </w:tc>
        <w:tc>
          <w:tcPr>
            <w:tcW w:w="410"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面源长度（m）</w:t>
            </w:r>
          </w:p>
        </w:tc>
        <w:tc>
          <w:tcPr>
            <w:tcW w:w="410"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面源</w:t>
            </w:r>
          </w:p>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宽度</w:t>
            </w:r>
          </w:p>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p>
        </w:tc>
        <w:tc>
          <w:tcPr>
            <w:tcW w:w="368"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与正北向夹角（°）</w:t>
            </w:r>
          </w:p>
        </w:tc>
        <w:tc>
          <w:tcPr>
            <w:tcW w:w="410" w:type="pct"/>
            <w:vMerge w:val="restar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面源有效排放高度（m）</w:t>
            </w:r>
          </w:p>
        </w:tc>
        <w:tc>
          <w:tcPr>
            <w:tcW w:w="379"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年排放小时数（h）</w:t>
            </w:r>
          </w:p>
        </w:tc>
        <w:tc>
          <w:tcPr>
            <w:tcW w:w="218"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排放工况</w:t>
            </w:r>
          </w:p>
        </w:tc>
        <w:tc>
          <w:tcPr>
            <w:tcW w:w="1545" w:type="pct"/>
            <w:gridSpan w:val="3"/>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217"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21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195" w:type="pct"/>
            <w:vAlign w:val="center"/>
          </w:tcPr>
          <w:p>
            <w:pPr>
              <w:spacing w:line="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X</w:t>
            </w:r>
          </w:p>
        </w:tc>
        <w:tc>
          <w:tcPr>
            <w:tcW w:w="215" w:type="pct"/>
            <w:vAlign w:val="center"/>
          </w:tcPr>
          <w:p>
            <w:pPr>
              <w:spacing w:line="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Y</w:t>
            </w:r>
          </w:p>
        </w:tc>
        <w:tc>
          <w:tcPr>
            <w:tcW w:w="410"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10"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10"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6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10"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379"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21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30"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p>
        </w:tc>
        <w:tc>
          <w:tcPr>
            <w:tcW w:w="538"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S</w:t>
            </w:r>
          </w:p>
        </w:tc>
        <w:tc>
          <w:tcPr>
            <w:tcW w:w="576"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非甲烷总烃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217"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1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屠宰车间</w:t>
            </w:r>
          </w:p>
        </w:tc>
        <w:tc>
          <w:tcPr>
            <w:tcW w:w="195"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w:t>
            </w:r>
          </w:p>
        </w:tc>
        <w:tc>
          <w:tcPr>
            <w:tcW w:w="215"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w:t>
            </w:r>
          </w:p>
        </w:tc>
        <w:tc>
          <w:tcPr>
            <w:tcW w:w="410" w:type="pct"/>
            <w:vAlign w:val="center"/>
          </w:tcPr>
          <w:p>
            <w:pPr>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lang w:val="en-US" w:eastAsia="zh-CN"/>
              </w:rPr>
              <w:t>175.1</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368"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410" w:type="pct"/>
            <w:vAlign w:val="center"/>
          </w:tcPr>
          <w:p>
            <w:pPr>
              <w:spacing w:line="0" w:lineRule="atLeast"/>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4</w:t>
            </w:r>
          </w:p>
        </w:tc>
        <w:tc>
          <w:tcPr>
            <w:tcW w:w="37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2720</w:t>
            </w:r>
          </w:p>
        </w:tc>
        <w:tc>
          <w:tcPr>
            <w:tcW w:w="218"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正常排放</w:t>
            </w:r>
          </w:p>
        </w:tc>
        <w:tc>
          <w:tcPr>
            <w:tcW w:w="430" w:type="pct"/>
            <w:vAlign w:val="center"/>
          </w:tcPr>
          <w:p>
            <w:pPr>
              <w:spacing w:line="0" w:lineRule="atLeast"/>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0.0017</w:t>
            </w:r>
          </w:p>
        </w:tc>
        <w:tc>
          <w:tcPr>
            <w:tcW w:w="538" w:type="pct"/>
            <w:vAlign w:val="center"/>
          </w:tcPr>
          <w:p>
            <w:pPr>
              <w:spacing w:line="0" w:lineRule="atLeast"/>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0.00008</w:t>
            </w:r>
          </w:p>
        </w:tc>
        <w:tc>
          <w:tcPr>
            <w:tcW w:w="576"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217"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1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污水处理站</w:t>
            </w:r>
          </w:p>
        </w:tc>
        <w:tc>
          <w:tcPr>
            <w:tcW w:w="195"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23</w:t>
            </w:r>
          </w:p>
        </w:tc>
        <w:tc>
          <w:tcPr>
            <w:tcW w:w="215"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5</w:t>
            </w:r>
          </w:p>
        </w:tc>
        <w:tc>
          <w:tcPr>
            <w:tcW w:w="410" w:type="pct"/>
            <w:vAlign w:val="center"/>
          </w:tcPr>
          <w:p>
            <w:pPr>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lang w:val="en-US" w:eastAsia="zh-CN"/>
              </w:rPr>
              <w:t>175.1</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368"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410" w:type="pct"/>
            <w:vAlign w:val="center"/>
          </w:tcPr>
          <w:p>
            <w:pPr>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37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4080</w:t>
            </w:r>
          </w:p>
        </w:tc>
        <w:tc>
          <w:tcPr>
            <w:tcW w:w="21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30"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0.000</w:t>
            </w:r>
            <w:r>
              <w:rPr>
                <w:rFonts w:hint="eastAsia" w:ascii="Times New Roman" w:hAnsi="Times New Roman" w:eastAsia="宋体" w:cs="Times New Roman"/>
                <w:bCs/>
                <w:color w:val="auto"/>
                <w:sz w:val="21"/>
                <w:szCs w:val="21"/>
                <w:lang w:val="en-US" w:eastAsia="zh-CN"/>
              </w:rPr>
              <w:t>9</w:t>
            </w:r>
          </w:p>
        </w:tc>
        <w:tc>
          <w:tcPr>
            <w:tcW w:w="538"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0.0000</w:t>
            </w:r>
            <w:r>
              <w:rPr>
                <w:rFonts w:hint="eastAsia" w:ascii="Times New Roman" w:hAnsi="Times New Roman" w:eastAsia="宋体" w:cs="Times New Roman"/>
                <w:bCs/>
                <w:color w:val="auto"/>
                <w:sz w:val="21"/>
                <w:szCs w:val="21"/>
                <w:lang w:val="en-US" w:eastAsia="zh-CN"/>
              </w:rPr>
              <w:t>3</w:t>
            </w:r>
          </w:p>
        </w:tc>
        <w:tc>
          <w:tcPr>
            <w:tcW w:w="576" w:type="pct"/>
            <w:vAlign w:val="center"/>
          </w:tcPr>
          <w:p>
            <w:pPr>
              <w:spacing w:line="0" w:lineRule="atLeas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217"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18" w:type="pct"/>
            <w:vAlign w:val="center"/>
          </w:tcPr>
          <w:p>
            <w:pPr>
              <w:spacing w:line="0" w:lineRule="atLeas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待宰间</w:t>
            </w:r>
          </w:p>
        </w:tc>
        <w:tc>
          <w:tcPr>
            <w:tcW w:w="195"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-35</w:t>
            </w:r>
          </w:p>
        </w:tc>
        <w:tc>
          <w:tcPr>
            <w:tcW w:w="215"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w:t>
            </w:r>
          </w:p>
        </w:tc>
        <w:tc>
          <w:tcPr>
            <w:tcW w:w="410" w:type="pct"/>
            <w:vAlign w:val="center"/>
          </w:tcPr>
          <w:p>
            <w:pPr>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lang w:val="en-US" w:eastAsia="zh-CN"/>
              </w:rPr>
              <w:t>175.1</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w:t>
            </w:r>
          </w:p>
        </w:tc>
        <w:tc>
          <w:tcPr>
            <w:tcW w:w="368"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410" w:type="pct"/>
            <w:vAlign w:val="center"/>
          </w:tcPr>
          <w:p>
            <w:pPr>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37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4080</w:t>
            </w:r>
          </w:p>
        </w:tc>
        <w:tc>
          <w:tcPr>
            <w:tcW w:w="21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30"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1625</w:t>
            </w:r>
          </w:p>
        </w:tc>
        <w:tc>
          <w:tcPr>
            <w:tcW w:w="538" w:type="pct"/>
            <w:vAlign w:val="center"/>
          </w:tcPr>
          <w:p>
            <w:pPr>
              <w:spacing w:line="0" w:lineRule="atLeast"/>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0.00244</w:t>
            </w:r>
          </w:p>
        </w:tc>
        <w:tc>
          <w:tcPr>
            <w:tcW w:w="576"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217"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218" w:type="pct"/>
            <w:vAlign w:val="center"/>
          </w:tcPr>
          <w:p>
            <w:pPr>
              <w:spacing w:line="0" w:lineRule="atLeas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固废暂存间</w:t>
            </w:r>
          </w:p>
        </w:tc>
        <w:tc>
          <w:tcPr>
            <w:tcW w:w="195"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w:t>
            </w:r>
          </w:p>
        </w:tc>
        <w:tc>
          <w:tcPr>
            <w:tcW w:w="215"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175.1</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368"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410" w:type="pct"/>
            <w:vAlign w:val="center"/>
          </w:tcPr>
          <w:p>
            <w:pPr>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37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4080</w:t>
            </w:r>
          </w:p>
        </w:tc>
        <w:tc>
          <w:tcPr>
            <w:tcW w:w="21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30" w:type="pct"/>
            <w:vAlign w:val="center"/>
          </w:tcPr>
          <w:p>
            <w:pPr>
              <w:spacing w:line="0" w:lineRule="atLeast"/>
              <w:jc w:val="center"/>
              <w:rPr>
                <w:rFonts w:hint="default" w:ascii="Times New Roman" w:hAnsi="Times New Roman" w:eastAsia="宋体" w:cs="Times New Roman"/>
                <w:bCs/>
                <w:snapToGrid w:val="0"/>
                <w:color w:val="auto"/>
                <w:sz w:val="21"/>
                <w:szCs w:val="21"/>
                <w:lang w:val="en-US" w:eastAsia="zh-CN"/>
              </w:rPr>
            </w:pPr>
            <w:r>
              <w:rPr>
                <w:rFonts w:hint="default" w:ascii="Times New Roman" w:hAnsi="Times New Roman" w:eastAsia="宋体" w:cs="Times New Roman"/>
                <w:bCs/>
                <w:snapToGrid w:val="0"/>
                <w:color w:val="auto"/>
                <w:sz w:val="21"/>
                <w:szCs w:val="21"/>
                <w:lang w:val="en-US" w:eastAsia="zh-CN"/>
              </w:rPr>
              <w:t>0.001</w:t>
            </w:r>
          </w:p>
        </w:tc>
        <w:tc>
          <w:tcPr>
            <w:tcW w:w="538"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0.00005</w:t>
            </w:r>
          </w:p>
        </w:tc>
        <w:tc>
          <w:tcPr>
            <w:tcW w:w="576"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217"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218" w:type="pct"/>
            <w:vAlign w:val="center"/>
          </w:tcPr>
          <w:p>
            <w:pPr>
              <w:spacing w:line="0" w:lineRule="atLeas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柴油储罐</w:t>
            </w:r>
          </w:p>
        </w:tc>
        <w:tc>
          <w:tcPr>
            <w:tcW w:w="195"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215"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175.1</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410"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368"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410" w:type="pct"/>
            <w:vAlign w:val="center"/>
          </w:tcPr>
          <w:p>
            <w:pPr>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379"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4080</w:t>
            </w:r>
          </w:p>
        </w:tc>
        <w:tc>
          <w:tcPr>
            <w:tcW w:w="218"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430" w:type="pct"/>
            <w:vAlign w:val="center"/>
          </w:tcPr>
          <w:p>
            <w:pPr>
              <w:spacing w:line="0" w:lineRule="atLeast"/>
              <w:jc w:val="center"/>
              <w:rPr>
                <w:rFonts w:hint="default" w:ascii="Times New Roman" w:hAnsi="Times New Roman" w:eastAsia="宋体" w:cs="Times New Roman"/>
                <w:bCs/>
                <w:snapToGrid w:val="0"/>
                <w:color w:val="auto"/>
                <w:sz w:val="21"/>
                <w:szCs w:val="21"/>
                <w:lang w:val="en-US" w:eastAsia="zh-CN"/>
              </w:rPr>
            </w:pPr>
            <w:r>
              <w:rPr>
                <w:rFonts w:hint="default" w:ascii="Times New Roman" w:hAnsi="Times New Roman" w:eastAsia="宋体" w:cs="Times New Roman"/>
                <w:bCs/>
                <w:snapToGrid w:val="0"/>
                <w:color w:val="auto"/>
                <w:sz w:val="21"/>
                <w:szCs w:val="21"/>
                <w:lang w:val="en-US" w:eastAsia="zh-CN"/>
              </w:rPr>
              <w:t>/</w:t>
            </w:r>
          </w:p>
        </w:tc>
        <w:tc>
          <w:tcPr>
            <w:tcW w:w="538"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76"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0.000</w:t>
            </w:r>
            <w:r>
              <w:rPr>
                <w:rFonts w:hint="eastAsia" w:ascii="Times New Roman" w:hAnsi="Times New Roman" w:eastAsia="宋体" w:cs="Times New Roman"/>
                <w:color w:val="auto"/>
                <w:sz w:val="21"/>
                <w:szCs w:val="21"/>
                <w:lang w:val="en-US" w:eastAsia="zh-CN"/>
              </w:rPr>
              <w:t>7</w:t>
            </w:r>
          </w:p>
        </w:tc>
      </w:tr>
    </w:tbl>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pP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表5-2-4估算模式参数表</w:t>
      </w:r>
    </w:p>
    <w:tbl>
      <w:tblPr>
        <w:tblStyle w:val="24"/>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471"/>
        <w:gridCol w:w="1649"/>
        <w:gridCol w:w="1478"/>
        <w:gridCol w:w="469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参数</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取值</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1"/>
                <w:sz w:val="21"/>
                <w:szCs w:val="21"/>
              </w:rPr>
              <w:t>参数选取依据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1"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城市农村/选项</w:t>
            </w:r>
          </w:p>
        </w:tc>
        <w:tc>
          <w:tcPr>
            <w:tcW w:w="88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城市/农村</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农村</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根据《环境影响评价技术导则 大气环境》（HJ 2.2-2018）附录B中B.6.1 城市/农村选项：“当项目周边3km半径范围内一半以上面积属于城市建成区或者规划区时，选择城市，否则选择农村”。根据对本项目厂址周边3km半径范围内的为农村，故本次评价选取农村选项。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1"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88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人口数(城市人口数)</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最高环境温度</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36.7</w:t>
            </w:r>
            <w:r>
              <w:rPr>
                <w:rFonts w:hint="default" w:ascii="Times New Roman" w:hAnsi="Times New Roman" w:eastAsia="宋体" w:cs="Times New Roman"/>
                <w:color w:val="auto"/>
                <w:sz w:val="21"/>
                <w:szCs w:val="21"/>
              </w:rPr>
              <w:t>℃</w:t>
            </w:r>
          </w:p>
        </w:tc>
        <w:tc>
          <w:tcPr>
            <w:tcW w:w="2526"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最高及最低环境温度取值来源于</w:t>
            </w:r>
            <w:r>
              <w:rPr>
                <w:rFonts w:hint="default" w:ascii="Times New Roman" w:hAnsi="Times New Roman" w:eastAsia="宋体" w:cs="Times New Roman"/>
                <w:color w:val="auto"/>
                <w:sz w:val="21"/>
                <w:szCs w:val="21"/>
                <w:lang w:val="en-US" w:eastAsia="zh-CN"/>
              </w:rPr>
              <w:t>巴彦县</w:t>
            </w:r>
            <w:r>
              <w:rPr>
                <w:rFonts w:hint="default" w:ascii="Times New Roman" w:hAnsi="Times New Roman" w:eastAsia="宋体" w:cs="Times New Roman"/>
                <w:color w:val="auto"/>
                <w:sz w:val="21"/>
                <w:szCs w:val="21"/>
              </w:rPr>
              <w:t>二十年气象数据统计结果。</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最低环境温度</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-38.1℃</w:t>
            </w:r>
          </w:p>
        </w:tc>
        <w:tc>
          <w:tcPr>
            <w:tcW w:w="2526" w:type="pct"/>
            <w:vMerge w:val="continue"/>
            <w:vAlign w:val="center"/>
          </w:tcPr>
          <w:p>
            <w:pPr>
              <w:spacing w:line="0" w:lineRule="atLeast"/>
              <w:jc w:val="center"/>
              <w:rPr>
                <w:rFonts w:hint="default" w:ascii="Times New Roman" w:hAnsi="Times New Roman" w:eastAsia="宋体" w:cs="Times New Roman"/>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土地利用类型</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农作地</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厂址周边3km半径范围内占地面积最大的土地利用类型为农作地，故本次评价选取农作地。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678" w:type="pct"/>
            <w:gridSpan w:val="2"/>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区域湿度条件</w:t>
            </w:r>
          </w:p>
        </w:tc>
        <w:tc>
          <w:tcPr>
            <w:tcW w:w="795" w:type="pct"/>
            <w:vAlign w:val="center"/>
          </w:tcPr>
          <w:p>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中等湿度</w:t>
            </w:r>
            <w:r>
              <w:rPr>
                <w:rFonts w:hint="default" w:ascii="Times New Roman" w:hAnsi="Times New Roman" w:eastAsia="宋体" w:cs="Times New Roman"/>
                <w:color w:val="auto"/>
                <w:sz w:val="21"/>
                <w:szCs w:val="21"/>
                <w:lang w:val="en-US" w:eastAsia="zh-CN"/>
              </w:rPr>
              <w:t>气候</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根据中国干湿地区划分图判断，本项目属于中等湿度气候。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1"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是否考虑地形</w:t>
            </w:r>
          </w:p>
        </w:tc>
        <w:tc>
          <w:tcPr>
            <w:tcW w:w="88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考虑地形</w:t>
            </w:r>
          </w:p>
        </w:tc>
        <w:tc>
          <w:tcPr>
            <w:tcW w:w="795" w:type="pct"/>
            <w:vAlign w:val="center"/>
          </w:tcPr>
          <w:p>
            <w:pPr>
              <w:spacing w:line="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否</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根据《环境影响评价技术导则 大气环境》（HJ 2.2-2018）中5.3.2.2：“编制环境影响报告书的项目在采用估算模型计算评价等级时，应输入地形参数”。故本次评价考虑地形。</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1"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88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地形数据分辨率(m)</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根据EIA2018大气预测软件的DEM地形文件，地形数据分辨率90m。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1" w:type="pct"/>
            <w:vMerge w:val="restar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是否考虑海岸线熏烟</w:t>
            </w:r>
          </w:p>
        </w:tc>
        <w:tc>
          <w:tcPr>
            <w:tcW w:w="88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考虑海岸线熏烟</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根据《环境影响评价技术导则 大气环境》（HJ 2.2-2018）附录B中B6.2岸边熏烟选项：“对估算模型AERSCREEN,当污染源附近3km范围内有大型水体时，需选择岸边熏烟选项”。本项目附近3km范围内无大型水体时，故不考虑岸边熏烟。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1"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88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海岸线距离/km</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791" w:type="pct"/>
            <w:vMerge w:val="continue"/>
            <w:vAlign w:val="center"/>
          </w:tcPr>
          <w:p>
            <w:pPr>
              <w:spacing w:line="0" w:lineRule="atLeast"/>
              <w:jc w:val="center"/>
              <w:rPr>
                <w:rFonts w:hint="default" w:ascii="Times New Roman" w:hAnsi="Times New Roman" w:eastAsia="宋体" w:cs="Times New Roman"/>
                <w:color w:val="auto"/>
                <w:sz w:val="21"/>
                <w:szCs w:val="21"/>
              </w:rPr>
            </w:pPr>
          </w:p>
        </w:tc>
        <w:tc>
          <w:tcPr>
            <w:tcW w:w="88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海岸线方向/</w:t>
            </w:r>
            <w:r>
              <w:rPr>
                <w:rFonts w:hint="default" w:ascii="Times New Roman" w:hAnsi="Times New Roman" w:eastAsia="宋体" w:cs="Times New Roman"/>
                <w:color w:val="auto"/>
                <w:sz w:val="21"/>
                <w:szCs w:val="21"/>
                <w:vertAlign w:val="superscript"/>
              </w:rPr>
              <w:t>o</w:t>
            </w:r>
          </w:p>
        </w:tc>
        <w:tc>
          <w:tcPr>
            <w:tcW w:w="795"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526" w:type="pct"/>
            <w:vAlign w:val="center"/>
          </w:tcPr>
          <w:p>
            <w:pPr>
              <w:spacing w:line="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eastAsia" w:ascii="Times New Roman" w:hAnsi="Times New Roman" w:eastAsia="宋体" w:cs="Times New Roman"/>
          <w:spacing w:val="6"/>
          <w:sz w:val="20"/>
          <w:szCs w:val="20"/>
          <w:lang w:eastAsia="zh-CN"/>
          <w14:textOutline w14:w="3795" w14:cap="sq" w14:cmpd="sng">
            <w14:solidFill>
              <w14:srgbClr w14:val="000000"/>
            </w14:solidFill>
            <w14:prstDash w14:val="solid"/>
            <w14:bevel/>
          </w14:textOutline>
        </w:rPr>
      </w:pP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表5-2-5有组织排放估算模式的计算结果</w:t>
      </w:r>
    </w:p>
    <w:tbl>
      <w:tblPr>
        <w:tblStyle w:val="24"/>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57"/>
        <w:gridCol w:w="2175"/>
        <w:gridCol w:w="1709"/>
        <w:gridCol w:w="1709"/>
        <w:gridCol w:w="17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053" w:type="pct"/>
            <w:vMerge w:val="restar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距离（m）</w:t>
            </w:r>
          </w:p>
        </w:tc>
        <w:tc>
          <w:tcPr>
            <w:tcW w:w="3946" w:type="pct"/>
            <w:gridSpan w:val="4"/>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屠宰</w:t>
            </w:r>
            <w:r>
              <w:rPr>
                <w:rFonts w:hint="eastAsia" w:ascii="Times New Roman" w:hAnsi="Times New Roman" w:eastAsia="宋体" w:cs="Times New Roman"/>
                <w:color w:val="auto"/>
                <w:sz w:val="21"/>
                <w:szCs w:val="21"/>
                <w:lang w:val="en-US" w:eastAsia="zh-CN"/>
              </w:rPr>
              <w:t>加工</w:t>
            </w:r>
            <w:r>
              <w:rPr>
                <w:rFonts w:hint="default" w:ascii="Times New Roman" w:hAnsi="Times New Roman" w:eastAsia="宋体" w:cs="Times New Roman"/>
                <w:color w:val="auto"/>
                <w:sz w:val="21"/>
                <w:szCs w:val="21"/>
              </w:rPr>
              <w:t>车间排气筒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53" w:type="pct"/>
            <w:vMerge w:val="continue"/>
            <w:vAlign w:val="center"/>
          </w:tcPr>
          <w:p>
            <w:pPr>
              <w:spacing w:line="0" w:lineRule="atLeast"/>
              <w:contextualSpacing/>
              <w:jc w:val="center"/>
              <w:rPr>
                <w:rFonts w:hint="default" w:ascii="Times New Roman" w:hAnsi="Times New Roman" w:eastAsia="宋体" w:cs="Times New Roman"/>
                <w:color w:val="auto"/>
                <w:sz w:val="21"/>
                <w:szCs w:val="21"/>
              </w:rPr>
            </w:pPr>
          </w:p>
        </w:tc>
        <w:tc>
          <w:tcPr>
            <w:tcW w:w="2089"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p>
        </w:tc>
        <w:tc>
          <w:tcPr>
            <w:tcW w:w="1856"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053" w:type="pct"/>
            <w:vMerge w:val="continue"/>
            <w:vAlign w:val="center"/>
          </w:tcPr>
          <w:p>
            <w:pPr>
              <w:spacing w:line="0" w:lineRule="atLeast"/>
              <w:contextualSpacing/>
              <w:jc w:val="center"/>
              <w:rPr>
                <w:rFonts w:hint="default" w:ascii="Times New Roman" w:hAnsi="Times New Roman" w:eastAsia="宋体" w:cs="Times New Roman"/>
                <w:color w:val="auto"/>
                <w:sz w:val="21"/>
                <w:szCs w:val="21"/>
              </w:rPr>
            </w:pP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预测质量浓度/(μg/m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kern w:val="0"/>
                <w:sz w:val="21"/>
                <w:szCs w:val="21"/>
              </w:rPr>
              <w:t>)</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占标率%</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预测质量浓度/(μg/m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kern w:val="0"/>
                <w:sz w:val="21"/>
                <w:szCs w:val="21"/>
              </w:rPr>
              <w:t>)</w:t>
            </w:r>
          </w:p>
        </w:tc>
        <w:tc>
          <w:tcPr>
            <w:tcW w:w="936" w:type="pct"/>
            <w:vAlign w:val="center"/>
          </w:tcPr>
          <w:p>
            <w:pPr>
              <w:tabs>
                <w:tab w:val="left" w:pos="420"/>
              </w:tabs>
              <w:autoSpaceDE w:val="0"/>
              <w:autoSpaceDN w:val="0"/>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1.42E-04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0.07</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7.08E-06</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1.42E-04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0.07</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7.08E-06</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1.56E-04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0.08</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7.82E-06</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1.45E-04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0.07</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7.23E-06</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1.17E-04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0.06</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5.84E-06</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9.56E-05</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0.05</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4.78E-06</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9.65E-05</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0.05</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4.83E-06</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9.34E-05</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0.05</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4.67E-06</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8.86E-05</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0.04</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4.43E-06</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8.33E-05</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0.04</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4.16E-06</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7.79E-05</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0.04</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3.90E-06</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5.26E-05</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0.03</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2.63E-06</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4.24E-05</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0.02</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2.12E-06</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3.73E-05</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0.02</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1.87E-06</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1.52E-05</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0.01</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7.59E-07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8.06E-06</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4.03E-07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6.34E-06</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3.17E-07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下风向最大浓度</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1.62E-04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0.08</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8.11E-06</w:t>
            </w:r>
          </w:p>
        </w:tc>
        <w:tc>
          <w:tcPr>
            <w:tcW w:w="936" w:type="pct"/>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下风向最大浓度出现距离</w:t>
            </w:r>
          </w:p>
        </w:tc>
        <w:tc>
          <w:tcPr>
            <w:tcW w:w="3946" w:type="pct"/>
            <w:gridSpan w:val="4"/>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67</w:t>
            </w:r>
            <w:r>
              <w:rPr>
                <w:rFonts w:hint="default" w:ascii="Times New Roman" w:hAnsi="Times New Roman" w:eastAsia="宋体" w:cs="Times New Roman"/>
                <w:color w:val="auto"/>
                <w:sz w:val="21"/>
                <w:szCs w:val="21"/>
              </w:rPr>
              <w:t>m</w:t>
            </w:r>
          </w:p>
        </w:tc>
      </w:tr>
    </w:tbl>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pP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表5-2-6有组织排放估算模式的计算结果</w:t>
      </w:r>
    </w:p>
    <w:tbl>
      <w:tblPr>
        <w:tblStyle w:val="24"/>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57"/>
        <w:gridCol w:w="2175"/>
        <w:gridCol w:w="1709"/>
        <w:gridCol w:w="1709"/>
        <w:gridCol w:w="17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053" w:type="pct"/>
            <w:vMerge w:val="restar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距离（m）</w:t>
            </w:r>
          </w:p>
        </w:tc>
        <w:tc>
          <w:tcPr>
            <w:tcW w:w="3946" w:type="pct"/>
            <w:gridSpan w:val="4"/>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污水处理站排气筒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53" w:type="pct"/>
            <w:vMerge w:val="continue"/>
            <w:vAlign w:val="center"/>
          </w:tcPr>
          <w:p>
            <w:pPr>
              <w:spacing w:line="0" w:lineRule="atLeast"/>
              <w:contextualSpacing/>
              <w:jc w:val="center"/>
              <w:rPr>
                <w:rFonts w:hint="default" w:ascii="Times New Roman" w:hAnsi="Times New Roman" w:eastAsia="宋体" w:cs="Times New Roman"/>
                <w:color w:val="auto"/>
                <w:sz w:val="21"/>
                <w:szCs w:val="21"/>
              </w:rPr>
            </w:pPr>
          </w:p>
        </w:tc>
        <w:tc>
          <w:tcPr>
            <w:tcW w:w="2089"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p>
        </w:tc>
        <w:tc>
          <w:tcPr>
            <w:tcW w:w="1856"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053" w:type="pct"/>
            <w:vMerge w:val="continue"/>
            <w:vAlign w:val="center"/>
          </w:tcPr>
          <w:p>
            <w:pPr>
              <w:spacing w:line="0" w:lineRule="atLeast"/>
              <w:contextualSpacing/>
              <w:jc w:val="center"/>
              <w:rPr>
                <w:rFonts w:hint="default" w:ascii="Times New Roman" w:hAnsi="Times New Roman" w:eastAsia="宋体" w:cs="Times New Roman"/>
                <w:color w:val="auto"/>
                <w:sz w:val="21"/>
                <w:szCs w:val="21"/>
              </w:rPr>
            </w:pP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预测质量浓度/(μg/m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kern w:val="0"/>
                <w:sz w:val="21"/>
                <w:szCs w:val="21"/>
              </w:rPr>
              <w:t>)</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占标率%</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预测质量浓度/(μg/m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kern w:val="0"/>
                <w:sz w:val="21"/>
                <w:szCs w:val="21"/>
              </w:rPr>
              <w:t>)</w:t>
            </w:r>
          </w:p>
        </w:tc>
        <w:tc>
          <w:tcPr>
            <w:tcW w:w="937" w:type="pct"/>
            <w:vAlign w:val="center"/>
          </w:tcPr>
          <w:p>
            <w:pPr>
              <w:tabs>
                <w:tab w:val="left" w:pos="420"/>
              </w:tabs>
              <w:autoSpaceDE w:val="0"/>
              <w:autoSpaceDN w:val="0"/>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1.27E-06</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5.10E-07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1.27E-06</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5.10E-07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1.41E-06</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5.63E-07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1.30E-06</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5.21E-07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1.05E-06</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4.20E-07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8.60E-07</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3.44E-07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8.69E-07</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3.47E-07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8.41E-07</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3.36E-07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7.98E-07</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3.19E-07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7.50E-07</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3.00E-07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7.01E-07</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2.80E-07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4.73E-07</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1.89E-07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3.82E-07</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1.53E-07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3.36E-07</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1.34E-07</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1.37E-07</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5.46E-08</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7.25E-08</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2.90E-08</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25000</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5.70E-08</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c>
          <w:tcPr>
            <w:tcW w:w="1748"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2.28E-08</w:t>
            </w:r>
          </w:p>
        </w:tc>
        <w:tc>
          <w:tcPr>
            <w:tcW w:w="1784" w:type="dxa"/>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下风向最大浓度</w:t>
            </w:r>
          </w:p>
        </w:tc>
        <w:tc>
          <w:tcPr>
            <w:tcW w:w="117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1.46E-06</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5.84E-07</w:t>
            </w:r>
          </w:p>
        </w:tc>
        <w:tc>
          <w:tcPr>
            <w:tcW w:w="937" w:type="pct"/>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z w:val="21"/>
                <w:szCs w:val="21"/>
              </w:rPr>
              <w:t>0.</w:t>
            </w:r>
            <w:r>
              <w:rPr>
                <w:rFonts w:hint="default" w:ascii="Times New Roman" w:hAnsi="Times New Roman" w:eastAsia="宋体" w:cs="Times New Roman"/>
                <w:sz w:val="21"/>
                <w:szCs w:val="21"/>
                <w:lang w:val="en-US" w:eastAsia="zh-CN"/>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1053"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下风向最大浓度出现距离</w:t>
            </w:r>
          </w:p>
        </w:tc>
        <w:tc>
          <w:tcPr>
            <w:tcW w:w="3946" w:type="pct"/>
            <w:gridSpan w:val="4"/>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67</w:t>
            </w:r>
            <w:r>
              <w:rPr>
                <w:rFonts w:hint="default" w:ascii="Times New Roman" w:hAnsi="Times New Roman" w:eastAsia="宋体" w:cs="Times New Roman"/>
                <w:color w:val="auto"/>
                <w:sz w:val="21"/>
                <w:szCs w:val="21"/>
              </w:rPr>
              <w:t>m</w:t>
            </w:r>
          </w:p>
        </w:tc>
      </w:tr>
    </w:tbl>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pP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表5-2-7有组织排放估算模式的计算结果</w:t>
      </w:r>
    </w:p>
    <w:tbl>
      <w:tblPr>
        <w:tblStyle w:val="24"/>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56"/>
        <w:gridCol w:w="2173"/>
        <w:gridCol w:w="1710"/>
        <w:gridCol w:w="1707"/>
        <w:gridCol w:w="17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74" w:hRule="atLeast"/>
          <w:jc w:val="center"/>
        </w:trPr>
        <w:tc>
          <w:tcPr>
            <w:tcW w:w="1052" w:type="pct"/>
            <w:vMerge w:val="restar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距离（m）</w:t>
            </w:r>
          </w:p>
        </w:tc>
        <w:tc>
          <w:tcPr>
            <w:tcW w:w="3947" w:type="pct"/>
            <w:gridSpan w:val="4"/>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待宰间排气筒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52" w:type="pct"/>
            <w:vMerge w:val="continue"/>
            <w:vAlign w:val="center"/>
          </w:tcPr>
          <w:p>
            <w:pPr>
              <w:spacing w:line="0" w:lineRule="atLeast"/>
              <w:contextualSpacing/>
              <w:jc w:val="center"/>
              <w:rPr>
                <w:rFonts w:hint="default" w:ascii="Times New Roman" w:hAnsi="Times New Roman" w:eastAsia="宋体" w:cs="Times New Roman"/>
                <w:color w:val="auto"/>
                <w:sz w:val="21"/>
                <w:szCs w:val="21"/>
              </w:rPr>
            </w:pPr>
          </w:p>
        </w:tc>
        <w:tc>
          <w:tcPr>
            <w:tcW w:w="2089"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p>
        </w:tc>
        <w:tc>
          <w:tcPr>
            <w:tcW w:w="1858"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052" w:type="pct"/>
            <w:vMerge w:val="continue"/>
            <w:vAlign w:val="center"/>
          </w:tcPr>
          <w:p>
            <w:pPr>
              <w:spacing w:line="0" w:lineRule="atLeast"/>
              <w:contextualSpacing/>
              <w:jc w:val="center"/>
              <w:rPr>
                <w:rFonts w:hint="default" w:ascii="Times New Roman" w:hAnsi="Times New Roman" w:eastAsia="宋体" w:cs="Times New Roman"/>
                <w:color w:val="auto"/>
                <w:sz w:val="21"/>
                <w:szCs w:val="21"/>
              </w:rPr>
            </w:pP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预测质量浓度/(μg/m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kern w:val="0"/>
                <w:sz w:val="21"/>
                <w:szCs w:val="21"/>
              </w:rPr>
              <w:t>)</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占标率%</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预测质量浓度/(μg/m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kern w:val="0"/>
                <w:sz w:val="21"/>
                <w:szCs w:val="21"/>
              </w:rPr>
              <w:t>)</w:t>
            </w:r>
          </w:p>
        </w:tc>
        <w:tc>
          <w:tcPr>
            <w:tcW w:w="940" w:type="pct"/>
            <w:vAlign w:val="center"/>
          </w:tcPr>
          <w:p>
            <w:pPr>
              <w:tabs>
                <w:tab w:val="left" w:pos="420"/>
              </w:tabs>
              <w:autoSpaceDE w:val="0"/>
              <w:autoSpaceDN w:val="0"/>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1.15E-03</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0.57</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1.78E-04</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1.15E-03</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0.57</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1.78E-04</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1.27E-03</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0.63</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1.97E-04</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1.17E-03</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0.59</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1.82E-04</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9.46E-04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0.47</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1.47E-04</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7.74E-04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0.39</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1.20E-04</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7.82E-04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0.39</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1.22E-04</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7.57E-04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0.38</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1.18E-04</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7.18E-04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0.36</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1.12E-04</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6.75E-04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0.34</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1.05E-04</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6.31E-04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0.32</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9.82E-05</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1600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4.26E-04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0.21</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6.62E-05</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5"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3.44E-04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0.17</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5.35E-05</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3.02E-04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0.15</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4.70E-05</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1.23E-04</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0.06</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1.91E-05</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5"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6.53E-05</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0.03</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1.02E-05</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25000</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5.13E-05</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0.03</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7.98E-06</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下风向最大浓度</w:t>
            </w:r>
          </w:p>
        </w:tc>
        <w:tc>
          <w:tcPr>
            <w:tcW w:w="1169"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1.31E-03</w:t>
            </w:r>
          </w:p>
        </w:tc>
        <w:tc>
          <w:tcPr>
            <w:tcW w:w="919" w:type="pct"/>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0.66</w:t>
            </w:r>
          </w:p>
        </w:tc>
        <w:tc>
          <w:tcPr>
            <w:tcW w:w="91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2.04E-04</w:t>
            </w:r>
          </w:p>
        </w:tc>
        <w:tc>
          <w:tcPr>
            <w:tcW w:w="940" w:type="pct"/>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1052"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下风向最大浓度出现距离</w:t>
            </w:r>
          </w:p>
        </w:tc>
        <w:tc>
          <w:tcPr>
            <w:tcW w:w="3947" w:type="pct"/>
            <w:gridSpan w:val="4"/>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67</w:t>
            </w:r>
            <w:r>
              <w:rPr>
                <w:rFonts w:hint="default" w:ascii="Times New Roman" w:hAnsi="Times New Roman" w:eastAsia="宋体" w:cs="Times New Roman"/>
                <w:color w:val="auto"/>
                <w:sz w:val="21"/>
                <w:szCs w:val="21"/>
              </w:rPr>
              <w:t>m</w:t>
            </w:r>
          </w:p>
        </w:tc>
      </w:tr>
    </w:tbl>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pP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表5-2-</w:t>
      </w:r>
      <w:r>
        <w:rPr>
          <w:rFonts w:hint="default" w:ascii="Times New Roman" w:hAnsi="Times New Roman" w:eastAsia="宋体" w:cs="Times New Roman"/>
          <w:spacing w:val="6"/>
          <w:sz w:val="20"/>
          <w:szCs w:val="20"/>
          <w:lang w:val="en-US" w:eastAsia="zh-CN"/>
          <w14:textOutline w14:w="3795" w14:cap="sq" w14:cmpd="sng">
            <w14:solidFill>
              <w14:srgbClr w14:val="000000"/>
            </w14:solidFill>
            <w14:prstDash w14:val="solid"/>
            <w14:bevel/>
          </w14:textOutline>
        </w:rPr>
        <w:t>8</w:t>
      </w: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有组织排放估算模式的计算结果</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08"/>
        <w:gridCol w:w="1336"/>
        <w:gridCol w:w="940"/>
        <w:gridCol w:w="1385"/>
        <w:gridCol w:w="971"/>
        <w:gridCol w:w="1384"/>
        <w:gridCol w:w="9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0" w:type="auto"/>
            <w:vMerge w:val="restart"/>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距离（m）</w:t>
            </w:r>
          </w:p>
        </w:tc>
        <w:tc>
          <w:tcPr>
            <w:tcW w:w="0" w:type="auto"/>
            <w:gridSpan w:val="6"/>
            <w:vAlign w:val="center"/>
          </w:tcPr>
          <w:p>
            <w:pPr>
              <w:spacing w:line="0" w:lineRule="atLeast"/>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锅炉房烟囱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0" w:type="auto"/>
            <w:vMerge w:val="continue"/>
            <w:vAlign w:val="center"/>
          </w:tcPr>
          <w:p>
            <w:pPr>
              <w:spacing w:line="0" w:lineRule="atLeast"/>
              <w:contextualSpacing/>
              <w:jc w:val="center"/>
              <w:rPr>
                <w:rFonts w:hint="default" w:ascii="Times New Roman" w:hAnsi="Times New Roman" w:eastAsia="宋体" w:cs="Times New Roman"/>
                <w:color w:val="auto"/>
                <w:sz w:val="21"/>
                <w:szCs w:val="21"/>
                <w:highlight w:val="none"/>
              </w:rPr>
            </w:pPr>
          </w:p>
        </w:tc>
        <w:tc>
          <w:tcPr>
            <w:tcW w:w="0" w:type="auto"/>
            <w:gridSpan w:val="2"/>
            <w:vAlign w:val="center"/>
          </w:tcPr>
          <w:p>
            <w:pPr>
              <w:spacing w:line="0" w:lineRule="atLeast"/>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0" w:type="auto"/>
            <w:gridSpan w:val="2"/>
            <w:vAlign w:val="center"/>
          </w:tcPr>
          <w:p>
            <w:pPr>
              <w:spacing w:line="0" w:lineRule="atLeast"/>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二氧化硫</w:t>
            </w:r>
          </w:p>
        </w:tc>
        <w:tc>
          <w:tcPr>
            <w:tcW w:w="0" w:type="auto"/>
            <w:gridSpan w:val="2"/>
            <w:vAlign w:val="center"/>
          </w:tcPr>
          <w:p>
            <w:pPr>
              <w:spacing w:line="0" w:lineRule="atLeast"/>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氮氧化物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0" w:type="auto"/>
            <w:vMerge w:val="continue"/>
            <w:vAlign w:val="center"/>
          </w:tcPr>
          <w:p>
            <w:pPr>
              <w:spacing w:line="0" w:lineRule="atLeast"/>
              <w:contextualSpacing/>
              <w:jc w:val="center"/>
              <w:rPr>
                <w:rFonts w:hint="default" w:ascii="Times New Roman" w:hAnsi="Times New Roman" w:eastAsia="宋体" w:cs="Times New Roman"/>
                <w:color w:val="auto"/>
                <w:sz w:val="21"/>
                <w:szCs w:val="21"/>
                <w:highlight w:val="none"/>
              </w:rPr>
            </w:pP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预测质量浓度/(μg/m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占标率%</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预测质量浓度/(μg/m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w:t>
            </w:r>
          </w:p>
        </w:tc>
        <w:tc>
          <w:tcPr>
            <w:tcW w:w="971" w:type="dxa"/>
            <w:vAlign w:val="center"/>
          </w:tcPr>
          <w:p>
            <w:pPr>
              <w:tabs>
                <w:tab w:val="left" w:pos="420"/>
              </w:tabs>
              <w:autoSpaceDE w:val="0"/>
              <w:autoSpaceDN w:val="0"/>
              <w:spacing w:line="0" w:lineRule="atLeast"/>
              <w:contextualSpacing/>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占标率/(%)</w:t>
            </w:r>
          </w:p>
        </w:tc>
        <w:tc>
          <w:tcPr>
            <w:tcW w:w="1384" w:type="dxa"/>
            <w:vAlign w:val="center"/>
          </w:tcPr>
          <w:p>
            <w:pPr>
              <w:spacing w:line="0" w:lineRule="atLeast"/>
              <w:contextualSpacing/>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预测质量浓度/(μg/m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w:t>
            </w:r>
          </w:p>
        </w:tc>
        <w:tc>
          <w:tcPr>
            <w:tcW w:w="972" w:type="dxa"/>
            <w:vAlign w:val="center"/>
          </w:tcPr>
          <w:p>
            <w:pPr>
              <w:tabs>
                <w:tab w:val="left" w:pos="420"/>
              </w:tabs>
              <w:autoSpaceDE w:val="0"/>
              <w:autoSpaceDN w:val="0"/>
              <w:spacing w:line="0" w:lineRule="atLeast"/>
              <w:contextualSpacing/>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4.94E-03</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0.55</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3.96E-03</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0.79</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1.25E-02</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6.23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4.39E-03</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0.49</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3.51E-03</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0.70</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1.11E-02</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5.53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5"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4.48E-03</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0.50</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3.59E-03</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0.72</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1.13E-02</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5.65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4.59E-03</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0.51</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3.67E-03</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0.73</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1.16E-02</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5.78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4.16E-03</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0.46</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3.33E-03</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0.67</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1.05E-02</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5.24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3.57E-03</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0.40</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2.85E-03</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0.57</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8.98E-03</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4.49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3.03E-03</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0.34</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2.43E-03</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0.49</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7.65E-03</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3.82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2.60E-03</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0.29</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2.08E-03</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0.42</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6.55E-03</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3.28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2.25E-03</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z w:val="21"/>
                <w:szCs w:val="21"/>
                <w:highlight w:val="none"/>
              </w:rPr>
              <w:t>0.25</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1.80E-03</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0.36</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5.67E-03</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2.84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900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1.97E-03</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z w:val="21"/>
                <w:szCs w:val="21"/>
                <w:highlight w:val="none"/>
              </w:rPr>
              <w:t>0.22</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1.58E-03</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0.32</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4.97E-03</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2.48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1.74E-03</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z w:val="21"/>
                <w:szCs w:val="21"/>
                <w:highlight w:val="none"/>
              </w:rPr>
              <w:t>0.19</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1.39E-03</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0.28</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4.39E-03</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2.20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1600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1.62E-03</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0.18</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1.30E-03</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0.26</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4.09E-03</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2.04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1.44E-03</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0.16</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1.15E-03</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0.23</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3.63E-03</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1.82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1.24E-03</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0.14</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9.93E-04</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0.20</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3.13E-03</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1.56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4.16E-04</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0.05</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3.33E-04</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0.07</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1.05E-03</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20000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2.62E-04</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0.03</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2.10E-04</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0.04</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6.61E-04</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25000</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2.09E-04</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0.02</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1.68E-04</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0.03</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5.28E-04</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0.26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下风向最大浓度</w:t>
            </w:r>
          </w:p>
        </w:tc>
        <w:tc>
          <w:tcPr>
            <w:tcW w:w="1336"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5.17E-03</w:t>
            </w:r>
          </w:p>
        </w:tc>
        <w:tc>
          <w:tcPr>
            <w:tcW w:w="940" w:type="dxa"/>
            <w:vAlign w:val="center"/>
          </w:tcPr>
          <w:p>
            <w:pPr>
              <w:spacing w:line="0" w:lineRule="atLeast"/>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0.57</w:t>
            </w:r>
          </w:p>
        </w:tc>
        <w:tc>
          <w:tcPr>
            <w:tcW w:w="1385"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4.14E-03</w:t>
            </w:r>
          </w:p>
        </w:tc>
        <w:tc>
          <w:tcPr>
            <w:tcW w:w="971" w:type="dxa"/>
            <w:vAlign w:val="center"/>
          </w:tcPr>
          <w:p>
            <w:pPr>
              <w:spacing w:line="0" w:lineRule="atLeast"/>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0.83</w:t>
            </w:r>
          </w:p>
        </w:tc>
        <w:tc>
          <w:tcPr>
            <w:tcW w:w="1384" w:type="dxa"/>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rPr>
              <w:t>1.30E-02</w:t>
            </w:r>
          </w:p>
        </w:tc>
        <w:tc>
          <w:tcPr>
            <w:tcW w:w="972" w:type="dxa"/>
            <w:vAlign w:val="center"/>
          </w:tcPr>
          <w:p>
            <w:pPr>
              <w:spacing w:line="0" w:lineRule="atLeast"/>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0" w:type="auto"/>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下风向最大浓度出现距离</w:t>
            </w:r>
          </w:p>
        </w:tc>
        <w:tc>
          <w:tcPr>
            <w:tcW w:w="0" w:type="auto"/>
            <w:gridSpan w:val="6"/>
            <w:vAlign w:val="center"/>
          </w:tcPr>
          <w:p>
            <w:pPr>
              <w:spacing w:line="0" w:lineRule="atLeast"/>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64</w:t>
            </w:r>
            <w:r>
              <w:rPr>
                <w:rFonts w:hint="default" w:ascii="Times New Roman" w:hAnsi="Times New Roman" w:eastAsia="宋体" w:cs="Times New Roman"/>
                <w:color w:val="auto"/>
                <w:sz w:val="21"/>
                <w:szCs w:val="21"/>
                <w:highlight w:val="none"/>
              </w:rPr>
              <w:t>m</w:t>
            </w:r>
          </w:p>
        </w:tc>
      </w:tr>
    </w:tbl>
    <w:p>
      <w:pPr>
        <w:pStyle w:val="45"/>
        <w:adjustRightInd/>
        <w:snapToGrid/>
        <w:ind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t>表5-2-</w:t>
      </w:r>
      <w:r>
        <w:rPr>
          <w:rFonts w:hint="default" w:ascii="Times New Roman" w:hAnsi="Times New Roman" w:eastAsia="宋体" w:cs="Times New Roman"/>
          <w:snapToGrid w:val="0"/>
          <w:color w:val="000000"/>
          <w:spacing w:val="6"/>
          <w:kern w:val="0"/>
          <w:sz w:val="20"/>
          <w:szCs w:val="20"/>
          <w:lang w:val="en-US" w:eastAsia="zh-CN" w:bidi="ar-SA"/>
          <w14:textOutline w14:w="3795" w14:cap="sq" w14:cmpd="sng">
            <w14:solidFill>
              <w14:srgbClr w14:val="000000"/>
            </w14:solidFill>
            <w14:prstDash w14:val="solid"/>
            <w14:bevel/>
          </w14:textOutline>
        </w:rPr>
        <w:t>9</w:t>
      </w:r>
      <w:r>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t>无组织排放估算模式的计算结果（矩形面源）</w:t>
      </w:r>
    </w:p>
    <w:tbl>
      <w:tblPr>
        <w:tblStyle w:val="24"/>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46"/>
        <w:gridCol w:w="2164"/>
        <w:gridCol w:w="1709"/>
        <w:gridCol w:w="1700"/>
        <w:gridCol w:w="17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048" w:type="pct"/>
            <w:vMerge w:val="restar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距离（m）</w:t>
            </w:r>
          </w:p>
        </w:tc>
        <w:tc>
          <w:tcPr>
            <w:tcW w:w="3951" w:type="pct"/>
            <w:gridSpan w:val="4"/>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屠宰车间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48" w:type="pct"/>
            <w:vMerge w:val="continue"/>
            <w:vAlign w:val="center"/>
          </w:tcPr>
          <w:p>
            <w:pPr>
              <w:spacing w:line="0" w:lineRule="atLeast"/>
              <w:contextualSpacing/>
              <w:jc w:val="center"/>
              <w:rPr>
                <w:rFonts w:hint="default" w:ascii="Times New Roman" w:hAnsi="Times New Roman" w:eastAsia="宋体" w:cs="Times New Roman"/>
                <w:color w:val="auto"/>
                <w:sz w:val="21"/>
                <w:szCs w:val="21"/>
              </w:rPr>
            </w:pP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048" w:type="pct"/>
            <w:vMerge w:val="continue"/>
            <w:vAlign w:val="center"/>
          </w:tcPr>
          <w:p>
            <w:pPr>
              <w:spacing w:line="0" w:lineRule="atLeast"/>
              <w:contextualSpacing/>
              <w:jc w:val="center"/>
              <w:rPr>
                <w:rFonts w:hint="default" w:ascii="Times New Roman" w:hAnsi="Times New Roman" w:eastAsia="宋体" w:cs="Times New Roman"/>
                <w:color w:val="auto"/>
                <w:sz w:val="21"/>
                <w:szCs w:val="21"/>
              </w:rPr>
            </w:pP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预测质量浓度/(μg/m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kern w:val="0"/>
                <w:sz w:val="21"/>
                <w:szCs w:val="21"/>
              </w:rPr>
              <w:t>)</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占标率%</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预测质量浓度/(μg/m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kern w:val="0"/>
                <w:sz w:val="21"/>
                <w:szCs w:val="21"/>
              </w:rPr>
              <w:t>)</w:t>
            </w:r>
          </w:p>
        </w:tc>
        <w:tc>
          <w:tcPr>
            <w:tcW w:w="950" w:type="pct"/>
            <w:vAlign w:val="center"/>
          </w:tcPr>
          <w:p>
            <w:pPr>
              <w:tabs>
                <w:tab w:val="left" w:pos="420"/>
              </w:tabs>
              <w:autoSpaceDE w:val="0"/>
              <w:autoSpaceDN w:val="0"/>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2.66E-03</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1.33</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1.25E-04</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1.84E-03</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0.92</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8.66E-05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9.88E-04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0.49</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4.65E-05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7.22E-04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0.36</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3.40E-05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5.86E-04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0.29</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2.76E-05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4.99E-04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0.25</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2.35E-05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4.38E-04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0.22</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2.06E-05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4.03E-04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0.20</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1.89E-05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3.84E-04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0.19</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1.81E-05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3.68E-04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0.18</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1.73E-05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3.55E-04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0.18</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1.67E-05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3.01E-04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0.15</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1.42E-05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2.77E-04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0.14</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1.30E-05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2.51E-04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0.13</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1.18E-05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1.04E-04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0.05</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4.92E-06</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6.28E-05</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0.03</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2.96E-06</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5.32E-05</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lang w:val="en-US" w:eastAsia="zh-CN"/>
              </w:rPr>
              <w:t>2.02</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2.51E-06</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下风向最大浓度</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4.05E-03</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0.66</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1.91E-04</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下风向最大浓度出现距离</w:t>
            </w:r>
          </w:p>
        </w:tc>
        <w:tc>
          <w:tcPr>
            <w:tcW w:w="3951" w:type="pct"/>
            <w:gridSpan w:val="4"/>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22</w:t>
            </w:r>
            <w:r>
              <w:rPr>
                <w:rFonts w:hint="default" w:ascii="Times New Roman" w:hAnsi="Times New Roman" w:eastAsia="宋体" w:cs="Times New Roman"/>
                <w:color w:val="auto"/>
                <w:sz w:val="21"/>
                <w:szCs w:val="21"/>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048" w:type="pct"/>
            <w:vMerge w:val="restar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距离（m）</w:t>
            </w:r>
          </w:p>
        </w:tc>
        <w:tc>
          <w:tcPr>
            <w:tcW w:w="3951" w:type="pct"/>
            <w:gridSpan w:val="4"/>
            <w:vAlign w:val="center"/>
          </w:tcPr>
          <w:p>
            <w:pPr>
              <w:spacing w:line="0" w:lineRule="atLeast"/>
              <w:contextualSpacing/>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污水处理站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48" w:type="pct"/>
            <w:vMerge w:val="continue"/>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085" w:type="pct"/>
            <w:gridSpan w:val="2"/>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NH</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p>
        </w:tc>
        <w:tc>
          <w:tcPr>
            <w:tcW w:w="1865" w:type="pct"/>
            <w:gridSpan w:val="2"/>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H</w:t>
            </w:r>
            <w:r>
              <w:rPr>
                <w:rFonts w:hint="default" w:ascii="Times New Roman" w:hAnsi="Times New Roman" w:eastAsia="宋体" w:cs="Times New Roman"/>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048" w:type="pct"/>
            <w:vMerge w:val="continue"/>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预测质量浓度/(μg/m</w:t>
            </w:r>
            <w:r>
              <w:rPr>
                <w:rFonts w:hint="default" w:ascii="Times New Roman" w:hAnsi="Times New Roman" w:eastAsia="宋体" w:cs="Times New Roman"/>
                <w:color w:val="000000" w:themeColor="text1"/>
                <w:kern w:val="0"/>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kern w:val="0"/>
                <w:sz w:val="21"/>
                <w:szCs w:val="21"/>
                <w14:textFill>
                  <w14:solidFill>
                    <w14:schemeClr w14:val="tx1"/>
                  </w14:solidFill>
                </w14:textFill>
              </w:rPr>
              <w:t>)</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占标率%</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预测质量浓度/(μg/m</w:t>
            </w:r>
            <w:r>
              <w:rPr>
                <w:rFonts w:hint="default" w:ascii="Times New Roman" w:hAnsi="Times New Roman" w:eastAsia="宋体" w:cs="Times New Roman"/>
                <w:color w:val="000000" w:themeColor="text1"/>
                <w:kern w:val="0"/>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kern w:val="0"/>
                <w:sz w:val="21"/>
                <w:szCs w:val="21"/>
                <w14:textFill>
                  <w14:solidFill>
                    <w14:schemeClr w14:val="tx1"/>
                  </w14:solidFill>
                </w14:textFill>
              </w:rPr>
              <w:t>)</w:t>
            </w:r>
          </w:p>
        </w:tc>
        <w:tc>
          <w:tcPr>
            <w:tcW w:w="950" w:type="pct"/>
            <w:vAlign w:val="center"/>
          </w:tcPr>
          <w:p>
            <w:pPr>
              <w:tabs>
                <w:tab w:val="left" w:pos="420"/>
              </w:tabs>
              <w:autoSpaceDE w:val="0"/>
              <w:autoSpaceDN w:val="0"/>
              <w:spacing w:line="0" w:lineRule="atLeast"/>
              <w:contextualSpacing/>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5.94E-07</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2.38E-07</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4.06E-07</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1.62E-07</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2.18E-07</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8.72E-08</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300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1.59E-07</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6.37E-08</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400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1.29E-07</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5.17E-08</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500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1.10E-07</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4.40E-08</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600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9.66E-08</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3.86E-08</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700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8.88E-08</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3.55E-08</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800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8.47E-08</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3.39E-08</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900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8.13E-08</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3.25E-08</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1000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7.84E-08</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3.14E-08</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1600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6.65E-08</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2.66E-08</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2000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6.10E-08</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2.44E-08</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2500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5.54E-08</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2.22E-08</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10000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2.30E-08</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9.22E-09</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20000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1.39E-08</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5.54E-09</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25000</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1.17E-08</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4.70E-09</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下风向最大浓度</w:t>
            </w:r>
          </w:p>
        </w:tc>
        <w:tc>
          <w:tcPr>
            <w:tcW w:w="116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1.10E-06</w:t>
            </w:r>
          </w:p>
        </w:tc>
        <w:tc>
          <w:tcPr>
            <w:tcW w:w="920" w:type="pct"/>
            <w:vAlign w:val="center"/>
          </w:tcPr>
          <w:p>
            <w:pPr>
              <w:spacing w:line="0" w:lineRule="atLeast"/>
              <w:contextualSpacing/>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c>
          <w:tcPr>
            <w:tcW w:w="915" w:type="pct"/>
            <w:vAlign w:val="center"/>
          </w:tcPr>
          <w:p>
            <w:pPr>
              <w:spacing w:line="0" w:lineRule="atLeast"/>
              <w:contextualSpacing/>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4.40E-07</w:t>
            </w:r>
          </w:p>
        </w:tc>
        <w:tc>
          <w:tcPr>
            <w:tcW w:w="950" w:type="pct"/>
            <w:vAlign w:val="center"/>
          </w:tcPr>
          <w:p>
            <w:pPr>
              <w:spacing w:line="0" w:lineRule="atLeast"/>
              <w:contextualSpacing/>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下风向最大浓度出现距离</w:t>
            </w:r>
          </w:p>
        </w:tc>
        <w:tc>
          <w:tcPr>
            <w:tcW w:w="3951" w:type="pct"/>
            <w:gridSpan w:val="4"/>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10</w:t>
            </w:r>
            <w:r>
              <w:rPr>
                <w:rFonts w:hint="default" w:ascii="Times New Roman" w:hAnsi="Times New Roman" w:eastAsia="宋体" w:cs="Times New Roman"/>
                <w:color w:val="auto"/>
                <w:sz w:val="21"/>
                <w:szCs w:val="21"/>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048" w:type="pct"/>
            <w:vMerge w:val="restar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距离（m）</w:t>
            </w:r>
          </w:p>
        </w:tc>
        <w:tc>
          <w:tcPr>
            <w:tcW w:w="3951" w:type="pct"/>
            <w:gridSpan w:val="4"/>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待宰圈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48" w:type="pct"/>
            <w:vMerge w:val="continue"/>
            <w:vAlign w:val="center"/>
          </w:tcPr>
          <w:p>
            <w:pPr>
              <w:spacing w:line="0" w:lineRule="atLeast"/>
              <w:contextualSpacing/>
              <w:jc w:val="center"/>
              <w:rPr>
                <w:rFonts w:hint="default" w:ascii="Times New Roman" w:hAnsi="Times New Roman" w:eastAsia="宋体" w:cs="Times New Roman"/>
                <w:color w:val="auto"/>
                <w:sz w:val="21"/>
                <w:szCs w:val="21"/>
              </w:rPr>
            </w:pP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048" w:type="pct"/>
            <w:vMerge w:val="continue"/>
            <w:vAlign w:val="center"/>
          </w:tcPr>
          <w:p>
            <w:pPr>
              <w:spacing w:line="0" w:lineRule="atLeast"/>
              <w:contextualSpacing/>
              <w:jc w:val="center"/>
              <w:rPr>
                <w:rFonts w:hint="default" w:ascii="Times New Roman" w:hAnsi="Times New Roman" w:eastAsia="宋体" w:cs="Times New Roman"/>
                <w:color w:val="auto"/>
                <w:sz w:val="21"/>
                <w:szCs w:val="21"/>
              </w:rPr>
            </w:pP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预测质量浓度/(μg/m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kern w:val="0"/>
                <w:sz w:val="21"/>
                <w:szCs w:val="21"/>
              </w:rPr>
              <w:t>)</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占标率%</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预测质量浓度/(μg/m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kern w:val="0"/>
                <w:sz w:val="21"/>
                <w:szCs w:val="21"/>
              </w:rPr>
              <w:t>)</w:t>
            </w:r>
          </w:p>
        </w:tc>
        <w:tc>
          <w:tcPr>
            <w:tcW w:w="950" w:type="pct"/>
            <w:vAlign w:val="center"/>
          </w:tcPr>
          <w:p>
            <w:pPr>
              <w:tabs>
                <w:tab w:val="left" w:pos="420"/>
              </w:tabs>
              <w:autoSpaceDE w:val="0"/>
              <w:autoSpaceDN w:val="0"/>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1.56E-03</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0.78</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2.11E-04</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1.09E-03</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0.55</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1.48E-04</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5.97E-04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0.30</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8.07E-05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4.36E-04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0.22</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5.90E-05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3.54E-04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0.18</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4.79E-05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3.02E-04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0.15</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4.08E-05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2.65E-04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0.13</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3.58E-05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2.43E-04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0.12</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3.29E-05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2.32E-04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0.12</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3.14E-05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2.23E-04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0.11</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3.01E-05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2.15E-04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0.11</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2.90E-05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1.82E-04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0.09</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2.46E-05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1.67E-04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0.08</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2.26E-05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1.52E-04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0.08</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2.05E-05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6.32E-05</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0.03</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8.54E-06</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3.80E-05</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0.02</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5.14E-06</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3.22E-05</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0.02</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4.35E-06</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下风向最大浓度</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2.32E-03</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1.16</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3.13E-04</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下风向最大浓度出现距离</w:t>
            </w:r>
          </w:p>
        </w:tc>
        <w:tc>
          <w:tcPr>
            <w:tcW w:w="3951" w:type="pct"/>
            <w:gridSpan w:val="4"/>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23</w:t>
            </w:r>
            <w:r>
              <w:rPr>
                <w:rFonts w:hint="default" w:ascii="Times New Roman" w:hAnsi="Times New Roman" w:eastAsia="宋体" w:cs="Times New Roman"/>
                <w:color w:val="auto"/>
                <w:sz w:val="21"/>
                <w:szCs w:val="21"/>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048" w:type="pct"/>
            <w:vMerge w:val="restar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距离（m）</w:t>
            </w:r>
          </w:p>
        </w:tc>
        <w:tc>
          <w:tcPr>
            <w:tcW w:w="3951" w:type="pct"/>
            <w:gridSpan w:val="4"/>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固废暂存间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48" w:type="pct"/>
            <w:vMerge w:val="continue"/>
            <w:vAlign w:val="center"/>
          </w:tcPr>
          <w:p>
            <w:pPr>
              <w:spacing w:line="0" w:lineRule="atLeast"/>
              <w:contextualSpacing/>
              <w:jc w:val="center"/>
              <w:rPr>
                <w:rFonts w:hint="default" w:ascii="Times New Roman" w:hAnsi="Times New Roman" w:eastAsia="宋体" w:cs="Times New Roman"/>
                <w:color w:val="auto"/>
                <w:sz w:val="21"/>
                <w:szCs w:val="21"/>
              </w:rPr>
            </w:pP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048" w:type="pct"/>
            <w:vMerge w:val="continue"/>
            <w:vAlign w:val="center"/>
          </w:tcPr>
          <w:p>
            <w:pPr>
              <w:spacing w:line="0" w:lineRule="atLeast"/>
              <w:contextualSpacing/>
              <w:jc w:val="center"/>
              <w:rPr>
                <w:rFonts w:hint="default" w:ascii="Times New Roman" w:hAnsi="Times New Roman" w:eastAsia="宋体" w:cs="Times New Roman"/>
                <w:color w:val="auto"/>
                <w:sz w:val="21"/>
                <w:szCs w:val="21"/>
              </w:rPr>
            </w:pP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预测质量浓度/(μg/m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kern w:val="0"/>
                <w:sz w:val="21"/>
                <w:szCs w:val="21"/>
              </w:rPr>
              <w:t>)</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占标率%</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预测质量浓度/(μg/m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kern w:val="0"/>
                <w:sz w:val="21"/>
                <w:szCs w:val="21"/>
              </w:rPr>
              <w:t>)</w:t>
            </w:r>
          </w:p>
        </w:tc>
        <w:tc>
          <w:tcPr>
            <w:tcW w:w="950" w:type="pct"/>
            <w:vAlign w:val="center"/>
          </w:tcPr>
          <w:p>
            <w:pPr>
              <w:tabs>
                <w:tab w:val="left" w:pos="420"/>
              </w:tabs>
              <w:autoSpaceDE w:val="0"/>
              <w:autoSpaceDN w:val="0"/>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6.45E-03</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3.22</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4.84E-04</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4.84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4.33E-03</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2.16</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3.25E-04</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3.25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2.32E-03</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1.16</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1.74E-04</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1.70E-03</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0.85</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1.27E-04</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1.38E-03</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0.69</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1.03E-04</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1.17E-03</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0.59</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8.80E-05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1.03E-03</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0.52</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7.73E-05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9.47E-04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0.47</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7.10E-05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9.03E-04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0.45</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6.77E-05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8.67E-04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0.43</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6.50E-05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8.36E-04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0.42</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6.27E-05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7.09E-04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0.35</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5.32E-05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6.51E-04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0.33</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4.88E-05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5.91E-04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0.30</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4.44E-05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2.46E-04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0.12</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1.84E-05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1.48E-04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0.07</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1.11E-05</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25000</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1.25E-04</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0.06</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9.40E-06</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下风向最大浓度</w:t>
            </w:r>
          </w:p>
        </w:tc>
        <w:tc>
          <w:tcPr>
            <w:tcW w:w="116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1.33E-02</w:t>
            </w:r>
          </w:p>
        </w:tc>
        <w:tc>
          <w:tcPr>
            <w:tcW w:w="920" w:type="pct"/>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6.67</w:t>
            </w:r>
          </w:p>
        </w:tc>
        <w:tc>
          <w:tcPr>
            <w:tcW w:w="915"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1.00E-03</w:t>
            </w:r>
          </w:p>
        </w:tc>
        <w:tc>
          <w:tcPr>
            <w:tcW w:w="950" w:type="pct"/>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下风向最大浓度出现距离</w:t>
            </w:r>
          </w:p>
        </w:tc>
        <w:tc>
          <w:tcPr>
            <w:tcW w:w="3951" w:type="pct"/>
            <w:gridSpan w:val="4"/>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10</w:t>
            </w:r>
            <w:r>
              <w:rPr>
                <w:rFonts w:hint="default" w:ascii="Times New Roman" w:hAnsi="Times New Roman" w:eastAsia="宋体" w:cs="Times New Roman"/>
                <w:color w:val="auto"/>
                <w:sz w:val="21"/>
                <w:szCs w:val="21"/>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048" w:type="pct"/>
            <w:vMerge w:val="restar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距离（m）</w:t>
            </w:r>
          </w:p>
        </w:tc>
        <w:tc>
          <w:tcPr>
            <w:tcW w:w="3951" w:type="pct"/>
            <w:gridSpan w:val="4"/>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柴油储罐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48" w:type="pct"/>
            <w:vMerge w:val="continue"/>
            <w:vAlign w:val="center"/>
          </w:tcPr>
          <w:p>
            <w:pPr>
              <w:spacing w:line="0" w:lineRule="atLeast"/>
              <w:contextualSpacing/>
              <w:jc w:val="center"/>
              <w:rPr>
                <w:rFonts w:hint="default" w:ascii="Times New Roman" w:hAnsi="Times New Roman" w:eastAsia="宋体" w:cs="Times New Roman"/>
                <w:color w:val="auto"/>
                <w:sz w:val="21"/>
                <w:szCs w:val="21"/>
              </w:rPr>
            </w:pPr>
          </w:p>
        </w:tc>
        <w:tc>
          <w:tcPr>
            <w:tcW w:w="3951" w:type="pct"/>
            <w:gridSpan w:val="4"/>
            <w:vAlign w:val="center"/>
          </w:tcPr>
          <w:p>
            <w:pPr>
              <w:spacing w:line="0" w:lineRule="atLeast"/>
              <w:contextualSpacing/>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非甲烷总烃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048" w:type="pct"/>
            <w:vMerge w:val="continue"/>
            <w:vAlign w:val="center"/>
          </w:tcPr>
          <w:p>
            <w:pPr>
              <w:spacing w:line="0" w:lineRule="atLeast"/>
              <w:contextualSpacing/>
              <w:jc w:val="center"/>
              <w:rPr>
                <w:rFonts w:hint="default" w:ascii="Times New Roman" w:hAnsi="Times New Roman" w:eastAsia="宋体" w:cs="Times New Roman"/>
                <w:color w:val="auto"/>
                <w:sz w:val="21"/>
                <w:szCs w:val="21"/>
              </w:rPr>
            </w:pP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预测质量浓度/(μg/m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kern w:val="0"/>
                <w:sz w:val="21"/>
                <w:szCs w:val="21"/>
              </w:rPr>
              <w:t>)</w:t>
            </w:r>
          </w:p>
        </w:tc>
        <w:tc>
          <w:tcPr>
            <w:tcW w:w="1865" w:type="pct"/>
            <w:gridSpan w:val="2"/>
            <w:vAlign w:val="center"/>
          </w:tcPr>
          <w:p>
            <w:pPr>
              <w:tabs>
                <w:tab w:val="left" w:pos="420"/>
              </w:tabs>
              <w:autoSpaceDE w:val="0"/>
              <w:autoSpaceDN w:val="0"/>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2.58E-04</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lang w:val="en-US" w:eastAsia="zh-CN"/>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1.73E-04</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lang w:val="en-US" w:eastAsia="zh-CN"/>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9.30E-05</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6.79E-05</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5.51E-05</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4.70E-05</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4.12E-05</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3.79E-05</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3.61E-05</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3.47E-05</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3.34E-05</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1600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2.84E-05</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2.60E-05</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2.37E-05</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9.83E-06</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5.91E-06</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25000</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cs="Times New Roman"/>
              </w:rPr>
              <w:t>5.01E-06</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lang w:val="en-US" w:eastAsia="zh-CN"/>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下风向最大浓度</w:t>
            </w:r>
          </w:p>
        </w:tc>
        <w:tc>
          <w:tcPr>
            <w:tcW w:w="2085" w:type="pct"/>
            <w:gridSpan w:val="2"/>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5.36E-04</w:t>
            </w:r>
          </w:p>
        </w:tc>
        <w:tc>
          <w:tcPr>
            <w:tcW w:w="1865" w:type="pct"/>
            <w:gridSpan w:val="2"/>
            <w:vAlign w:val="center"/>
          </w:tcPr>
          <w:p>
            <w:pPr>
              <w:spacing w:line="0" w:lineRule="atLeast"/>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1048" w:type="pct"/>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下风向最大浓度出现距离</w:t>
            </w:r>
          </w:p>
        </w:tc>
        <w:tc>
          <w:tcPr>
            <w:tcW w:w="3951" w:type="pct"/>
            <w:gridSpan w:val="4"/>
            <w:vAlign w:val="center"/>
          </w:tcPr>
          <w:p>
            <w:pPr>
              <w:spacing w:line="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10</w:t>
            </w:r>
            <w:r>
              <w:rPr>
                <w:rFonts w:hint="default" w:ascii="Times New Roman" w:hAnsi="Times New Roman" w:eastAsia="宋体" w:cs="Times New Roman"/>
                <w:color w:val="auto"/>
                <w:sz w:val="21"/>
                <w:szCs w:val="21"/>
              </w:rPr>
              <w:t>m</w:t>
            </w:r>
          </w:p>
        </w:tc>
      </w:tr>
    </w:tbl>
    <w:p>
      <w:pPr>
        <w:pStyle w:val="62"/>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根据估算模式计算得最大占标率为</w:t>
      </w:r>
      <w:r>
        <w:rPr>
          <w:rFonts w:hint="default" w:ascii="Times New Roman" w:hAnsi="Times New Roman" w:eastAsia="宋体" w:cs="Times New Roman"/>
          <w:color w:val="auto"/>
          <w:highlight w:val="none"/>
          <w:lang w:val="en-US" w:eastAsia="zh-CN"/>
        </w:rPr>
        <w:t>固废暂存间无</w:t>
      </w:r>
      <w:r>
        <w:rPr>
          <w:rFonts w:hint="default" w:ascii="Times New Roman" w:hAnsi="Times New Roman" w:eastAsia="宋体" w:cs="Times New Roman"/>
          <w:color w:val="auto"/>
          <w:highlight w:val="none"/>
        </w:rPr>
        <w:t>组织排放的</w:t>
      </w:r>
      <w:r>
        <w:rPr>
          <w:rFonts w:hint="default" w:ascii="Times New Roman" w:hAnsi="Times New Roman" w:eastAsia="宋体" w:cs="Times New Roman"/>
          <w:color w:val="auto"/>
          <w:highlight w:val="none"/>
          <w:lang w:val="en-US" w:eastAsia="zh-CN"/>
        </w:rPr>
        <w:t>非甲烷总烃</w:t>
      </w:r>
      <w:r>
        <w:rPr>
          <w:rFonts w:hint="default" w:ascii="Times New Roman" w:hAnsi="Times New Roman" w:eastAsia="宋体" w:cs="Times New Roman"/>
          <w:color w:val="auto"/>
          <w:highlight w:val="none"/>
        </w:rPr>
        <w:t>，排放的</w:t>
      </w:r>
      <w:r>
        <w:rPr>
          <w:rFonts w:hint="default" w:ascii="Times New Roman" w:hAnsi="Times New Roman" w:eastAsia="宋体" w:cs="Times New Roman"/>
          <w:color w:val="auto"/>
          <w:highlight w:val="none"/>
          <w:lang w:val="en-US" w:eastAsia="zh-CN"/>
        </w:rPr>
        <w:t>非甲烷总烃</w:t>
      </w:r>
      <w:r>
        <w:rPr>
          <w:rFonts w:hint="default" w:ascii="Times New Roman" w:hAnsi="Times New Roman" w:eastAsia="宋体" w:cs="Times New Roman"/>
          <w:color w:val="auto"/>
          <w:highlight w:val="none"/>
        </w:rPr>
        <w:t>最大占标率为</w:t>
      </w:r>
      <w:r>
        <w:rPr>
          <w:rFonts w:hint="eastAsia" w:ascii="Times New Roman" w:hAnsi="Times New Roman" w:eastAsia="宋体" w:cs="Times New Roman"/>
          <w:color w:val="auto"/>
          <w:highlight w:val="none"/>
          <w:lang w:val="en-US" w:eastAsia="zh-CN"/>
        </w:rPr>
        <w:t>9.97</w:t>
      </w:r>
      <w:r>
        <w:rPr>
          <w:rFonts w:hint="default" w:ascii="Times New Roman" w:hAnsi="Times New Roman" w:eastAsia="宋体" w:cs="Times New Roman"/>
          <w:color w:val="auto"/>
          <w:highlight w:val="none"/>
        </w:rPr>
        <w:t>%，其对环境的最大地面贡献浓度为</w:t>
      </w:r>
      <w:r>
        <w:rPr>
          <w:rFonts w:hint="default" w:ascii="Times New Roman" w:hAnsi="Times New Roman" w:cs="Times New Roman"/>
          <w:highlight w:val="none"/>
        </w:rPr>
        <w:t>4.14E-03</w:t>
      </w:r>
      <w:r>
        <w:rPr>
          <w:rFonts w:hint="default" w:ascii="Times New Roman" w:hAnsi="Times New Roman" w:eastAsia="宋体" w:cs="Times New Roman"/>
          <w:color w:val="auto"/>
          <w:highlight w:val="none"/>
        </w:rPr>
        <w:t>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，最大落地距离为</w:t>
      </w:r>
      <w:r>
        <w:rPr>
          <w:rFonts w:hint="default" w:ascii="Times New Roman" w:hAnsi="Times New Roman" w:eastAsia="宋体" w:cs="Times New Roman"/>
          <w:color w:val="auto"/>
          <w:highlight w:val="none"/>
          <w:lang w:val="en-US" w:eastAsia="zh-CN"/>
        </w:rPr>
        <w:t>212</w:t>
      </w:r>
      <w:r>
        <w:rPr>
          <w:rFonts w:hint="default" w:ascii="Times New Roman" w:hAnsi="Times New Roman" w:eastAsia="宋体" w:cs="Times New Roman"/>
          <w:color w:val="auto"/>
          <w:highlight w:val="none"/>
        </w:rPr>
        <w:t>m。本项目1%≤P</w:t>
      </w:r>
      <w:r>
        <w:rPr>
          <w:rFonts w:hint="default" w:ascii="Times New Roman" w:hAnsi="Times New Roman" w:eastAsia="宋体" w:cs="Times New Roman"/>
          <w:color w:val="auto"/>
          <w:highlight w:val="none"/>
          <w:vertAlign w:val="subscript"/>
        </w:rPr>
        <w:t>max</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9.97</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kern w:val="24"/>
          <w:highlight w:val="none"/>
        </w:rPr>
        <w:t>根据《环境影响评价技术导则 大气环境》（HJ2.2-2018）分级判据，</w:t>
      </w:r>
      <w:r>
        <w:rPr>
          <w:rFonts w:hint="default" w:ascii="Times New Roman" w:hAnsi="Times New Roman" w:eastAsia="宋体" w:cs="Times New Roman"/>
          <w:color w:val="auto"/>
          <w:highlight w:val="none"/>
        </w:rPr>
        <w:t>确定本项目大气评价等级为二级，因此不需进行进一步预测与评价，只对污染物排放量进行核算。</w:t>
      </w:r>
    </w:p>
    <w:p>
      <w:pPr>
        <w:pStyle w:val="62"/>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本项目废气中各污染物最大落地浓度占标率低。不会对周边环境空气构成显著影响。因此，本项目废气污染物排放对周围大气环境影响较小。</w:t>
      </w:r>
    </w:p>
    <w:p>
      <w:pPr>
        <w:spacing w:line="360" w:lineRule="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（4）排放量核算</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color w:val="auto"/>
          <w:sz w:val="24"/>
          <w:highlight w:val="none"/>
          <w:lang w:eastAsia="zh-CN"/>
        </w:rPr>
      </w:pPr>
      <w:r>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t>表5-2-</w:t>
      </w:r>
      <w:r>
        <w:rPr>
          <w:rFonts w:hint="default" w:ascii="Times New Roman" w:hAnsi="Times New Roman" w:eastAsia="宋体" w:cs="Times New Roman"/>
          <w:snapToGrid w:val="0"/>
          <w:color w:val="000000"/>
          <w:spacing w:val="6"/>
          <w:kern w:val="0"/>
          <w:sz w:val="20"/>
          <w:szCs w:val="20"/>
          <w:lang w:val="en-US" w:eastAsia="zh-CN" w:bidi="ar-SA"/>
          <w14:textOutline w14:w="3795" w14:cap="sq" w14:cmpd="sng">
            <w14:solidFill>
              <w14:srgbClr w14:val="000000"/>
            </w14:solidFill>
            <w14:prstDash w14:val="solid"/>
            <w14:bevel/>
          </w14:textOutline>
        </w:rPr>
        <w:t>10</w:t>
      </w:r>
      <w:r>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t>大气污染物有组织排放量核算表</w:t>
      </w:r>
    </w:p>
    <w:tbl>
      <w:tblPr>
        <w:tblStyle w:val="24"/>
        <w:tblW w:w="5117"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003"/>
        <w:gridCol w:w="1713"/>
        <w:gridCol w:w="1523"/>
        <w:gridCol w:w="1869"/>
        <w:gridCol w:w="1696"/>
        <w:gridCol w:w="1710"/>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44" w:hRule="atLeast"/>
          <w:jc w:val="center"/>
        </w:trPr>
        <w:tc>
          <w:tcPr>
            <w:tcW w:w="527" w:type="pct"/>
            <w:tcBorders>
              <w:top w:val="single" w:color="000000" w:sz="12" w:space="0"/>
              <w:left w:val="nil"/>
              <w:bottom w:val="single" w:color="000000" w:sz="4" w:space="0"/>
              <w:right w:val="single" w:color="000000" w:sz="4" w:space="0"/>
            </w:tcBorders>
            <w:vAlign w:val="center"/>
          </w:tcPr>
          <w:p>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900" w:type="pct"/>
            <w:tcBorders>
              <w:top w:val="single" w:color="000000" w:sz="12"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排放口编号</w:t>
            </w:r>
          </w:p>
        </w:tc>
        <w:tc>
          <w:tcPr>
            <w:tcW w:w="800" w:type="pct"/>
            <w:tcBorders>
              <w:top w:val="single" w:color="000000" w:sz="12"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w:t>
            </w:r>
          </w:p>
        </w:tc>
        <w:tc>
          <w:tcPr>
            <w:tcW w:w="982" w:type="pct"/>
            <w:tcBorders>
              <w:top w:val="single" w:color="000000" w:sz="12"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核算排放浓度/(mg/m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w:t>
            </w:r>
          </w:p>
        </w:tc>
        <w:tc>
          <w:tcPr>
            <w:tcW w:w="891" w:type="pct"/>
            <w:tcBorders>
              <w:top w:val="single" w:color="000000" w:sz="12"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核算排放速率/（kg/h）</w:t>
            </w:r>
          </w:p>
        </w:tc>
        <w:tc>
          <w:tcPr>
            <w:tcW w:w="898" w:type="pct"/>
            <w:tcBorders>
              <w:top w:val="single" w:color="000000" w:sz="12" w:space="0"/>
              <w:left w:val="single" w:color="000000" w:sz="4" w:space="0"/>
              <w:bottom w:val="single" w:color="000000" w:sz="4" w:space="0"/>
              <w:right w:val="nil"/>
            </w:tcBorders>
            <w:vAlign w:val="center"/>
          </w:tcPr>
          <w:p>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核算年排放量/（t/a）</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jc w:val="center"/>
        </w:trPr>
        <w:tc>
          <w:tcPr>
            <w:tcW w:w="0" w:type="auto"/>
            <w:vMerge w:val="restart"/>
            <w:tcBorders>
              <w:left w:val="nil"/>
              <w:right w:val="single" w:color="000000" w:sz="4" w:space="0"/>
            </w:tcBorders>
            <w:vAlign w:val="center"/>
          </w:tcPr>
          <w:p>
            <w:pPr>
              <w:widowControl/>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w:t>
            </w:r>
          </w:p>
        </w:tc>
        <w:tc>
          <w:tcPr>
            <w:tcW w:w="0" w:type="auto"/>
            <w:vMerge w:val="restart"/>
            <w:tcBorders>
              <w:left w:val="single" w:color="000000" w:sz="4" w:space="0"/>
              <w:right w:val="single" w:color="000000" w:sz="4" w:space="0"/>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锅炉房烟囱（DA00</w:t>
            </w:r>
            <w:r>
              <w:rPr>
                <w:rFonts w:hint="eastAsia"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lang w:val="en-US" w:eastAsia="zh-CN"/>
              </w:rPr>
              <w:t>）</w:t>
            </w:r>
          </w:p>
        </w:tc>
        <w:tc>
          <w:tcPr>
            <w:tcW w:w="800" w:type="pct"/>
            <w:tcBorders>
              <w:top w:val="single" w:color="000000" w:sz="4" w:space="0"/>
              <w:left w:val="single" w:color="000000" w:sz="4" w:space="0"/>
              <w:bottom w:val="single" w:color="auto" w:sz="4" w:space="0"/>
              <w:right w:val="single" w:color="000000" w:sz="4" w:space="0"/>
            </w:tcBorders>
            <w:vAlign w:val="center"/>
          </w:tcPr>
          <w:p>
            <w:pPr>
              <w:pStyle w:val="20"/>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颗粒物</w:t>
            </w:r>
          </w:p>
        </w:tc>
        <w:tc>
          <w:tcPr>
            <w:tcW w:w="982" w:type="pct"/>
            <w:tcBorders>
              <w:top w:val="single" w:color="000000" w:sz="4" w:space="0"/>
              <w:left w:val="single" w:color="000000" w:sz="4" w:space="0"/>
              <w:bottom w:val="single" w:color="auto" w:sz="4" w:space="0"/>
              <w:right w:val="single" w:color="000000" w:sz="4"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szCs w:val="22"/>
                <w:highlight w:val="none"/>
                <w:lang w:val="en-US" w:eastAsia="zh-CN"/>
              </w:rPr>
              <w:t>10.7</w:t>
            </w:r>
          </w:p>
        </w:tc>
        <w:tc>
          <w:tcPr>
            <w:tcW w:w="891" w:type="pct"/>
            <w:tcBorders>
              <w:top w:val="single" w:color="000000" w:sz="4" w:space="0"/>
              <w:left w:val="single" w:color="000000" w:sz="4" w:space="0"/>
              <w:bottom w:val="single" w:color="auto" w:sz="4" w:space="0"/>
              <w:right w:val="single" w:color="000000" w:sz="4"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szCs w:val="22"/>
                <w:highlight w:val="none"/>
                <w:lang w:val="en-US" w:eastAsia="zh-CN"/>
              </w:rPr>
              <w:t>0.002</w:t>
            </w:r>
          </w:p>
        </w:tc>
        <w:tc>
          <w:tcPr>
            <w:tcW w:w="898" w:type="pct"/>
            <w:tcBorders>
              <w:top w:val="single" w:color="000000" w:sz="4" w:space="0"/>
              <w:left w:val="single" w:color="000000" w:sz="4" w:space="0"/>
              <w:bottom w:val="single" w:color="auto" w:sz="4" w:space="0"/>
              <w:right w:val="nil"/>
            </w:tcBorders>
            <w:vAlign w:val="center"/>
          </w:tcPr>
          <w:p>
            <w:pPr>
              <w:pStyle w:val="36"/>
              <w:rPr>
                <w:rFonts w:hint="default" w:ascii="Times New Roman" w:hAnsi="Times New Roman" w:cs="Times New Roman"/>
                <w:snapToGrid w:val="0"/>
                <w:color w:val="auto"/>
                <w:highlight w:val="none"/>
                <w:lang w:val="en-US"/>
              </w:rPr>
            </w:pPr>
            <w:r>
              <w:rPr>
                <w:rFonts w:hint="eastAsia" w:ascii="Times New Roman" w:hAnsi="Times New Roman" w:cs="Times New Roman"/>
                <w:snapToGrid w:val="0"/>
                <w:color w:val="auto"/>
                <w:highlight w:val="none"/>
                <w:lang w:val="en-US" w:eastAsia="zh-CN"/>
              </w:rPr>
              <w:t>0.01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98" w:hRule="atLeast"/>
          <w:jc w:val="center"/>
        </w:trPr>
        <w:tc>
          <w:tcPr>
            <w:tcW w:w="0" w:type="auto"/>
            <w:vMerge w:val="continue"/>
            <w:tcBorders>
              <w:left w:val="nil"/>
              <w:bottom w:val="single" w:color="000000" w:sz="4" w:space="0"/>
              <w:right w:val="single" w:color="000000" w:sz="4" w:space="0"/>
            </w:tcBorders>
            <w:vAlign w:val="center"/>
          </w:tcPr>
          <w:p>
            <w:pPr>
              <w:widowControl/>
              <w:jc w:val="center"/>
              <w:rPr>
                <w:rFonts w:hint="default" w:ascii="Times New Roman" w:hAnsi="Times New Roman" w:cs="Times New Roman"/>
                <w:color w:val="auto"/>
                <w:szCs w:val="21"/>
                <w:highlight w:val="none"/>
                <w:lang w:val="en-US" w:eastAsia="zh-CN"/>
              </w:rPr>
            </w:pPr>
          </w:p>
        </w:tc>
        <w:tc>
          <w:tcPr>
            <w:tcW w:w="0" w:type="auto"/>
            <w:vMerge w:val="continue"/>
            <w:tcBorders>
              <w:left w:val="single" w:color="000000" w:sz="4" w:space="0"/>
              <w:bottom w:val="single" w:color="000000" w:sz="4" w:space="0"/>
              <w:right w:val="single" w:color="000000" w:sz="4" w:space="0"/>
            </w:tcBorders>
            <w:vAlign w:val="center"/>
          </w:tcPr>
          <w:p>
            <w:pPr>
              <w:widowControl/>
              <w:jc w:val="center"/>
              <w:rPr>
                <w:rFonts w:hint="default" w:ascii="Times New Roman" w:hAnsi="Times New Roman" w:cs="Times New Roman"/>
                <w:color w:val="auto"/>
                <w:szCs w:val="21"/>
                <w:highlight w:val="none"/>
                <w:lang w:val="en-US" w:eastAsia="zh-CN"/>
              </w:rPr>
            </w:pPr>
          </w:p>
        </w:tc>
        <w:tc>
          <w:tcPr>
            <w:tcW w:w="800" w:type="pct"/>
            <w:tcBorders>
              <w:top w:val="single" w:color="auto" w:sz="4" w:space="0"/>
              <w:left w:val="single" w:color="000000" w:sz="4" w:space="0"/>
              <w:bottom w:val="single" w:color="auto" w:sz="4" w:space="0"/>
              <w:right w:val="single" w:color="000000" w:sz="4" w:space="0"/>
            </w:tcBorders>
            <w:vAlign w:val="center"/>
          </w:tcPr>
          <w:p>
            <w:pPr>
              <w:pStyle w:val="20"/>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二氧化硫</w:t>
            </w:r>
          </w:p>
        </w:tc>
        <w:tc>
          <w:tcPr>
            <w:tcW w:w="982" w:type="pct"/>
            <w:tcBorders>
              <w:top w:val="single" w:color="auto" w:sz="4" w:space="0"/>
              <w:left w:val="single" w:color="000000" w:sz="4" w:space="0"/>
              <w:bottom w:val="single" w:color="auto" w:sz="4" w:space="0"/>
              <w:right w:val="single" w:color="000000" w:sz="4"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eastAsia="宋体" w:cs="Times New Roman"/>
                <w:snapToGrid w:val="0"/>
                <w:color w:val="auto"/>
                <w:szCs w:val="22"/>
                <w:highlight w:val="none"/>
                <w:lang w:val="en-US" w:eastAsia="zh-CN"/>
              </w:rPr>
              <w:t>38</w:t>
            </w:r>
          </w:p>
        </w:tc>
        <w:tc>
          <w:tcPr>
            <w:tcW w:w="891" w:type="pct"/>
            <w:tcBorders>
              <w:top w:val="single" w:color="auto" w:sz="4" w:space="0"/>
              <w:left w:val="single" w:color="000000" w:sz="4" w:space="0"/>
              <w:bottom w:val="single" w:color="auto" w:sz="4" w:space="0"/>
              <w:right w:val="single" w:color="000000" w:sz="4"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eastAsia="宋体" w:cs="Times New Roman"/>
                <w:snapToGrid w:val="0"/>
                <w:color w:val="auto"/>
                <w:szCs w:val="22"/>
                <w:highlight w:val="none"/>
                <w:lang w:val="en-US" w:eastAsia="zh-CN"/>
              </w:rPr>
              <w:t>0.008</w:t>
            </w:r>
          </w:p>
        </w:tc>
        <w:tc>
          <w:tcPr>
            <w:tcW w:w="898" w:type="pct"/>
            <w:tcBorders>
              <w:top w:val="single" w:color="auto" w:sz="4" w:space="0"/>
              <w:left w:val="single" w:color="000000" w:sz="4" w:space="0"/>
              <w:bottom w:val="single" w:color="auto" w:sz="4" w:space="0"/>
              <w:right w:val="nil"/>
            </w:tcBorders>
            <w:vAlign w:val="center"/>
          </w:tcPr>
          <w:p>
            <w:pPr>
              <w:pStyle w:val="36"/>
              <w:rPr>
                <w:rFonts w:hint="default" w:ascii="Times New Roman" w:hAnsi="Times New Roman" w:cs="Times New Roman"/>
                <w:snapToGrid w:val="0"/>
                <w:color w:val="auto"/>
                <w:highlight w:val="none"/>
                <w:lang w:val="en-US"/>
              </w:rPr>
            </w:pPr>
            <w:r>
              <w:rPr>
                <w:rFonts w:hint="eastAsia" w:ascii="Times New Roman" w:hAnsi="Times New Roman" w:cs="Times New Roman"/>
                <w:snapToGrid w:val="0"/>
                <w:color w:val="auto"/>
                <w:highlight w:val="none"/>
                <w:lang w:val="en-US" w:eastAsia="zh-CN"/>
              </w:rPr>
              <w:t>0.031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jc w:val="center"/>
        </w:trPr>
        <w:tc>
          <w:tcPr>
            <w:tcW w:w="0" w:type="auto"/>
            <w:vMerge w:val="continue"/>
            <w:tcBorders>
              <w:left w:val="nil"/>
              <w:bottom w:val="single" w:color="000000" w:sz="4" w:space="0"/>
              <w:right w:val="single" w:color="000000" w:sz="4" w:space="0"/>
            </w:tcBorders>
            <w:vAlign w:val="center"/>
          </w:tcPr>
          <w:p>
            <w:pPr>
              <w:widowControl/>
              <w:jc w:val="center"/>
              <w:rPr>
                <w:rFonts w:hint="default" w:ascii="Times New Roman" w:hAnsi="Times New Roman" w:cs="Times New Roman"/>
                <w:color w:val="auto"/>
                <w:szCs w:val="21"/>
                <w:highlight w:val="none"/>
                <w:lang w:val="en-US" w:eastAsia="zh-CN"/>
              </w:rPr>
            </w:pPr>
          </w:p>
        </w:tc>
        <w:tc>
          <w:tcPr>
            <w:tcW w:w="0" w:type="auto"/>
            <w:vMerge w:val="continue"/>
            <w:tcBorders>
              <w:left w:val="single" w:color="000000" w:sz="4" w:space="0"/>
              <w:bottom w:val="single" w:color="000000" w:sz="4" w:space="0"/>
              <w:right w:val="single" w:color="000000" w:sz="4" w:space="0"/>
            </w:tcBorders>
            <w:vAlign w:val="center"/>
          </w:tcPr>
          <w:p>
            <w:pPr>
              <w:widowControl/>
              <w:jc w:val="center"/>
              <w:rPr>
                <w:rFonts w:hint="default" w:ascii="Times New Roman" w:hAnsi="Times New Roman" w:cs="Times New Roman"/>
                <w:color w:val="auto"/>
                <w:szCs w:val="21"/>
                <w:highlight w:val="none"/>
                <w:lang w:val="en-US" w:eastAsia="zh-CN"/>
              </w:rPr>
            </w:pPr>
          </w:p>
        </w:tc>
        <w:tc>
          <w:tcPr>
            <w:tcW w:w="800" w:type="pct"/>
            <w:tcBorders>
              <w:top w:val="single" w:color="auto"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氮氧化物</w:t>
            </w:r>
          </w:p>
        </w:tc>
        <w:tc>
          <w:tcPr>
            <w:tcW w:w="982" w:type="pct"/>
            <w:tcBorders>
              <w:top w:val="single" w:color="auto" w:sz="4" w:space="0"/>
              <w:left w:val="single" w:color="000000" w:sz="4" w:space="0"/>
              <w:bottom w:val="single" w:color="000000" w:sz="4" w:space="0"/>
              <w:right w:val="single" w:color="000000" w:sz="4"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eastAsia="宋体" w:cs="Times New Roman"/>
                <w:snapToGrid w:val="0"/>
                <w:color w:val="auto"/>
                <w:szCs w:val="22"/>
                <w:highlight w:val="none"/>
                <w:lang w:val="en-US" w:eastAsia="zh-CN"/>
              </w:rPr>
              <w:t>109</w:t>
            </w:r>
          </w:p>
        </w:tc>
        <w:tc>
          <w:tcPr>
            <w:tcW w:w="891" w:type="pct"/>
            <w:tcBorders>
              <w:top w:val="single" w:color="auto" w:sz="4" w:space="0"/>
              <w:left w:val="single" w:color="000000" w:sz="4" w:space="0"/>
              <w:bottom w:val="single" w:color="000000" w:sz="4" w:space="0"/>
              <w:right w:val="single" w:color="000000" w:sz="4"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eastAsia="宋体" w:cs="Times New Roman"/>
                <w:snapToGrid w:val="0"/>
                <w:color w:val="auto"/>
                <w:szCs w:val="22"/>
                <w:highlight w:val="none"/>
                <w:lang w:val="en-US" w:eastAsia="zh-CN"/>
              </w:rPr>
              <w:t>0.024</w:t>
            </w:r>
          </w:p>
        </w:tc>
        <w:tc>
          <w:tcPr>
            <w:tcW w:w="898" w:type="pct"/>
            <w:tcBorders>
              <w:top w:val="single" w:color="auto" w:sz="4" w:space="0"/>
              <w:left w:val="single" w:color="000000" w:sz="4" w:space="0"/>
              <w:bottom w:val="single" w:color="000000" w:sz="4" w:space="0"/>
              <w:right w:val="nil"/>
            </w:tcBorders>
            <w:vAlign w:val="center"/>
          </w:tcPr>
          <w:p>
            <w:pPr>
              <w:pStyle w:val="36"/>
              <w:rPr>
                <w:rFonts w:hint="default" w:ascii="Times New Roman" w:hAnsi="Times New Roman" w:cs="Times New Roman"/>
                <w:snapToGrid w:val="0"/>
                <w:color w:val="auto"/>
                <w:highlight w:val="none"/>
                <w:lang w:val="en-US"/>
              </w:rPr>
            </w:pPr>
            <w:r>
              <w:rPr>
                <w:rFonts w:hint="eastAsia" w:ascii="Times New Roman" w:hAnsi="Times New Roman" w:cs="Times New Roman"/>
                <w:snapToGrid w:val="0"/>
                <w:color w:val="auto"/>
                <w:highlight w:val="none"/>
                <w:lang w:val="en-US" w:eastAsia="zh-CN"/>
              </w:rPr>
              <w:t>0.098</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jc w:val="center"/>
        </w:trPr>
        <w:tc>
          <w:tcPr>
            <w:tcW w:w="527" w:type="pct"/>
            <w:vMerge w:val="restart"/>
            <w:tcBorders>
              <w:left w:val="nil"/>
              <w:right w:val="single" w:color="000000" w:sz="4" w:space="0"/>
            </w:tcBorders>
            <w:vAlign w:val="center"/>
          </w:tcPr>
          <w:p>
            <w:pPr>
              <w:widowControl/>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2</w:t>
            </w:r>
          </w:p>
        </w:tc>
        <w:tc>
          <w:tcPr>
            <w:tcW w:w="900" w:type="pct"/>
            <w:vMerge w:val="restart"/>
            <w:tcBorders>
              <w:left w:val="single" w:color="000000" w:sz="4" w:space="0"/>
              <w:right w:val="single" w:color="000000" w:sz="4" w:space="0"/>
            </w:tcBorders>
            <w:vAlign w:val="center"/>
          </w:tcPr>
          <w:p>
            <w:pPr>
              <w:widowControl/>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待宰</w:t>
            </w:r>
            <w:r>
              <w:rPr>
                <w:rFonts w:hint="eastAsia" w:ascii="Times New Roman" w:hAnsi="Times New Roman" w:eastAsia="宋体" w:cs="Times New Roman"/>
                <w:color w:val="auto"/>
                <w:szCs w:val="21"/>
                <w:highlight w:val="none"/>
                <w:lang w:val="en-US" w:eastAsia="zh-CN"/>
              </w:rPr>
              <w:t>圈</w:t>
            </w:r>
            <w:r>
              <w:rPr>
                <w:rFonts w:hint="default" w:ascii="Times New Roman" w:hAnsi="Times New Roman" w:cs="Times New Roman"/>
                <w:color w:val="auto"/>
                <w:szCs w:val="21"/>
                <w:highlight w:val="none"/>
              </w:rPr>
              <w:t>排气筒DA00</w:t>
            </w:r>
            <w:r>
              <w:rPr>
                <w:rFonts w:hint="eastAsia" w:ascii="Times New Roman" w:hAnsi="Times New Roman" w:eastAsia="宋体" w:cs="Times New Roman"/>
                <w:color w:val="auto"/>
                <w:szCs w:val="21"/>
                <w:highlight w:val="none"/>
                <w:lang w:val="en-US" w:eastAsia="zh-CN"/>
              </w:rPr>
              <w:t>2</w:t>
            </w:r>
          </w:p>
        </w:tc>
        <w:tc>
          <w:tcPr>
            <w:tcW w:w="800" w:type="pct"/>
            <w:tcBorders>
              <w:top w:val="single" w:color="auto"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pPr>
            <w:r>
              <w:rPr>
                <w:rFonts w:hint="default" w:ascii="Times New Roman" w:hAnsi="Times New Roman" w:cs="Times New Roman"/>
                <w:color w:val="auto"/>
                <w:szCs w:val="21"/>
                <w:highlight w:val="none"/>
              </w:rPr>
              <w:t>NH</w:t>
            </w:r>
            <w:r>
              <w:rPr>
                <w:rFonts w:hint="default" w:ascii="Times New Roman" w:hAnsi="Times New Roman" w:cs="Times New Roman"/>
                <w:color w:val="auto"/>
                <w:szCs w:val="21"/>
                <w:highlight w:val="none"/>
                <w:vertAlign w:val="subscript"/>
              </w:rPr>
              <w:t>3</w:t>
            </w:r>
          </w:p>
        </w:tc>
        <w:tc>
          <w:tcPr>
            <w:tcW w:w="982" w:type="pct"/>
            <w:tcBorders>
              <w:top w:val="single" w:color="auto" w:sz="4" w:space="0"/>
              <w:left w:val="single" w:color="000000" w:sz="4" w:space="0"/>
              <w:bottom w:val="single" w:color="000000" w:sz="4" w:space="0"/>
              <w:right w:val="single" w:color="000000" w:sz="4"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szCs w:val="22"/>
                <w:highlight w:val="none"/>
                <w:lang w:val="en-US" w:eastAsia="zh-CN"/>
              </w:rPr>
              <w:t>6.5</w:t>
            </w:r>
          </w:p>
        </w:tc>
        <w:tc>
          <w:tcPr>
            <w:tcW w:w="891" w:type="pct"/>
            <w:tcBorders>
              <w:top w:val="single" w:color="auto" w:sz="4" w:space="0"/>
              <w:left w:val="single" w:color="000000" w:sz="4" w:space="0"/>
              <w:bottom w:val="single" w:color="000000" w:sz="4" w:space="0"/>
              <w:right w:val="single" w:color="000000" w:sz="4"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eastAsia="宋体" w:cs="Times New Roman"/>
                <w:snapToGrid w:val="0"/>
                <w:color w:val="auto"/>
                <w:highlight w:val="none"/>
                <w:lang w:val="en-US" w:eastAsia="zh-CN"/>
              </w:rPr>
              <w:t>0.0195</w:t>
            </w:r>
          </w:p>
        </w:tc>
        <w:tc>
          <w:tcPr>
            <w:tcW w:w="898" w:type="pct"/>
            <w:tcBorders>
              <w:top w:val="single" w:color="auto" w:sz="4" w:space="0"/>
              <w:left w:val="single" w:color="000000" w:sz="4" w:space="0"/>
              <w:bottom w:val="single" w:color="000000" w:sz="4" w:space="0"/>
              <w:right w:val="nil"/>
            </w:tcBorders>
            <w:vAlign w:val="center"/>
          </w:tcPr>
          <w:p>
            <w:pPr>
              <w:pStyle w:val="36"/>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0.0796</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jc w:val="center"/>
        </w:trPr>
        <w:tc>
          <w:tcPr>
            <w:tcW w:w="527" w:type="pct"/>
            <w:vMerge w:val="continue"/>
            <w:tcBorders>
              <w:left w:val="nil"/>
              <w:bottom w:val="single" w:color="000000" w:sz="4" w:space="0"/>
              <w:right w:val="single" w:color="000000" w:sz="4" w:space="0"/>
            </w:tcBorders>
            <w:vAlign w:val="center"/>
          </w:tcPr>
          <w:p>
            <w:pPr>
              <w:widowControl/>
              <w:jc w:val="center"/>
              <w:rPr>
                <w:rFonts w:hint="default" w:ascii="Times New Roman" w:hAnsi="Times New Roman" w:cs="Times New Roman"/>
                <w:color w:val="auto"/>
                <w:szCs w:val="21"/>
                <w:highlight w:val="none"/>
                <w:lang w:val="en-US" w:eastAsia="zh-CN"/>
              </w:rPr>
            </w:pPr>
          </w:p>
        </w:tc>
        <w:tc>
          <w:tcPr>
            <w:tcW w:w="900" w:type="pct"/>
            <w:vMerge w:val="continue"/>
            <w:tcBorders>
              <w:left w:val="single" w:color="000000" w:sz="4" w:space="0"/>
              <w:bottom w:val="single" w:color="000000" w:sz="4" w:space="0"/>
              <w:right w:val="single" w:color="000000" w:sz="4" w:space="0"/>
            </w:tcBorders>
            <w:vAlign w:val="center"/>
          </w:tcPr>
          <w:p>
            <w:pPr>
              <w:widowControl/>
              <w:jc w:val="center"/>
              <w:rPr>
                <w:rFonts w:hint="default" w:ascii="Times New Roman" w:hAnsi="Times New Roman" w:cs="Times New Roman"/>
                <w:color w:val="auto"/>
                <w:szCs w:val="21"/>
                <w:highlight w:val="none"/>
                <w:lang w:val="en-US" w:eastAsia="zh-CN"/>
              </w:rPr>
            </w:pPr>
          </w:p>
        </w:tc>
        <w:tc>
          <w:tcPr>
            <w:tcW w:w="800" w:type="pct"/>
            <w:tcBorders>
              <w:top w:val="single" w:color="auto"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pPr>
            <w:r>
              <w:rPr>
                <w:rFonts w:hint="default" w:ascii="Times New Roman" w:hAnsi="Times New Roman" w:cs="Times New Roman"/>
                <w:color w:val="auto"/>
                <w:szCs w:val="21"/>
                <w:highlight w:val="none"/>
              </w:rPr>
              <w:t>H</w:t>
            </w:r>
            <w:r>
              <w:rPr>
                <w:rFonts w:hint="default" w:ascii="Times New Roman" w:hAnsi="Times New Roman" w:cs="Times New Roman"/>
                <w:color w:val="auto"/>
                <w:szCs w:val="21"/>
                <w:highlight w:val="none"/>
                <w:vertAlign w:val="subscript"/>
              </w:rPr>
              <w:t>2</w:t>
            </w:r>
            <w:r>
              <w:rPr>
                <w:rFonts w:hint="default" w:ascii="Times New Roman" w:hAnsi="Times New Roman" w:cs="Times New Roman"/>
                <w:color w:val="auto"/>
                <w:szCs w:val="21"/>
                <w:highlight w:val="none"/>
              </w:rPr>
              <w:t>S</w:t>
            </w:r>
          </w:p>
        </w:tc>
        <w:tc>
          <w:tcPr>
            <w:tcW w:w="982" w:type="pct"/>
            <w:tcBorders>
              <w:top w:val="single" w:color="auto" w:sz="4" w:space="0"/>
              <w:left w:val="single" w:color="000000" w:sz="4" w:space="0"/>
              <w:bottom w:val="single" w:color="000000" w:sz="4" w:space="0"/>
              <w:right w:val="single" w:color="000000" w:sz="4"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default" w:ascii="Times New Roman" w:hAnsi="Times New Roman" w:cs="Times New Roman"/>
                <w:snapToGrid w:val="0"/>
                <w:color w:val="auto"/>
                <w:szCs w:val="22"/>
                <w:highlight w:val="none"/>
                <w:lang w:val="en-US" w:eastAsia="zh-CN"/>
              </w:rPr>
              <w:t>0.</w:t>
            </w:r>
            <w:r>
              <w:rPr>
                <w:rFonts w:hint="eastAsia" w:ascii="Times New Roman" w:hAnsi="Times New Roman" w:cs="Times New Roman"/>
                <w:snapToGrid w:val="0"/>
                <w:color w:val="auto"/>
                <w:szCs w:val="22"/>
                <w:highlight w:val="none"/>
                <w:lang w:val="en-US" w:eastAsia="zh-CN"/>
              </w:rPr>
              <w:t>97</w:t>
            </w:r>
          </w:p>
        </w:tc>
        <w:tc>
          <w:tcPr>
            <w:tcW w:w="891" w:type="pct"/>
            <w:tcBorders>
              <w:top w:val="single" w:color="auto" w:sz="4" w:space="0"/>
              <w:left w:val="single" w:color="000000" w:sz="4" w:space="0"/>
              <w:bottom w:val="single" w:color="000000" w:sz="4" w:space="0"/>
              <w:right w:val="single" w:color="000000" w:sz="4" w:space="0"/>
            </w:tcBorders>
            <w:vAlign w:val="center"/>
          </w:tcPr>
          <w:p>
            <w:pPr>
              <w:pStyle w:val="36"/>
              <w:adjustRightInd w:val="0"/>
              <w:snapToGrid w:val="0"/>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eastAsia="宋体" w:cs="Times New Roman"/>
                <w:snapToGrid w:val="0"/>
                <w:color w:val="auto"/>
                <w:szCs w:val="24"/>
                <w:highlight w:val="none"/>
                <w:lang w:val="en-US" w:eastAsia="zh-CN"/>
              </w:rPr>
              <w:t>0.0029</w:t>
            </w:r>
          </w:p>
        </w:tc>
        <w:tc>
          <w:tcPr>
            <w:tcW w:w="898" w:type="pct"/>
            <w:tcBorders>
              <w:top w:val="single" w:color="auto" w:sz="4" w:space="0"/>
              <w:left w:val="single" w:color="000000" w:sz="4" w:space="0"/>
              <w:bottom w:val="single" w:color="000000" w:sz="4" w:space="0"/>
              <w:right w:val="nil"/>
            </w:tcBorders>
            <w:vAlign w:val="center"/>
          </w:tcPr>
          <w:p>
            <w:pPr>
              <w:pStyle w:val="36"/>
              <w:rPr>
                <w:rFonts w:hint="default" w:ascii="Times New Roman" w:hAnsi="Times New Roman" w:eastAsia="宋体" w:cs="Times New Roman"/>
                <w:snapToGrid w:val="0"/>
                <w:color w:val="auto"/>
                <w:highlight w:val="none"/>
                <w:lang w:val="en-US" w:eastAsia="zh-CN"/>
              </w:rPr>
            </w:pPr>
            <w:r>
              <w:rPr>
                <w:rFonts w:hint="eastAsia" w:ascii="Times New Roman" w:hAnsi="Times New Roman" w:eastAsia="宋体" w:cs="Times New Roman"/>
                <w:bCs/>
                <w:snapToGrid w:val="0"/>
                <w:color w:val="auto"/>
                <w:highlight w:val="none"/>
                <w:lang w:val="en-US" w:eastAsia="zh-CN"/>
              </w:rPr>
              <w:t>0.0118</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jc w:val="center"/>
        </w:trPr>
        <w:tc>
          <w:tcPr>
            <w:tcW w:w="527" w:type="pct"/>
            <w:vMerge w:val="restart"/>
            <w:tcBorders>
              <w:left w:val="nil"/>
              <w:right w:val="single" w:color="000000" w:sz="4" w:space="0"/>
            </w:tcBorders>
            <w:vAlign w:val="center"/>
          </w:tcPr>
          <w:p>
            <w:pPr>
              <w:widowControl/>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w:t>
            </w:r>
          </w:p>
        </w:tc>
        <w:tc>
          <w:tcPr>
            <w:tcW w:w="900" w:type="pct"/>
            <w:vMerge w:val="restart"/>
            <w:tcBorders>
              <w:left w:val="single" w:color="000000" w:sz="4" w:space="0"/>
              <w:right w:val="single" w:color="000000" w:sz="4" w:space="0"/>
            </w:tcBorders>
            <w:vAlign w:val="center"/>
          </w:tcPr>
          <w:p>
            <w:pPr>
              <w:widowControl/>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屠宰</w:t>
            </w:r>
            <w:r>
              <w:rPr>
                <w:rFonts w:hint="eastAsia" w:ascii="Times New Roman" w:hAnsi="Times New Roman" w:eastAsia="宋体" w:cs="Times New Roman"/>
                <w:color w:val="auto"/>
                <w:szCs w:val="21"/>
                <w:highlight w:val="none"/>
                <w:lang w:val="en-US" w:eastAsia="zh-CN"/>
              </w:rPr>
              <w:t>加工</w:t>
            </w:r>
            <w:r>
              <w:rPr>
                <w:rFonts w:hint="default" w:ascii="Times New Roman" w:hAnsi="Times New Roman" w:cs="Times New Roman"/>
                <w:color w:val="auto"/>
                <w:szCs w:val="21"/>
                <w:highlight w:val="none"/>
              </w:rPr>
              <w:t>车间排气筒DA00</w:t>
            </w:r>
            <w:r>
              <w:rPr>
                <w:rFonts w:hint="eastAsia" w:ascii="Times New Roman" w:hAnsi="Times New Roman" w:eastAsia="宋体" w:cs="Times New Roman"/>
                <w:color w:val="auto"/>
                <w:szCs w:val="21"/>
                <w:highlight w:val="none"/>
                <w:lang w:val="en-US" w:eastAsia="zh-CN"/>
              </w:rPr>
              <w:t>3</w:t>
            </w:r>
          </w:p>
        </w:tc>
        <w:tc>
          <w:tcPr>
            <w:tcW w:w="800" w:type="pct"/>
            <w:tcBorders>
              <w:top w:val="single" w:color="auto"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pPr>
            <w:r>
              <w:rPr>
                <w:rFonts w:hint="default" w:ascii="Times New Roman" w:hAnsi="Times New Roman" w:cs="Times New Roman"/>
                <w:color w:val="auto"/>
                <w:szCs w:val="21"/>
                <w:highlight w:val="none"/>
              </w:rPr>
              <w:t>NH</w:t>
            </w:r>
            <w:r>
              <w:rPr>
                <w:rFonts w:hint="default" w:ascii="Times New Roman" w:hAnsi="Times New Roman" w:cs="Times New Roman"/>
                <w:color w:val="auto"/>
                <w:szCs w:val="21"/>
                <w:highlight w:val="none"/>
                <w:vertAlign w:val="subscript"/>
              </w:rPr>
              <w:t>3</w:t>
            </w:r>
          </w:p>
        </w:tc>
        <w:tc>
          <w:tcPr>
            <w:tcW w:w="982" w:type="pct"/>
            <w:tcBorders>
              <w:top w:val="single" w:color="auto" w:sz="4" w:space="0"/>
              <w:left w:val="single" w:color="000000" w:sz="4" w:space="0"/>
              <w:bottom w:val="single" w:color="000000" w:sz="4" w:space="0"/>
              <w:right w:val="single" w:color="000000" w:sz="4"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highlight w:val="none"/>
                <w:lang w:val="en-US" w:eastAsia="zh-CN"/>
              </w:rPr>
              <w:t>0.67</w:t>
            </w:r>
          </w:p>
        </w:tc>
        <w:tc>
          <w:tcPr>
            <w:tcW w:w="891" w:type="pct"/>
            <w:tcBorders>
              <w:top w:val="single" w:color="auto" w:sz="4" w:space="0"/>
              <w:left w:val="single" w:color="000000" w:sz="4" w:space="0"/>
              <w:bottom w:val="single" w:color="000000" w:sz="4" w:space="0"/>
              <w:right w:val="single" w:color="000000" w:sz="4"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highlight w:val="none"/>
                <w:lang w:val="en-US" w:eastAsia="zh-CN"/>
              </w:rPr>
              <w:t>0.002</w:t>
            </w:r>
          </w:p>
        </w:tc>
        <w:tc>
          <w:tcPr>
            <w:tcW w:w="898" w:type="pct"/>
            <w:tcBorders>
              <w:top w:val="single" w:color="auto" w:sz="4" w:space="0"/>
              <w:left w:val="single" w:color="000000" w:sz="4" w:space="0"/>
              <w:bottom w:val="single" w:color="000000" w:sz="4" w:space="0"/>
              <w:right w:val="nil"/>
            </w:tcBorders>
            <w:vAlign w:val="center"/>
          </w:tcPr>
          <w:p>
            <w:pPr>
              <w:pStyle w:val="36"/>
              <w:rPr>
                <w:rFonts w:hint="default" w:ascii="Times New Roman" w:hAnsi="Times New Roman" w:cs="Times New Roman"/>
                <w:snapToGrid w:val="0"/>
                <w:color w:val="auto"/>
                <w:highlight w:val="none"/>
                <w:lang w:val="en-US" w:eastAsia="zh-CN"/>
              </w:rPr>
            </w:pPr>
            <w:r>
              <w:rPr>
                <w:rFonts w:hint="eastAsia" w:ascii="Times New Roman" w:hAnsi="Times New Roman" w:eastAsia="宋体" w:cs="Times New Roman"/>
                <w:snapToGrid w:val="0"/>
                <w:color w:val="auto"/>
                <w:highlight w:val="none"/>
                <w:lang w:val="en-US" w:eastAsia="zh-CN"/>
              </w:rPr>
              <w:t>0.0054</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jc w:val="center"/>
        </w:trPr>
        <w:tc>
          <w:tcPr>
            <w:tcW w:w="527" w:type="pct"/>
            <w:vMerge w:val="continue"/>
            <w:tcBorders>
              <w:left w:val="nil"/>
              <w:bottom w:val="single" w:color="000000" w:sz="4" w:space="0"/>
              <w:right w:val="single" w:color="000000" w:sz="4" w:space="0"/>
            </w:tcBorders>
            <w:vAlign w:val="center"/>
          </w:tcPr>
          <w:p>
            <w:pPr>
              <w:widowControl/>
              <w:jc w:val="center"/>
              <w:rPr>
                <w:rFonts w:hint="default" w:ascii="Times New Roman" w:hAnsi="Times New Roman" w:cs="Times New Roman"/>
                <w:color w:val="auto"/>
                <w:szCs w:val="21"/>
                <w:highlight w:val="none"/>
                <w:lang w:val="en-US" w:eastAsia="zh-CN"/>
              </w:rPr>
            </w:pPr>
          </w:p>
        </w:tc>
        <w:tc>
          <w:tcPr>
            <w:tcW w:w="900" w:type="pct"/>
            <w:vMerge w:val="continue"/>
            <w:tcBorders>
              <w:left w:val="single" w:color="000000" w:sz="4" w:space="0"/>
              <w:bottom w:val="single" w:color="000000" w:sz="4" w:space="0"/>
              <w:right w:val="single" w:color="000000" w:sz="4" w:space="0"/>
            </w:tcBorders>
            <w:vAlign w:val="center"/>
          </w:tcPr>
          <w:p>
            <w:pPr>
              <w:widowControl/>
              <w:jc w:val="center"/>
              <w:rPr>
                <w:rFonts w:hint="default" w:ascii="Times New Roman" w:hAnsi="Times New Roman" w:cs="Times New Roman"/>
                <w:color w:val="auto"/>
                <w:szCs w:val="21"/>
                <w:highlight w:val="none"/>
                <w:lang w:val="en-US" w:eastAsia="zh-CN"/>
              </w:rPr>
            </w:pPr>
          </w:p>
        </w:tc>
        <w:tc>
          <w:tcPr>
            <w:tcW w:w="800" w:type="pct"/>
            <w:tcBorders>
              <w:top w:val="single" w:color="auto"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pPr>
            <w:r>
              <w:rPr>
                <w:rFonts w:hint="default" w:ascii="Times New Roman" w:hAnsi="Times New Roman" w:cs="Times New Roman"/>
                <w:color w:val="auto"/>
                <w:szCs w:val="21"/>
                <w:highlight w:val="none"/>
              </w:rPr>
              <w:t>H</w:t>
            </w:r>
            <w:r>
              <w:rPr>
                <w:rFonts w:hint="default" w:ascii="Times New Roman" w:hAnsi="Times New Roman" w:cs="Times New Roman"/>
                <w:color w:val="auto"/>
                <w:szCs w:val="21"/>
                <w:highlight w:val="none"/>
                <w:vertAlign w:val="subscript"/>
              </w:rPr>
              <w:t>2</w:t>
            </w:r>
            <w:r>
              <w:rPr>
                <w:rFonts w:hint="default" w:ascii="Times New Roman" w:hAnsi="Times New Roman" w:cs="Times New Roman"/>
                <w:color w:val="auto"/>
                <w:szCs w:val="21"/>
                <w:highlight w:val="none"/>
              </w:rPr>
              <w:t>S</w:t>
            </w:r>
          </w:p>
        </w:tc>
        <w:tc>
          <w:tcPr>
            <w:tcW w:w="982" w:type="pct"/>
            <w:tcBorders>
              <w:top w:val="single" w:color="auto" w:sz="4" w:space="0"/>
              <w:left w:val="single" w:color="000000" w:sz="4" w:space="0"/>
              <w:bottom w:val="single" w:color="000000" w:sz="4" w:space="0"/>
              <w:right w:val="single" w:color="000000" w:sz="4"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highlight w:val="none"/>
                <w:lang w:val="en-US" w:eastAsia="zh-CN"/>
              </w:rPr>
              <w:t>0.03</w:t>
            </w:r>
          </w:p>
        </w:tc>
        <w:tc>
          <w:tcPr>
            <w:tcW w:w="891" w:type="pct"/>
            <w:tcBorders>
              <w:top w:val="single" w:color="auto" w:sz="4" w:space="0"/>
              <w:left w:val="single" w:color="000000" w:sz="4" w:space="0"/>
              <w:bottom w:val="single" w:color="000000" w:sz="4" w:space="0"/>
              <w:right w:val="single" w:color="000000" w:sz="4"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eastAsia="宋体" w:cs="Times New Roman"/>
                <w:snapToGrid w:val="0"/>
                <w:color w:val="auto"/>
                <w:highlight w:val="none"/>
                <w:lang w:val="en-US" w:eastAsia="zh-CN"/>
              </w:rPr>
              <w:t>0.0001</w:t>
            </w:r>
          </w:p>
        </w:tc>
        <w:tc>
          <w:tcPr>
            <w:tcW w:w="898" w:type="pct"/>
            <w:tcBorders>
              <w:top w:val="single" w:color="auto" w:sz="4" w:space="0"/>
              <w:left w:val="single" w:color="000000" w:sz="4" w:space="0"/>
              <w:bottom w:val="single" w:color="000000" w:sz="4" w:space="0"/>
              <w:right w:val="nil"/>
            </w:tcBorders>
            <w:vAlign w:val="center"/>
          </w:tcPr>
          <w:p>
            <w:pPr>
              <w:pStyle w:val="36"/>
              <w:rPr>
                <w:rFonts w:hint="default" w:ascii="Times New Roman" w:hAnsi="Times New Roman" w:eastAsia="宋体" w:cs="Times New Roman"/>
                <w:snapToGrid w:val="0"/>
                <w:color w:val="auto"/>
                <w:highlight w:val="none"/>
                <w:lang w:val="en-US" w:eastAsia="zh-CN"/>
              </w:rPr>
            </w:pPr>
            <w:r>
              <w:rPr>
                <w:rFonts w:hint="eastAsia" w:ascii="Times New Roman" w:hAnsi="Times New Roman" w:eastAsia="宋体" w:cs="Times New Roman"/>
                <w:snapToGrid w:val="0"/>
                <w:color w:val="auto"/>
                <w:highlight w:val="none"/>
                <w:lang w:val="en-US" w:eastAsia="zh-CN"/>
              </w:rPr>
              <w:t>0.0003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jc w:val="center"/>
        </w:trPr>
        <w:tc>
          <w:tcPr>
            <w:tcW w:w="527" w:type="pct"/>
            <w:vMerge w:val="restart"/>
            <w:tcBorders>
              <w:left w:val="nil"/>
              <w:right w:val="single" w:color="000000" w:sz="4" w:space="0"/>
            </w:tcBorders>
            <w:vAlign w:val="center"/>
          </w:tcPr>
          <w:p>
            <w:pPr>
              <w:widowControl/>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w:t>
            </w:r>
          </w:p>
        </w:tc>
        <w:tc>
          <w:tcPr>
            <w:tcW w:w="900" w:type="pct"/>
            <w:vMerge w:val="restart"/>
            <w:tcBorders>
              <w:left w:val="single" w:color="000000" w:sz="4" w:space="0"/>
              <w:bottom w:val="single" w:color="000000" w:sz="4" w:space="0"/>
              <w:right w:val="single" w:color="000000" w:sz="4" w:space="0"/>
            </w:tcBorders>
            <w:vAlign w:val="center"/>
          </w:tcPr>
          <w:p>
            <w:pPr>
              <w:widowControl/>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污水处理站排气筒DA00</w:t>
            </w:r>
            <w:r>
              <w:rPr>
                <w:rFonts w:hint="eastAsia" w:ascii="Times New Roman" w:hAnsi="Times New Roman" w:eastAsia="宋体" w:cs="Times New Roman"/>
                <w:color w:val="auto"/>
                <w:szCs w:val="21"/>
                <w:highlight w:val="none"/>
                <w:lang w:val="en-US" w:eastAsia="zh-CN"/>
              </w:rPr>
              <w:t>4</w:t>
            </w:r>
          </w:p>
        </w:tc>
        <w:tc>
          <w:tcPr>
            <w:tcW w:w="800" w:type="pct"/>
            <w:tcBorders>
              <w:top w:val="single" w:color="auto"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NH</w:t>
            </w:r>
            <w:r>
              <w:rPr>
                <w:rFonts w:hint="default" w:ascii="Times New Roman" w:hAnsi="Times New Roman" w:cs="Times New Roman"/>
                <w:color w:val="auto"/>
                <w:szCs w:val="21"/>
                <w:highlight w:val="none"/>
                <w:vertAlign w:val="subscript"/>
              </w:rPr>
              <w:t>3</w:t>
            </w:r>
          </w:p>
        </w:tc>
        <w:tc>
          <w:tcPr>
            <w:tcW w:w="982" w:type="pct"/>
            <w:tcBorders>
              <w:top w:val="single" w:color="auto" w:sz="4" w:space="0"/>
              <w:left w:val="single" w:color="000000" w:sz="4" w:space="0"/>
              <w:bottom w:val="single" w:color="000000" w:sz="4" w:space="0"/>
              <w:right w:val="single" w:color="000000" w:sz="4" w:space="0"/>
            </w:tcBorders>
            <w:vAlign w:val="center"/>
          </w:tcPr>
          <w:p>
            <w:pPr>
              <w:pStyle w:val="36"/>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0.83</w:t>
            </w:r>
          </w:p>
        </w:tc>
        <w:tc>
          <w:tcPr>
            <w:tcW w:w="891" w:type="pct"/>
            <w:tcBorders>
              <w:top w:val="single" w:color="auto" w:sz="4" w:space="0"/>
              <w:left w:val="single" w:color="000000" w:sz="4" w:space="0"/>
              <w:bottom w:val="single" w:color="000000" w:sz="4" w:space="0"/>
              <w:right w:val="single" w:color="000000" w:sz="4" w:space="0"/>
            </w:tcBorders>
            <w:vAlign w:val="center"/>
          </w:tcPr>
          <w:p>
            <w:pPr>
              <w:pStyle w:val="36"/>
              <w:rPr>
                <w:rFonts w:hint="default" w:ascii="Times New Roman" w:hAnsi="Times New Roman" w:cs="Times New Roman"/>
                <w:snapToGrid w:val="0"/>
                <w:color w:val="auto"/>
                <w:highlight w:val="none"/>
                <w:lang w:val="en-US"/>
              </w:rPr>
            </w:pPr>
            <w:r>
              <w:rPr>
                <w:rFonts w:hint="eastAsia" w:ascii="Times New Roman" w:hAnsi="Times New Roman" w:cs="Times New Roman"/>
                <w:bCs/>
                <w:color w:val="auto"/>
                <w:highlight w:val="none"/>
                <w:lang w:val="en-US" w:eastAsia="zh-CN"/>
              </w:rPr>
              <w:t>0.0025</w:t>
            </w:r>
          </w:p>
        </w:tc>
        <w:tc>
          <w:tcPr>
            <w:tcW w:w="898" w:type="pct"/>
            <w:tcBorders>
              <w:top w:val="single" w:color="auto" w:sz="4" w:space="0"/>
              <w:left w:val="single" w:color="000000" w:sz="4" w:space="0"/>
              <w:bottom w:val="single" w:color="000000" w:sz="4" w:space="0"/>
              <w:right w:val="nil"/>
            </w:tcBorders>
            <w:vAlign w:val="center"/>
          </w:tcPr>
          <w:p>
            <w:pPr>
              <w:pStyle w:val="36"/>
              <w:rPr>
                <w:rFonts w:hint="default" w:ascii="Times New Roman" w:hAnsi="Times New Roman" w:cs="Times New Roman"/>
                <w:snapToGrid w:val="0"/>
                <w:color w:val="auto"/>
                <w:highlight w:val="none"/>
                <w:lang w:val="en-US"/>
              </w:rPr>
            </w:pPr>
            <w:r>
              <w:rPr>
                <w:rFonts w:hint="eastAsia" w:ascii="Times New Roman" w:hAnsi="Times New Roman" w:cs="Times New Roman"/>
                <w:snapToGrid w:val="0"/>
                <w:color w:val="auto"/>
                <w:highlight w:val="none"/>
                <w:lang w:val="en-US" w:eastAsia="zh-CN"/>
              </w:rPr>
              <w:t>0.0102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jc w:val="center"/>
        </w:trPr>
        <w:tc>
          <w:tcPr>
            <w:tcW w:w="527" w:type="pct"/>
            <w:vMerge w:val="continue"/>
            <w:tcBorders>
              <w:left w:val="nil"/>
              <w:bottom w:val="single" w:color="000000" w:sz="4" w:space="0"/>
              <w:right w:val="single" w:color="000000" w:sz="4" w:space="0"/>
            </w:tcBorders>
            <w:vAlign w:val="center"/>
          </w:tcPr>
          <w:p>
            <w:pPr>
              <w:widowControl/>
              <w:jc w:val="center"/>
              <w:rPr>
                <w:rFonts w:hint="default" w:ascii="Times New Roman" w:hAnsi="Times New Roman" w:cs="Times New Roman"/>
                <w:color w:val="auto"/>
                <w:szCs w:val="21"/>
                <w:highlight w:val="none"/>
                <w:lang w:val="en-US" w:eastAsia="zh-CN"/>
              </w:rPr>
            </w:pPr>
          </w:p>
        </w:tc>
        <w:tc>
          <w:tcPr>
            <w:tcW w:w="900" w:type="pct"/>
            <w:vMerge w:val="continue"/>
            <w:tcBorders>
              <w:left w:val="single" w:color="000000" w:sz="4" w:space="0"/>
              <w:bottom w:val="single" w:color="000000" w:sz="4" w:space="0"/>
              <w:right w:val="single" w:color="000000" w:sz="4" w:space="0"/>
            </w:tcBorders>
            <w:vAlign w:val="center"/>
          </w:tcPr>
          <w:p>
            <w:pPr>
              <w:widowControl/>
              <w:jc w:val="center"/>
              <w:rPr>
                <w:rFonts w:hint="default" w:ascii="Times New Roman" w:hAnsi="Times New Roman" w:cs="Times New Roman"/>
                <w:color w:val="auto"/>
                <w:szCs w:val="21"/>
                <w:highlight w:val="none"/>
                <w:lang w:val="en-US" w:eastAsia="zh-CN"/>
              </w:rPr>
            </w:pPr>
          </w:p>
        </w:tc>
        <w:tc>
          <w:tcPr>
            <w:tcW w:w="800" w:type="pct"/>
            <w:tcBorders>
              <w:top w:val="single" w:color="auto"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w:t>
            </w:r>
            <w:r>
              <w:rPr>
                <w:rFonts w:hint="default" w:ascii="Times New Roman" w:hAnsi="Times New Roman" w:cs="Times New Roman"/>
                <w:color w:val="auto"/>
                <w:szCs w:val="21"/>
                <w:highlight w:val="none"/>
                <w:vertAlign w:val="subscript"/>
              </w:rPr>
              <w:t>2</w:t>
            </w:r>
            <w:r>
              <w:rPr>
                <w:rFonts w:hint="default" w:ascii="Times New Roman" w:hAnsi="Times New Roman" w:cs="Times New Roman"/>
                <w:color w:val="auto"/>
                <w:szCs w:val="21"/>
                <w:highlight w:val="none"/>
              </w:rPr>
              <w:t>S</w:t>
            </w:r>
          </w:p>
        </w:tc>
        <w:tc>
          <w:tcPr>
            <w:tcW w:w="982" w:type="pct"/>
            <w:tcBorders>
              <w:top w:val="single" w:color="auto" w:sz="4" w:space="0"/>
              <w:left w:val="single" w:color="000000" w:sz="4" w:space="0"/>
              <w:bottom w:val="single" w:color="000000" w:sz="4" w:space="0"/>
              <w:right w:val="single" w:color="000000" w:sz="4" w:space="0"/>
            </w:tcBorders>
            <w:vAlign w:val="center"/>
          </w:tcPr>
          <w:p>
            <w:pPr>
              <w:pStyle w:val="36"/>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0.0018</w:t>
            </w:r>
          </w:p>
        </w:tc>
        <w:tc>
          <w:tcPr>
            <w:tcW w:w="891" w:type="pct"/>
            <w:tcBorders>
              <w:top w:val="single" w:color="auto" w:sz="4" w:space="0"/>
              <w:left w:val="single" w:color="000000" w:sz="4" w:space="0"/>
              <w:bottom w:val="single" w:color="000000" w:sz="4" w:space="0"/>
              <w:right w:val="single" w:color="000000" w:sz="4" w:space="0"/>
            </w:tcBorders>
            <w:vAlign w:val="center"/>
          </w:tcPr>
          <w:p>
            <w:pPr>
              <w:pStyle w:val="36"/>
              <w:rPr>
                <w:rFonts w:hint="default" w:ascii="Times New Roman" w:hAnsi="Times New Roman" w:eastAsia="宋体" w:cs="Times New Roman"/>
                <w:snapToGrid w:val="0"/>
                <w:color w:val="auto"/>
                <w:highlight w:val="none"/>
                <w:lang w:val="en-US" w:eastAsia="zh-CN"/>
              </w:rPr>
            </w:pPr>
            <w:r>
              <w:rPr>
                <w:rFonts w:hint="eastAsia" w:ascii="Times New Roman" w:hAnsi="Times New Roman" w:eastAsia="宋体" w:cs="Times New Roman"/>
                <w:snapToGrid w:val="0"/>
                <w:color w:val="auto"/>
                <w:highlight w:val="none"/>
                <w:lang w:val="en-US" w:eastAsia="zh-CN"/>
              </w:rPr>
              <w:t>0.00009</w:t>
            </w:r>
          </w:p>
        </w:tc>
        <w:tc>
          <w:tcPr>
            <w:tcW w:w="898" w:type="pct"/>
            <w:tcBorders>
              <w:top w:val="single" w:color="auto" w:sz="4" w:space="0"/>
              <w:left w:val="single" w:color="000000" w:sz="4" w:space="0"/>
              <w:bottom w:val="single" w:color="000000" w:sz="4" w:space="0"/>
              <w:right w:val="nil"/>
            </w:tcBorders>
            <w:vAlign w:val="center"/>
          </w:tcPr>
          <w:p>
            <w:pPr>
              <w:pStyle w:val="36"/>
              <w:rPr>
                <w:rFonts w:hint="default" w:ascii="Times New Roman" w:hAnsi="Times New Roman" w:cs="Times New Roman"/>
                <w:snapToGrid w:val="0"/>
                <w:color w:val="auto"/>
                <w:highlight w:val="none"/>
                <w:lang w:val="en-US"/>
              </w:rPr>
            </w:pPr>
            <w:r>
              <w:rPr>
                <w:rFonts w:hint="eastAsia" w:ascii="Times New Roman" w:hAnsi="Times New Roman" w:cs="Times New Roman"/>
                <w:snapToGrid w:val="0"/>
                <w:color w:val="auto"/>
                <w:highlight w:val="none"/>
                <w:lang w:val="en-US" w:eastAsia="zh-CN"/>
              </w:rPr>
              <w:t>0.000022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5" w:hRule="atLeast"/>
          <w:jc w:val="center"/>
        </w:trPr>
        <w:tc>
          <w:tcPr>
            <w:tcW w:w="0" w:type="auto"/>
            <w:gridSpan w:val="2"/>
            <w:vMerge w:val="restart"/>
            <w:tcBorders>
              <w:left w:val="nil"/>
              <w:right w:val="single" w:color="000000" w:sz="4" w:space="0"/>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有组织排放总计</w:t>
            </w:r>
          </w:p>
        </w:tc>
        <w:tc>
          <w:tcPr>
            <w:tcW w:w="2673" w:type="pct"/>
            <w:gridSpan w:val="3"/>
            <w:tcBorders>
              <w:top w:val="single" w:color="auto" w:sz="4" w:space="0"/>
              <w:left w:val="single" w:color="000000" w:sz="4" w:space="0"/>
              <w:bottom w:val="single" w:color="auto" w:sz="4" w:space="0"/>
              <w:right w:val="single" w:color="000000" w:sz="4" w:space="0"/>
            </w:tcBorders>
            <w:vAlign w:val="center"/>
          </w:tcPr>
          <w:p>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NH</w:t>
            </w:r>
            <w:r>
              <w:rPr>
                <w:rFonts w:hint="default" w:ascii="Times New Roman" w:hAnsi="Times New Roman" w:cs="Times New Roman"/>
                <w:color w:val="auto"/>
                <w:szCs w:val="21"/>
                <w:highlight w:val="none"/>
                <w:vertAlign w:val="subscript"/>
              </w:rPr>
              <w:t>3</w:t>
            </w:r>
          </w:p>
        </w:tc>
        <w:tc>
          <w:tcPr>
            <w:tcW w:w="898" w:type="pct"/>
            <w:tcBorders>
              <w:top w:val="single" w:color="auto" w:sz="4" w:space="0"/>
              <w:left w:val="single" w:color="000000" w:sz="4" w:space="0"/>
              <w:bottom w:val="single" w:color="auto" w:sz="4" w:space="0"/>
              <w:right w:val="nil"/>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default" w:ascii="Times New Roman" w:hAnsi="Times New Roman" w:cs="Times New Roman"/>
                <w:snapToGrid w:val="0"/>
                <w:color w:val="auto"/>
                <w:szCs w:val="22"/>
                <w:highlight w:val="none"/>
                <w:lang w:val="en-US" w:eastAsia="zh-CN"/>
              </w:rPr>
              <w:t>0.09</w:t>
            </w:r>
            <w:r>
              <w:rPr>
                <w:rFonts w:hint="eastAsia" w:ascii="Times New Roman" w:hAnsi="Times New Roman" w:cs="Times New Roman"/>
                <w:snapToGrid w:val="0"/>
                <w:color w:val="auto"/>
                <w:szCs w:val="22"/>
                <w:highlight w:val="none"/>
                <w:lang w:val="en-US" w:eastAsia="zh-CN"/>
              </w:rPr>
              <w:t>52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5" w:hRule="atLeast"/>
          <w:jc w:val="center"/>
        </w:trPr>
        <w:tc>
          <w:tcPr>
            <w:tcW w:w="0" w:type="auto"/>
            <w:gridSpan w:val="2"/>
            <w:vMerge w:val="continue"/>
            <w:tcBorders>
              <w:left w:val="nil"/>
              <w:right w:val="single" w:color="000000" w:sz="4" w:space="0"/>
            </w:tcBorders>
            <w:vAlign w:val="center"/>
          </w:tcPr>
          <w:p>
            <w:pPr>
              <w:widowControl/>
              <w:jc w:val="left"/>
              <w:rPr>
                <w:rFonts w:hint="default" w:ascii="Times New Roman" w:hAnsi="Times New Roman" w:cs="Times New Roman"/>
                <w:color w:val="auto"/>
                <w:szCs w:val="21"/>
                <w:highlight w:val="none"/>
              </w:rPr>
            </w:pPr>
          </w:p>
        </w:tc>
        <w:tc>
          <w:tcPr>
            <w:tcW w:w="2673" w:type="pct"/>
            <w:gridSpan w:val="3"/>
            <w:tcBorders>
              <w:top w:val="single" w:color="auto" w:sz="4" w:space="0"/>
              <w:left w:val="single" w:color="000000" w:sz="4" w:space="0"/>
              <w:bottom w:val="single" w:color="auto" w:sz="4" w:space="0"/>
              <w:right w:val="single" w:color="000000" w:sz="4" w:space="0"/>
            </w:tcBorders>
            <w:vAlign w:val="center"/>
          </w:tcPr>
          <w:p>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w:t>
            </w:r>
            <w:r>
              <w:rPr>
                <w:rFonts w:hint="default" w:ascii="Times New Roman" w:hAnsi="Times New Roman" w:cs="Times New Roman"/>
                <w:color w:val="auto"/>
                <w:szCs w:val="21"/>
                <w:highlight w:val="none"/>
                <w:vertAlign w:val="subscript"/>
              </w:rPr>
              <w:t>2</w:t>
            </w:r>
            <w:r>
              <w:rPr>
                <w:rFonts w:hint="default" w:ascii="Times New Roman" w:hAnsi="Times New Roman" w:cs="Times New Roman"/>
                <w:color w:val="auto"/>
                <w:szCs w:val="21"/>
                <w:highlight w:val="none"/>
              </w:rPr>
              <w:t>S</w:t>
            </w:r>
          </w:p>
        </w:tc>
        <w:tc>
          <w:tcPr>
            <w:tcW w:w="898" w:type="pct"/>
            <w:tcBorders>
              <w:top w:val="single" w:color="auto" w:sz="4" w:space="0"/>
              <w:left w:val="single" w:color="000000" w:sz="4" w:space="0"/>
              <w:bottom w:val="single" w:color="auto" w:sz="4" w:space="0"/>
              <w:right w:val="nil"/>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szCs w:val="22"/>
                <w:highlight w:val="none"/>
                <w:lang w:val="en-US" w:eastAsia="zh-CN"/>
              </w:rPr>
              <w:t>0.012122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5" w:hRule="atLeast"/>
          <w:jc w:val="center"/>
        </w:trPr>
        <w:tc>
          <w:tcPr>
            <w:tcW w:w="0" w:type="auto"/>
            <w:gridSpan w:val="2"/>
            <w:vMerge w:val="continue"/>
            <w:tcBorders>
              <w:left w:val="nil"/>
              <w:bottom w:val="single" w:color="auto" w:sz="12" w:space="0"/>
              <w:right w:val="single" w:color="000000" w:sz="4" w:space="0"/>
            </w:tcBorders>
            <w:vAlign w:val="center"/>
          </w:tcPr>
          <w:p>
            <w:pPr>
              <w:widowControl/>
              <w:jc w:val="left"/>
              <w:rPr>
                <w:rFonts w:hint="default" w:ascii="Times New Roman" w:hAnsi="Times New Roman" w:cs="Times New Roman"/>
                <w:color w:val="auto"/>
                <w:szCs w:val="21"/>
                <w:highlight w:val="none"/>
              </w:rPr>
            </w:pPr>
          </w:p>
        </w:tc>
        <w:tc>
          <w:tcPr>
            <w:tcW w:w="2673" w:type="pct"/>
            <w:gridSpan w:val="3"/>
            <w:tcBorders>
              <w:top w:val="single" w:color="000000"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颗粒物</w:t>
            </w:r>
          </w:p>
        </w:tc>
        <w:tc>
          <w:tcPr>
            <w:tcW w:w="898" w:type="pct"/>
            <w:tcBorders>
              <w:top w:val="single" w:color="000000" w:sz="4" w:space="0"/>
              <w:left w:val="single" w:color="000000" w:sz="4" w:space="0"/>
              <w:bottom w:val="single" w:color="000000" w:sz="4" w:space="0"/>
              <w:right w:val="nil"/>
            </w:tcBorders>
            <w:vAlign w:val="center"/>
          </w:tcPr>
          <w:p>
            <w:pPr>
              <w:pStyle w:val="36"/>
              <w:rPr>
                <w:rFonts w:hint="default" w:ascii="Times New Roman" w:hAnsi="Times New Roman" w:cs="Times New Roman"/>
                <w:bCs/>
                <w:snapToGrid w:val="0"/>
                <w:color w:val="auto"/>
                <w:szCs w:val="22"/>
                <w:highlight w:val="none"/>
                <w:lang w:val="en-US"/>
              </w:rPr>
            </w:pPr>
            <w:r>
              <w:rPr>
                <w:rFonts w:hint="eastAsia" w:ascii="Times New Roman" w:hAnsi="Times New Roman" w:cs="Times New Roman"/>
                <w:snapToGrid w:val="0"/>
                <w:color w:val="auto"/>
                <w:highlight w:val="none"/>
                <w:lang w:val="en-US" w:eastAsia="zh-CN"/>
              </w:rPr>
              <w:t>0.01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5" w:hRule="atLeast"/>
          <w:jc w:val="center"/>
        </w:trPr>
        <w:tc>
          <w:tcPr>
            <w:tcW w:w="0" w:type="auto"/>
            <w:gridSpan w:val="2"/>
            <w:vMerge w:val="continue"/>
            <w:tcBorders>
              <w:left w:val="nil"/>
              <w:bottom w:val="single" w:color="auto" w:sz="12" w:space="0"/>
              <w:right w:val="single" w:color="000000" w:sz="4" w:space="0"/>
            </w:tcBorders>
            <w:vAlign w:val="center"/>
          </w:tcPr>
          <w:p>
            <w:pPr>
              <w:widowControl/>
              <w:jc w:val="left"/>
              <w:rPr>
                <w:rFonts w:hint="default" w:ascii="Times New Roman" w:hAnsi="Times New Roman" w:cs="Times New Roman"/>
                <w:color w:val="auto"/>
                <w:szCs w:val="21"/>
                <w:highlight w:val="none"/>
              </w:rPr>
            </w:pPr>
          </w:p>
        </w:tc>
        <w:tc>
          <w:tcPr>
            <w:tcW w:w="2673" w:type="pct"/>
            <w:gridSpan w:val="3"/>
            <w:tcBorders>
              <w:top w:val="single" w:color="000000" w:sz="4" w:space="0"/>
              <w:left w:val="single" w:color="000000" w:sz="4" w:space="0"/>
              <w:bottom w:val="single" w:color="000000" w:sz="4" w:space="0"/>
              <w:right w:val="single" w:color="000000" w:sz="4" w:space="0"/>
            </w:tcBorders>
            <w:vAlign w:val="center"/>
          </w:tcPr>
          <w:p>
            <w:pPr>
              <w:pStyle w:val="20"/>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二氧化硫</w:t>
            </w:r>
          </w:p>
        </w:tc>
        <w:tc>
          <w:tcPr>
            <w:tcW w:w="1710" w:type="dxa"/>
            <w:tcBorders>
              <w:top w:val="single" w:color="000000" w:sz="4" w:space="0"/>
              <w:left w:val="single" w:color="000000" w:sz="4" w:space="0"/>
              <w:bottom w:val="single" w:color="000000" w:sz="4" w:space="0"/>
              <w:right w:val="nil"/>
            </w:tcBorders>
            <w:vAlign w:val="center"/>
          </w:tcPr>
          <w:p>
            <w:pPr>
              <w:pStyle w:val="36"/>
              <w:rPr>
                <w:rFonts w:hint="default" w:ascii="Times New Roman" w:hAnsi="Times New Roman" w:cs="Times New Roman"/>
                <w:bCs/>
                <w:snapToGrid w:val="0"/>
                <w:color w:val="auto"/>
                <w:szCs w:val="22"/>
                <w:highlight w:val="none"/>
              </w:rPr>
            </w:pPr>
            <w:r>
              <w:rPr>
                <w:rFonts w:hint="eastAsia" w:ascii="Times New Roman" w:hAnsi="Times New Roman" w:cs="Times New Roman"/>
                <w:snapToGrid w:val="0"/>
                <w:color w:val="auto"/>
                <w:highlight w:val="none"/>
                <w:lang w:val="en-US" w:eastAsia="zh-CN"/>
              </w:rPr>
              <w:t>0.031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5" w:hRule="atLeast"/>
          <w:jc w:val="center"/>
        </w:trPr>
        <w:tc>
          <w:tcPr>
            <w:tcW w:w="0" w:type="auto"/>
            <w:gridSpan w:val="2"/>
            <w:vMerge w:val="continue"/>
            <w:tcBorders>
              <w:left w:val="nil"/>
              <w:bottom w:val="single" w:color="auto" w:sz="12" w:space="0"/>
              <w:right w:val="single" w:color="000000" w:sz="4" w:space="0"/>
            </w:tcBorders>
            <w:vAlign w:val="center"/>
          </w:tcPr>
          <w:p>
            <w:pPr>
              <w:widowControl/>
              <w:jc w:val="left"/>
              <w:rPr>
                <w:rFonts w:hint="default" w:ascii="Times New Roman" w:hAnsi="Times New Roman" w:cs="Times New Roman"/>
                <w:color w:val="auto"/>
                <w:szCs w:val="21"/>
                <w:highlight w:val="none"/>
              </w:rPr>
            </w:pPr>
          </w:p>
        </w:tc>
        <w:tc>
          <w:tcPr>
            <w:tcW w:w="2673" w:type="pct"/>
            <w:gridSpan w:val="3"/>
            <w:tcBorders>
              <w:top w:val="single" w:color="000000" w:sz="4" w:space="0"/>
              <w:left w:val="single" w:color="000000" w:sz="4" w:space="0"/>
              <w:bottom w:val="single" w:color="auto" w:sz="12" w:space="0"/>
              <w:right w:val="single" w:color="000000" w:sz="4" w:space="0"/>
            </w:tcBorders>
            <w:vAlign w:val="center"/>
          </w:tcPr>
          <w:p>
            <w:pPr>
              <w:pStyle w:val="20"/>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default" w:ascii="Times New Roman" w:hAnsi="Times New Roman" w:cs="Times New Roman"/>
                <w:b w:val="0"/>
                <w:bCs w:val="0"/>
                <w:color w:val="auto"/>
                <w:szCs w:val="21"/>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氮氧化物</w:t>
            </w:r>
          </w:p>
        </w:tc>
        <w:tc>
          <w:tcPr>
            <w:tcW w:w="1710" w:type="dxa"/>
            <w:tcBorders>
              <w:top w:val="single" w:color="000000" w:sz="4" w:space="0"/>
              <w:left w:val="single" w:color="000000" w:sz="4" w:space="0"/>
              <w:bottom w:val="single" w:color="auto" w:sz="12" w:space="0"/>
              <w:right w:val="nil"/>
            </w:tcBorders>
            <w:vAlign w:val="center"/>
          </w:tcPr>
          <w:p>
            <w:pPr>
              <w:pStyle w:val="36"/>
              <w:rPr>
                <w:rFonts w:hint="default" w:ascii="Times New Roman" w:hAnsi="Times New Roman" w:cs="Times New Roman"/>
                <w:snapToGrid w:val="0"/>
                <w:color w:val="auto"/>
                <w:szCs w:val="22"/>
                <w:highlight w:val="none"/>
              </w:rPr>
            </w:pPr>
            <w:r>
              <w:rPr>
                <w:rFonts w:hint="eastAsia" w:ascii="Times New Roman" w:hAnsi="Times New Roman" w:cs="Times New Roman"/>
                <w:snapToGrid w:val="0"/>
                <w:color w:val="auto"/>
                <w:highlight w:val="none"/>
                <w:lang w:val="en-US" w:eastAsia="zh-CN"/>
              </w:rPr>
              <w:t>0.098</w:t>
            </w:r>
          </w:p>
        </w:tc>
      </w:tr>
    </w:tbl>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pPr>
      <w:r>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t>表5-2-1</w:t>
      </w:r>
      <w:r>
        <w:rPr>
          <w:rFonts w:hint="default" w:ascii="Times New Roman" w:hAnsi="Times New Roman" w:eastAsia="宋体" w:cs="Times New Roman"/>
          <w:snapToGrid w:val="0"/>
          <w:color w:val="000000"/>
          <w:spacing w:val="6"/>
          <w:kern w:val="0"/>
          <w:sz w:val="20"/>
          <w:szCs w:val="20"/>
          <w:lang w:val="en-US" w:eastAsia="zh-CN" w:bidi="ar-SA"/>
          <w14:textOutline w14:w="3795" w14:cap="sq" w14:cmpd="sng">
            <w14:solidFill>
              <w14:srgbClr w14:val="000000"/>
            </w14:solidFill>
            <w14:prstDash w14:val="solid"/>
            <w14:bevel/>
          </w14:textOutline>
        </w:rPr>
        <w:t>1</w:t>
      </w:r>
      <w:r>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t>大气污染物无组织排放量核算表</w:t>
      </w:r>
    </w:p>
    <w:tbl>
      <w:tblPr>
        <w:tblStyle w:val="24"/>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1373"/>
        <w:gridCol w:w="734"/>
        <w:gridCol w:w="3232"/>
        <w:gridCol w:w="1313"/>
        <w:gridCol w:w="1207"/>
        <w:gridCol w:w="100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4" w:hRule="atLeast"/>
          <w:jc w:val="center"/>
        </w:trPr>
        <w:tc>
          <w:tcPr>
            <w:tcW w:w="229" w:type="pct"/>
            <w:vMerge w:val="restart"/>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序号</w:t>
            </w:r>
          </w:p>
        </w:tc>
        <w:tc>
          <w:tcPr>
            <w:tcW w:w="748" w:type="pct"/>
            <w:vMerge w:val="restart"/>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产污环节</w:t>
            </w:r>
          </w:p>
        </w:tc>
        <w:tc>
          <w:tcPr>
            <w:tcW w:w="404" w:type="pct"/>
            <w:vMerge w:val="restart"/>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污染物</w:t>
            </w:r>
          </w:p>
        </w:tc>
        <w:tc>
          <w:tcPr>
            <w:tcW w:w="1749" w:type="pct"/>
            <w:vMerge w:val="restart"/>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主要污染防治措施</w:t>
            </w:r>
          </w:p>
        </w:tc>
        <w:tc>
          <w:tcPr>
            <w:tcW w:w="1364" w:type="pct"/>
            <w:gridSpan w:val="2"/>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污染物排放标准</w:t>
            </w:r>
          </w:p>
        </w:tc>
        <w:tc>
          <w:tcPr>
            <w:tcW w:w="503" w:type="pct"/>
            <w:vMerge w:val="restart"/>
            <w:vAlign w:val="center"/>
          </w:tcPr>
          <w:p>
            <w:pPr>
              <w:spacing w:line="0" w:lineRule="atLeast"/>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年排放量</w:t>
            </w:r>
          </w:p>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highlight w:val="none"/>
              </w:rPr>
              <w:t>（t/a）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7" w:hRule="atLeast"/>
          <w:jc w:val="center"/>
        </w:trPr>
        <w:tc>
          <w:tcPr>
            <w:tcW w:w="229"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748"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404"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1749"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706" w:type="pct"/>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标准名称</w:t>
            </w:r>
          </w:p>
        </w:tc>
        <w:tc>
          <w:tcPr>
            <w:tcW w:w="657" w:type="pct"/>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浓度限值/（mg/m</w:t>
            </w:r>
            <w:r>
              <w:rPr>
                <w:rFonts w:hint="default" w:ascii="Times New Roman" w:hAnsi="Times New Roman" w:cs="Times New Roman" w:eastAsiaTheme="minorEastAsia"/>
                <w:color w:val="auto"/>
                <w:szCs w:val="21"/>
                <w:vertAlign w:val="superscript"/>
              </w:rPr>
              <w:t>3</w:t>
            </w:r>
            <w:r>
              <w:rPr>
                <w:rFonts w:hint="default" w:ascii="Times New Roman" w:hAnsi="Times New Roman" w:cs="Times New Roman" w:eastAsiaTheme="minorEastAsia"/>
                <w:color w:val="auto"/>
                <w:szCs w:val="21"/>
              </w:rPr>
              <w:t>）</w:t>
            </w:r>
          </w:p>
        </w:tc>
        <w:tc>
          <w:tcPr>
            <w:tcW w:w="503"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15" w:hRule="atLeast"/>
          <w:jc w:val="center"/>
        </w:trPr>
        <w:tc>
          <w:tcPr>
            <w:tcW w:w="229" w:type="pct"/>
            <w:vMerge w:val="restar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1</w:t>
            </w:r>
          </w:p>
        </w:tc>
        <w:tc>
          <w:tcPr>
            <w:tcW w:w="748" w:type="pct"/>
            <w:vMerge w:val="restart"/>
            <w:vAlign w:val="center"/>
          </w:tcPr>
          <w:p>
            <w:pPr>
              <w:widowControl/>
              <w:spacing w:line="0" w:lineRule="atLeast"/>
              <w:jc w:val="center"/>
              <w:rPr>
                <w:rFonts w:hint="eastAsia"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rPr>
              <w:t>待宰</w:t>
            </w:r>
            <w:r>
              <w:rPr>
                <w:rFonts w:hint="eastAsia" w:ascii="Times New Roman" w:hAnsi="Times New Roman" w:cs="Times New Roman" w:eastAsiaTheme="minorEastAsia"/>
                <w:color w:val="auto"/>
                <w:szCs w:val="21"/>
                <w:lang w:val="en-US" w:eastAsia="zh-CN"/>
              </w:rPr>
              <w:t>圈</w:t>
            </w:r>
          </w:p>
        </w:tc>
        <w:tc>
          <w:tcPr>
            <w:tcW w:w="404" w:type="pc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NH</w:t>
            </w:r>
            <w:r>
              <w:rPr>
                <w:rFonts w:hint="default" w:ascii="Times New Roman" w:hAnsi="Times New Roman" w:cs="Times New Roman" w:eastAsiaTheme="minorEastAsia"/>
                <w:color w:val="auto"/>
                <w:szCs w:val="21"/>
                <w:vertAlign w:val="subscript"/>
              </w:rPr>
              <w:t>3</w:t>
            </w:r>
          </w:p>
        </w:tc>
        <w:tc>
          <w:tcPr>
            <w:tcW w:w="1749" w:type="pct"/>
            <w:vMerge w:val="restar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snapToGrid w:val="0"/>
                <w:color w:val="auto"/>
                <w:szCs w:val="21"/>
              </w:rPr>
              <w:t>待宰间及时清扫，并投加或喷洒除臭剂，加强通风</w:t>
            </w:r>
          </w:p>
        </w:tc>
        <w:tc>
          <w:tcPr>
            <w:tcW w:w="706" w:type="pct"/>
            <w:vMerge w:val="restart"/>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kern w:val="0"/>
                <w:szCs w:val="21"/>
              </w:rPr>
              <w:t>《恶臭污染物排放标准》（GB14554-1993）表1中二级新改扩建标准</w:t>
            </w:r>
          </w:p>
        </w:tc>
        <w:tc>
          <w:tcPr>
            <w:tcW w:w="657" w:type="pct"/>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000000" w:themeColor="text1"/>
                <w:szCs w:val="21"/>
                <w14:textFill>
                  <w14:solidFill>
                    <w14:schemeClr w14:val="tx1"/>
                  </w14:solidFill>
                </w14:textFill>
              </w:rPr>
              <w:t>1.5</w:t>
            </w:r>
          </w:p>
        </w:tc>
        <w:tc>
          <w:tcPr>
            <w:tcW w:w="938" w:type="dxa"/>
            <w:vAlign w:val="center"/>
          </w:tcPr>
          <w:p>
            <w:pPr>
              <w:pStyle w:val="22"/>
              <w:widowControl w:val="0"/>
              <w:adjustRightInd w:val="0"/>
              <w:snapToGrid w:val="0"/>
              <w:spacing w:before="0" w:beforeAutospacing="0" w:after="0" w:afterAutospacing="0"/>
              <w:jc w:val="center"/>
              <w:rPr>
                <w:rFonts w:hint="default" w:ascii="Times New Roman" w:hAnsi="Times New Roman" w:cs="Times New Roman" w:eastAsiaTheme="minorEastAsia"/>
                <w:color w:val="auto"/>
                <w:szCs w:val="21"/>
                <w:lang w:val="en-US" w:eastAsia="zh-CN"/>
              </w:rPr>
            </w:pPr>
            <w:r>
              <w:rPr>
                <w:rFonts w:hint="eastAsia" w:ascii="Times New Roman" w:hAnsi="Times New Roman" w:eastAsia="宋体" w:cs="Times New Roman"/>
                <w:bCs/>
                <w:color w:val="auto"/>
                <w:spacing w:val="0"/>
                <w:sz w:val="21"/>
                <w:szCs w:val="21"/>
                <w:highlight w:val="none"/>
                <w:lang w:val="en-US" w:eastAsia="zh-CN"/>
              </w:rPr>
              <w:t>0.0040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 w:hRule="atLeast"/>
          <w:jc w:val="center"/>
        </w:trPr>
        <w:tc>
          <w:tcPr>
            <w:tcW w:w="229"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748"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404" w:type="pc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H</w:t>
            </w:r>
            <w:r>
              <w:rPr>
                <w:rFonts w:hint="default" w:ascii="Times New Roman" w:hAnsi="Times New Roman" w:cs="Times New Roman" w:eastAsiaTheme="minorEastAsia"/>
                <w:color w:val="auto"/>
                <w:szCs w:val="21"/>
                <w:vertAlign w:val="subscript"/>
              </w:rPr>
              <w:t>2</w:t>
            </w:r>
            <w:r>
              <w:rPr>
                <w:rFonts w:hint="default" w:ascii="Times New Roman" w:hAnsi="Times New Roman" w:cs="Times New Roman" w:eastAsiaTheme="minorEastAsia"/>
                <w:color w:val="auto"/>
                <w:szCs w:val="21"/>
              </w:rPr>
              <w:t>S</w:t>
            </w:r>
          </w:p>
        </w:tc>
        <w:tc>
          <w:tcPr>
            <w:tcW w:w="1749"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706"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657" w:type="pct"/>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000000" w:themeColor="text1"/>
                <w:szCs w:val="21"/>
                <w14:textFill>
                  <w14:solidFill>
                    <w14:schemeClr w14:val="tx1"/>
                  </w14:solidFill>
                </w14:textFill>
              </w:rPr>
              <w:t>0.06</w:t>
            </w:r>
          </w:p>
        </w:tc>
        <w:tc>
          <w:tcPr>
            <w:tcW w:w="938" w:type="dxa"/>
            <w:vAlign w:val="center"/>
          </w:tcPr>
          <w:p>
            <w:pPr>
              <w:pStyle w:val="22"/>
              <w:widowControl w:val="0"/>
              <w:adjustRightInd w:val="0"/>
              <w:snapToGrid w:val="0"/>
              <w:spacing w:before="0" w:beforeAutospacing="0" w:after="0" w:afterAutospacing="0"/>
              <w:jc w:val="center"/>
              <w:rPr>
                <w:rFonts w:hint="default" w:ascii="Times New Roman" w:hAnsi="Times New Roman" w:cs="Times New Roman" w:eastAsiaTheme="minorEastAsia"/>
                <w:color w:val="auto"/>
                <w:szCs w:val="21"/>
              </w:rPr>
            </w:pPr>
            <w:r>
              <w:rPr>
                <w:rFonts w:hint="eastAsia" w:ascii="Times New Roman" w:hAnsi="Times New Roman" w:eastAsia="宋体" w:cs="Times New Roman"/>
                <w:bCs/>
                <w:color w:val="auto"/>
                <w:spacing w:val="0"/>
                <w:sz w:val="21"/>
                <w:szCs w:val="21"/>
                <w:highlight w:val="none"/>
                <w:lang w:val="en-US" w:eastAsia="zh-CN"/>
              </w:rPr>
              <w:t>0.0006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5" w:hRule="atLeast"/>
          <w:jc w:val="center"/>
        </w:trPr>
        <w:tc>
          <w:tcPr>
            <w:tcW w:w="229" w:type="pct"/>
            <w:vMerge w:val="restar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2</w:t>
            </w:r>
          </w:p>
        </w:tc>
        <w:tc>
          <w:tcPr>
            <w:tcW w:w="748" w:type="pct"/>
            <w:vMerge w:val="restar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屠宰</w:t>
            </w:r>
            <w:r>
              <w:rPr>
                <w:rFonts w:hint="eastAsia" w:ascii="Times New Roman" w:hAnsi="Times New Roman" w:cs="Times New Roman" w:eastAsiaTheme="minorEastAsia"/>
                <w:color w:val="auto"/>
                <w:szCs w:val="21"/>
                <w:lang w:val="en-US" w:eastAsia="zh-CN"/>
              </w:rPr>
              <w:t>加工</w:t>
            </w:r>
            <w:r>
              <w:rPr>
                <w:rFonts w:hint="default" w:ascii="Times New Roman" w:hAnsi="Times New Roman" w:cs="Times New Roman" w:eastAsiaTheme="minorEastAsia"/>
                <w:color w:val="auto"/>
                <w:szCs w:val="21"/>
              </w:rPr>
              <w:t>车间</w:t>
            </w:r>
          </w:p>
        </w:tc>
        <w:tc>
          <w:tcPr>
            <w:tcW w:w="404" w:type="pc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NH</w:t>
            </w:r>
            <w:r>
              <w:rPr>
                <w:rFonts w:hint="default" w:ascii="Times New Roman" w:hAnsi="Times New Roman" w:cs="Times New Roman" w:eastAsiaTheme="minorEastAsia"/>
                <w:color w:val="auto"/>
                <w:szCs w:val="21"/>
                <w:vertAlign w:val="subscript"/>
              </w:rPr>
              <w:t>3</w:t>
            </w:r>
          </w:p>
        </w:tc>
        <w:tc>
          <w:tcPr>
            <w:tcW w:w="1749" w:type="pct"/>
            <w:vMerge w:val="restar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bCs/>
                <w:color w:val="auto"/>
                <w:szCs w:val="21"/>
              </w:rPr>
              <w:t>屠宰车间</w:t>
            </w:r>
            <w:r>
              <w:rPr>
                <w:rFonts w:hint="default" w:ascii="Times New Roman" w:hAnsi="Times New Roman" w:cs="Times New Roman" w:eastAsiaTheme="minorEastAsia"/>
                <w:color w:val="auto"/>
                <w:szCs w:val="21"/>
              </w:rPr>
              <w:t>封闭</w:t>
            </w:r>
            <w:r>
              <w:rPr>
                <w:rFonts w:hint="default" w:ascii="Times New Roman" w:hAnsi="Times New Roman" w:cs="Times New Roman" w:eastAsiaTheme="minorEastAsia"/>
                <w:snapToGrid w:val="0"/>
                <w:color w:val="auto"/>
                <w:szCs w:val="21"/>
              </w:rPr>
              <w:t>，加强通风</w:t>
            </w:r>
          </w:p>
        </w:tc>
        <w:tc>
          <w:tcPr>
            <w:tcW w:w="706"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657" w:type="pct"/>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000000" w:themeColor="text1"/>
                <w:szCs w:val="21"/>
                <w14:textFill>
                  <w14:solidFill>
                    <w14:schemeClr w14:val="tx1"/>
                  </w14:solidFill>
                </w14:textFill>
              </w:rPr>
              <w:t>1.5</w:t>
            </w:r>
          </w:p>
        </w:tc>
        <w:tc>
          <w:tcPr>
            <w:tcW w:w="938" w:type="dxa"/>
            <w:vAlign w:val="center"/>
          </w:tcPr>
          <w:p>
            <w:pPr>
              <w:pStyle w:val="22"/>
              <w:widowControl w:val="0"/>
              <w:adjustRightInd w:val="0"/>
              <w:snapToGrid w:val="0"/>
              <w:spacing w:before="0" w:beforeAutospacing="0" w:after="0" w:afterAutospacing="0"/>
              <w:jc w:val="center"/>
              <w:rPr>
                <w:rFonts w:hint="default" w:ascii="Times New Roman" w:hAnsi="Times New Roman" w:cs="Times New Roman" w:eastAsiaTheme="minorEastAsia"/>
                <w:color w:val="auto"/>
                <w:szCs w:val="21"/>
              </w:rPr>
            </w:pPr>
            <w:r>
              <w:rPr>
                <w:rFonts w:hint="eastAsia" w:ascii="Times New Roman" w:hAnsi="Times New Roman" w:eastAsia="宋体" w:cs="Times New Roman"/>
                <w:color w:val="auto"/>
                <w:spacing w:val="0"/>
                <w:sz w:val="21"/>
                <w:szCs w:val="21"/>
                <w:lang w:val="en-US" w:eastAsia="zh-CN"/>
              </w:rPr>
              <w:t>0.0004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229"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748"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404" w:type="pc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H</w:t>
            </w:r>
            <w:r>
              <w:rPr>
                <w:rFonts w:hint="default" w:ascii="Times New Roman" w:hAnsi="Times New Roman" w:cs="Times New Roman" w:eastAsiaTheme="minorEastAsia"/>
                <w:color w:val="auto"/>
                <w:szCs w:val="21"/>
                <w:vertAlign w:val="subscript"/>
              </w:rPr>
              <w:t>2</w:t>
            </w:r>
            <w:r>
              <w:rPr>
                <w:rFonts w:hint="default" w:ascii="Times New Roman" w:hAnsi="Times New Roman" w:cs="Times New Roman" w:eastAsiaTheme="minorEastAsia"/>
                <w:color w:val="auto"/>
                <w:szCs w:val="21"/>
              </w:rPr>
              <w:t>S</w:t>
            </w:r>
          </w:p>
        </w:tc>
        <w:tc>
          <w:tcPr>
            <w:tcW w:w="1749"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706"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657" w:type="pct"/>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000000" w:themeColor="text1"/>
                <w:szCs w:val="21"/>
                <w14:textFill>
                  <w14:solidFill>
                    <w14:schemeClr w14:val="tx1"/>
                  </w14:solidFill>
                </w14:textFill>
              </w:rPr>
              <w:t>0.06</w:t>
            </w:r>
          </w:p>
        </w:tc>
        <w:tc>
          <w:tcPr>
            <w:tcW w:w="938" w:type="dxa"/>
            <w:vAlign w:val="center"/>
          </w:tcPr>
          <w:p>
            <w:pPr>
              <w:pStyle w:val="22"/>
              <w:widowControl w:val="0"/>
              <w:adjustRightInd w:val="0"/>
              <w:snapToGrid w:val="0"/>
              <w:spacing w:before="0" w:beforeAutospacing="0" w:after="0" w:afterAutospacing="0"/>
              <w:jc w:val="center"/>
              <w:rPr>
                <w:rFonts w:hint="default" w:ascii="Times New Roman" w:hAnsi="Times New Roman" w:cs="Times New Roman" w:eastAsiaTheme="minorEastAsia"/>
                <w:color w:val="auto"/>
                <w:szCs w:val="21"/>
              </w:rPr>
            </w:pPr>
            <w:r>
              <w:rPr>
                <w:rFonts w:hint="eastAsia" w:ascii="Times New Roman" w:hAnsi="Times New Roman" w:eastAsia="宋体" w:cs="Times New Roman"/>
                <w:color w:val="auto"/>
                <w:spacing w:val="0"/>
                <w:sz w:val="21"/>
                <w:szCs w:val="21"/>
                <w:lang w:val="en-US" w:eastAsia="zh-CN"/>
              </w:rPr>
              <w:t>0.00002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 w:hRule="atLeast"/>
          <w:jc w:val="center"/>
        </w:trPr>
        <w:tc>
          <w:tcPr>
            <w:tcW w:w="229" w:type="pct"/>
            <w:vMerge w:val="restar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3</w:t>
            </w:r>
          </w:p>
        </w:tc>
        <w:tc>
          <w:tcPr>
            <w:tcW w:w="748" w:type="pct"/>
            <w:vMerge w:val="restar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污水处理站</w:t>
            </w:r>
          </w:p>
        </w:tc>
        <w:tc>
          <w:tcPr>
            <w:tcW w:w="404" w:type="pc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NH</w:t>
            </w:r>
            <w:r>
              <w:rPr>
                <w:rFonts w:hint="default" w:ascii="Times New Roman" w:hAnsi="Times New Roman" w:cs="Times New Roman" w:eastAsiaTheme="minorEastAsia"/>
                <w:color w:val="auto"/>
                <w:szCs w:val="21"/>
                <w:vertAlign w:val="subscript"/>
              </w:rPr>
              <w:t>3</w:t>
            </w:r>
          </w:p>
        </w:tc>
        <w:tc>
          <w:tcPr>
            <w:tcW w:w="1749" w:type="pct"/>
            <w:vMerge w:val="restar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bCs/>
                <w:color w:val="auto"/>
                <w:szCs w:val="21"/>
              </w:rPr>
              <w:t>污水处理站封闭</w:t>
            </w:r>
            <w:r>
              <w:rPr>
                <w:rFonts w:hint="default" w:ascii="Times New Roman" w:hAnsi="Times New Roman" w:cs="Times New Roman" w:eastAsiaTheme="minorEastAsia"/>
                <w:snapToGrid w:val="0"/>
                <w:color w:val="auto"/>
                <w:szCs w:val="21"/>
              </w:rPr>
              <w:t>，加强通风</w:t>
            </w:r>
          </w:p>
        </w:tc>
        <w:tc>
          <w:tcPr>
            <w:tcW w:w="706"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657" w:type="pct"/>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000000" w:themeColor="text1"/>
                <w:szCs w:val="21"/>
                <w14:textFill>
                  <w14:solidFill>
                    <w14:schemeClr w14:val="tx1"/>
                  </w14:solidFill>
                </w14:textFill>
              </w:rPr>
              <w:t>1.5</w:t>
            </w:r>
          </w:p>
        </w:tc>
        <w:tc>
          <w:tcPr>
            <w:tcW w:w="938" w:type="dxa"/>
            <w:vAlign w:val="center"/>
          </w:tcPr>
          <w:p>
            <w:pPr>
              <w:pStyle w:val="22"/>
              <w:widowControl w:val="0"/>
              <w:adjustRightInd w:val="0"/>
              <w:snapToGrid w:val="0"/>
              <w:spacing w:before="0" w:beforeAutospacing="0" w:after="0" w:afterAutospacing="0"/>
              <w:jc w:val="center"/>
              <w:rPr>
                <w:rFonts w:hint="default" w:ascii="Times New Roman" w:hAnsi="Times New Roman" w:cs="Times New Roman" w:eastAsiaTheme="minorEastAsia"/>
                <w:color w:val="auto"/>
                <w:szCs w:val="21"/>
              </w:rPr>
            </w:pPr>
            <w:r>
              <w:rPr>
                <w:rFonts w:hint="eastAsia" w:ascii="Times New Roman" w:hAnsi="Times New Roman" w:eastAsia="宋体" w:cs="Times New Roman"/>
                <w:color w:val="auto"/>
                <w:spacing w:val="0"/>
                <w:sz w:val="21"/>
                <w:szCs w:val="21"/>
                <w:lang w:val="en-US" w:eastAsia="zh-CN"/>
              </w:rPr>
              <w:t>0.0037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 w:hRule="atLeast"/>
          <w:jc w:val="center"/>
        </w:trPr>
        <w:tc>
          <w:tcPr>
            <w:tcW w:w="229"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748"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404" w:type="pc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H</w:t>
            </w:r>
            <w:r>
              <w:rPr>
                <w:rFonts w:hint="default" w:ascii="Times New Roman" w:hAnsi="Times New Roman" w:cs="Times New Roman" w:eastAsiaTheme="minorEastAsia"/>
                <w:color w:val="auto"/>
                <w:szCs w:val="21"/>
                <w:vertAlign w:val="subscript"/>
              </w:rPr>
              <w:t>2</w:t>
            </w:r>
            <w:r>
              <w:rPr>
                <w:rFonts w:hint="default" w:ascii="Times New Roman" w:hAnsi="Times New Roman" w:cs="Times New Roman" w:eastAsiaTheme="minorEastAsia"/>
                <w:color w:val="auto"/>
                <w:szCs w:val="21"/>
              </w:rPr>
              <w:t>S</w:t>
            </w:r>
          </w:p>
        </w:tc>
        <w:tc>
          <w:tcPr>
            <w:tcW w:w="1749"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706"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657" w:type="pct"/>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000000" w:themeColor="text1"/>
                <w:szCs w:val="21"/>
                <w14:textFill>
                  <w14:solidFill>
                    <w14:schemeClr w14:val="tx1"/>
                  </w14:solidFill>
                </w14:textFill>
              </w:rPr>
              <w:t>0.06</w:t>
            </w:r>
          </w:p>
        </w:tc>
        <w:tc>
          <w:tcPr>
            <w:tcW w:w="938" w:type="dxa"/>
            <w:vAlign w:val="center"/>
          </w:tcPr>
          <w:p>
            <w:pPr>
              <w:pStyle w:val="22"/>
              <w:widowControl w:val="0"/>
              <w:adjustRightInd w:val="0"/>
              <w:snapToGrid w:val="0"/>
              <w:spacing w:before="0" w:beforeAutospacing="0" w:after="0" w:afterAutospacing="0"/>
              <w:jc w:val="center"/>
              <w:rPr>
                <w:rFonts w:hint="default" w:ascii="Times New Roman" w:hAnsi="Times New Roman" w:cs="Times New Roman" w:eastAsiaTheme="minorEastAsia"/>
                <w:color w:val="auto"/>
                <w:szCs w:val="21"/>
              </w:rPr>
            </w:pPr>
            <w:r>
              <w:rPr>
                <w:rFonts w:hint="eastAsia" w:ascii="Times New Roman" w:hAnsi="Times New Roman" w:eastAsia="宋体" w:cs="Times New Roman"/>
                <w:color w:val="auto"/>
                <w:spacing w:val="0"/>
                <w:sz w:val="21"/>
                <w:szCs w:val="21"/>
                <w:lang w:val="en-US" w:eastAsia="zh-CN"/>
              </w:rPr>
              <w:t>0.00014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 w:hRule="atLeast"/>
          <w:jc w:val="center"/>
        </w:trPr>
        <w:tc>
          <w:tcPr>
            <w:tcW w:w="229" w:type="pct"/>
            <w:vMerge w:val="restart"/>
            <w:vAlign w:val="center"/>
          </w:tcPr>
          <w:p>
            <w:pPr>
              <w:widowControl/>
              <w:spacing w:line="0" w:lineRule="atLeast"/>
              <w:jc w:val="center"/>
              <w:rPr>
                <w:rFonts w:hint="eastAsia" w:ascii="Times New Roman" w:hAnsi="Times New Roman" w:cs="Times New Roman" w:eastAsiaTheme="minorEastAsia"/>
                <w:color w:val="auto"/>
                <w:szCs w:val="21"/>
                <w:lang w:val="en-US" w:eastAsia="zh-CN"/>
              </w:rPr>
            </w:pPr>
            <w:r>
              <w:rPr>
                <w:rFonts w:hint="eastAsia" w:ascii="Times New Roman" w:hAnsi="Times New Roman" w:cs="Times New Roman" w:eastAsiaTheme="minorEastAsia"/>
                <w:color w:val="auto"/>
                <w:szCs w:val="21"/>
                <w:lang w:val="en-US" w:eastAsia="zh-CN"/>
              </w:rPr>
              <w:t>4</w:t>
            </w:r>
          </w:p>
        </w:tc>
        <w:tc>
          <w:tcPr>
            <w:tcW w:w="748" w:type="pct"/>
            <w:vMerge w:val="restart"/>
            <w:vAlign w:val="center"/>
          </w:tcPr>
          <w:p>
            <w:pPr>
              <w:widowControl/>
              <w:spacing w:line="0" w:lineRule="atLeast"/>
              <w:jc w:val="center"/>
              <w:rPr>
                <w:rFonts w:hint="eastAsia" w:ascii="Times New Roman" w:hAnsi="Times New Roman" w:cs="Times New Roman" w:eastAsiaTheme="minorEastAsia"/>
                <w:color w:val="auto"/>
                <w:szCs w:val="21"/>
                <w:lang w:val="en-US" w:eastAsia="zh-CN"/>
              </w:rPr>
            </w:pPr>
            <w:r>
              <w:rPr>
                <w:rFonts w:hint="eastAsia" w:ascii="Times New Roman" w:hAnsi="Times New Roman" w:cs="Times New Roman" w:eastAsiaTheme="minorEastAsia"/>
                <w:color w:val="auto"/>
                <w:szCs w:val="21"/>
                <w:lang w:val="en-US" w:eastAsia="zh-CN"/>
              </w:rPr>
              <w:t>固废暂存间</w:t>
            </w:r>
          </w:p>
        </w:tc>
        <w:tc>
          <w:tcPr>
            <w:tcW w:w="404" w:type="pc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NH</w:t>
            </w:r>
            <w:r>
              <w:rPr>
                <w:rFonts w:hint="default" w:ascii="Times New Roman" w:hAnsi="Times New Roman" w:cs="Times New Roman" w:eastAsiaTheme="minorEastAsia"/>
                <w:color w:val="auto"/>
                <w:szCs w:val="21"/>
                <w:vertAlign w:val="subscript"/>
              </w:rPr>
              <w:t>3</w:t>
            </w:r>
          </w:p>
        </w:tc>
        <w:tc>
          <w:tcPr>
            <w:tcW w:w="1749" w:type="pct"/>
            <w:vMerge w:val="restar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snapToGrid w:val="0"/>
                <w:color w:val="auto"/>
                <w:szCs w:val="21"/>
              </w:rPr>
              <w:t>喷洒除臭剂</w:t>
            </w:r>
          </w:p>
        </w:tc>
        <w:tc>
          <w:tcPr>
            <w:tcW w:w="706"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657" w:type="pct"/>
            <w:vAlign w:val="center"/>
          </w:tcPr>
          <w:p>
            <w:pPr>
              <w:spacing w:line="0" w:lineRule="atLeast"/>
              <w:jc w:val="center"/>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1.5</w:t>
            </w:r>
          </w:p>
        </w:tc>
        <w:tc>
          <w:tcPr>
            <w:tcW w:w="938" w:type="dxa"/>
            <w:vAlign w:val="center"/>
          </w:tcPr>
          <w:p>
            <w:pPr>
              <w:pStyle w:val="22"/>
              <w:widowControl w:val="0"/>
              <w:adjustRightInd w:val="0"/>
              <w:snapToGrid w:val="0"/>
              <w:spacing w:before="0" w:beforeAutospacing="0" w:after="0" w:afterAutospacing="0"/>
              <w:jc w:val="center"/>
              <w:rPr>
                <w:rFonts w:hint="default" w:ascii="Times New Roman" w:hAnsi="Times New Roman" w:cs="Times New Roman" w:eastAsiaTheme="minorEastAsia"/>
                <w:color w:val="auto"/>
                <w:szCs w:val="21"/>
                <w:lang w:val="en-US" w:eastAsia="zh-CN"/>
              </w:rPr>
            </w:pPr>
            <w:r>
              <w:rPr>
                <w:rFonts w:hint="default" w:ascii="Times New Roman" w:hAnsi="Times New Roman" w:eastAsia="宋体" w:cs="Times New Roman"/>
                <w:color w:val="auto"/>
                <w:spacing w:val="0"/>
                <w:sz w:val="21"/>
                <w:szCs w:val="21"/>
                <w:lang w:val="en-US" w:eastAsia="zh-CN"/>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 w:hRule="atLeast"/>
          <w:jc w:val="center"/>
        </w:trPr>
        <w:tc>
          <w:tcPr>
            <w:tcW w:w="229"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748"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404" w:type="pct"/>
            <w:vAlign w:val="center"/>
          </w:tcPr>
          <w:p>
            <w:pPr>
              <w:widowControl/>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H</w:t>
            </w:r>
            <w:r>
              <w:rPr>
                <w:rFonts w:hint="default" w:ascii="Times New Roman" w:hAnsi="Times New Roman" w:cs="Times New Roman" w:eastAsiaTheme="minorEastAsia"/>
                <w:color w:val="auto"/>
                <w:szCs w:val="21"/>
                <w:vertAlign w:val="subscript"/>
              </w:rPr>
              <w:t>2</w:t>
            </w:r>
            <w:r>
              <w:rPr>
                <w:rFonts w:hint="default" w:ascii="Times New Roman" w:hAnsi="Times New Roman" w:cs="Times New Roman" w:eastAsiaTheme="minorEastAsia"/>
                <w:color w:val="auto"/>
                <w:szCs w:val="21"/>
              </w:rPr>
              <w:t>S</w:t>
            </w:r>
          </w:p>
        </w:tc>
        <w:tc>
          <w:tcPr>
            <w:tcW w:w="1749"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706" w:type="pct"/>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657" w:type="pct"/>
            <w:vAlign w:val="center"/>
          </w:tcPr>
          <w:p>
            <w:pPr>
              <w:spacing w:line="0" w:lineRule="atLeast"/>
              <w:jc w:val="center"/>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0.06</w:t>
            </w:r>
          </w:p>
        </w:tc>
        <w:tc>
          <w:tcPr>
            <w:tcW w:w="938" w:type="dxa"/>
            <w:vAlign w:val="center"/>
          </w:tcPr>
          <w:p>
            <w:pPr>
              <w:pStyle w:val="22"/>
              <w:widowControl w:val="0"/>
              <w:adjustRightInd w:val="0"/>
              <w:snapToGrid w:val="0"/>
              <w:spacing w:before="0" w:beforeAutospacing="0" w:after="0" w:afterAutospacing="0"/>
              <w:jc w:val="center"/>
              <w:rPr>
                <w:rFonts w:hint="default" w:ascii="Times New Roman" w:hAnsi="Times New Roman" w:cs="Times New Roman" w:eastAsiaTheme="minorEastAsia"/>
                <w:color w:val="auto"/>
                <w:szCs w:val="21"/>
                <w:lang w:val="en-US" w:eastAsia="zh-CN"/>
              </w:rPr>
            </w:pPr>
            <w:r>
              <w:rPr>
                <w:rFonts w:hint="default" w:ascii="Times New Roman" w:hAnsi="Times New Roman" w:eastAsia="宋体" w:cs="Times New Roman"/>
                <w:color w:val="auto"/>
                <w:spacing w:val="0"/>
                <w:sz w:val="21"/>
                <w:szCs w:val="21"/>
                <w:lang w:val="en-US" w:eastAsia="zh-CN"/>
              </w:rPr>
              <w:t>0.00005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10" w:hRule="atLeast"/>
          <w:jc w:val="center"/>
        </w:trPr>
        <w:tc>
          <w:tcPr>
            <w:tcW w:w="229" w:type="pct"/>
            <w:vAlign w:val="center"/>
          </w:tcPr>
          <w:p>
            <w:pPr>
              <w:widowControl/>
              <w:spacing w:line="0" w:lineRule="atLeast"/>
              <w:jc w:val="center"/>
              <w:rPr>
                <w:rFonts w:hint="eastAsia" w:ascii="Times New Roman" w:hAnsi="Times New Roman" w:cs="Times New Roman" w:eastAsiaTheme="minorEastAsia"/>
                <w:color w:val="auto"/>
                <w:szCs w:val="21"/>
                <w:lang w:val="en-US" w:eastAsia="zh-CN"/>
              </w:rPr>
            </w:pPr>
            <w:r>
              <w:rPr>
                <w:rFonts w:hint="eastAsia" w:ascii="Times New Roman" w:hAnsi="Times New Roman" w:cs="Times New Roman" w:eastAsiaTheme="minorEastAsia"/>
                <w:color w:val="auto"/>
                <w:szCs w:val="21"/>
                <w:lang w:val="en-US" w:eastAsia="zh-CN"/>
              </w:rPr>
              <w:t>5</w:t>
            </w:r>
          </w:p>
        </w:tc>
        <w:tc>
          <w:tcPr>
            <w:tcW w:w="748" w:type="pct"/>
            <w:vAlign w:val="center"/>
          </w:tcPr>
          <w:p>
            <w:pPr>
              <w:widowControl/>
              <w:spacing w:line="0" w:lineRule="atLeas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eastAsiaTheme="minorEastAsia"/>
                <w:color w:val="auto"/>
                <w:szCs w:val="21"/>
                <w:lang w:val="en-US" w:eastAsia="zh-CN"/>
              </w:rPr>
              <w:t>柴油储罐</w:t>
            </w:r>
          </w:p>
        </w:tc>
        <w:tc>
          <w:tcPr>
            <w:tcW w:w="404" w:type="pct"/>
            <w:vAlign w:val="center"/>
          </w:tcPr>
          <w:p>
            <w:pPr>
              <w:widowControl/>
              <w:spacing w:line="0" w:lineRule="atLeast"/>
              <w:jc w:val="center"/>
              <w:rPr>
                <w:rFonts w:hint="eastAsia" w:ascii="Times New Roman" w:hAnsi="Times New Roman" w:cs="Times New Roman" w:eastAsiaTheme="minorEastAsia"/>
                <w:color w:val="auto"/>
                <w:szCs w:val="21"/>
                <w:lang w:val="en-US" w:eastAsia="zh-CN"/>
              </w:rPr>
            </w:pPr>
            <w:r>
              <w:rPr>
                <w:rFonts w:hint="eastAsia" w:ascii="Times New Roman" w:hAnsi="Times New Roman" w:cs="Times New Roman" w:eastAsiaTheme="minorEastAsia"/>
                <w:color w:val="auto"/>
                <w:szCs w:val="21"/>
                <w:lang w:val="en-US" w:eastAsia="zh-CN"/>
              </w:rPr>
              <w:t>非甲烷总烃</w:t>
            </w:r>
          </w:p>
        </w:tc>
        <w:tc>
          <w:tcPr>
            <w:tcW w:w="1749" w:type="pct"/>
            <w:vAlign w:val="center"/>
          </w:tcPr>
          <w:p>
            <w:pPr>
              <w:widowControl/>
              <w:spacing w:line="0" w:lineRule="atLeast"/>
              <w:jc w:val="center"/>
              <w:rPr>
                <w:rFonts w:hint="eastAsia" w:ascii="Times New Roman" w:hAnsi="Times New Roman" w:cs="Times New Roman" w:eastAsiaTheme="minorEastAsia"/>
                <w:color w:val="auto"/>
                <w:szCs w:val="21"/>
                <w:lang w:val="en-US" w:eastAsia="zh-CN"/>
              </w:rPr>
            </w:pPr>
            <w:r>
              <w:rPr>
                <w:rFonts w:hint="eastAsia" w:ascii="Times New Roman" w:hAnsi="Times New Roman" w:cs="Times New Roman" w:eastAsiaTheme="minorEastAsia"/>
                <w:color w:val="auto"/>
                <w:szCs w:val="21"/>
                <w:lang w:val="en-US" w:eastAsia="zh-CN"/>
              </w:rPr>
              <w:t>气相平衡管</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Cs w:val="21"/>
              </w:rPr>
            </w:pPr>
            <w:r>
              <w:rPr>
                <w:rFonts w:hint="default" w:ascii="Times New Roman" w:hAnsi="Times New Roman" w:eastAsia="宋体" w:cs="Times New Roman"/>
                <w:color w:val="auto"/>
                <w:kern w:val="21"/>
                <w:sz w:val="21"/>
                <w:szCs w:val="21"/>
              </w:rPr>
              <w:t>《挥发性有机物无组织排放控制标准》（GB37822-2019）</w:t>
            </w:r>
            <w:r>
              <w:rPr>
                <w:rFonts w:hint="default" w:ascii="Times New Roman" w:hAnsi="Times New Roman" w:cs="Times New Roman"/>
                <w:color w:val="auto"/>
                <w:kern w:val="24"/>
                <w:sz w:val="21"/>
                <w:szCs w:val="21"/>
                <w:lang w:val="en-US" w:eastAsia="zh-CN"/>
              </w:rPr>
              <w:t>表A.1</w:t>
            </w:r>
          </w:p>
        </w:tc>
        <w:tc>
          <w:tcPr>
            <w:tcW w:w="6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1"/>
                <w:sz w:val="21"/>
                <w:szCs w:val="21"/>
                <w:vertAlign w:val="superscript"/>
              </w:rPr>
            </w:pPr>
            <w:r>
              <w:rPr>
                <w:rFonts w:hint="default" w:ascii="Times New Roman" w:hAnsi="Times New Roman" w:eastAsia="宋体" w:cs="Times New Roman"/>
                <w:bCs/>
                <w:color w:val="auto"/>
                <w:kern w:val="21"/>
                <w:sz w:val="21"/>
                <w:szCs w:val="21"/>
              </w:rPr>
              <w:t>1h平均浓度＜10mg/m</w:t>
            </w:r>
            <w:r>
              <w:rPr>
                <w:rFonts w:hint="default" w:ascii="Times New Roman" w:hAnsi="Times New Roman" w:eastAsia="宋体" w:cs="Times New Roman"/>
                <w:bCs/>
                <w:color w:val="auto"/>
                <w:kern w:val="21"/>
                <w:sz w:val="21"/>
                <w:szCs w:val="21"/>
                <w:vertAlign w:val="superscript"/>
              </w:rPr>
              <w:t>3</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eastAsia="宋体" w:cs="Times New Roman"/>
                <w:color w:val="auto"/>
                <w:kern w:val="21"/>
                <w:sz w:val="21"/>
                <w:szCs w:val="21"/>
              </w:rPr>
              <w:t>任意一次浓度值：30mg/m</w:t>
            </w:r>
            <w:r>
              <w:rPr>
                <w:rFonts w:hint="default" w:ascii="Times New Roman" w:hAnsi="Times New Roman" w:eastAsia="宋体" w:cs="Times New Roman"/>
                <w:color w:val="auto"/>
                <w:kern w:val="21"/>
                <w:sz w:val="21"/>
                <w:szCs w:val="21"/>
                <w:vertAlign w:val="superscript"/>
              </w:rPr>
              <w:t>3</w:t>
            </w:r>
          </w:p>
        </w:tc>
        <w:tc>
          <w:tcPr>
            <w:tcW w:w="503" w:type="pct"/>
            <w:vAlign w:val="center"/>
          </w:tcPr>
          <w:p>
            <w:pPr>
              <w:widowControl/>
              <w:spacing w:line="0" w:lineRule="atLeas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eastAsiaTheme="minorEastAsia"/>
                <w:color w:val="auto"/>
                <w:szCs w:val="21"/>
                <w:lang w:val="en-US" w:eastAsia="zh-CN"/>
              </w:rPr>
              <w:t>0.001301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5" w:hRule="atLeast"/>
          <w:jc w:val="center"/>
        </w:trPr>
        <w:tc>
          <w:tcPr>
            <w:tcW w:w="5000" w:type="pct"/>
            <w:gridSpan w:val="7"/>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无组织排放总计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3" w:hRule="atLeast"/>
          <w:jc w:val="center"/>
        </w:trPr>
        <w:tc>
          <w:tcPr>
            <w:tcW w:w="1381" w:type="pct"/>
            <w:gridSpan w:val="3"/>
            <w:vMerge w:val="restart"/>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无组织排放总计</w:t>
            </w:r>
          </w:p>
        </w:tc>
        <w:tc>
          <w:tcPr>
            <w:tcW w:w="3114" w:type="pct"/>
            <w:gridSpan w:val="3"/>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NH</w:t>
            </w:r>
            <w:r>
              <w:rPr>
                <w:rFonts w:hint="default" w:ascii="Times New Roman" w:hAnsi="Times New Roman" w:cs="Times New Roman" w:eastAsiaTheme="minorEastAsia"/>
                <w:color w:val="auto"/>
                <w:szCs w:val="21"/>
                <w:vertAlign w:val="subscript"/>
              </w:rPr>
              <w:t>3</w:t>
            </w:r>
          </w:p>
        </w:tc>
        <w:tc>
          <w:tcPr>
            <w:tcW w:w="503" w:type="pct"/>
            <w:vAlign w:val="center"/>
          </w:tcPr>
          <w:p>
            <w:pPr>
              <w:widowControl/>
              <w:spacing w:line="0" w:lineRule="atLeas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eastAsiaTheme="minorEastAsia"/>
                <w:color w:val="auto"/>
                <w:szCs w:val="21"/>
                <w:lang w:val="en-US" w:eastAsia="zh-CN"/>
              </w:rPr>
              <w:t>0.0091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4" w:hRule="atLeast"/>
          <w:jc w:val="center"/>
        </w:trPr>
        <w:tc>
          <w:tcPr>
            <w:tcW w:w="1381" w:type="pct"/>
            <w:gridSpan w:val="3"/>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3114" w:type="pct"/>
            <w:gridSpan w:val="3"/>
            <w:vAlign w:val="center"/>
          </w:tcPr>
          <w:p>
            <w:pPr>
              <w:spacing w:line="0" w:lineRule="atLeas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H</w:t>
            </w:r>
            <w:r>
              <w:rPr>
                <w:rFonts w:hint="default" w:ascii="Times New Roman" w:hAnsi="Times New Roman" w:cs="Times New Roman" w:eastAsiaTheme="minorEastAsia"/>
                <w:color w:val="auto"/>
                <w:szCs w:val="21"/>
                <w:vertAlign w:val="subscript"/>
              </w:rPr>
              <w:t>2</w:t>
            </w:r>
            <w:r>
              <w:rPr>
                <w:rFonts w:hint="default" w:ascii="Times New Roman" w:hAnsi="Times New Roman" w:cs="Times New Roman" w:eastAsiaTheme="minorEastAsia"/>
                <w:color w:val="auto"/>
                <w:szCs w:val="21"/>
              </w:rPr>
              <w:t>S</w:t>
            </w:r>
          </w:p>
        </w:tc>
        <w:tc>
          <w:tcPr>
            <w:tcW w:w="503" w:type="pct"/>
            <w:vAlign w:val="center"/>
          </w:tcPr>
          <w:p>
            <w:pPr>
              <w:widowControl/>
              <w:spacing w:line="0" w:lineRule="atLeas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eastAsiaTheme="minorEastAsia"/>
                <w:color w:val="auto"/>
                <w:szCs w:val="21"/>
                <w:lang w:val="en-US" w:eastAsia="zh-CN"/>
              </w:rPr>
              <w:t>0.00081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4" w:hRule="atLeast"/>
          <w:jc w:val="center"/>
        </w:trPr>
        <w:tc>
          <w:tcPr>
            <w:tcW w:w="1381" w:type="pct"/>
            <w:gridSpan w:val="3"/>
            <w:vMerge w:val="continue"/>
            <w:vAlign w:val="center"/>
          </w:tcPr>
          <w:p>
            <w:pPr>
              <w:widowControl/>
              <w:spacing w:line="0" w:lineRule="atLeast"/>
              <w:jc w:val="center"/>
              <w:rPr>
                <w:rFonts w:hint="default" w:ascii="Times New Roman" w:hAnsi="Times New Roman" w:cs="Times New Roman" w:eastAsiaTheme="minorEastAsia"/>
                <w:color w:val="auto"/>
                <w:szCs w:val="21"/>
              </w:rPr>
            </w:pPr>
          </w:p>
        </w:tc>
        <w:tc>
          <w:tcPr>
            <w:tcW w:w="3114" w:type="pct"/>
            <w:gridSpan w:val="3"/>
            <w:vAlign w:val="center"/>
          </w:tcPr>
          <w:p>
            <w:pPr>
              <w:spacing w:line="0" w:lineRule="atLeast"/>
              <w:jc w:val="center"/>
              <w:rPr>
                <w:rFonts w:hint="eastAsia" w:ascii="Times New Roman" w:hAnsi="Times New Roman" w:cs="Times New Roman" w:eastAsiaTheme="minorEastAsia"/>
                <w:color w:val="auto"/>
                <w:szCs w:val="21"/>
                <w:lang w:val="en-US" w:eastAsia="zh-CN"/>
              </w:rPr>
            </w:pPr>
            <w:r>
              <w:rPr>
                <w:rFonts w:hint="eastAsia" w:ascii="Times New Roman" w:hAnsi="Times New Roman" w:cs="Times New Roman" w:eastAsiaTheme="minorEastAsia"/>
                <w:color w:val="auto"/>
                <w:szCs w:val="21"/>
                <w:lang w:val="en-US" w:eastAsia="zh-CN"/>
              </w:rPr>
              <w:t>非甲烷总体</w:t>
            </w:r>
          </w:p>
        </w:tc>
        <w:tc>
          <w:tcPr>
            <w:tcW w:w="503" w:type="pct"/>
            <w:vAlign w:val="center"/>
          </w:tcPr>
          <w:p>
            <w:pPr>
              <w:widowControl/>
              <w:spacing w:line="0" w:lineRule="atLeas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eastAsiaTheme="minorEastAsia"/>
                <w:color w:val="auto"/>
                <w:szCs w:val="21"/>
                <w:lang w:val="en-US" w:eastAsia="zh-CN"/>
              </w:rPr>
              <w:t>0.001301</w:t>
            </w:r>
          </w:p>
        </w:tc>
      </w:tr>
    </w:tbl>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pPr>
      <w:r>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t>表5-2-1</w:t>
      </w:r>
      <w:r>
        <w:rPr>
          <w:rFonts w:hint="default" w:ascii="Times New Roman" w:hAnsi="Times New Roman" w:eastAsia="宋体" w:cs="Times New Roman"/>
          <w:snapToGrid w:val="0"/>
          <w:color w:val="000000"/>
          <w:spacing w:val="6"/>
          <w:kern w:val="0"/>
          <w:sz w:val="20"/>
          <w:szCs w:val="20"/>
          <w:lang w:val="en-US" w:eastAsia="zh-CN" w:bidi="ar-SA"/>
          <w14:textOutline w14:w="3795" w14:cap="sq" w14:cmpd="sng">
            <w14:solidFill>
              <w14:srgbClr w14:val="000000"/>
            </w14:solidFill>
            <w14:prstDash w14:val="solid"/>
            <w14:bevel/>
          </w14:textOutline>
        </w:rPr>
        <w:t>2</w:t>
      </w:r>
      <w:r>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t>大气污染物年排放量核算表</w:t>
      </w:r>
    </w:p>
    <w:tbl>
      <w:tblPr>
        <w:tblStyle w:val="24"/>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524"/>
        <w:gridCol w:w="3998"/>
        <w:gridCol w:w="377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820" w:type="pct"/>
            <w:tcBorders>
              <w:right w:val="single" w:color="auto"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序号</w:t>
            </w:r>
          </w:p>
        </w:tc>
        <w:tc>
          <w:tcPr>
            <w:tcW w:w="2151" w:type="pct"/>
            <w:shd w:val="clear" w:color="auto" w:fill="auto"/>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污染物</w:t>
            </w:r>
          </w:p>
        </w:tc>
        <w:tc>
          <w:tcPr>
            <w:tcW w:w="2028" w:type="pct"/>
            <w:shd w:val="clear" w:color="auto" w:fill="auto"/>
            <w:vAlign w:val="center"/>
          </w:tcPr>
          <w:p>
            <w:pPr>
              <w:spacing w:line="0" w:lineRule="atLeast"/>
              <w:jc w:val="center"/>
              <w:rPr>
                <w:rFonts w:hint="default" w:ascii="Times New Roman" w:hAnsi="Times New Roman" w:cs="Times New Roman"/>
                <w:bCs/>
                <w:color w:val="auto"/>
                <w:kern w:val="0"/>
                <w:szCs w:val="21"/>
                <w:highlight w:val="none"/>
              </w:rPr>
            </w:pPr>
            <w:r>
              <w:rPr>
                <w:rFonts w:hint="default" w:ascii="Times New Roman" w:hAnsi="Times New Roman" w:cs="Times New Roman"/>
                <w:bCs/>
                <w:color w:val="auto"/>
                <w:kern w:val="0"/>
                <w:szCs w:val="21"/>
                <w:highlight w:val="none"/>
              </w:rPr>
              <w:t>年排放量（t/a）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820" w:type="pct"/>
            <w:tcBorders>
              <w:bottom w:val="single" w:color="auto" w:sz="4" w:space="0"/>
              <w:right w:val="single" w:color="auto"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1</w:t>
            </w:r>
          </w:p>
        </w:tc>
        <w:tc>
          <w:tcPr>
            <w:tcW w:w="2151" w:type="pct"/>
            <w:tcBorders>
              <w:bottom w:val="single" w:color="auto" w:sz="4" w:space="0"/>
            </w:tcBorders>
            <w:shd w:val="clear" w:color="auto" w:fill="auto"/>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NH</w:t>
            </w:r>
            <w:r>
              <w:rPr>
                <w:rFonts w:hint="default" w:ascii="Times New Roman" w:hAnsi="Times New Roman" w:cs="Times New Roman"/>
                <w:color w:val="auto"/>
                <w:szCs w:val="21"/>
                <w:vertAlign w:val="subscript"/>
              </w:rPr>
              <w:t>3</w:t>
            </w:r>
          </w:p>
        </w:tc>
        <w:tc>
          <w:tcPr>
            <w:tcW w:w="2028" w:type="pct"/>
            <w:shd w:val="clear" w:color="auto" w:fill="auto"/>
            <w:vAlign w:val="center"/>
          </w:tcPr>
          <w:p>
            <w:pPr>
              <w:pStyle w:val="36"/>
              <w:spacing w:line="0" w:lineRule="atLeast"/>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szCs w:val="22"/>
                <w:highlight w:val="none"/>
                <w:lang w:val="en-US" w:eastAsia="zh-CN"/>
              </w:rPr>
              <w:t>0.1043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820" w:type="pct"/>
            <w:tcBorders>
              <w:top w:val="single" w:color="auto" w:sz="4" w:space="0"/>
              <w:right w:val="single" w:color="auto"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2</w:t>
            </w:r>
          </w:p>
        </w:tc>
        <w:tc>
          <w:tcPr>
            <w:tcW w:w="2151" w:type="pct"/>
            <w:tcBorders>
              <w:top w:val="single" w:color="auto" w:sz="4" w:space="0"/>
            </w:tcBorders>
            <w:shd w:val="clear" w:color="auto" w:fill="auto"/>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H</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S</w:t>
            </w:r>
          </w:p>
        </w:tc>
        <w:tc>
          <w:tcPr>
            <w:tcW w:w="2028" w:type="pct"/>
            <w:shd w:val="clear" w:color="auto" w:fill="auto"/>
            <w:vAlign w:val="center"/>
          </w:tcPr>
          <w:p>
            <w:pPr>
              <w:pStyle w:val="36"/>
              <w:spacing w:line="0" w:lineRule="atLeast"/>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szCs w:val="22"/>
                <w:highlight w:val="none"/>
                <w:lang w:val="en-US" w:eastAsia="zh-CN"/>
              </w:rPr>
              <w:t>0.012932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820" w:type="pct"/>
            <w:tcBorders>
              <w:right w:val="single" w:color="auto" w:sz="4" w:space="0"/>
            </w:tcBorders>
            <w:vAlign w:val="center"/>
          </w:tcPr>
          <w:p>
            <w:pPr>
              <w:spacing w:line="0" w:lineRule="atLeast"/>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cs="Times New Roman"/>
                <w:bCs/>
                <w:color w:val="auto"/>
                <w:kern w:val="0"/>
                <w:szCs w:val="21"/>
                <w:highlight w:val="none"/>
                <w:lang w:val="en-US" w:eastAsia="zh-CN"/>
              </w:rPr>
              <w:t>3</w:t>
            </w:r>
          </w:p>
        </w:tc>
        <w:tc>
          <w:tcPr>
            <w:tcW w:w="2151" w:type="pct"/>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default" w:ascii="Times New Roman" w:hAnsi="Times New Roman" w:cs="Times New Roman"/>
                <w:snapToGrid w:val="0"/>
                <w:color w:val="auto"/>
                <w:szCs w:val="22"/>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颗粒物</w:t>
            </w:r>
          </w:p>
        </w:tc>
        <w:tc>
          <w:tcPr>
            <w:tcW w:w="2028" w:type="pct"/>
            <w:shd w:val="clear" w:color="auto" w:fill="auto"/>
            <w:vAlign w:val="center"/>
          </w:tcPr>
          <w:p>
            <w:pPr>
              <w:pStyle w:val="36"/>
              <w:rPr>
                <w:rFonts w:hint="default" w:ascii="Times New Roman" w:hAnsi="Times New Roman" w:cs="Times New Roman"/>
                <w:bCs/>
                <w:snapToGrid w:val="0"/>
                <w:color w:val="auto"/>
                <w:szCs w:val="22"/>
                <w:highlight w:val="none"/>
                <w:lang w:val="en-US"/>
              </w:rPr>
            </w:pPr>
            <w:r>
              <w:rPr>
                <w:rFonts w:hint="eastAsia" w:ascii="Times New Roman" w:hAnsi="Times New Roman" w:cs="Times New Roman"/>
                <w:snapToGrid w:val="0"/>
                <w:color w:val="auto"/>
                <w:highlight w:val="none"/>
                <w:lang w:val="en-US" w:eastAsia="zh-CN"/>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20" w:type="pct"/>
            <w:tcBorders>
              <w:right w:val="single" w:color="auto" w:sz="4" w:space="0"/>
            </w:tcBorders>
            <w:vAlign w:val="center"/>
          </w:tcPr>
          <w:p>
            <w:pPr>
              <w:spacing w:line="0" w:lineRule="atLeast"/>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cs="Times New Roman"/>
                <w:bCs/>
                <w:color w:val="auto"/>
                <w:kern w:val="0"/>
                <w:szCs w:val="21"/>
                <w:highlight w:val="none"/>
                <w:lang w:val="en-US" w:eastAsia="zh-CN"/>
              </w:rPr>
              <w:t>4</w:t>
            </w:r>
          </w:p>
        </w:tc>
        <w:tc>
          <w:tcPr>
            <w:tcW w:w="2151" w:type="pct"/>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default" w:ascii="Times New Roman" w:hAnsi="Times New Roman" w:cs="Times New Roman"/>
                <w:snapToGrid w:val="0"/>
                <w:color w:val="auto"/>
                <w:szCs w:val="22"/>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二氧化硫</w:t>
            </w:r>
          </w:p>
        </w:tc>
        <w:tc>
          <w:tcPr>
            <w:tcW w:w="2028" w:type="pct"/>
            <w:shd w:val="clear" w:color="auto" w:fill="auto"/>
            <w:vAlign w:val="center"/>
          </w:tcPr>
          <w:p>
            <w:pPr>
              <w:pStyle w:val="36"/>
              <w:rPr>
                <w:rFonts w:hint="default" w:ascii="Times New Roman" w:hAnsi="Times New Roman" w:cs="Times New Roman"/>
                <w:bCs/>
                <w:snapToGrid w:val="0"/>
                <w:color w:val="auto"/>
                <w:szCs w:val="22"/>
                <w:highlight w:val="none"/>
                <w:lang w:val="en-US"/>
              </w:rPr>
            </w:pPr>
            <w:r>
              <w:rPr>
                <w:rFonts w:hint="eastAsia" w:ascii="Times New Roman" w:hAnsi="Times New Roman" w:cs="Times New Roman"/>
                <w:snapToGrid w:val="0"/>
                <w:color w:val="auto"/>
                <w:highlight w:val="none"/>
                <w:lang w:val="en-US" w:eastAsia="zh-CN"/>
              </w:rPr>
              <w:t>0.031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820" w:type="pct"/>
            <w:tcBorders>
              <w:right w:val="single" w:color="auto" w:sz="4" w:space="0"/>
            </w:tcBorders>
            <w:vAlign w:val="center"/>
          </w:tcPr>
          <w:p>
            <w:pPr>
              <w:spacing w:line="0" w:lineRule="atLeast"/>
              <w:jc w:val="center"/>
              <w:rPr>
                <w:rFonts w:hint="default" w:ascii="Times New Roman" w:hAnsi="Times New Roman" w:eastAsia="宋体" w:cs="Times New Roman"/>
                <w:bCs/>
                <w:color w:val="auto"/>
                <w:kern w:val="0"/>
                <w:szCs w:val="21"/>
                <w:highlight w:val="none"/>
                <w:lang w:val="en-US" w:eastAsia="zh-CN"/>
              </w:rPr>
            </w:pPr>
            <w:r>
              <w:rPr>
                <w:rFonts w:hint="eastAsia" w:ascii="Times New Roman" w:hAnsi="Times New Roman" w:cs="Times New Roman"/>
                <w:bCs/>
                <w:color w:val="auto"/>
                <w:kern w:val="0"/>
                <w:szCs w:val="21"/>
                <w:highlight w:val="none"/>
                <w:lang w:val="en-US" w:eastAsia="zh-CN"/>
              </w:rPr>
              <w:t>5</w:t>
            </w:r>
          </w:p>
        </w:tc>
        <w:tc>
          <w:tcPr>
            <w:tcW w:w="2151" w:type="pct"/>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default" w:ascii="Times New Roman" w:hAnsi="Times New Roman" w:cs="Times New Roman"/>
                <w:snapToGrid w:val="0"/>
                <w:color w:val="auto"/>
                <w:szCs w:val="22"/>
                <w:highlight w:val="none"/>
              </w:rPr>
            </w:pP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氮氧化物</w:t>
            </w:r>
          </w:p>
        </w:tc>
        <w:tc>
          <w:tcPr>
            <w:tcW w:w="2028" w:type="pct"/>
            <w:shd w:val="clear" w:color="auto" w:fill="auto"/>
            <w:vAlign w:val="center"/>
          </w:tcPr>
          <w:p>
            <w:pPr>
              <w:pStyle w:val="36"/>
              <w:rPr>
                <w:rFonts w:hint="default" w:ascii="Times New Roman" w:hAnsi="Times New Roman" w:cs="Times New Roman"/>
                <w:bCs/>
                <w:snapToGrid w:val="0"/>
                <w:color w:val="auto"/>
                <w:szCs w:val="22"/>
                <w:highlight w:val="none"/>
                <w:lang w:val="en-US"/>
              </w:rPr>
            </w:pPr>
            <w:r>
              <w:rPr>
                <w:rFonts w:hint="eastAsia" w:ascii="Times New Roman" w:hAnsi="Times New Roman" w:cs="Times New Roman"/>
                <w:snapToGrid w:val="0"/>
                <w:color w:val="auto"/>
                <w:highlight w:val="none"/>
                <w:lang w:val="en-US" w:eastAsia="zh-CN"/>
              </w:rPr>
              <w:t>0.098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820" w:type="pct"/>
            <w:tcBorders>
              <w:right w:val="single" w:color="auto" w:sz="4" w:space="0"/>
            </w:tcBorders>
            <w:vAlign w:val="center"/>
          </w:tcPr>
          <w:p>
            <w:pPr>
              <w:spacing w:line="0" w:lineRule="atLeast"/>
              <w:jc w:val="center"/>
              <w:rPr>
                <w:rFonts w:hint="default" w:ascii="Times New Roman" w:hAnsi="Times New Roman" w:cs="Times New Roman"/>
                <w:bCs/>
                <w:color w:val="auto"/>
                <w:kern w:val="0"/>
                <w:szCs w:val="21"/>
                <w:highlight w:val="none"/>
                <w:lang w:val="en-US" w:eastAsia="zh-CN"/>
              </w:rPr>
            </w:pPr>
            <w:r>
              <w:rPr>
                <w:rFonts w:hint="eastAsia" w:ascii="Times New Roman" w:hAnsi="Times New Roman" w:cs="Times New Roman"/>
                <w:bCs/>
                <w:color w:val="auto"/>
                <w:kern w:val="0"/>
                <w:szCs w:val="21"/>
                <w:highlight w:val="none"/>
                <w:lang w:val="en-US" w:eastAsia="zh-CN"/>
              </w:rPr>
              <w:t>6</w:t>
            </w:r>
          </w:p>
        </w:tc>
        <w:tc>
          <w:tcPr>
            <w:tcW w:w="2151" w:type="pct"/>
            <w:shd w:val="clear" w:color="auto" w:fill="auto"/>
            <w:vAlign w:val="center"/>
          </w:tcPr>
          <w:p>
            <w:pPr>
              <w:pStyle w:val="20"/>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pPr>
            <w:r>
              <w:rPr>
                <w:rFonts w:hint="eastAsia" w:ascii="Times New Roman" w:hAnsi="Times New Roman" w:cs="Times New Roman" w:eastAsiaTheme="minorEastAsia"/>
                <w:color w:val="auto"/>
                <w:szCs w:val="21"/>
                <w:lang w:val="en-US" w:eastAsia="zh-CN"/>
              </w:rPr>
              <w:t>非甲烷总烃</w:t>
            </w:r>
          </w:p>
        </w:tc>
        <w:tc>
          <w:tcPr>
            <w:tcW w:w="2028" w:type="pct"/>
            <w:shd w:val="clear" w:color="auto" w:fill="auto"/>
            <w:vAlign w:val="center"/>
          </w:tcPr>
          <w:p>
            <w:pPr>
              <w:pStyle w:val="36"/>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0.001301</w:t>
            </w:r>
          </w:p>
        </w:tc>
      </w:tr>
    </w:tbl>
    <w:p>
      <w:pPr>
        <w:keepNext w:val="0"/>
        <w:keepLines w:val="0"/>
        <w:pageBreakBefore w:val="0"/>
        <w:wordWrap/>
        <w:overflowPunct/>
        <w:topLinePunct w:val="0"/>
        <w:bidi w:val="0"/>
        <w:spacing w:line="360" w:lineRule="auto"/>
        <w:ind w:firstLine="480" w:firstLineChars="200"/>
        <w:jc w:val="both"/>
        <w:outlineLvl w:val="9"/>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5.2.1.2非正常工况废气影响分析</w:t>
      </w:r>
    </w:p>
    <w:p>
      <w:pPr>
        <w:pStyle w:val="45"/>
        <w:keepNext w:val="0"/>
        <w:keepLines w:val="0"/>
        <w:pageBreakBefore w:val="0"/>
        <w:wordWrap/>
        <w:overflowPunct/>
        <w:topLinePunct w:val="0"/>
        <w:bidi w:val="0"/>
        <w:adjustRightInd/>
        <w:snapToGrid/>
        <w:spacing w:line="360" w:lineRule="auto"/>
        <w:ind w:firstLine="480" w:firstLineChars="20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本项目非正常情况下除臭装置故障、管理不当，除臭效率为30%，</w:t>
      </w:r>
      <w:r>
        <w:rPr>
          <w:rFonts w:hint="eastAsia" w:cs="Times New Roman"/>
          <w:color w:val="auto"/>
          <w:kern w:val="0"/>
          <w:sz w:val="24"/>
          <w:highlight w:val="none"/>
          <w:lang w:val="en-US" w:eastAsia="zh-CN"/>
        </w:rPr>
        <w:t>低氮燃烧器故障</w:t>
      </w:r>
      <w:r>
        <w:rPr>
          <w:rFonts w:hint="default" w:ascii="Times New Roman" w:hAnsi="Times New Roman" w:cs="Times New Roman"/>
          <w:color w:val="auto"/>
          <w:kern w:val="0"/>
          <w:sz w:val="24"/>
          <w:highlight w:val="none"/>
          <w:lang w:val="en-US" w:eastAsia="zh-CN"/>
        </w:rPr>
        <w:t>，</w:t>
      </w:r>
      <w:r>
        <w:rPr>
          <w:rFonts w:hint="eastAsia" w:cs="Times New Roman"/>
          <w:color w:val="auto"/>
          <w:kern w:val="0"/>
          <w:sz w:val="24"/>
          <w:highlight w:val="none"/>
          <w:lang w:val="en-US" w:eastAsia="zh-CN"/>
        </w:rPr>
        <w:t>处理</w:t>
      </w:r>
      <w:r>
        <w:rPr>
          <w:rFonts w:hint="default" w:ascii="Times New Roman" w:hAnsi="Times New Roman" w:cs="Times New Roman"/>
          <w:color w:val="auto"/>
          <w:kern w:val="0"/>
          <w:sz w:val="24"/>
          <w:highlight w:val="none"/>
          <w:lang w:val="en-US" w:eastAsia="zh-CN"/>
        </w:rPr>
        <w:t>效率下降到</w:t>
      </w:r>
      <w:r>
        <w:rPr>
          <w:rFonts w:hint="eastAsia" w:cs="Times New Roman"/>
          <w:color w:val="auto"/>
          <w:kern w:val="0"/>
          <w:sz w:val="24"/>
          <w:highlight w:val="none"/>
          <w:lang w:val="en-US" w:eastAsia="zh-CN"/>
        </w:rPr>
        <w:t>0</w:t>
      </w:r>
      <w:r>
        <w:rPr>
          <w:rFonts w:hint="default" w:ascii="Times New Roman" w:hAnsi="Times New Roman" w:cs="Times New Roman"/>
          <w:color w:val="auto"/>
          <w:kern w:val="0"/>
          <w:sz w:val="24"/>
          <w:highlight w:val="none"/>
          <w:lang w:val="en-US" w:eastAsia="zh-CN"/>
        </w:rPr>
        <w:t>%</w:t>
      </w:r>
      <w:r>
        <w:rPr>
          <w:rFonts w:hint="default" w:ascii="Times New Roman" w:hAnsi="Times New Roman" w:cs="Times New Roman"/>
          <w:color w:val="auto"/>
          <w:kern w:val="0"/>
          <w:sz w:val="24"/>
          <w:highlight w:val="none"/>
        </w:rPr>
        <w:t>考虑。</w:t>
      </w:r>
      <w:r>
        <w:rPr>
          <w:rFonts w:hint="default" w:ascii="Times New Roman" w:hAnsi="Times New Roman" w:eastAsia="宋体" w:cs="Times New Roman"/>
          <w:color w:val="auto"/>
          <w:highlight w:val="none"/>
        </w:rPr>
        <w:t>非正常排放分析见5-2-1</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pPr>
      <w:r>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t>表5-2-1</w:t>
      </w:r>
      <w:r>
        <w:rPr>
          <w:rFonts w:hint="default" w:ascii="Times New Roman" w:hAnsi="Times New Roman" w:eastAsia="宋体" w:cs="Times New Roman"/>
          <w:snapToGrid w:val="0"/>
          <w:color w:val="000000"/>
          <w:spacing w:val="6"/>
          <w:kern w:val="0"/>
          <w:sz w:val="20"/>
          <w:szCs w:val="20"/>
          <w:lang w:val="en-US" w:eastAsia="zh-CN" w:bidi="ar-SA"/>
          <w14:textOutline w14:w="3795" w14:cap="sq" w14:cmpd="sng">
            <w14:solidFill>
              <w14:srgbClr w14:val="000000"/>
            </w14:solidFill>
            <w14:prstDash w14:val="solid"/>
            <w14:bevel/>
          </w14:textOutline>
        </w:rPr>
        <w:t>3</w:t>
      </w:r>
      <w:r>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t>非正常工况下废气污染物参数</w:t>
      </w:r>
    </w:p>
    <w:tbl>
      <w:tblPr>
        <w:tblStyle w:val="24"/>
        <w:tblW w:w="499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646"/>
        <w:gridCol w:w="1005"/>
        <w:gridCol w:w="1652"/>
        <w:gridCol w:w="856"/>
        <w:gridCol w:w="1181"/>
        <w:gridCol w:w="1181"/>
        <w:gridCol w:w="886"/>
        <w:gridCol w:w="886"/>
        <w:gridCol w:w="99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6" w:hRule="atLeast"/>
          <w:jc w:val="center"/>
        </w:trPr>
        <w:tc>
          <w:tcPr>
            <w:tcW w:w="347" w:type="pct"/>
            <w:tcBorders>
              <w:top w:val="single" w:color="000000" w:sz="12" w:space="0"/>
              <w:left w:val="nil"/>
              <w:bottom w:val="single" w:color="000000" w:sz="6" w:space="0"/>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540" w:type="pct"/>
            <w:tcBorders>
              <w:top w:val="single" w:color="000000" w:sz="12" w:space="0"/>
              <w:left w:val="single" w:color="auto" w:sz="6" w:space="0"/>
              <w:bottom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正常排放源</w:t>
            </w:r>
          </w:p>
        </w:tc>
        <w:tc>
          <w:tcPr>
            <w:tcW w:w="888" w:type="pct"/>
            <w:tcBorders>
              <w:top w:val="single" w:color="000000" w:sz="12" w:space="0"/>
              <w:left w:val="single" w:color="000000" w:sz="6" w:space="0"/>
              <w:bottom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非正常排放原因</w:t>
            </w:r>
          </w:p>
        </w:tc>
        <w:tc>
          <w:tcPr>
            <w:tcW w:w="460" w:type="pct"/>
            <w:tcBorders>
              <w:top w:val="single" w:color="000000" w:sz="12" w:space="0"/>
              <w:left w:val="single" w:color="000000" w:sz="6" w:space="0"/>
              <w:bottom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635" w:type="pct"/>
            <w:tcBorders>
              <w:top w:val="single" w:color="000000" w:sz="12" w:space="0"/>
              <w:left w:val="single" w:color="auto" w:sz="6" w:space="0"/>
              <w:bottom w:val="single" w:color="000000" w:sz="6" w:space="0"/>
              <w:right w:val="single" w:color="000000" w:sz="6" w:space="0"/>
            </w:tcBorders>
            <w:vAlign w:val="center"/>
          </w:tcPr>
          <w:p>
            <w:pPr>
              <w:spacing w:line="0" w:lineRule="atLeas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非正常排放浓度/μg/m</w:t>
            </w:r>
            <w:r>
              <w:rPr>
                <w:rFonts w:hint="default" w:ascii="Times New Roman" w:hAnsi="Times New Roman" w:cs="Times New Roman"/>
                <w:color w:val="auto"/>
                <w:kern w:val="0"/>
                <w:szCs w:val="21"/>
                <w:highlight w:val="none"/>
                <w:vertAlign w:val="superscript"/>
              </w:rPr>
              <w:t>3</w:t>
            </w:r>
          </w:p>
        </w:tc>
        <w:tc>
          <w:tcPr>
            <w:tcW w:w="635" w:type="pct"/>
            <w:tcBorders>
              <w:top w:val="single" w:color="000000" w:sz="12" w:space="0"/>
              <w:left w:val="single" w:color="000000" w:sz="6" w:space="0"/>
              <w:bottom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非正常排放速率（kg/h）</w:t>
            </w:r>
          </w:p>
        </w:tc>
        <w:tc>
          <w:tcPr>
            <w:tcW w:w="476" w:type="pct"/>
            <w:tcBorders>
              <w:top w:val="single" w:color="000000" w:sz="12" w:space="0"/>
              <w:left w:val="single" w:color="000000" w:sz="6" w:space="0"/>
              <w:bottom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单次持续时间/h</w:t>
            </w:r>
          </w:p>
        </w:tc>
        <w:tc>
          <w:tcPr>
            <w:tcW w:w="476" w:type="pct"/>
            <w:tcBorders>
              <w:top w:val="single" w:color="000000" w:sz="12" w:space="0"/>
              <w:left w:val="single" w:color="000000" w:sz="6" w:space="0"/>
              <w:bottom w:val="single" w:color="000000" w:sz="6" w:space="0"/>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年发生频次/次</w:t>
            </w:r>
          </w:p>
        </w:tc>
        <w:tc>
          <w:tcPr>
            <w:tcW w:w="537" w:type="pct"/>
            <w:tcBorders>
              <w:top w:val="single" w:color="000000" w:sz="12" w:space="0"/>
              <w:left w:val="single" w:color="auto" w:sz="6" w:space="0"/>
              <w:bottom w:val="single" w:color="000000" w:sz="6" w:space="0"/>
              <w:right w:val="nil"/>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应该对措施</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87" w:hRule="atLeast"/>
          <w:jc w:val="center"/>
        </w:trPr>
        <w:tc>
          <w:tcPr>
            <w:tcW w:w="347" w:type="pct"/>
            <w:vMerge w:val="restart"/>
            <w:tcBorders>
              <w:top w:val="single" w:color="000000" w:sz="6" w:space="0"/>
              <w:left w:val="nil"/>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540" w:type="pct"/>
            <w:vMerge w:val="restart"/>
            <w:tcBorders>
              <w:top w:val="single" w:color="000000" w:sz="6" w:space="0"/>
              <w:left w:val="single" w:color="auto" w:sz="6" w:space="0"/>
              <w:right w:val="single" w:color="000000" w:sz="6" w:space="0"/>
            </w:tcBorders>
            <w:vAlign w:val="center"/>
          </w:tcPr>
          <w:p>
            <w:pPr>
              <w:pStyle w:val="45"/>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屠宰</w:t>
            </w:r>
            <w:r>
              <w:rPr>
                <w:rFonts w:hint="eastAsia" w:cs="Times New Roman"/>
                <w:color w:val="auto"/>
                <w:sz w:val="21"/>
                <w:szCs w:val="21"/>
                <w:highlight w:val="none"/>
                <w:lang w:val="en-US" w:eastAsia="zh-CN"/>
              </w:rPr>
              <w:t>加工</w:t>
            </w:r>
            <w:r>
              <w:rPr>
                <w:rFonts w:hint="default" w:ascii="Times New Roman" w:hAnsi="Times New Roman" w:eastAsia="宋体" w:cs="Times New Roman"/>
                <w:color w:val="auto"/>
                <w:sz w:val="21"/>
                <w:szCs w:val="21"/>
                <w:highlight w:val="none"/>
              </w:rPr>
              <w:t>车间排气筒</w:t>
            </w:r>
          </w:p>
        </w:tc>
        <w:tc>
          <w:tcPr>
            <w:tcW w:w="888" w:type="pct"/>
            <w:vMerge w:val="restart"/>
            <w:tcBorders>
              <w:left w:val="single" w:color="000000" w:sz="6" w:space="0"/>
              <w:right w:val="single" w:color="000000" w:sz="6" w:space="0"/>
            </w:tcBorders>
            <w:vAlign w:val="center"/>
          </w:tcPr>
          <w:p>
            <w:pPr>
              <w:pStyle w:val="45"/>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除臭装置故障、管理不当，除臭效率为30%</w:t>
            </w:r>
          </w:p>
        </w:tc>
        <w:tc>
          <w:tcPr>
            <w:tcW w:w="460" w:type="pct"/>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szCs w:val="22"/>
                <w:highlight w:val="none"/>
                <w:lang w:val="en-US" w:eastAsia="zh-CN"/>
              </w:rPr>
              <w:t>1</w:t>
            </w:r>
          </w:p>
        </w:tc>
        <w:tc>
          <w:tcPr>
            <w:tcW w:w="635" w:type="pct"/>
            <w:tcBorders>
              <w:left w:val="single" w:color="000000" w:sz="6" w:space="0"/>
              <w:right w:val="single" w:color="000000" w:sz="6"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szCs w:val="22"/>
                <w:highlight w:val="none"/>
                <w:lang w:val="en-US" w:eastAsia="zh-CN"/>
              </w:rPr>
              <w:t>0.0030</w:t>
            </w:r>
          </w:p>
        </w:tc>
        <w:tc>
          <w:tcPr>
            <w:tcW w:w="476" w:type="pct"/>
            <w:vMerge w:val="restart"/>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476" w:type="pct"/>
            <w:vMerge w:val="restart"/>
            <w:tcBorders>
              <w:left w:val="single" w:color="000000" w:sz="6" w:space="0"/>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537" w:type="pct"/>
            <w:vMerge w:val="restart"/>
            <w:tcBorders>
              <w:left w:val="single" w:color="auto" w:sz="6" w:space="0"/>
              <w:right w:val="nil"/>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及时检修，加强维护</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540" w:type="pct"/>
            <w:vMerge w:val="continue"/>
            <w:tcBorders>
              <w:left w:val="single" w:color="auto"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888" w:type="pct"/>
            <w:vMerge w:val="continue"/>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460" w:type="pct"/>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szCs w:val="22"/>
                <w:highlight w:val="none"/>
                <w:lang w:val="en-US" w:eastAsia="zh-CN"/>
              </w:rPr>
              <w:t>0.047</w:t>
            </w:r>
          </w:p>
        </w:tc>
        <w:tc>
          <w:tcPr>
            <w:tcW w:w="635" w:type="pct"/>
            <w:tcBorders>
              <w:left w:val="single" w:color="000000" w:sz="6" w:space="0"/>
              <w:right w:val="single" w:color="000000" w:sz="6"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szCs w:val="22"/>
                <w:highlight w:val="none"/>
                <w:lang w:val="en-US" w:eastAsia="zh-CN"/>
              </w:rPr>
              <w:t>0.00014</w:t>
            </w:r>
          </w:p>
        </w:tc>
        <w:tc>
          <w:tcPr>
            <w:tcW w:w="476" w:type="pct"/>
            <w:vMerge w:val="continue"/>
            <w:tcBorders>
              <w:left w:val="single" w:color="000000" w:sz="6" w:space="0"/>
              <w:right w:val="single" w:color="000000" w:sz="6" w:space="0"/>
            </w:tcBorders>
            <w:vAlign w:val="center"/>
          </w:tcPr>
          <w:p>
            <w:pPr>
              <w:pStyle w:val="36"/>
              <w:spacing w:line="0" w:lineRule="atLeast"/>
              <w:rPr>
                <w:rFonts w:hint="default" w:ascii="Times New Roman" w:hAnsi="Times New Roman" w:cs="Times New Roman"/>
                <w:color w:val="FF0000"/>
                <w:highlight w:val="none"/>
              </w:rPr>
            </w:pPr>
          </w:p>
        </w:tc>
        <w:tc>
          <w:tcPr>
            <w:tcW w:w="476" w:type="pct"/>
            <w:vMerge w:val="continue"/>
            <w:tcBorders>
              <w:left w:val="single" w:color="000000" w:sz="6" w:space="0"/>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540" w:type="pct"/>
            <w:vMerge w:val="continue"/>
            <w:tcBorders>
              <w:left w:val="single" w:color="auto"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888" w:type="pct"/>
            <w:vMerge w:val="continue"/>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460" w:type="pct"/>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臭气浓度（无量纲）</w:t>
            </w:r>
          </w:p>
        </w:tc>
        <w:tc>
          <w:tcPr>
            <w:tcW w:w="1270" w:type="pct"/>
            <w:gridSpan w:val="2"/>
            <w:tcBorders>
              <w:top w:val="single" w:color="000000" w:sz="6" w:space="0"/>
              <w:left w:val="single" w:color="auto" w:sz="6" w:space="0"/>
              <w:bottom w:val="single" w:color="000000" w:sz="6" w:space="0"/>
              <w:right w:val="single" w:color="000000" w:sz="6"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szCs w:val="22"/>
                <w:highlight w:val="none"/>
                <w:lang w:val="en-US" w:eastAsia="zh-CN"/>
              </w:rPr>
              <w:t>912.1</w:t>
            </w:r>
          </w:p>
        </w:tc>
        <w:tc>
          <w:tcPr>
            <w:tcW w:w="476" w:type="pct"/>
            <w:vMerge w:val="continue"/>
            <w:tcBorders>
              <w:left w:val="single" w:color="000000" w:sz="6" w:space="0"/>
              <w:right w:val="single" w:color="000000" w:sz="6" w:space="0"/>
            </w:tcBorders>
            <w:vAlign w:val="center"/>
          </w:tcPr>
          <w:p>
            <w:pPr>
              <w:pStyle w:val="36"/>
              <w:spacing w:line="0" w:lineRule="atLeast"/>
              <w:rPr>
                <w:rFonts w:hint="default" w:ascii="Times New Roman" w:hAnsi="Times New Roman" w:cs="Times New Roman"/>
                <w:color w:val="FF0000"/>
                <w:highlight w:val="none"/>
              </w:rPr>
            </w:pPr>
          </w:p>
        </w:tc>
        <w:tc>
          <w:tcPr>
            <w:tcW w:w="476" w:type="pct"/>
            <w:vMerge w:val="continue"/>
            <w:tcBorders>
              <w:left w:val="single" w:color="000000" w:sz="6" w:space="0"/>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restart"/>
            <w:tcBorders>
              <w:left w:val="nil"/>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540" w:type="pct"/>
            <w:vMerge w:val="restart"/>
            <w:tcBorders>
              <w:left w:val="single" w:color="auto"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污水处理站排气筒</w:t>
            </w:r>
          </w:p>
        </w:tc>
        <w:tc>
          <w:tcPr>
            <w:tcW w:w="888" w:type="pct"/>
            <w:vMerge w:val="continue"/>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460" w:type="pct"/>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szCs w:val="22"/>
                <w:highlight w:val="none"/>
                <w:lang w:val="en-US" w:eastAsia="zh-CN"/>
              </w:rPr>
              <w:t>1.91</w:t>
            </w:r>
          </w:p>
        </w:tc>
        <w:tc>
          <w:tcPr>
            <w:tcW w:w="635" w:type="pct"/>
            <w:tcBorders>
              <w:left w:val="single" w:color="000000" w:sz="6" w:space="0"/>
              <w:right w:val="single" w:color="000000" w:sz="6" w:space="0"/>
            </w:tcBorders>
            <w:vAlign w:val="center"/>
          </w:tcPr>
          <w:p>
            <w:pPr>
              <w:pStyle w:val="36"/>
              <w:rPr>
                <w:rFonts w:hint="default" w:ascii="Times New Roman" w:hAnsi="Times New Roman" w:eastAsia="宋体" w:cs="Times New Roman"/>
                <w:bCs/>
                <w:color w:val="auto"/>
                <w:highlight w:val="none"/>
                <w:lang w:val="en-US" w:eastAsia="zh-CN"/>
              </w:rPr>
            </w:pPr>
            <w:r>
              <w:rPr>
                <w:rFonts w:hint="eastAsia" w:ascii="Times New Roman" w:hAnsi="Times New Roman" w:cs="Times New Roman"/>
                <w:bCs/>
                <w:color w:val="auto"/>
                <w:highlight w:val="none"/>
                <w:lang w:val="en-US" w:eastAsia="zh-CN"/>
              </w:rPr>
              <w:t>0.00574</w:t>
            </w:r>
          </w:p>
        </w:tc>
        <w:tc>
          <w:tcPr>
            <w:tcW w:w="476" w:type="pct"/>
            <w:vMerge w:val="continue"/>
            <w:tcBorders>
              <w:left w:val="single" w:color="000000" w:sz="6" w:space="0"/>
              <w:right w:val="single" w:color="000000" w:sz="6" w:space="0"/>
            </w:tcBorders>
            <w:vAlign w:val="center"/>
          </w:tcPr>
          <w:p>
            <w:pPr>
              <w:pStyle w:val="36"/>
              <w:spacing w:line="0" w:lineRule="atLeast"/>
              <w:rPr>
                <w:rFonts w:hint="default" w:ascii="Times New Roman" w:hAnsi="Times New Roman" w:cs="Times New Roman"/>
                <w:color w:val="FF0000"/>
                <w:highlight w:val="none"/>
              </w:rPr>
            </w:pPr>
          </w:p>
        </w:tc>
        <w:tc>
          <w:tcPr>
            <w:tcW w:w="476" w:type="pct"/>
            <w:vMerge w:val="continue"/>
            <w:tcBorders>
              <w:left w:val="single" w:color="000000" w:sz="6" w:space="0"/>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540" w:type="pct"/>
            <w:vMerge w:val="continue"/>
            <w:tcBorders>
              <w:left w:val="single" w:color="auto"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888" w:type="pct"/>
            <w:vMerge w:val="continue"/>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460" w:type="pct"/>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szCs w:val="22"/>
                <w:highlight w:val="none"/>
                <w:lang w:val="en-US" w:eastAsia="zh-CN"/>
              </w:rPr>
              <w:t>0.07</w:t>
            </w:r>
          </w:p>
        </w:tc>
        <w:tc>
          <w:tcPr>
            <w:tcW w:w="635" w:type="pct"/>
            <w:tcBorders>
              <w:left w:val="single" w:color="000000" w:sz="6" w:space="0"/>
              <w:right w:val="single" w:color="000000" w:sz="6" w:space="0"/>
            </w:tcBorders>
            <w:vAlign w:val="center"/>
          </w:tcPr>
          <w:p>
            <w:pPr>
              <w:pStyle w:val="36"/>
              <w:rPr>
                <w:rFonts w:hint="default" w:ascii="Times New Roman" w:hAnsi="Times New Roman" w:eastAsia="宋体" w:cs="Times New Roman"/>
                <w:bCs/>
                <w:color w:val="auto"/>
                <w:highlight w:val="none"/>
                <w:lang w:val="en-US" w:eastAsia="zh-CN"/>
              </w:rPr>
            </w:pPr>
            <w:r>
              <w:rPr>
                <w:rFonts w:hint="default" w:ascii="Times New Roman" w:hAnsi="Times New Roman" w:cs="Times New Roman"/>
                <w:bCs/>
                <w:color w:val="auto"/>
                <w:highlight w:val="none"/>
                <w:lang w:val="en-US" w:eastAsia="zh-CN"/>
              </w:rPr>
              <w:t>0.000</w:t>
            </w:r>
            <w:r>
              <w:rPr>
                <w:rFonts w:hint="eastAsia" w:ascii="Times New Roman" w:hAnsi="Times New Roman" w:cs="Times New Roman"/>
                <w:bCs/>
                <w:color w:val="auto"/>
                <w:highlight w:val="none"/>
                <w:lang w:val="en-US" w:eastAsia="zh-CN"/>
              </w:rPr>
              <w:t>21</w:t>
            </w:r>
          </w:p>
        </w:tc>
        <w:tc>
          <w:tcPr>
            <w:tcW w:w="476" w:type="pct"/>
            <w:vMerge w:val="continue"/>
            <w:tcBorders>
              <w:left w:val="single" w:color="000000" w:sz="6" w:space="0"/>
              <w:right w:val="single" w:color="000000" w:sz="6" w:space="0"/>
            </w:tcBorders>
            <w:vAlign w:val="center"/>
          </w:tcPr>
          <w:p>
            <w:pPr>
              <w:pStyle w:val="36"/>
              <w:spacing w:line="0" w:lineRule="atLeast"/>
              <w:rPr>
                <w:rFonts w:hint="default" w:ascii="Times New Roman" w:hAnsi="Times New Roman" w:cs="Times New Roman"/>
                <w:color w:val="FF0000"/>
                <w:highlight w:val="none"/>
              </w:rPr>
            </w:pPr>
          </w:p>
        </w:tc>
        <w:tc>
          <w:tcPr>
            <w:tcW w:w="476" w:type="pct"/>
            <w:vMerge w:val="continue"/>
            <w:tcBorders>
              <w:left w:val="single" w:color="000000" w:sz="6" w:space="0"/>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540" w:type="pct"/>
            <w:vMerge w:val="continue"/>
            <w:tcBorders>
              <w:left w:val="single" w:color="auto"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888" w:type="pct"/>
            <w:vMerge w:val="continue"/>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460" w:type="pct"/>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臭气浓度（无量纲）</w:t>
            </w:r>
          </w:p>
        </w:tc>
        <w:tc>
          <w:tcPr>
            <w:tcW w:w="1270" w:type="pct"/>
            <w:gridSpan w:val="2"/>
            <w:tcBorders>
              <w:top w:val="single" w:color="000000" w:sz="6" w:space="0"/>
              <w:left w:val="single" w:color="auto" w:sz="6" w:space="0"/>
              <w:bottom w:val="single" w:color="000000" w:sz="6" w:space="0"/>
              <w:right w:val="single" w:color="000000" w:sz="6" w:space="0"/>
            </w:tcBorders>
            <w:vAlign w:val="center"/>
          </w:tcPr>
          <w:p>
            <w:pPr>
              <w:pStyle w:val="36"/>
              <w:rPr>
                <w:rFonts w:hint="default" w:ascii="Times New Roman" w:hAnsi="Times New Roman" w:eastAsia="宋体" w:cs="Times New Roman"/>
                <w:bCs/>
                <w:color w:val="auto"/>
                <w:highlight w:val="none"/>
                <w:lang w:val="en-US" w:eastAsia="zh-CN"/>
              </w:rPr>
            </w:pPr>
            <w:r>
              <w:rPr>
                <w:rFonts w:hint="eastAsia" w:ascii="Times New Roman" w:hAnsi="Times New Roman" w:cs="Times New Roman"/>
                <w:bCs/>
                <w:color w:val="auto"/>
                <w:highlight w:val="none"/>
                <w:lang w:val="en-US" w:eastAsia="zh-CN"/>
              </w:rPr>
              <w:t>2126.6</w:t>
            </w:r>
          </w:p>
        </w:tc>
        <w:tc>
          <w:tcPr>
            <w:tcW w:w="476" w:type="pct"/>
            <w:vMerge w:val="continue"/>
            <w:tcBorders>
              <w:left w:val="single" w:color="000000" w:sz="6" w:space="0"/>
              <w:right w:val="single" w:color="000000" w:sz="6" w:space="0"/>
            </w:tcBorders>
            <w:vAlign w:val="center"/>
          </w:tcPr>
          <w:p>
            <w:pPr>
              <w:pStyle w:val="36"/>
              <w:spacing w:line="0" w:lineRule="atLeast"/>
              <w:rPr>
                <w:rFonts w:hint="default" w:ascii="Times New Roman" w:hAnsi="Times New Roman" w:cs="Times New Roman"/>
                <w:color w:val="FF0000"/>
                <w:highlight w:val="none"/>
              </w:rPr>
            </w:pPr>
          </w:p>
        </w:tc>
        <w:tc>
          <w:tcPr>
            <w:tcW w:w="476" w:type="pct"/>
            <w:vMerge w:val="continue"/>
            <w:tcBorders>
              <w:left w:val="single" w:color="000000" w:sz="6" w:space="0"/>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restart"/>
            <w:tcBorders>
              <w:left w:val="nil"/>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540" w:type="pct"/>
            <w:vMerge w:val="restart"/>
            <w:tcBorders>
              <w:left w:val="single" w:color="auto"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待宰</w:t>
            </w:r>
            <w:r>
              <w:rPr>
                <w:rFonts w:hint="eastAsia" w:cs="Times New Roman"/>
                <w:color w:val="auto"/>
                <w:sz w:val="21"/>
                <w:szCs w:val="21"/>
                <w:highlight w:val="none"/>
                <w:lang w:val="en-US" w:eastAsia="zh-CN"/>
              </w:rPr>
              <w:t>圈</w:t>
            </w:r>
            <w:r>
              <w:rPr>
                <w:rFonts w:hint="default" w:ascii="Times New Roman" w:hAnsi="Times New Roman" w:eastAsia="宋体" w:cs="Times New Roman"/>
                <w:color w:val="auto"/>
                <w:sz w:val="21"/>
                <w:szCs w:val="21"/>
                <w:highlight w:val="none"/>
              </w:rPr>
              <w:t>排气筒</w:t>
            </w:r>
          </w:p>
        </w:tc>
        <w:tc>
          <w:tcPr>
            <w:tcW w:w="888" w:type="pct"/>
            <w:vMerge w:val="continue"/>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460" w:type="pct"/>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szCs w:val="22"/>
                <w:highlight w:val="none"/>
                <w:lang w:val="en-US" w:eastAsia="zh-CN"/>
              </w:rPr>
              <w:t>6.07</w:t>
            </w:r>
          </w:p>
        </w:tc>
        <w:tc>
          <w:tcPr>
            <w:tcW w:w="635" w:type="pct"/>
            <w:tcBorders>
              <w:left w:val="single" w:color="000000" w:sz="6" w:space="0"/>
              <w:right w:val="single" w:color="000000" w:sz="6" w:space="0"/>
            </w:tcBorders>
            <w:vAlign w:val="center"/>
          </w:tcPr>
          <w:p>
            <w:pPr>
              <w:pStyle w:val="36"/>
              <w:rPr>
                <w:rFonts w:hint="default" w:ascii="Times New Roman" w:hAnsi="Times New Roman" w:eastAsia="宋体" w:cs="Times New Roman"/>
                <w:bCs/>
                <w:color w:val="auto"/>
                <w:highlight w:val="none"/>
                <w:lang w:val="en-US" w:eastAsia="zh-CN"/>
              </w:rPr>
            </w:pPr>
            <w:r>
              <w:rPr>
                <w:rFonts w:hint="eastAsia" w:ascii="Times New Roman" w:hAnsi="Times New Roman" w:cs="Times New Roman"/>
                <w:bCs/>
                <w:color w:val="auto"/>
                <w:highlight w:val="none"/>
                <w:lang w:val="en-US" w:eastAsia="zh-CN"/>
              </w:rPr>
              <w:t>0.0182</w:t>
            </w:r>
          </w:p>
        </w:tc>
        <w:tc>
          <w:tcPr>
            <w:tcW w:w="476" w:type="pct"/>
            <w:vMerge w:val="continue"/>
            <w:tcBorders>
              <w:left w:val="single" w:color="000000" w:sz="6" w:space="0"/>
              <w:right w:val="single" w:color="000000" w:sz="6" w:space="0"/>
            </w:tcBorders>
            <w:vAlign w:val="center"/>
          </w:tcPr>
          <w:p>
            <w:pPr>
              <w:pStyle w:val="36"/>
              <w:spacing w:line="0" w:lineRule="atLeast"/>
              <w:rPr>
                <w:rFonts w:hint="default" w:ascii="Times New Roman" w:hAnsi="Times New Roman" w:cs="Times New Roman"/>
                <w:color w:val="FF0000"/>
                <w:highlight w:val="none"/>
              </w:rPr>
            </w:pPr>
          </w:p>
        </w:tc>
        <w:tc>
          <w:tcPr>
            <w:tcW w:w="476" w:type="pct"/>
            <w:vMerge w:val="continue"/>
            <w:tcBorders>
              <w:left w:val="single" w:color="000000" w:sz="6" w:space="0"/>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540" w:type="pct"/>
            <w:vMerge w:val="continue"/>
            <w:tcBorders>
              <w:left w:val="single" w:color="auto"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888" w:type="pct"/>
            <w:vMerge w:val="continue"/>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460" w:type="pct"/>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635" w:type="pct"/>
            <w:tcBorders>
              <w:top w:val="single" w:color="000000" w:sz="6" w:space="0"/>
              <w:left w:val="single" w:color="auto" w:sz="6" w:space="0"/>
              <w:bottom w:val="single" w:color="000000" w:sz="6" w:space="0"/>
              <w:right w:val="single" w:color="000000" w:sz="6" w:space="0"/>
            </w:tcBorders>
            <w:vAlign w:val="center"/>
          </w:tcPr>
          <w:p>
            <w:pPr>
              <w:pStyle w:val="36"/>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cs="Times New Roman"/>
                <w:snapToGrid w:val="0"/>
                <w:color w:val="auto"/>
                <w:szCs w:val="22"/>
                <w:highlight w:val="none"/>
                <w:lang w:val="en-US" w:eastAsia="zh-CN"/>
              </w:rPr>
              <w:t>0.9</w:t>
            </w:r>
          </w:p>
        </w:tc>
        <w:tc>
          <w:tcPr>
            <w:tcW w:w="635" w:type="pct"/>
            <w:tcBorders>
              <w:left w:val="single" w:color="000000" w:sz="6" w:space="0"/>
              <w:right w:val="single" w:color="000000" w:sz="6" w:space="0"/>
            </w:tcBorders>
            <w:vAlign w:val="center"/>
          </w:tcPr>
          <w:p>
            <w:pPr>
              <w:pStyle w:val="36"/>
              <w:rPr>
                <w:rFonts w:hint="default" w:ascii="Times New Roman" w:hAnsi="Times New Roman" w:eastAsia="宋体" w:cs="Times New Roman"/>
                <w:bCs/>
                <w:color w:val="auto"/>
                <w:highlight w:val="none"/>
                <w:lang w:val="en-US" w:eastAsia="zh-CN"/>
              </w:rPr>
            </w:pPr>
            <w:r>
              <w:rPr>
                <w:rFonts w:hint="eastAsia" w:ascii="Times New Roman" w:hAnsi="Times New Roman" w:cs="Times New Roman"/>
                <w:bCs/>
                <w:color w:val="auto"/>
                <w:highlight w:val="none"/>
                <w:lang w:val="en-US" w:eastAsia="zh-CN"/>
              </w:rPr>
              <w:t>0.0027</w:t>
            </w:r>
          </w:p>
        </w:tc>
        <w:tc>
          <w:tcPr>
            <w:tcW w:w="476" w:type="pct"/>
            <w:vMerge w:val="continue"/>
            <w:tcBorders>
              <w:left w:val="single" w:color="000000" w:sz="6" w:space="0"/>
              <w:right w:val="single" w:color="000000" w:sz="6" w:space="0"/>
            </w:tcBorders>
            <w:vAlign w:val="center"/>
          </w:tcPr>
          <w:p>
            <w:pPr>
              <w:pStyle w:val="36"/>
              <w:spacing w:line="0" w:lineRule="atLeast"/>
              <w:rPr>
                <w:rFonts w:hint="default" w:ascii="Times New Roman" w:hAnsi="Times New Roman" w:cs="Times New Roman"/>
                <w:color w:val="FF0000"/>
                <w:highlight w:val="none"/>
              </w:rPr>
            </w:pPr>
          </w:p>
        </w:tc>
        <w:tc>
          <w:tcPr>
            <w:tcW w:w="476" w:type="pct"/>
            <w:vMerge w:val="continue"/>
            <w:tcBorders>
              <w:left w:val="single" w:color="000000" w:sz="6" w:space="0"/>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vMerge w:val="continue"/>
            <w:tcBorders>
              <w:left w:val="nil"/>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540" w:type="pct"/>
            <w:vMerge w:val="continue"/>
            <w:tcBorders>
              <w:left w:val="single" w:color="auto"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888" w:type="pct"/>
            <w:vMerge w:val="continue"/>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p>
        </w:tc>
        <w:tc>
          <w:tcPr>
            <w:tcW w:w="460" w:type="pct"/>
            <w:tcBorders>
              <w:left w:val="single" w:color="000000"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臭气浓度（无量纲）</w:t>
            </w:r>
          </w:p>
        </w:tc>
        <w:tc>
          <w:tcPr>
            <w:tcW w:w="1270" w:type="pct"/>
            <w:gridSpan w:val="2"/>
            <w:tcBorders>
              <w:top w:val="single" w:color="000000" w:sz="6" w:space="0"/>
              <w:left w:val="single" w:color="auto" w:sz="6" w:space="0"/>
              <w:bottom w:val="single" w:color="000000" w:sz="6" w:space="0"/>
              <w:right w:val="single" w:color="000000" w:sz="6" w:space="0"/>
            </w:tcBorders>
            <w:vAlign w:val="center"/>
          </w:tcPr>
          <w:p>
            <w:pPr>
              <w:pStyle w:val="36"/>
              <w:rPr>
                <w:rFonts w:hint="default" w:ascii="Times New Roman" w:hAnsi="Times New Roman" w:eastAsia="宋体" w:cs="Times New Roman"/>
                <w:bCs/>
                <w:color w:val="auto"/>
                <w:highlight w:val="none"/>
                <w:lang w:val="en-US" w:eastAsia="zh-CN"/>
              </w:rPr>
            </w:pPr>
            <w:r>
              <w:rPr>
                <w:rFonts w:hint="eastAsia" w:ascii="Times New Roman" w:hAnsi="Times New Roman" w:cs="Times New Roman"/>
                <w:bCs/>
                <w:color w:val="auto"/>
                <w:highlight w:val="none"/>
                <w:lang w:val="en-US" w:eastAsia="zh-CN"/>
              </w:rPr>
              <w:t>2700.8</w:t>
            </w:r>
          </w:p>
        </w:tc>
        <w:tc>
          <w:tcPr>
            <w:tcW w:w="476" w:type="pct"/>
            <w:vMerge w:val="continue"/>
            <w:tcBorders>
              <w:left w:val="single" w:color="000000" w:sz="6" w:space="0"/>
              <w:right w:val="single" w:color="000000" w:sz="6" w:space="0"/>
            </w:tcBorders>
            <w:vAlign w:val="center"/>
          </w:tcPr>
          <w:p>
            <w:pPr>
              <w:pStyle w:val="36"/>
              <w:spacing w:line="0" w:lineRule="atLeast"/>
              <w:rPr>
                <w:rFonts w:hint="default" w:ascii="Times New Roman" w:hAnsi="Times New Roman" w:cs="Times New Roman"/>
                <w:color w:val="FF0000"/>
                <w:highlight w:val="none"/>
              </w:rPr>
            </w:pPr>
          </w:p>
        </w:tc>
        <w:tc>
          <w:tcPr>
            <w:tcW w:w="476" w:type="pct"/>
            <w:vMerge w:val="continue"/>
            <w:tcBorders>
              <w:left w:val="single" w:color="000000" w:sz="6" w:space="0"/>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7" w:hRule="atLeast"/>
          <w:jc w:val="center"/>
        </w:trPr>
        <w:tc>
          <w:tcPr>
            <w:tcW w:w="347" w:type="pct"/>
            <w:tcBorders>
              <w:left w:val="nil"/>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540" w:type="pct"/>
            <w:tcBorders>
              <w:left w:val="single" w:color="auto" w:sz="6" w:space="0"/>
              <w:right w:val="single" w:color="000000" w:sz="6"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锅炉房烟囱</w:t>
            </w:r>
          </w:p>
        </w:tc>
        <w:tc>
          <w:tcPr>
            <w:tcW w:w="888" w:type="pct"/>
            <w:tcBorders>
              <w:left w:val="single" w:color="000000" w:sz="6" w:space="0"/>
              <w:bottom w:val="single" w:color="auto" w:sz="12" w:space="0"/>
              <w:right w:val="single" w:color="auto" w:sz="4" w:space="0"/>
            </w:tcBorders>
            <w:vAlign w:val="center"/>
          </w:tcPr>
          <w:p>
            <w:pPr>
              <w:pStyle w:val="45"/>
              <w:spacing w:line="0" w:lineRule="atLeast"/>
              <w:ind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低氮燃烧器故障，</w:t>
            </w:r>
            <w:r>
              <w:rPr>
                <w:rFonts w:hint="default" w:ascii="Times New Roman" w:hAnsi="Times New Roman" w:eastAsia="宋体" w:cs="Times New Roman"/>
                <w:color w:val="auto"/>
                <w:sz w:val="21"/>
                <w:szCs w:val="21"/>
                <w:highlight w:val="none"/>
                <w:lang w:val="en-US" w:eastAsia="zh-CN"/>
              </w:rPr>
              <w:t>除尘效率下降到</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w:t>
            </w:r>
          </w:p>
        </w:tc>
        <w:tc>
          <w:tcPr>
            <w:tcW w:w="460" w:type="pct"/>
            <w:tcBorders>
              <w:left w:val="single" w:color="auto" w:sz="4" w:space="0"/>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bCs/>
                <w:color w:val="auto"/>
                <w:spacing w:val="0"/>
                <w:sz w:val="21"/>
                <w:szCs w:val="21"/>
                <w:highlight w:val="none"/>
                <w:lang w:val="en-US" w:eastAsia="zh-CN"/>
              </w:rPr>
              <w:t>NO</w:t>
            </w:r>
            <w:r>
              <w:rPr>
                <w:rFonts w:hint="eastAsia" w:ascii="Times New Roman" w:hAnsi="Times New Roman" w:eastAsia="宋体" w:cs="Times New Roman"/>
                <w:bCs/>
                <w:color w:val="auto"/>
                <w:spacing w:val="0"/>
                <w:sz w:val="21"/>
                <w:szCs w:val="21"/>
                <w:highlight w:val="none"/>
                <w:vertAlign w:val="subscript"/>
                <w:lang w:val="en-US" w:eastAsia="zh-CN"/>
              </w:rPr>
              <w:t>X</w:t>
            </w:r>
          </w:p>
        </w:tc>
        <w:tc>
          <w:tcPr>
            <w:tcW w:w="1216" w:type="dxa"/>
            <w:tcBorders>
              <w:top w:val="single" w:color="000000" w:sz="6" w:space="0"/>
              <w:left w:val="single" w:color="auto" w:sz="4" w:space="0"/>
              <w:bottom w:val="single" w:color="auto" w:sz="12"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bCs/>
                <w:color w:val="auto"/>
                <w:highlight w:val="none"/>
                <w:lang w:val="en-US" w:eastAsia="zh-CN"/>
              </w:rPr>
            </w:pPr>
            <w:r>
              <w:rPr>
                <w:rFonts w:hint="eastAsia" w:ascii="Times New Roman" w:hAnsi="Times New Roman" w:eastAsia="宋体" w:cs="Times New Roman"/>
                <w:i w:val="0"/>
                <w:iCs w:val="0"/>
                <w:snapToGrid w:val="0"/>
                <w:color w:val="000000"/>
                <w:kern w:val="0"/>
                <w:sz w:val="21"/>
                <w:szCs w:val="21"/>
                <w:highlight w:val="none"/>
                <w:u w:val="none"/>
                <w:lang w:val="en-US" w:eastAsia="zh-CN" w:bidi="ar"/>
              </w:rPr>
              <w:t>155.7</w:t>
            </w:r>
          </w:p>
        </w:tc>
        <w:tc>
          <w:tcPr>
            <w:tcW w:w="1146" w:type="dxa"/>
            <w:tcBorders>
              <w:top w:val="single" w:color="000000" w:sz="6" w:space="0"/>
              <w:left w:val="single" w:color="auto" w:sz="4" w:space="0"/>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Cs/>
                <w:color w:val="auto"/>
                <w:highlight w:val="none"/>
                <w:lang w:val="en-US" w:eastAsia="zh-CN"/>
              </w:rPr>
            </w:pPr>
            <w:r>
              <w:rPr>
                <w:rFonts w:hint="default" w:ascii="Times New Roman" w:hAnsi="Times New Roman" w:cs="Times New Roman"/>
                <w:bCs/>
                <w:color w:val="auto"/>
                <w:sz w:val="21"/>
                <w:szCs w:val="21"/>
                <w:highlight w:val="none"/>
                <w:lang w:val="en-US" w:eastAsia="zh-CN"/>
              </w:rPr>
              <w:t>0.326</w:t>
            </w:r>
          </w:p>
        </w:tc>
        <w:tc>
          <w:tcPr>
            <w:tcW w:w="476" w:type="pct"/>
            <w:vMerge w:val="continue"/>
            <w:tcBorders>
              <w:left w:val="single" w:color="000000" w:sz="6" w:space="0"/>
              <w:right w:val="single" w:color="000000" w:sz="6" w:space="0"/>
            </w:tcBorders>
            <w:vAlign w:val="center"/>
          </w:tcPr>
          <w:p>
            <w:pPr>
              <w:pStyle w:val="36"/>
              <w:spacing w:line="0" w:lineRule="atLeast"/>
              <w:rPr>
                <w:rFonts w:hint="default" w:ascii="Times New Roman" w:hAnsi="Times New Roman" w:cs="Times New Roman"/>
                <w:color w:val="FF0000"/>
                <w:highlight w:val="none"/>
              </w:rPr>
            </w:pPr>
          </w:p>
        </w:tc>
        <w:tc>
          <w:tcPr>
            <w:tcW w:w="476" w:type="pct"/>
            <w:vMerge w:val="continue"/>
            <w:tcBorders>
              <w:left w:val="single" w:color="000000" w:sz="6" w:space="0"/>
              <w:right w:val="single" w:color="auto" w:sz="6" w:space="0"/>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c>
          <w:tcPr>
            <w:tcW w:w="537" w:type="pct"/>
            <w:vMerge w:val="continue"/>
            <w:tcBorders>
              <w:left w:val="single" w:color="auto" w:sz="6" w:space="0"/>
              <w:right w:val="nil"/>
            </w:tcBorders>
            <w:vAlign w:val="center"/>
          </w:tcPr>
          <w:p>
            <w:pPr>
              <w:pStyle w:val="45"/>
              <w:spacing w:line="0" w:lineRule="atLeast"/>
              <w:ind w:firstLine="0" w:firstLineChars="0"/>
              <w:jc w:val="center"/>
              <w:rPr>
                <w:rFonts w:hint="default" w:ascii="Times New Roman" w:hAnsi="Times New Roman" w:eastAsia="宋体" w:cs="Times New Roman"/>
                <w:color w:val="FF0000"/>
                <w:sz w:val="21"/>
                <w:szCs w:val="21"/>
                <w:highlight w:val="none"/>
              </w:rPr>
            </w:pPr>
          </w:p>
        </w:tc>
      </w:tr>
    </w:tbl>
    <w:p>
      <w:pPr>
        <w:spacing w:line="360" w:lineRule="auto"/>
        <w:outlineLvl w:val="9"/>
        <w:rPr>
          <w:rFonts w:hint="default" w:ascii="Times New Roman" w:hAnsi="Times New Roman" w:cs="Times New Roman"/>
          <w:b/>
          <w:color w:val="auto"/>
          <w:sz w:val="24"/>
        </w:rPr>
      </w:pPr>
      <w:r>
        <w:rPr>
          <w:rFonts w:hint="default" w:ascii="Times New Roman" w:hAnsi="Times New Roman" w:cs="Times New Roman"/>
          <w:b/>
          <w:color w:val="auto"/>
          <w:sz w:val="24"/>
        </w:rPr>
        <w:t>5.2.1.3臭气浓度的分析与评价</w:t>
      </w:r>
    </w:p>
    <w:p>
      <w:pPr>
        <w:widowControl/>
        <w:autoSpaceDE w:val="0"/>
        <w:autoSpaceDN w:val="0"/>
        <w:spacing w:line="360" w:lineRule="auto"/>
        <w:ind w:firstLine="480" w:firstLineChars="200"/>
        <w:jc w:val="both"/>
        <w:textAlignment w:val="baseline"/>
        <w:rPr>
          <w:rFonts w:hint="default" w:ascii="Times New Roman" w:hAnsi="Times New Roman" w:cs="Times New Roman"/>
          <w:color w:val="auto"/>
          <w:kern w:val="24"/>
          <w:sz w:val="24"/>
        </w:rPr>
      </w:pPr>
      <w:r>
        <w:rPr>
          <w:rFonts w:hint="default" w:ascii="Times New Roman" w:hAnsi="Times New Roman" w:cs="Times New Roman"/>
          <w:color w:val="auto"/>
          <w:kern w:val="24"/>
          <w:sz w:val="24"/>
        </w:rPr>
        <w:t>本项目恶臭主要来自待宰间、屠宰车间、污水处理站，主要恶臭气体是氨、硫化氢、臭气浓度等，如未采取任何措施，这些恶臭气体会扩散至整个厂区及周围地区。在待宰间、污水处理站、屠宰车间增加通风次数，去除恶臭气体；定期喷洒除臭剂；及时清理待宰圈及屠宰车间内的粪便、肠胃内容物、不可食用内脏等废弃物；待宰间和屠宰车间及时清洗底面等措施后，臭气强度等级可降至1级以下，对应臭气浓度&lt;20（无量纲），对周围环境的影响大大降低，满足</w:t>
      </w:r>
      <w:r>
        <w:rPr>
          <w:rFonts w:hint="default" w:ascii="Times New Roman" w:hAnsi="Times New Roman" w:cs="Times New Roman"/>
          <w:color w:val="auto"/>
          <w:kern w:val="21"/>
          <w:sz w:val="24"/>
        </w:rPr>
        <w:t>《恶臭污染物排放标准》（GB14554-93）中二级新扩改建无组织标准</w:t>
      </w:r>
      <w:r>
        <w:rPr>
          <w:rFonts w:hint="default" w:ascii="Times New Roman" w:hAnsi="Times New Roman" w:cs="Times New Roman"/>
          <w:color w:val="auto"/>
          <w:kern w:val="24"/>
          <w:sz w:val="24"/>
        </w:rPr>
        <w:t>：&lt;20（无量纲）。</w:t>
      </w:r>
    </w:p>
    <w:p>
      <w:pPr>
        <w:keepNext w:val="0"/>
        <w:keepLines w:val="0"/>
        <w:pageBreakBefore w:val="0"/>
        <w:widowControl/>
        <w:wordWrap/>
        <w:overflowPunct/>
        <w:topLinePunct w:val="0"/>
        <w:autoSpaceDE w:val="0"/>
        <w:autoSpaceDN w:val="0"/>
        <w:bidi w:val="0"/>
        <w:spacing w:line="360" w:lineRule="auto"/>
        <w:ind w:left="0" w:right="0" w:firstLine="480" w:firstLineChars="200"/>
        <w:jc w:val="both"/>
        <w:textAlignment w:val="baseline"/>
        <w:rPr>
          <w:rFonts w:hint="default" w:ascii="Times New Roman" w:hAnsi="Times New Roman" w:cs="Times New Roman"/>
          <w:b/>
          <w:color w:val="FF0000"/>
          <w:sz w:val="24"/>
        </w:rPr>
      </w:pPr>
      <w:r>
        <w:rPr>
          <w:rFonts w:hint="default" w:ascii="Times New Roman" w:hAnsi="Times New Roman" w:cs="Times New Roman"/>
          <w:color w:val="auto"/>
          <w:kern w:val="24"/>
          <w:sz w:val="24"/>
        </w:rPr>
        <w:t>本项目厂址边界最近的敏感点为厂</w:t>
      </w:r>
      <w:r>
        <w:rPr>
          <w:rFonts w:hint="default" w:ascii="Times New Roman" w:hAnsi="Times New Roman" w:cs="Times New Roman"/>
          <w:color w:val="auto"/>
          <w:kern w:val="24"/>
          <w:sz w:val="24"/>
          <w:highlight w:val="none"/>
        </w:rPr>
        <w:t>界</w:t>
      </w:r>
      <w:r>
        <w:rPr>
          <w:rFonts w:hint="eastAsia" w:ascii="Times New Roman" w:hAnsi="Times New Roman" w:cs="Times New Roman"/>
          <w:color w:val="auto"/>
          <w:kern w:val="24"/>
          <w:sz w:val="24"/>
          <w:highlight w:val="none"/>
          <w:lang w:val="en-US" w:eastAsia="zh-CN"/>
        </w:rPr>
        <w:t>北</w:t>
      </w:r>
      <w:r>
        <w:rPr>
          <w:rFonts w:hint="default" w:ascii="Times New Roman" w:hAnsi="Times New Roman" w:cs="Times New Roman"/>
          <w:color w:val="auto"/>
          <w:kern w:val="24"/>
          <w:sz w:val="24"/>
          <w:highlight w:val="none"/>
        </w:rPr>
        <w:t>侧</w:t>
      </w:r>
      <w:r>
        <w:rPr>
          <w:rFonts w:hint="default" w:ascii="Times New Roman" w:hAnsi="Times New Roman" w:cs="Times New Roman"/>
          <w:color w:val="auto"/>
          <w:kern w:val="24"/>
          <w:sz w:val="24"/>
          <w:highlight w:val="none"/>
          <w:lang w:eastAsia="zh-CN"/>
        </w:rPr>
        <w:t>3</w:t>
      </w:r>
      <w:r>
        <w:rPr>
          <w:rFonts w:hint="eastAsia" w:ascii="Times New Roman" w:hAnsi="Times New Roman" w:cs="Times New Roman"/>
          <w:color w:val="auto"/>
          <w:kern w:val="24"/>
          <w:sz w:val="24"/>
          <w:highlight w:val="none"/>
          <w:lang w:val="en-US" w:eastAsia="zh-CN"/>
        </w:rPr>
        <w:t>8</w:t>
      </w:r>
      <w:r>
        <w:rPr>
          <w:rFonts w:hint="default" w:ascii="Times New Roman" w:hAnsi="Times New Roman" w:cs="Times New Roman"/>
          <w:color w:val="auto"/>
          <w:kern w:val="24"/>
          <w:sz w:val="24"/>
          <w:highlight w:val="none"/>
          <w:lang w:eastAsia="zh-CN"/>
        </w:rPr>
        <w:t>0</w:t>
      </w:r>
      <w:r>
        <w:rPr>
          <w:rFonts w:hint="default" w:ascii="Times New Roman" w:hAnsi="Times New Roman" w:cs="Times New Roman"/>
          <w:color w:val="auto"/>
          <w:kern w:val="24"/>
          <w:sz w:val="24"/>
          <w:highlight w:val="none"/>
        </w:rPr>
        <w:t>m的</w:t>
      </w:r>
      <w:r>
        <w:rPr>
          <w:rFonts w:hint="eastAsia" w:ascii="Times New Roman" w:hAnsi="Times New Roman" w:cs="Times New Roman"/>
          <w:color w:val="auto"/>
          <w:kern w:val="24"/>
          <w:sz w:val="24"/>
          <w:highlight w:val="none"/>
          <w:lang w:val="en-US" w:eastAsia="zh-CN"/>
        </w:rPr>
        <w:t>兴隆镇居民</w:t>
      </w:r>
      <w:r>
        <w:rPr>
          <w:rFonts w:hint="default" w:ascii="Times New Roman" w:hAnsi="Times New Roman" w:cs="Times New Roman"/>
          <w:color w:val="auto"/>
          <w:kern w:val="24"/>
          <w:sz w:val="24"/>
          <w:highlight w:val="none"/>
        </w:rPr>
        <w:t>，</w:t>
      </w:r>
      <w:r>
        <w:rPr>
          <w:rFonts w:hint="default" w:ascii="Times New Roman" w:hAnsi="Times New Roman" w:cs="Times New Roman"/>
          <w:color w:val="auto"/>
          <w:kern w:val="24"/>
          <w:sz w:val="24"/>
        </w:rPr>
        <w:t>哈尔滨</w:t>
      </w:r>
      <w:r>
        <w:rPr>
          <w:rFonts w:hint="eastAsia" w:ascii="Times New Roman" w:hAnsi="Times New Roman" w:cs="Times New Roman"/>
          <w:color w:val="auto"/>
          <w:kern w:val="24"/>
          <w:sz w:val="24"/>
          <w:highlight w:val="none"/>
          <w:lang w:val="en-US" w:eastAsia="zh-CN"/>
        </w:rPr>
        <w:t>巴彦县</w:t>
      </w:r>
      <w:r>
        <w:rPr>
          <w:rFonts w:hint="default" w:ascii="Times New Roman" w:hAnsi="Times New Roman" w:cs="Times New Roman"/>
          <w:color w:val="auto"/>
          <w:kern w:val="24"/>
          <w:sz w:val="24"/>
        </w:rPr>
        <w:t>的风向主要特征为南-南南西-西南（S-SSW-SW）风，</w:t>
      </w:r>
      <w:r>
        <w:rPr>
          <w:rFonts w:hint="eastAsia" w:ascii="Times New Roman" w:hAnsi="Times New Roman" w:eastAsia="宋体" w:cs="Times New Roman"/>
          <w:color w:val="auto"/>
          <w:kern w:val="24"/>
          <w:sz w:val="24"/>
          <w:lang w:val="en-US" w:eastAsia="zh-CN"/>
        </w:rPr>
        <w:t>兴隆镇居民</w:t>
      </w:r>
      <w:r>
        <w:rPr>
          <w:rFonts w:hint="default" w:ascii="Times New Roman" w:hAnsi="Times New Roman" w:cs="Times New Roman"/>
          <w:color w:val="auto"/>
          <w:kern w:val="24"/>
          <w:sz w:val="24"/>
          <w:highlight w:val="none"/>
        </w:rPr>
        <w:t>位于本项目厂址</w:t>
      </w:r>
      <w:r>
        <w:rPr>
          <w:rFonts w:hint="default" w:ascii="Times New Roman" w:hAnsi="Times New Roman" w:cs="Times New Roman"/>
          <w:color w:val="auto"/>
          <w:kern w:val="24"/>
          <w:sz w:val="24"/>
          <w:highlight w:val="none"/>
          <w:lang w:val="en-US" w:eastAsia="zh-CN"/>
        </w:rPr>
        <w:t>下</w:t>
      </w:r>
      <w:r>
        <w:rPr>
          <w:rFonts w:hint="default" w:ascii="Times New Roman" w:hAnsi="Times New Roman" w:cs="Times New Roman"/>
          <w:color w:val="auto"/>
          <w:kern w:val="24"/>
          <w:sz w:val="24"/>
          <w:highlight w:val="none"/>
        </w:rPr>
        <w:t>风向，</w:t>
      </w:r>
      <w:r>
        <w:rPr>
          <w:rFonts w:hint="default" w:ascii="Times New Roman" w:hAnsi="Times New Roman" w:cs="Times New Roman"/>
          <w:color w:val="auto"/>
          <w:kern w:val="24"/>
          <w:sz w:val="24"/>
        </w:rPr>
        <w:t>项目生产对其有影响较小，且项目在采取防治措施后，能够满足臭气浓度的排放达标，项目产生的臭气浓度对周边环境影响较小。</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outlineLvl w:val="9"/>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5.2.1.4</w:t>
      </w:r>
      <w:r>
        <w:rPr>
          <w:rFonts w:hint="default" w:ascii="Times New Roman" w:hAnsi="Times New Roman" w:cs="Times New Roman"/>
          <w:b/>
          <w:color w:val="auto"/>
          <w:sz w:val="24"/>
        </w:rPr>
        <w:t>大气环境防护距离</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本项目环境防护距离按相关大气环境防护距离标准执行，无标准的根据《环境影响</w:t>
      </w:r>
      <w:r>
        <w:rPr>
          <w:rFonts w:hint="default" w:ascii="Times New Roman" w:hAnsi="Times New Roman" w:eastAsia="宋体" w:cs="Times New Roman"/>
          <w:spacing w:val="17"/>
          <w:sz w:val="24"/>
          <w:szCs w:val="24"/>
        </w:rPr>
        <w:t xml:space="preserve"> </w:t>
      </w:r>
      <w:r>
        <w:rPr>
          <w:rFonts w:hint="default" w:ascii="Times New Roman" w:hAnsi="Times New Roman" w:eastAsia="宋体" w:cs="Times New Roman"/>
          <w:spacing w:val="-1"/>
          <w:sz w:val="24"/>
          <w:szCs w:val="24"/>
        </w:rPr>
        <w:t>评价技术导则</w:t>
      </w:r>
      <w:r>
        <w:rPr>
          <w:rFonts w:hint="default" w:ascii="Times New Roman" w:hAnsi="Times New Roman" w:eastAsia="Times New Roman" w:cs="Times New Roman"/>
          <w:spacing w:val="-1"/>
          <w:sz w:val="24"/>
          <w:szCs w:val="24"/>
        </w:rPr>
        <w:t>—</w:t>
      </w:r>
      <w:r>
        <w:rPr>
          <w:rFonts w:hint="default" w:ascii="Times New Roman" w:hAnsi="Times New Roman" w:eastAsia="宋体" w:cs="Times New Roman"/>
          <w:spacing w:val="-1"/>
          <w:sz w:val="24"/>
          <w:szCs w:val="24"/>
        </w:rPr>
        <w:t>大气环境》（</w:t>
      </w:r>
      <w:r>
        <w:rPr>
          <w:rFonts w:hint="default" w:ascii="Times New Roman" w:hAnsi="Times New Roman" w:eastAsia="Times New Roman" w:cs="Times New Roman"/>
          <w:spacing w:val="-1"/>
          <w:sz w:val="24"/>
          <w:szCs w:val="24"/>
        </w:rPr>
        <w:t>HJ2.2 -2018</w:t>
      </w:r>
      <w:r>
        <w:rPr>
          <w:rFonts w:hint="default" w:ascii="Times New Roman" w:hAnsi="Times New Roman" w:eastAsia="宋体" w:cs="Times New Roman"/>
          <w:spacing w:val="-1"/>
          <w:sz w:val="24"/>
          <w:szCs w:val="24"/>
        </w:rPr>
        <w:t>）中</w:t>
      </w:r>
      <w:r>
        <w:rPr>
          <w:rFonts w:hint="default" w:ascii="Times New Roman" w:hAnsi="Times New Roman" w:eastAsia="宋体" w:cs="Times New Roman"/>
          <w:spacing w:val="-2"/>
          <w:sz w:val="24"/>
          <w:szCs w:val="24"/>
        </w:rPr>
        <w:t>推荐的大气环境防护距离计算模式计算，</w:t>
      </w:r>
      <w:r>
        <w:rPr>
          <w:rFonts w:hint="default" w:ascii="Times New Roman" w:hAnsi="Times New Roman" w:eastAsia="宋体" w:cs="Times New Roman"/>
          <w:spacing w:val="-1"/>
          <w:sz w:val="24"/>
          <w:szCs w:val="24"/>
        </w:rPr>
        <w:t>计算结果得出本项目无需设置大气环境防护距离。</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outlineLvl w:val="9"/>
        <w:rPr>
          <w:rFonts w:hint="default" w:ascii="Times New Roman" w:hAnsi="Times New Roman" w:cs="Times New Roman"/>
          <w:b/>
          <w:color w:val="auto"/>
          <w:sz w:val="24"/>
          <w:lang w:val="en-US" w:eastAsia="zh-CN"/>
        </w:rPr>
      </w:pPr>
      <w:r>
        <w:rPr>
          <w:rFonts w:hint="default" w:ascii="Times New Roman" w:hAnsi="Times New Roman" w:cs="Times New Roman"/>
          <w:b/>
          <w:color w:val="auto"/>
          <w:sz w:val="24"/>
          <w:lang w:val="en-US" w:eastAsia="zh-CN"/>
        </w:rPr>
        <w:t>5.2.1.5卫生防护距离</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根据《大气有害物质无组织排放卫生防护距离推导技术导则》（GB/T39499-2020），本项目无组织排放的卫生防护距离可由下式计算：</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jc w:val="center"/>
        <w:textAlignment w:val="baseline"/>
        <w:rPr>
          <w:rFonts w:hint="default" w:ascii="Times New Roman" w:hAnsi="Times New Roman" w:cs="Times New Roman"/>
          <w:color w:val="auto"/>
          <w:sz w:val="24"/>
        </w:rPr>
      </w:pPr>
      <w:r>
        <w:rPr>
          <w:rFonts w:hint="default" w:ascii="Times New Roman" w:hAnsi="Times New Roman" w:cs="Times New Roman"/>
          <w:color w:val="auto"/>
          <w:position w:val="-30"/>
          <w:sz w:val="28"/>
        </w:rPr>
        <w:object>
          <v:shape id="_x0000_i1032" o:spt="75" type="#_x0000_t75" style="height:35.25pt;width:144.75pt;" o:ole="t" filled="f" coordsize="21600,21600">
            <v:path/>
            <v:fill on="f" focussize="0,0"/>
            <v:stroke/>
            <v:imagedata r:id="rId63" o:title=""/>
            <o:lock v:ext="edit" aspectratio="t"/>
            <w10:wrap type="none"/>
            <w10:anchorlock/>
          </v:shape>
          <o:OLEObject Type="Embed" ProgID="Equation.3" ShapeID="_x0000_i1032" DrawAspect="Content" ObjectID="_1468075732" r:id="rId62">
            <o:LockedField>false</o:LockedField>
          </o:OLEObject>
        </w:objec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式中：C</w:t>
      </w:r>
      <w:r>
        <w:rPr>
          <w:rFonts w:hint="default" w:ascii="Times New Roman" w:hAnsi="Times New Roman" w:cs="Times New Roman"/>
          <w:color w:val="auto"/>
          <w:sz w:val="24"/>
          <w:vertAlign w:val="subscript"/>
        </w:rPr>
        <w:t>m</w:t>
      </w:r>
      <w:r>
        <w:rPr>
          <w:rFonts w:hint="default" w:ascii="Times New Roman" w:hAnsi="Times New Roman" w:cs="Times New Roman"/>
          <w:color w:val="auto"/>
          <w:sz w:val="24"/>
        </w:rPr>
        <w:t>——大气有害物质环境空气质量的标准浓度限值（mg/m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 xml:space="preserve">      Q</w:t>
      </w:r>
      <w:r>
        <w:rPr>
          <w:rFonts w:hint="default" w:ascii="Times New Roman" w:hAnsi="Times New Roman" w:cs="Times New Roman"/>
          <w:color w:val="auto"/>
          <w:sz w:val="24"/>
          <w:vertAlign w:val="subscript"/>
        </w:rPr>
        <w:t>c</w:t>
      </w:r>
      <w:r>
        <w:rPr>
          <w:rFonts w:hint="default" w:ascii="Times New Roman" w:hAnsi="Times New Roman" w:cs="Times New Roman"/>
          <w:color w:val="auto"/>
          <w:sz w:val="24"/>
        </w:rPr>
        <w:t>——大气有害物质的无组织排放量（kg/h）；</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 xml:space="preserve">      r——大气有害物质无组织排放源所在生产单元的等效半径（m）；</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 xml:space="preserve">      L——大气有害物质卫生防护距离初值（m）；</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 xml:space="preserve">      A、B、C、D——卫生防护距离计算系数。</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本项目取年平均风速2.6m/s，由此得卫生防护距离计算系数取值：A取470、B取0.021、C取1.85、D取0.84。卫生防护距离初值计算结果为L＜50。</w:t>
      </w:r>
    </w:p>
    <w:p>
      <w:pPr>
        <w:pStyle w:val="45"/>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rPr>
          <w:rFonts w:ascii="Times New Roman" w:hAnsi="Times New Roman" w:eastAsia="宋体" w:cs="Times New Roman"/>
          <w:color w:val="auto"/>
        </w:rPr>
      </w:pPr>
      <w:r>
        <w:rPr>
          <w:rFonts w:ascii="Times New Roman" w:hAnsi="Times New Roman" w:eastAsia="宋体" w:cs="Times New Roman"/>
          <w:color w:val="auto"/>
        </w:rPr>
        <w:t>根据《大气有害物质无组织排放卫生防护距离推导技术导则》（GB/T39499-2020）</w:t>
      </w:r>
      <w:r>
        <w:rPr>
          <w:rFonts w:hint="eastAsia" w:eastAsia="宋体" w:cs="Times New Roman"/>
          <w:color w:val="auto"/>
          <w:lang w:val="en-US" w:eastAsia="zh-CN"/>
        </w:rPr>
        <w:t>以及</w:t>
      </w:r>
      <w:r>
        <w:rPr>
          <w:rFonts w:hint="eastAsia" w:ascii="Times New Roman" w:hAnsi="Times New Roman" w:eastAsia="宋体" w:cs="Times New Roman"/>
          <w:color w:val="auto"/>
        </w:rPr>
        <w:t>《农副食品加工业卫生，防护距离第1部分:屠宰及肉类加工业》（GB 18078.1-2012）</w:t>
      </w:r>
      <w:r>
        <w:rPr>
          <w:rFonts w:hint="eastAsia" w:eastAsia="宋体" w:cs="Times New Roman"/>
          <w:color w:val="auto"/>
          <w:lang w:val="en-US" w:eastAsia="zh-CN"/>
        </w:rPr>
        <w:t>中</w:t>
      </w:r>
      <w:r>
        <w:rPr>
          <w:rFonts w:ascii="Times New Roman" w:hAnsi="Times New Roman" w:eastAsia="宋体" w:cs="Times New Roman"/>
          <w:color w:val="auto"/>
        </w:rPr>
        <w:t>，当企业某生产单元的无组织排放存在多种特征大气有害物质时，如果分别推导出的卫生防护距离初值在同一级时，则该企业的卫生防护距离终值应提高一级。</w:t>
      </w:r>
      <w:r>
        <w:rPr>
          <w:rFonts w:hint="eastAsia" w:cs="Times New Roman"/>
          <w:color w:val="auto"/>
        </w:rPr>
        <w:t>本项目无组织排放源较多，主要为待宰间、</w:t>
      </w:r>
      <w:r>
        <w:rPr>
          <w:rFonts w:hint="eastAsia" w:cs="Times New Roman"/>
          <w:color w:val="auto"/>
          <w:lang w:eastAsia="zh-CN"/>
        </w:rPr>
        <w:t>屠宰加工车间</w:t>
      </w:r>
      <w:r>
        <w:rPr>
          <w:rFonts w:hint="eastAsia" w:cs="Times New Roman"/>
          <w:color w:val="auto"/>
        </w:rPr>
        <w:t>、污水处理站，</w:t>
      </w:r>
      <w:r>
        <w:rPr>
          <w:rFonts w:hint="eastAsia" w:cs="Times New Roman"/>
          <w:color w:val="auto"/>
          <w:highlight w:val="none"/>
        </w:rPr>
        <w:t>生产装置比较分散。</w:t>
      </w:r>
      <w:r>
        <w:rPr>
          <w:rFonts w:ascii="Times New Roman" w:hAnsi="Times New Roman" w:eastAsia="宋体" w:cs="Times New Roman"/>
          <w:color w:val="auto"/>
          <w:highlight w:val="none"/>
        </w:rPr>
        <w:t>因此，本项目以</w:t>
      </w:r>
      <w:r>
        <w:rPr>
          <w:rFonts w:hint="eastAsia" w:cs="Times New Roman"/>
          <w:color w:val="auto"/>
          <w:highlight w:val="none"/>
        </w:rPr>
        <w:t>厂界</w:t>
      </w:r>
      <w:r>
        <w:rPr>
          <w:rFonts w:ascii="Times New Roman" w:hAnsi="Times New Roman" w:eastAsia="宋体" w:cs="Times New Roman"/>
          <w:color w:val="auto"/>
          <w:highlight w:val="none"/>
        </w:rPr>
        <w:t>为边界设</w:t>
      </w:r>
      <w:r>
        <w:rPr>
          <w:rFonts w:ascii="Times New Roman" w:hAnsi="Times New Roman" w:eastAsia="宋体" w:cs="Times New Roman"/>
          <w:color w:val="auto"/>
        </w:rPr>
        <w:t>置</w:t>
      </w:r>
      <w:r>
        <w:rPr>
          <w:rFonts w:hint="eastAsia" w:ascii="Times New Roman" w:hAnsi="Times New Roman" w:eastAsia="宋体" w:cs="Times New Roman"/>
          <w:color w:val="auto"/>
          <w:lang w:val="en-US" w:eastAsia="zh-CN"/>
        </w:rPr>
        <w:t>300</w:t>
      </w:r>
      <w:r>
        <w:rPr>
          <w:rFonts w:ascii="Times New Roman" w:hAnsi="Times New Roman" w:eastAsia="宋体" w:cs="Times New Roman"/>
          <w:color w:val="auto"/>
        </w:rPr>
        <w:t>m卫生防护距离。该卫生防护距离范围内，无居民点等环境敏感目标。建议防护距离内不再建设</w:t>
      </w:r>
      <w:r>
        <w:rPr>
          <w:rFonts w:hint="eastAsia" w:ascii="Times New Roman" w:hAnsi="Times New Roman" w:eastAsia="宋体" w:cs="Times New Roman"/>
          <w:color w:val="auto"/>
        </w:rPr>
        <w:t>学校</w:t>
      </w:r>
      <w:r>
        <w:rPr>
          <w:rFonts w:ascii="Times New Roman" w:hAnsi="Times New Roman" w:eastAsia="宋体" w:cs="Times New Roman"/>
          <w:color w:val="auto"/>
        </w:rPr>
        <w:t>、医院、居民区等环境敏感目标。</w:t>
      </w:r>
    </w:p>
    <w:p>
      <w:pPr>
        <w:pStyle w:val="45"/>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pPr>
      <w:r>
        <w:drawing>
          <wp:inline distT="0" distB="0" distL="114300" distR="114300">
            <wp:extent cx="5133975" cy="3448050"/>
            <wp:effectExtent l="0" t="0" r="9525" b="0"/>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64"/>
                    <a:stretch>
                      <a:fillRect/>
                    </a:stretch>
                  </pic:blipFill>
                  <pic:spPr>
                    <a:xfrm>
                      <a:off x="0" y="0"/>
                      <a:ext cx="5133975" cy="34480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000000"/>
          <w:spacing w:val="6"/>
          <w:kern w:val="0"/>
          <w:sz w:val="20"/>
          <w:szCs w:val="20"/>
          <w:highlight w:val="none"/>
          <w:lang w:val="en-US" w:eastAsia="zh-CN" w:bidi="ar-SA"/>
          <w14:textOutline w14:w="3795" w14:cap="sq" w14:cmpd="sng">
            <w14:solidFill>
              <w14:srgbClr w14:val="000000"/>
            </w14:solidFill>
            <w14:prstDash w14:val="solid"/>
            <w14:bevel/>
          </w14:textOutline>
        </w:rPr>
      </w:pPr>
      <w:r>
        <w:rPr>
          <w:rFonts w:hint="eastAsia" w:ascii="Times New Roman" w:hAnsi="Times New Roman" w:eastAsia="宋体" w:cs="Times New Roman"/>
          <w:snapToGrid w:val="0"/>
          <w:color w:val="000000"/>
          <w:spacing w:val="6"/>
          <w:kern w:val="0"/>
          <w:sz w:val="20"/>
          <w:szCs w:val="20"/>
          <w:highlight w:val="none"/>
          <w:lang w:val="en-US" w:eastAsia="zh-CN" w:bidi="ar-SA"/>
          <w14:textOutline w14:w="3795" w14:cap="sq" w14:cmpd="sng">
            <w14:solidFill>
              <w14:srgbClr w14:val="000000"/>
            </w14:solidFill>
            <w14:prstDash w14:val="solid"/>
            <w14:bevel/>
          </w14:textOutline>
        </w:rPr>
        <w:t>图5-2-1 卫生防护距离图</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outlineLvl w:val="9"/>
        <w:rPr>
          <w:rFonts w:hint="default" w:ascii="Times New Roman" w:hAnsi="Times New Roman" w:cs="Times New Roman"/>
          <w:b/>
          <w:color w:val="000000" w:themeColor="text1"/>
          <w:sz w:val="24"/>
          <w:lang w:val="en-US" w:eastAsia="zh-CN"/>
          <w14:textFill>
            <w14:solidFill>
              <w14:schemeClr w14:val="tx1"/>
            </w14:solidFill>
          </w14:textFill>
        </w:rPr>
      </w:pPr>
      <w:r>
        <w:rPr>
          <w:rFonts w:hint="eastAsia" w:ascii="Times New Roman" w:hAnsi="Times New Roman" w:cs="Times New Roman"/>
          <w:b/>
          <w:color w:val="000000" w:themeColor="text1"/>
          <w:sz w:val="24"/>
          <w:lang w:val="en-US" w:eastAsia="zh-CN"/>
          <w14:textFill>
            <w14:solidFill>
              <w14:schemeClr w14:val="tx1"/>
            </w14:solidFill>
          </w14:textFill>
        </w:rPr>
        <w:t>5.2.1.6</w:t>
      </w:r>
      <w:r>
        <w:rPr>
          <w:rFonts w:hint="default" w:ascii="Times New Roman" w:hAnsi="Times New Roman" w:cs="Times New Roman"/>
          <w:b/>
          <w:color w:val="000000" w:themeColor="text1"/>
          <w:sz w:val="24"/>
          <w:lang w:val="en-US" w:eastAsia="zh-CN"/>
          <w14:textFill>
            <w14:solidFill>
              <w14:schemeClr w14:val="tx1"/>
            </w14:solidFill>
          </w14:textFill>
        </w:rPr>
        <w:t>环境防护距离</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000000" w:themeColor="text1"/>
          <w:spacing w:val="-2"/>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按照《环境影响评价技术导则  大气环境》（</w:t>
      </w:r>
      <w:r>
        <w:rPr>
          <w:rFonts w:hint="default" w:ascii="Times New Roman" w:hAnsi="Times New Roman" w:eastAsia="Times New Roman" w:cs="Times New Roman"/>
          <w:color w:val="000000" w:themeColor="text1"/>
          <w:sz w:val="24"/>
          <w:szCs w:val="24"/>
          <w14:textFill>
            <w14:solidFill>
              <w14:schemeClr w14:val="tx1"/>
            </w14:solidFill>
          </w14:textFill>
        </w:rPr>
        <w:t>HJ2.2-2018</w:t>
      </w:r>
      <w:r>
        <w:rPr>
          <w:rFonts w:hint="default" w:ascii="Times New Roman" w:hAnsi="Times New Roman" w:eastAsia="宋体" w:cs="Times New Roman"/>
          <w:color w:val="000000" w:themeColor="text1"/>
          <w:sz w:val="24"/>
          <w:szCs w:val="24"/>
          <w14:textFill>
            <w14:solidFill>
              <w14:schemeClr w14:val="tx1"/>
            </w14:solidFill>
          </w14:textFill>
        </w:rPr>
        <w:t>）中</w:t>
      </w:r>
      <w:r>
        <w:rPr>
          <w:rFonts w:hint="default" w:ascii="Times New Roman" w:hAnsi="Times New Roman" w:eastAsia="Times New Roman" w:cs="Times New Roman"/>
          <w:color w:val="000000" w:themeColor="text1"/>
          <w:sz w:val="24"/>
          <w:szCs w:val="24"/>
          <w14:textFill>
            <w14:solidFill>
              <w14:schemeClr w14:val="tx1"/>
            </w14:solidFill>
          </w14:textFill>
        </w:rPr>
        <w:t>“</w:t>
      </w:r>
      <w:r>
        <w:rPr>
          <w:rFonts w:hint="default" w:ascii="Times New Roman" w:hAnsi="Times New Roman" w:eastAsia="Times New Roman" w:cs="Times New Roman"/>
          <w:color w:val="000000" w:themeColor="text1"/>
          <w:spacing w:val="-1"/>
          <w:sz w:val="24"/>
          <w:szCs w:val="24"/>
          <w14:textFill>
            <w14:solidFill>
              <w14:schemeClr w14:val="tx1"/>
            </w14:solidFill>
          </w14:textFill>
        </w:rPr>
        <w:t xml:space="preserve">8.7.5 </w:t>
      </w:r>
      <w:r>
        <w:rPr>
          <w:rFonts w:hint="default" w:ascii="Times New Roman" w:hAnsi="Times New Roman" w:eastAsia="宋体" w:cs="Times New Roman"/>
          <w:color w:val="000000" w:themeColor="text1"/>
          <w:spacing w:val="-1"/>
          <w:sz w:val="24"/>
          <w:szCs w:val="24"/>
          <w14:textFill>
            <w14:solidFill>
              <w14:schemeClr w14:val="tx1"/>
            </w14:solidFill>
          </w14:textFill>
        </w:rPr>
        <w:t>大气防护距离</w:t>
      </w:r>
      <w:r>
        <w:rPr>
          <w:rFonts w:hint="default" w:ascii="Times New Roman" w:hAnsi="Times New Roman" w:eastAsia="宋体" w:cs="Times New Roman"/>
          <w:color w:val="000000" w:themeColor="text1"/>
          <w:sz w:val="24"/>
          <w:szCs w:val="24"/>
          <w14:textFill>
            <w14:solidFill>
              <w14:schemeClr w14:val="tx1"/>
            </w14:solidFill>
          </w14:textFill>
        </w:rPr>
        <w:t xml:space="preserve">  </w:t>
      </w:r>
      <w:r>
        <w:rPr>
          <w:rFonts w:hint="default" w:ascii="Times New Roman" w:hAnsi="Times New Roman" w:eastAsia="宋体" w:cs="Times New Roman"/>
          <w:color w:val="000000" w:themeColor="text1"/>
          <w:spacing w:val="-1"/>
          <w:sz w:val="24"/>
          <w:szCs w:val="24"/>
          <w14:textFill>
            <w14:solidFill>
              <w14:schemeClr w14:val="tx1"/>
            </w14:solidFill>
          </w14:textFill>
        </w:rPr>
        <w:t>要求</w:t>
      </w:r>
      <w:r>
        <w:rPr>
          <w:rFonts w:hint="default" w:ascii="Times New Roman" w:hAnsi="Times New Roman" w:eastAsia="Times New Roman" w:cs="Times New Roman"/>
          <w:color w:val="000000" w:themeColor="text1"/>
          <w:spacing w:val="-1"/>
          <w:sz w:val="24"/>
          <w:szCs w:val="24"/>
          <w14:textFill>
            <w14:solidFill>
              <w14:schemeClr w14:val="tx1"/>
            </w14:solidFill>
          </w14:textFill>
        </w:rPr>
        <w:t>”</w:t>
      </w:r>
      <w:r>
        <w:rPr>
          <w:rFonts w:hint="default" w:ascii="Times New Roman" w:hAnsi="Times New Roman" w:eastAsia="Times New Roman" w:cs="Times New Roman"/>
          <w:color w:val="000000" w:themeColor="text1"/>
          <w:spacing w:val="-30"/>
          <w:sz w:val="24"/>
          <w:szCs w:val="24"/>
          <w14:textFill>
            <w14:solidFill>
              <w14:schemeClr w14:val="tx1"/>
            </w14:solidFill>
          </w14:textFill>
        </w:rPr>
        <w:t xml:space="preserve"> </w:t>
      </w:r>
      <w:r>
        <w:rPr>
          <w:rFonts w:hint="default" w:ascii="Times New Roman" w:hAnsi="Times New Roman" w:eastAsia="宋体" w:cs="Times New Roman"/>
          <w:color w:val="000000" w:themeColor="text1"/>
          <w:spacing w:val="-1"/>
          <w:sz w:val="24"/>
          <w:szCs w:val="24"/>
          <w14:textFill>
            <w14:solidFill>
              <w14:schemeClr w14:val="tx1"/>
            </w14:solidFill>
          </w14:textFill>
        </w:rPr>
        <w:t>，对于项目厂界浓度满足大气污染物厂界浓度限值，</w:t>
      </w:r>
      <w:r>
        <w:rPr>
          <w:rFonts w:hint="default" w:ascii="Times New Roman" w:hAnsi="Times New Roman" w:eastAsia="宋体" w:cs="Times New Roman"/>
          <w:color w:val="000000" w:themeColor="text1"/>
          <w:spacing w:val="-2"/>
          <w:sz w:val="24"/>
          <w:szCs w:val="24"/>
          <w14:textFill>
            <w14:solidFill>
              <w14:schemeClr w14:val="tx1"/>
            </w14:solidFill>
          </w14:textFill>
        </w:rPr>
        <w:t xml:space="preserve">但厂界外大气污染物短期贡 </w:t>
      </w:r>
      <w:r>
        <w:rPr>
          <w:rFonts w:hint="default" w:ascii="Times New Roman" w:hAnsi="Times New Roman" w:eastAsia="宋体" w:cs="Times New Roman"/>
          <w:color w:val="000000" w:themeColor="text1"/>
          <w:spacing w:val="-1"/>
          <w:sz w:val="24"/>
          <w:szCs w:val="24"/>
          <w14:textFill>
            <w14:solidFill>
              <w14:schemeClr w14:val="tx1"/>
            </w14:solidFill>
          </w14:textFill>
        </w:rPr>
        <w:t>献浓度超过环境质量浓度限值的，可以自厂界向</w:t>
      </w:r>
      <w:r>
        <w:rPr>
          <w:rFonts w:hint="default" w:ascii="Times New Roman" w:hAnsi="Times New Roman" w:eastAsia="宋体" w:cs="Times New Roman"/>
          <w:color w:val="000000" w:themeColor="text1"/>
          <w:spacing w:val="-2"/>
          <w:sz w:val="24"/>
          <w:szCs w:val="24"/>
          <w14:textFill>
            <w14:solidFill>
              <w14:schemeClr w14:val="tx1"/>
            </w14:solidFill>
          </w14:textFill>
        </w:rPr>
        <w:t>外设置一定范围的大气防护距离，以确</w:t>
      </w:r>
      <w:r>
        <w:rPr>
          <w:rFonts w:hint="default" w:ascii="Times New Roman" w:hAnsi="Times New Roman" w:eastAsia="宋体" w:cs="Times New Roman"/>
          <w:color w:val="000000" w:themeColor="text1"/>
          <w:sz w:val="24"/>
          <w:szCs w:val="24"/>
          <w14:textFill>
            <w14:solidFill>
              <w14:schemeClr w14:val="tx1"/>
            </w14:solidFill>
          </w14:textFill>
        </w:rPr>
        <w:t xml:space="preserve"> </w:t>
      </w:r>
      <w:r>
        <w:rPr>
          <w:rFonts w:hint="default" w:ascii="Times New Roman" w:hAnsi="Times New Roman" w:eastAsia="宋体" w:cs="Times New Roman"/>
          <w:color w:val="000000" w:themeColor="text1"/>
          <w:spacing w:val="-1"/>
          <w:sz w:val="24"/>
          <w:szCs w:val="24"/>
          <w14:textFill>
            <w14:solidFill>
              <w14:schemeClr w14:val="tx1"/>
            </w14:solidFill>
          </w14:textFill>
        </w:rPr>
        <w:t>保大气环境防护区域外的污染物贡献浓度满足环</w:t>
      </w:r>
      <w:r>
        <w:rPr>
          <w:rFonts w:hint="default" w:ascii="Times New Roman" w:hAnsi="Times New Roman" w:eastAsia="宋体" w:cs="Times New Roman"/>
          <w:color w:val="000000" w:themeColor="text1"/>
          <w:spacing w:val="-2"/>
          <w:sz w:val="24"/>
          <w:szCs w:val="24"/>
          <w14:textFill>
            <w14:solidFill>
              <w14:schemeClr w14:val="tx1"/>
            </w14:solidFill>
          </w14:textFill>
        </w:rPr>
        <w:t>境质量标准。本项目无需设置大气环境防护距离。</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000000" w:themeColor="text1"/>
          <w:sz w:val="24"/>
          <w:szCs w:val="24"/>
          <w14:textFill>
            <w14:solidFill>
              <w14:schemeClr w14:val="tx1"/>
            </w14:solidFill>
          </w14:textFill>
        </w:rPr>
        <w:sectPr>
          <w:headerReference r:id="rId14" w:type="default"/>
          <w:footerReference r:id="rId15" w:type="default"/>
          <w:pgSz w:w="11910" w:h="16840"/>
          <w:pgMar w:top="1138" w:right="1413" w:bottom="1163" w:left="1417" w:header="897" w:footer="998" w:gutter="0"/>
          <w:pgBorders>
            <w:top w:val="none" w:sz="0" w:space="0"/>
            <w:left w:val="none" w:sz="0" w:space="0"/>
            <w:bottom w:val="none" w:sz="0" w:space="0"/>
            <w:right w:val="none" w:sz="0" w:space="0"/>
          </w:pgBorders>
          <w:pgNumType w:fmt="decimal"/>
          <w:cols w:space="720" w:num="1"/>
        </w:sectPr>
      </w:pPr>
    </w:p>
    <w:p>
      <w:pPr>
        <w:pStyle w:val="10"/>
        <w:pageBreakBefore w:val="0"/>
        <w:widowControl w:val="0"/>
        <w:numPr>
          <w:ilvl w:val="2"/>
          <w:numId w:val="0"/>
        </w:numPr>
        <w:tabs>
          <w:tab w:val="left" w:pos="720"/>
        </w:tabs>
        <w:kinsoku/>
        <w:wordWrap/>
        <w:overflowPunct/>
        <w:topLinePunct w:val="0"/>
        <w:autoSpaceDE/>
        <w:autoSpaceDN/>
        <w:bidi w:val="0"/>
        <w:adjustRightInd/>
        <w:snapToGrid/>
        <w:spacing w:before="0" w:after="0" w:line="360" w:lineRule="auto"/>
        <w:jc w:val="both"/>
        <w:textAlignment w:val="auto"/>
        <w:outlineLvl w:val="1"/>
        <w:rPr>
          <w:rFonts w:hint="default" w:ascii="Times New Roman" w:hAnsi="Times New Roman" w:eastAsia="宋体" w:cs="Times New Roman"/>
          <w:b/>
          <w:bCs w:val="0"/>
          <w:snapToGrid/>
          <w:color w:val="auto"/>
          <w:kern w:val="2"/>
          <w:sz w:val="28"/>
          <w:szCs w:val="28"/>
          <w:lang w:eastAsia="zh-CN"/>
        </w:rPr>
      </w:pPr>
      <w:bookmarkStart w:id="321" w:name="_Toc7362"/>
      <w:bookmarkStart w:id="322" w:name="_Toc12884"/>
      <w:r>
        <w:rPr>
          <w:rFonts w:hint="default" w:ascii="Times New Roman" w:hAnsi="Times New Roman" w:eastAsia="宋体" w:cs="Times New Roman"/>
          <w:b/>
          <w:bCs w:val="0"/>
          <w:snapToGrid/>
          <w:color w:val="auto"/>
          <w:kern w:val="2"/>
          <w:sz w:val="28"/>
          <w:szCs w:val="28"/>
          <w:lang w:eastAsia="zh-CN"/>
        </w:rPr>
        <w:t>5.2.2  水环境影响</w:t>
      </w:r>
      <w:r>
        <w:rPr>
          <w:rFonts w:hint="default" w:ascii="Times New Roman" w:hAnsi="Times New Roman" w:eastAsia="宋体" w:cs="Times New Roman"/>
          <w:b/>
          <w:bCs w:val="0"/>
          <w:snapToGrid/>
          <w:color w:val="auto"/>
          <w:kern w:val="2"/>
          <w:sz w:val="28"/>
          <w:szCs w:val="28"/>
          <w:lang w:val="en-US" w:eastAsia="zh-CN"/>
        </w:rPr>
        <w:t>预测</w:t>
      </w:r>
      <w:r>
        <w:rPr>
          <w:rFonts w:hint="default" w:ascii="Times New Roman" w:hAnsi="Times New Roman" w:eastAsia="宋体" w:cs="Times New Roman"/>
          <w:b/>
          <w:bCs w:val="0"/>
          <w:snapToGrid/>
          <w:color w:val="auto"/>
          <w:kern w:val="2"/>
          <w:sz w:val="28"/>
          <w:szCs w:val="28"/>
          <w:lang w:eastAsia="zh-CN"/>
        </w:rPr>
        <w:t>分析</w:t>
      </w:r>
      <w:bookmarkEnd w:id="321"/>
      <w:bookmarkEnd w:id="322"/>
    </w:p>
    <w:p>
      <w:pPr>
        <w:pageBreakBefore w:val="0"/>
        <w:wordWrap/>
        <w:overflowPunct/>
        <w:topLinePunct w:val="0"/>
        <w:bidi w:val="0"/>
        <w:spacing w:line="360" w:lineRule="auto"/>
        <w:ind w:left="0" w:firstLine="482" w:firstLineChars="200"/>
        <w:jc w:val="both"/>
        <w:outlineLvl w:val="9"/>
        <w:rPr>
          <w:rFonts w:hint="default" w:ascii="Times New Roman" w:hAnsi="Times New Roman" w:eastAsia="宋体" w:cs="Times New Roman"/>
          <w:sz w:val="24"/>
          <w:szCs w:val="24"/>
          <w:lang w:val="en-US"/>
        </w:rPr>
      </w:pPr>
      <w:r>
        <w:rPr>
          <w:rFonts w:hint="default" w:ascii="Times New Roman" w:hAnsi="Times New Roman" w:eastAsia="宋体" w:cs="Times New Roman"/>
          <w:b/>
          <w:snapToGrid w:val="0"/>
          <w:color w:val="auto"/>
          <w:kern w:val="0"/>
          <w:sz w:val="24"/>
          <w:szCs w:val="24"/>
          <w:lang w:eastAsia="zh-CN"/>
        </w:rPr>
        <w:fldChar w:fldCharType="begin"/>
      </w:r>
      <w:r>
        <w:rPr>
          <w:rFonts w:hint="default" w:ascii="Times New Roman" w:hAnsi="Times New Roman" w:eastAsia="宋体" w:cs="Times New Roman"/>
          <w:b/>
          <w:snapToGrid w:val="0"/>
          <w:color w:val="auto"/>
          <w:kern w:val="0"/>
          <w:sz w:val="24"/>
          <w:szCs w:val="24"/>
          <w:lang w:eastAsia="zh-CN"/>
        </w:rPr>
        <w:instrText xml:space="preserve"> HYPERLINK "5.2.2.1" </w:instrText>
      </w:r>
      <w:r>
        <w:rPr>
          <w:rFonts w:hint="default" w:ascii="Times New Roman" w:hAnsi="Times New Roman" w:eastAsia="宋体" w:cs="Times New Roman"/>
          <w:b/>
          <w:snapToGrid w:val="0"/>
          <w:color w:val="auto"/>
          <w:kern w:val="0"/>
          <w:sz w:val="24"/>
          <w:szCs w:val="24"/>
          <w:lang w:eastAsia="zh-CN"/>
        </w:rPr>
        <w:fldChar w:fldCharType="separate"/>
      </w:r>
      <w:r>
        <w:rPr>
          <w:rFonts w:hint="default" w:ascii="Times New Roman" w:hAnsi="Times New Roman" w:eastAsia="宋体" w:cs="Times New Roman"/>
          <w:b/>
          <w:snapToGrid w:val="0"/>
          <w:color w:val="auto"/>
          <w:kern w:val="0"/>
          <w:sz w:val="24"/>
          <w:szCs w:val="24"/>
          <w:lang w:eastAsia="zh-CN"/>
        </w:rPr>
        <w:t>5.2.2.1</w:t>
      </w:r>
      <w:r>
        <w:rPr>
          <w:rFonts w:hint="default" w:ascii="Times New Roman" w:hAnsi="Times New Roman" w:eastAsia="宋体" w:cs="Times New Roman"/>
          <w:b/>
          <w:snapToGrid w:val="0"/>
          <w:color w:val="auto"/>
          <w:kern w:val="0"/>
          <w:sz w:val="24"/>
          <w:szCs w:val="24"/>
          <w:lang w:eastAsia="zh-CN"/>
        </w:rPr>
        <w:fldChar w:fldCharType="end"/>
      </w:r>
      <w:r>
        <w:rPr>
          <w:rFonts w:hint="default" w:ascii="Times New Roman" w:hAnsi="Times New Roman" w:eastAsia="宋体" w:cs="Times New Roman"/>
          <w:b/>
          <w:snapToGrid w:val="0"/>
          <w:color w:val="auto"/>
          <w:kern w:val="0"/>
          <w:sz w:val="24"/>
          <w:szCs w:val="24"/>
          <w:lang w:eastAsia="zh-CN"/>
        </w:rPr>
        <w:t xml:space="preserve">  </w:t>
      </w:r>
      <w:r>
        <w:rPr>
          <w:rFonts w:hint="default" w:ascii="Times New Roman" w:hAnsi="Times New Roman" w:eastAsia="宋体" w:cs="Times New Roman"/>
          <w:b/>
          <w:snapToGrid w:val="0"/>
          <w:color w:val="auto"/>
          <w:kern w:val="0"/>
          <w:sz w:val="24"/>
          <w:szCs w:val="24"/>
          <w:lang w:val="en-US" w:eastAsia="zh-CN"/>
        </w:rPr>
        <w:t>地表水环境影响分析</w:t>
      </w:r>
    </w:p>
    <w:p>
      <w:pPr>
        <w:pageBreakBefore w:val="0"/>
        <w:widowControl/>
        <w:wordWrap/>
        <w:overflowPunct/>
        <w:topLinePunct w:val="0"/>
        <w:autoSpaceDE w:val="0"/>
        <w:autoSpaceDN w:val="0"/>
        <w:bidi w:val="0"/>
        <w:spacing w:line="360" w:lineRule="auto"/>
        <w:ind w:left="0" w:firstLine="480" w:firstLineChars="200"/>
        <w:jc w:val="both"/>
        <w:textAlignment w:val="baseline"/>
        <w:rPr>
          <w:rFonts w:hint="default" w:ascii="Times New Roman" w:hAnsi="Times New Roman" w:cs="Times New Roman"/>
          <w:color w:val="auto"/>
          <w:kern w:val="24"/>
          <w:sz w:val="24"/>
        </w:rPr>
      </w:pPr>
      <w:r>
        <w:rPr>
          <w:rFonts w:hint="default" w:ascii="Times New Roman" w:hAnsi="Times New Roman" w:cs="Times New Roman"/>
          <w:color w:val="auto"/>
          <w:kern w:val="24"/>
          <w:sz w:val="24"/>
        </w:rPr>
        <w:t>根据前文章节分析，本项目地表水环境影响评价等级为水污染影响型三级B，可不进行水环境影响预测，水污染影响型三级B评价的主要评价内容包括：a、水污染控制和水环境影响减缓措施有效性评价；b、依托污水处理设施的环境可行性评价。</w:t>
      </w:r>
    </w:p>
    <w:p>
      <w:pPr>
        <w:pageBreakBefore w:val="0"/>
        <w:widowControl/>
        <w:wordWrap/>
        <w:overflowPunct/>
        <w:topLinePunct w:val="0"/>
        <w:autoSpaceDE w:val="0"/>
        <w:autoSpaceDN w:val="0"/>
        <w:bidi w:val="0"/>
        <w:spacing w:line="360" w:lineRule="auto"/>
        <w:ind w:left="0" w:firstLine="480" w:firstLineChars="200"/>
        <w:jc w:val="both"/>
        <w:textAlignment w:val="baseline"/>
        <w:outlineLvl w:val="0"/>
        <w:rPr>
          <w:rFonts w:hint="default" w:ascii="Times New Roman" w:hAnsi="Times New Roman" w:eastAsia="宋体" w:cs="Times New Roman"/>
          <w:color w:val="auto"/>
          <w:kern w:val="24"/>
          <w:sz w:val="24"/>
        </w:rPr>
      </w:pPr>
      <w:bookmarkStart w:id="323" w:name="_Toc27803"/>
      <w:bookmarkStart w:id="324" w:name="_Toc27428"/>
      <w:bookmarkStart w:id="325" w:name="_Toc3109"/>
      <w:r>
        <w:rPr>
          <w:rFonts w:hint="default" w:ascii="Times New Roman" w:hAnsi="Times New Roman" w:eastAsia="宋体" w:cs="Times New Roman"/>
          <w:color w:val="auto"/>
          <w:kern w:val="24"/>
          <w:sz w:val="24"/>
        </w:rPr>
        <w:t>1、水污染控制和水环境影响减缓措施有效性评价</w:t>
      </w:r>
      <w:bookmarkEnd w:id="323"/>
      <w:bookmarkEnd w:id="324"/>
      <w:bookmarkEnd w:id="325"/>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cs="Times New Roman"/>
          <w:color w:val="auto"/>
          <w:kern w:val="24"/>
          <w:sz w:val="24"/>
        </w:rPr>
      </w:pPr>
      <w:r>
        <w:rPr>
          <w:rFonts w:hint="default" w:ascii="Times New Roman" w:hAnsi="Times New Roman" w:eastAsia="宋体" w:cs="Times New Roman"/>
          <w:spacing w:val="-2"/>
          <w:sz w:val="24"/>
          <w:szCs w:val="24"/>
        </w:rPr>
        <w:t>本项目</w:t>
      </w:r>
      <w:r>
        <w:rPr>
          <w:rFonts w:hint="default" w:ascii="Times New Roman" w:hAnsi="Times New Roman" w:eastAsia="宋体" w:cs="Times New Roman"/>
          <w:spacing w:val="-2"/>
          <w:sz w:val="24"/>
          <w:szCs w:val="24"/>
          <w:lang w:val="en-US" w:eastAsia="zh-CN"/>
        </w:rPr>
        <w:t>不新增工作人员，无新增生活污水产生。生产废水</w:t>
      </w:r>
      <w:r>
        <w:rPr>
          <w:rFonts w:hint="default" w:ascii="Times New Roman" w:hAnsi="Times New Roman" w:eastAsia="宋体" w:cs="Times New Roman"/>
          <w:spacing w:val="-2"/>
          <w:sz w:val="24"/>
          <w:szCs w:val="24"/>
        </w:rPr>
        <w:t>主要来自于</w:t>
      </w:r>
      <w:r>
        <w:rPr>
          <w:rFonts w:hint="default" w:ascii="Times New Roman" w:hAnsi="Times New Roman" w:eastAsia="宋体" w:cs="Times New Roman"/>
          <w:spacing w:val="5"/>
          <w:sz w:val="24"/>
          <w:szCs w:val="24"/>
          <w:lang w:val="en-US" w:eastAsia="zh-CN"/>
        </w:rPr>
        <w:t>待宰圈冲洗排水、</w:t>
      </w:r>
      <w:r>
        <w:rPr>
          <w:rFonts w:hint="default" w:ascii="Times New Roman" w:hAnsi="Times New Roman" w:eastAsia="宋体" w:cs="Times New Roman"/>
          <w:spacing w:val="-2"/>
          <w:sz w:val="24"/>
          <w:szCs w:val="24"/>
        </w:rPr>
        <w:t>屠宰</w:t>
      </w:r>
      <w:r>
        <w:rPr>
          <w:rFonts w:hint="default" w:ascii="Times New Roman" w:hAnsi="Times New Roman" w:eastAsia="宋体" w:cs="Times New Roman"/>
          <w:spacing w:val="-2"/>
          <w:sz w:val="24"/>
          <w:szCs w:val="24"/>
          <w:lang w:val="en-US" w:eastAsia="zh-CN"/>
        </w:rPr>
        <w:t>车间排</w:t>
      </w:r>
      <w:r>
        <w:rPr>
          <w:rFonts w:hint="default" w:ascii="Times New Roman" w:hAnsi="Times New Roman" w:eastAsia="宋体" w:cs="Times New Roman"/>
          <w:spacing w:val="-2"/>
          <w:sz w:val="24"/>
          <w:szCs w:val="24"/>
        </w:rPr>
        <w:t>水、</w:t>
      </w:r>
      <w:r>
        <w:rPr>
          <w:rFonts w:hint="default" w:ascii="Times New Roman" w:hAnsi="Times New Roman" w:cs="Times New Roman"/>
          <w:color w:val="000000" w:themeColor="text1"/>
          <w:sz w:val="24"/>
          <w:szCs w:val="24"/>
          <w:highlight w:val="none"/>
          <w14:textFill>
            <w14:solidFill>
              <w14:schemeClr w14:val="tx1"/>
            </w14:solidFill>
          </w14:textFill>
        </w:rPr>
        <w:t>锅炉排污水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+软化处理</w:t>
      </w:r>
      <w:r>
        <w:rPr>
          <w:rFonts w:hint="default" w:ascii="Times New Roman" w:hAnsi="Times New Roman" w:cs="Times New Roman"/>
          <w:color w:val="000000" w:themeColor="text1"/>
          <w:sz w:val="24"/>
          <w:szCs w:val="24"/>
          <w:highlight w:val="none"/>
          <w:lang w:eastAsia="zh-CN"/>
          <w14:textFill>
            <w14:solidFill>
              <w14:schemeClr w14:val="tx1"/>
            </w14:solidFill>
          </w14:textFill>
        </w:rPr>
        <w:t>废水</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以及车辆冲洗排水</w:t>
      </w:r>
      <w:r>
        <w:rPr>
          <w:rFonts w:hint="default" w:ascii="Times New Roman" w:hAnsi="Times New Roman" w:eastAsia="宋体" w:cs="Times New Roman"/>
          <w:spacing w:val="-2"/>
          <w:sz w:val="24"/>
          <w:szCs w:val="24"/>
        </w:rPr>
        <w:t>等</w:t>
      </w:r>
      <w:r>
        <w:rPr>
          <w:rFonts w:hint="default" w:ascii="Times New Roman" w:hAnsi="Times New Roman" w:cs="Times New Roman"/>
          <w:color w:val="auto"/>
          <w:kern w:val="24"/>
          <w:sz w:val="24"/>
        </w:rPr>
        <w:t>，主要污染物包括pH、COD、BOD</w:t>
      </w:r>
      <w:r>
        <w:rPr>
          <w:rFonts w:hint="default" w:ascii="Times New Roman" w:hAnsi="Times New Roman" w:cs="Times New Roman"/>
          <w:color w:val="auto"/>
          <w:kern w:val="24"/>
          <w:sz w:val="24"/>
          <w:vertAlign w:val="subscript"/>
        </w:rPr>
        <w:t>5</w:t>
      </w:r>
      <w:r>
        <w:rPr>
          <w:rFonts w:hint="default" w:ascii="Times New Roman" w:hAnsi="Times New Roman" w:cs="Times New Roman"/>
          <w:color w:val="auto"/>
          <w:kern w:val="24"/>
          <w:sz w:val="24"/>
        </w:rPr>
        <w:t>、SS、NH</w:t>
      </w:r>
      <w:r>
        <w:rPr>
          <w:rFonts w:hint="default" w:ascii="Times New Roman" w:hAnsi="Times New Roman" w:cs="Times New Roman"/>
          <w:color w:val="auto"/>
          <w:kern w:val="24"/>
          <w:sz w:val="24"/>
          <w:vertAlign w:val="subscript"/>
        </w:rPr>
        <w:t>3</w:t>
      </w:r>
      <w:r>
        <w:rPr>
          <w:rFonts w:hint="default" w:ascii="Times New Roman" w:hAnsi="Times New Roman" w:cs="Times New Roman"/>
          <w:color w:val="auto"/>
          <w:kern w:val="24"/>
          <w:sz w:val="24"/>
        </w:rPr>
        <w:t>-N、动植物油、大肠菌群数。</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cs="Times New Roman"/>
          <w:color w:val="auto"/>
          <w:sz w:val="24"/>
        </w:rPr>
      </w:pPr>
      <w:bookmarkStart w:id="326" w:name="_Toc24832"/>
      <w:r>
        <w:rPr>
          <w:rFonts w:hint="default" w:ascii="Times New Roman" w:hAnsi="Times New Roman" w:cs="Times New Roman"/>
          <w:color w:val="auto"/>
          <w:sz w:val="24"/>
        </w:rPr>
        <w:t>本项目产生的废水经厂区污水处理站处理达到《肉类加工工业水污染物排放标准》（GB13457-92）畜类屠宰加工三级标准</w:t>
      </w:r>
      <w:r>
        <w:rPr>
          <w:rFonts w:hint="default" w:ascii="Times New Roman" w:hAnsi="Times New Roman" w:eastAsia="宋体" w:cs="Times New Roman"/>
          <w:color w:val="auto"/>
          <w:kern w:val="21"/>
          <w:sz w:val="24"/>
          <w:szCs w:val="24"/>
          <w:highlight w:val="none"/>
          <w:u w:val="none"/>
          <w:lang w:val="en-US" w:eastAsia="zh-CN" w:bidi="ar-SA"/>
        </w:rPr>
        <w:t>及兴隆镇污水处理厂设计进水水质指标的要求后</w:t>
      </w:r>
      <w:r>
        <w:rPr>
          <w:rFonts w:hint="default" w:ascii="Times New Roman" w:hAnsi="Times New Roman" w:cs="Times New Roman"/>
          <w:color w:val="auto"/>
          <w:sz w:val="24"/>
        </w:rPr>
        <w:t>，经市政管网排入</w:t>
      </w:r>
      <w:r>
        <w:rPr>
          <w:rFonts w:hint="default" w:ascii="Times New Roman" w:hAnsi="Times New Roman" w:cs="Times New Roman"/>
          <w:color w:val="auto"/>
          <w:sz w:val="24"/>
          <w:lang w:val="en-US" w:eastAsia="zh-CN"/>
        </w:rPr>
        <w:t>兴隆镇</w:t>
      </w:r>
      <w:r>
        <w:rPr>
          <w:rFonts w:hint="default" w:ascii="Times New Roman" w:hAnsi="Times New Roman" w:cs="Times New Roman"/>
          <w:color w:val="auto"/>
          <w:sz w:val="24"/>
        </w:rPr>
        <w:t>污水处理厂，经处理后排入</w:t>
      </w:r>
      <w:r>
        <w:rPr>
          <w:rFonts w:hint="default" w:ascii="Times New Roman" w:hAnsi="Times New Roman" w:cs="Times New Roman"/>
          <w:color w:val="auto"/>
          <w:sz w:val="24"/>
          <w:lang w:eastAsia="zh-CN"/>
        </w:rPr>
        <w:t>泥河</w:t>
      </w:r>
      <w:r>
        <w:rPr>
          <w:rFonts w:hint="default" w:ascii="Times New Roman" w:hAnsi="Times New Roman" w:cs="Times New Roman"/>
          <w:color w:val="auto"/>
          <w:sz w:val="24"/>
        </w:rPr>
        <w:t>。</w:t>
      </w:r>
    </w:p>
    <w:p>
      <w:pPr>
        <w:pageBreakBefore w:val="0"/>
        <w:widowControl/>
        <w:wordWrap/>
        <w:overflowPunct/>
        <w:topLinePunct w:val="0"/>
        <w:autoSpaceDE w:val="0"/>
        <w:autoSpaceDN w:val="0"/>
        <w:bidi w:val="0"/>
        <w:spacing w:line="360" w:lineRule="auto"/>
        <w:ind w:left="0" w:firstLine="480" w:firstLineChars="200"/>
        <w:jc w:val="both"/>
        <w:textAlignment w:val="baseline"/>
        <w:outlineLvl w:val="0"/>
        <w:rPr>
          <w:rFonts w:hint="default" w:ascii="Times New Roman" w:hAnsi="Times New Roman" w:eastAsia="宋体" w:cs="Times New Roman"/>
          <w:color w:val="auto"/>
          <w:kern w:val="24"/>
          <w:sz w:val="24"/>
        </w:rPr>
      </w:pPr>
      <w:bookmarkStart w:id="327" w:name="_Toc22262"/>
      <w:bookmarkStart w:id="328" w:name="_Toc26164"/>
      <w:r>
        <w:rPr>
          <w:rFonts w:hint="default" w:ascii="Times New Roman" w:hAnsi="Times New Roman" w:eastAsia="宋体" w:cs="Times New Roman"/>
          <w:color w:val="auto"/>
          <w:kern w:val="24"/>
          <w:sz w:val="24"/>
        </w:rPr>
        <w:t>2、依托</w:t>
      </w:r>
      <w:r>
        <w:rPr>
          <w:rFonts w:hint="eastAsia" w:ascii="Times New Roman" w:hAnsi="Times New Roman" w:eastAsia="宋体" w:cs="Times New Roman"/>
          <w:color w:val="auto"/>
          <w:kern w:val="24"/>
          <w:sz w:val="24"/>
          <w:lang w:val="en-US" w:eastAsia="zh-CN"/>
        </w:rPr>
        <w:t>兴隆镇</w:t>
      </w:r>
      <w:r>
        <w:rPr>
          <w:rFonts w:hint="default" w:ascii="Times New Roman" w:hAnsi="Times New Roman" w:eastAsia="宋体" w:cs="Times New Roman"/>
          <w:color w:val="auto"/>
          <w:kern w:val="24"/>
          <w:sz w:val="24"/>
          <w:lang w:eastAsia="zh-CN"/>
        </w:rPr>
        <w:t>污水处理厂</w:t>
      </w:r>
      <w:r>
        <w:rPr>
          <w:rFonts w:hint="default" w:ascii="Times New Roman" w:hAnsi="Times New Roman" w:eastAsia="宋体" w:cs="Times New Roman"/>
          <w:color w:val="auto"/>
          <w:kern w:val="24"/>
          <w:sz w:val="24"/>
        </w:rPr>
        <w:t>接纳项目废水可行性分析</w:t>
      </w:r>
      <w:bookmarkEnd w:id="326"/>
      <w:bookmarkEnd w:id="327"/>
      <w:bookmarkEnd w:id="328"/>
    </w:p>
    <w:p>
      <w:pPr>
        <w:pStyle w:val="30"/>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cs="Times New Roman"/>
          <w:color w:val="FF0000"/>
          <w:kern w:val="24"/>
          <w:sz w:val="24"/>
        </w:rPr>
      </w:pP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兴隆镇污水厂设计处理规模1万m</w:t>
      </w:r>
      <w:r>
        <w:rPr>
          <w:rFonts w:hint="default" w:ascii="Times New Roman" w:hAnsi="Times New Roman" w:eastAsia="宋体" w:cs="Times New Roman"/>
          <w:color w:val="000000" w:themeColor="text1"/>
          <w:kern w:val="21"/>
          <w:sz w:val="24"/>
          <w:szCs w:val="24"/>
          <w:highlight w:val="none"/>
          <w:u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/d，污水处理工艺采用预处理+倒置 A</w:t>
      </w:r>
      <w:r>
        <w:rPr>
          <w:rFonts w:hint="default" w:ascii="Times New Roman" w:hAnsi="Times New Roman" w:eastAsia="宋体" w:cs="Times New Roman"/>
          <w:color w:val="000000" w:themeColor="text1"/>
          <w:kern w:val="21"/>
          <w:sz w:val="24"/>
          <w:szCs w:val="24"/>
          <w:highlight w:val="none"/>
          <w:u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 xml:space="preserve"> /O+二沉池+混凝沉淀+过滤+ 紫外线消毒工艺，污水排放标准执行《城镇污水处理厂污染物排放标准》（GB18918-2002）中一级 A 排放标准后经龙须沟汇入泥河。本项目排入兴隆镇污水处理厂水量为</w:t>
      </w:r>
      <w:r>
        <w:rPr>
          <w:rFonts w:hint="eastAsia"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235.09</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m</w:t>
      </w:r>
      <w:r>
        <w:rPr>
          <w:rFonts w:hint="default" w:ascii="Times New Roman" w:hAnsi="Times New Roman" w:eastAsia="宋体" w:cs="Times New Roman"/>
          <w:color w:val="000000" w:themeColor="text1"/>
          <w:kern w:val="21"/>
          <w:sz w:val="24"/>
          <w:szCs w:val="24"/>
          <w:highlight w:val="none"/>
          <w:u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/d，污水厂现有余量5000m</w:t>
      </w:r>
      <w:r>
        <w:rPr>
          <w:rFonts w:hint="default" w:ascii="Times New Roman" w:hAnsi="Times New Roman" w:eastAsia="宋体" w:cs="Times New Roman"/>
          <w:color w:val="000000" w:themeColor="text1"/>
          <w:kern w:val="21"/>
          <w:sz w:val="24"/>
          <w:szCs w:val="24"/>
          <w:highlight w:val="none"/>
          <w:u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 xml:space="preserve">/d，有能力接纳本项目废水，能够满足本项目废水排放要求。 </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pPr>
      <w:r>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t>表5-2-1</w:t>
      </w:r>
      <w:r>
        <w:rPr>
          <w:rFonts w:hint="default" w:ascii="Times New Roman" w:hAnsi="Times New Roman" w:eastAsia="宋体" w:cs="Times New Roman"/>
          <w:snapToGrid w:val="0"/>
          <w:color w:val="000000"/>
          <w:spacing w:val="6"/>
          <w:kern w:val="0"/>
          <w:sz w:val="20"/>
          <w:szCs w:val="20"/>
          <w:lang w:val="en-US" w:eastAsia="zh-CN" w:bidi="ar-SA"/>
          <w14:textOutline w14:w="3795" w14:cap="sq" w14:cmpd="sng">
            <w14:solidFill>
              <w14:srgbClr w14:val="000000"/>
            </w14:solidFill>
            <w14:prstDash w14:val="solid"/>
            <w14:bevel/>
          </w14:textOutline>
        </w:rPr>
        <w:t>4</w:t>
      </w:r>
      <w:r>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t xml:space="preserve"> 废水类别、污染物及污染治理设施信息表</w:t>
      </w:r>
    </w:p>
    <w:tbl>
      <w:tblPr>
        <w:tblStyle w:val="24"/>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426"/>
        <w:gridCol w:w="636"/>
        <w:gridCol w:w="938"/>
        <w:gridCol w:w="545"/>
        <w:gridCol w:w="852"/>
        <w:gridCol w:w="858"/>
        <w:gridCol w:w="714"/>
        <w:gridCol w:w="802"/>
        <w:gridCol w:w="881"/>
        <w:gridCol w:w="717"/>
        <w:gridCol w:w="114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2" w:hRule="atLeast"/>
          <w:jc w:val="center"/>
        </w:trPr>
        <w:tc>
          <w:tcPr>
            <w:tcW w:w="224" w:type="pct"/>
            <w:vMerge w:val="restar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序号</w:t>
            </w:r>
          </w:p>
        </w:tc>
        <w:tc>
          <w:tcPr>
            <w:tcW w:w="382" w:type="pct"/>
            <w:vMerge w:val="restar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废水类别</w:t>
            </w:r>
          </w:p>
        </w:tc>
        <w:tc>
          <w:tcPr>
            <w:tcW w:w="493" w:type="pct"/>
            <w:vMerge w:val="restar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污染物种类</w:t>
            </w:r>
          </w:p>
        </w:tc>
        <w:tc>
          <w:tcPr>
            <w:tcW w:w="379" w:type="pct"/>
            <w:vMerge w:val="restar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排放去向</w:t>
            </w:r>
          </w:p>
        </w:tc>
        <w:tc>
          <w:tcPr>
            <w:tcW w:w="534" w:type="pct"/>
            <w:vMerge w:val="restar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排放规律</w:t>
            </w:r>
          </w:p>
        </w:tc>
        <w:tc>
          <w:tcPr>
            <w:tcW w:w="1361" w:type="pct"/>
            <w:gridSpan w:val="3"/>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污染治理设施</w:t>
            </w:r>
          </w:p>
        </w:tc>
        <w:tc>
          <w:tcPr>
            <w:tcW w:w="463" w:type="pct"/>
            <w:vMerge w:val="restar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排放口编号</w:t>
            </w:r>
          </w:p>
        </w:tc>
        <w:tc>
          <w:tcPr>
            <w:tcW w:w="454" w:type="pct"/>
            <w:vMerge w:val="restar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排放口设置是否符合要求</w:t>
            </w:r>
          </w:p>
        </w:tc>
        <w:tc>
          <w:tcPr>
            <w:tcW w:w="707" w:type="pct"/>
            <w:vMerge w:val="restar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排放口类型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0" w:hRule="atLeast"/>
          <w:jc w:val="center"/>
        </w:trPr>
        <w:tc>
          <w:tcPr>
            <w:tcW w:w="224"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382"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493"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379"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534"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451"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污染治理设施编号</w:t>
            </w:r>
          </w:p>
        </w:tc>
        <w:tc>
          <w:tcPr>
            <w:tcW w:w="453"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污染治理设施名称</w:t>
            </w:r>
          </w:p>
        </w:tc>
        <w:tc>
          <w:tcPr>
            <w:tcW w:w="456"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污染治理设施工艺</w:t>
            </w:r>
          </w:p>
        </w:tc>
        <w:tc>
          <w:tcPr>
            <w:tcW w:w="463"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454"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707"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1" w:hRule="atLeast"/>
          <w:jc w:val="center"/>
        </w:trPr>
        <w:tc>
          <w:tcPr>
            <w:tcW w:w="224"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382"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生产废水、生活污水</w:t>
            </w:r>
          </w:p>
        </w:tc>
        <w:tc>
          <w:tcPr>
            <w:tcW w:w="493"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pH、COD、氨氮、BOD</w:t>
            </w:r>
            <w:r>
              <w:rPr>
                <w:rFonts w:hint="default" w:ascii="Times New Roman" w:hAnsi="Times New Roman" w:eastAsia="宋体" w:cs="Times New Roman"/>
                <w:color w:val="auto"/>
                <w:szCs w:val="21"/>
                <w:vertAlign w:val="subscript"/>
              </w:rPr>
              <w:t>5</w:t>
            </w:r>
            <w:r>
              <w:rPr>
                <w:rFonts w:hint="default" w:ascii="Times New Roman" w:hAnsi="Times New Roman" w:eastAsia="宋体" w:cs="Times New Roman"/>
                <w:color w:val="auto"/>
                <w:szCs w:val="21"/>
              </w:rPr>
              <w:t>、SS、动植物油、大肠菌群数</w:t>
            </w:r>
          </w:p>
        </w:tc>
        <w:tc>
          <w:tcPr>
            <w:tcW w:w="379" w:type="pct"/>
            <w:vAlign w:val="center"/>
          </w:tcPr>
          <w:p>
            <w:pPr>
              <w:spacing w:line="0" w:lineRule="atLeast"/>
              <w:contextualSpacing/>
              <w:jc w:val="center"/>
              <w:rPr>
                <w:rFonts w:hint="default"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val="en-US" w:eastAsia="zh-CN"/>
              </w:rPr>
              <w:t>兴隆镇</w:t>
            </w:r>
            <w:r>
              <w:rPr>
                <w:rFonts w:hint="default" w:ascii="Times New Roman" w:hAnsi="Times New Roman" w:eastAsia="宋体" w:cs="Times New Roman"/>
                <w:color w:val="auto"/>
                <w:szCs w:val="21"/>
                <w:lang w:eastAsia="zh-CN"/>
              </w:rPr>
              <w:t>污水处理厂</w:t>
            </w:r>
          </w:p>
        </w:tc>
        <w:tc>
          <w:tcPr>
            <w:tcW w:w="534"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间断排放，排放期间流量不稳定且无规律，但不属于冲击型排放</w:t>
            </w:r>
          </w:p>
        </w:tc>
        <w:tc>
          <w:tcPr>
            <w:tcW w:w="451"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TW001</w:t>
            </w:r>
          </w:p>
        </w:tc>
        <w:tc>
          <w:tcPr>
            <w:tcW w:w="453"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污水处理站</w:t>
            </w:r>
          </w:p>
        </w:tc>
        <w:tc>
          <w:tcPr>
            <w:tcW w:w="456"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沉淀池+气浮池+调节池+水解酸化+好氧生物池+MBR膜池+污泥消化池+消毒工艺</w:t>
            </w:r>
          </w:p>
        </w:tc>
        <w:tc>
          <w:tcPr>
            <w:tcW w:w="463"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DW001</w:t>
            </w:r>
          </w:p>
        </w:tc>
        <w:tc>
          <w:tcPr>
            <w:tcW w:w="454"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是</w:t>
            </w:r>
            <w:r>
              <w:rPr>
                <w:rFonts w:hint="default" w:ascii="Times New Roman" w:hAnsi="Times New Roman" w:eastAsia="宋体" w:cs="Times New Roman"/>
                <w:bCs/>
                <w:color w:val="auto"/>
                <w:kern w:val="0"/>
                <w:szCs w:val="21"/>
              </w:rPr>
              <w:t>√</w:t>
            </w:r>
          </w:p>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否</w:t>
            </w:r>
            <w:r>
              <w:rPr>
                <w:rFonts w:hint="default" w:ascii="Times New Roman" w:hAnsi="Times New Roman" w:eastAsia="宋体" w:cs="Times New Roman"/>
                <w:bCs/>
                <w:color w:val="auto"/>
                <w:kern w:val="0"/>
                <w:szCs w:val="21"/>
              </w:rPr>
              <w:t>□</w:t>
            </w:r>
          </w:p>
        </w:tc>
        <w:tc>
          <w:tcPr>
            <w:tcW w:w="707" w:type="pct"/>
            <w:vAlign w:val="center"/>
          </w:tcPr>
          <w:p>
            <w:pPr>
              <w:spacing w:line="0" w:lineRule="atLeast"/>
              <w:contextualSpacing/>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√企业总排</w:t>
            </w:r>
          </w:p>
          <w:p>
            <w:pPr>
              <w:spacing w:line="0" w:lineRule="atLeast"/>
              <w:contextualSpacing/>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□雨水总排</w:t>
            </w:r>
          </w:p>
          <w:p>
            <w:pPr>
              <w:spacing w:line="0" w:lineRule="atLeast"/>
              <w:contextualSpacing/>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□清净下水排放</w:t>
            </w:r>
          </w:p>
          <w:p>
            <w:pPr>
              <w:spacing w:line="0" w:lineRule="atLeast"/>
              <w:contextualSpacing/>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□温排水排放</w:t>
            </w:r>
          </w:p>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bCs/>
                <w:color w:val="auto"/>
                <w:kern w:val="0"/>
                <w:szCs w:val="21"/>
              </w:rPr>
              <w:t>□车间或车间处理设施排放口</w:t>
            </w:r>
          </w:p>
        </w:tc>
      </w:tr>
    </w:tbl>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napToGrid w:val="0"/>
          <w:color w:val="000000"/>
          <w:spacing w:val="6"/>
          <w:kern w:val="0"/>
          <w:sz w:val="20"/>
          <w:szCs w:val="20"/>
          <w:highlight w:val="none"/>
          <w:lang w:val="en-US" w:eastAsia="zh-CN" w:bidi="ar-SA"/>
          <w14:textOutline w14:w="3795" w14:cap="sq" w14:cmpd="sng">
            <w14:solidFill>
              <w14:srgbClr w14:val="000000"/>
            </w14:solidFill>
            <w14:prstDash w14:val="solid"/>
            <w14:bevel/>
          </w14:textOutline>
        </w:rPr>
      </w:pPr>
      <w:r>
        <w:rPr>
          <w:rFonts w:hint="default" w:ascii="Times New Roman" w:hAnsi="Times New Roman" w:eastAsia="宋体" w:cs="Times New Roman"/>
          <w:snapToGrid w:val="0"/>
          <w:color w:val="000000"/>
          <w:spacing w:val="6"/>
          <w:kern w:val="0"/>
          <w:sz w:val="20"/>
          <w:szCs w:val="20"/>
          <w:highlight w:val="none"/>
          <w:lang w:val="en-US" w:eastAsia="en-US" w:bidi="ar-SA"/>
          <w14:textOutline w14:w="3795" w14:cap="sq" w14:cmpd="sng">
            <w14:solidFill>
              <w14:srgbClr w14:val="000000"/>
            </w14:solidFill>
            <w14:prstDash w14:val="solid"/>
            <w14:bevel/>
          </w14:textOutline>
        </w:rPr>
        <w:t>表5-2-1</w:t>
      </w:r>
      <w:r>
        <w:rPr>
          <w:rFonts w:hint="default" w:ascii="Times New Roman" w:hAnsi="Times New Roman" w:eastAsia="宋体" w:cs="Times New Roman"/>
          <w:snapToGrid w:val="0"/>
          <w:color w:val="000000"/>
          <w:spacing w:val="6"/>
          <w:kern w:val="0"/>
          <w:sz w:val="20"/>
          <w:szCs w:val="20"/>
          <w:highlight w:val="none"/>
          <w:lang w:val="en-US" w:eastAsia="zh-CN" w:bidi="ar-SA"/>
          <w14:textOutline w14:w="3795" w14:cap="sq" w14:cmpd="sng">
            <w14:solidFill>
              <w14:srgbClr w14:val="000000"/>
            </w14:solidFill>
            <w14:prstDash w14:val="solid"/>
            <w14:bevel/>
          </w14:textOutline>
        </w:rPr>
        <w:t>5</w:t>
      </w:r>
      <w:r>
        <w:rPr>
          <w:rFonts w:hint="default" w:ascii="Times New Roman" w:hAnsi="Times New Roman" w:eastAsia="宋体" w:cs="Times New Roman"/>
          <w:snapToGrid w:val="0"/>
          <w:color w:val="000000"/>
          <w:spacing w:val="6"/>
          <w:kern w:val="0"/>
          <w:sz w:val="20"/>
          <w:szCs w:val="20"/>
          <w:highlight w:val="none"/>
          <w:lang w:val="en-US" w:eastAsia="en-US" w:bidi="ar-SA"/>
          <w14:textOutline w14:w="3795" w14:cap="sq" w14:cmpd="sng">
            <w14:solidFill>
              <w14:srgbClr w14:val="000000"/>
            </w14:solidFill>
            <w14:prstDash w14:val="solid"/>
            <w14:bevel/>
          </w14:textOutline>
        </w:rPr>
        <w:t xml:space="preserve"> 废水污染物排放执行标准表</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5"/>
        <w:gridCol w:w="881"/>
        <w:gridCol w:w="2426"/>
        <w:gridCol w:w="2907"/>
        <w:gridCol w:w="16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379" w:type="pct"/>
            <w:vMerge w:val="restar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序号</w:t>
            </w:r>
          </w:p>
        </w:tc>
        <w:tc>
          <w:tcPr>
            <w:tcW w:w="491" w:type="pct"/>
            <w:vMerge w:val="restar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排放口编号</w:t>
            </w:r>
          </w:p>
        </w:tc>
        <w:tc>
          <w:tcPr>
            <w:tcW w:w="1430" w:type="pct"/>
            <w:vMerge w:val="restar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污染物种类</w:t>
            </w:r>
          </w:p>
        </w:tc>
        <w:tc>
          <w:tcPr>
            <w:tcW w:w="2698" w:type="pct"/>
            <w:gridSpan w:val="2"/>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国家或地方污染物排放标准及其他按规定商定的排放协议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trPr>
        <w:tc>
          <w:tcPr>
            <w:tcW w:w="379"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491"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1430"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1712"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名称</w:t>
            </w:r>
          </w:p>
        </w:tc>
        <w:tc>
          <w:tcPr>
            <w:tcW w:w="986"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trPr>
        <w:tc>
          <w:tcPr>
            <w:tcW w:w="379" w:type="pct"/>
            <w:vMerge w:val="restar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491" w:type="pct"/>
            <w:vMerge w:val="restar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DW001</w:t>
            </w:r>
          </w:p>
        </w:tc>
        <w:tc>
          <w:tcPr>
            <w:tcW w:w="1430"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pH</w:t>
            </w:r>
          </w:p>
        </w:tc>
        <w:tc>
          <w:tcPr>
            <w:tcW w:w="1712" w:type="pct"/>
            <w:vMerge w:val="restart"/>
            <w:vAlign w:val="center"/>
          </w:tcPr>
          <w:p>
            <w:pPr>
              <w:spacing w:line="0" w:lineRule="atLeast"/>
              <w:contextualSpacing/>
              <w:jc w:val="center"/>
              <w:rPr>
                <w:rFonts w:hint="eastAsia" w:ascii="Times New Roman" w:hAnsi="Times New Roman" w:eastAsia="宋体" w:cs="Times New Roman"/>
                <w:color w:val="auto"/>
                <w:szCs w:val="21"/>
                <w:lang w:eastAsia="zh-CN"/>
              </w:rPr>
            </w:pPr>
            <w:r>
              <w:rPr>
                <w:rFonts w:hint="default" w:ascii="Times New Roman" w:hAnsi="Times New Roman" w:eastAsia="宋体" w:cs="Times New Roman"/>
                <w:color w:val="auto"/>
                <w:kern w:val="0"/>
                <w:szCs w:val="21"/>
                <w:highlight w:val="none"/>
              </w:rPr>
              <w:t>《肉类加工工业水污染物排放标准》（GB13457-92）畜类屠宰加工三级标准</w:t>
            </w:r>
            <w:r>
              <w:rPr>
                <w:rFonts w:hint="eastAsia" w:ascii="Times New Roman" w:hAnsi="Times New Roman" w:eastAsia="宋体" w:cs="Times New Roman"/>
                <w:color w:val="auto"/>
                <w:kern w:val="0"/>
                <w:szCs w:val="21"/>
                <w:highlight w:val="none"/>
                <w:lang w:eastAsia="zh-CN"/>
              </w:rPr>
              <w:t>（</w:t>
            </w:r>
            <w:r>
              <w:rPr>
                <w:rFonts w:hint="eastAsia" w:ascii="Times New Roman" w:hAnsi="Times New Roman" w:eastAsia="宋体" w:cs="Times New Roman"/>
                <w:color w:val="auto"/>
                <w:kern w:val="0"/>
                <w:szCs w:val="21"/>
                <w:highlight w:val="none"/>
                <w:lang w:val="en-US" w:eastAsia="zh-CN"/>
              </w:rPr>
              <w:t>氨氮参照兴隆镇污水处理厂进水指标</w:t>
            </w:r>
            <w:r>
              <w:rPr>
                <w:rFonts w:hint="eastAsia" w:ascii="Times New Roman" w:hAnsi="Times New Roman" w:eastAsia="宋体" w:cs="Times New Roman"/>
                <w:color w:val="auto"/>
                <w:kern w:val="0"/>
                <w:szCs w:val="21"/>
                <w:highlight w:val="none"/>
                <w:lang w:eastAsia="zh-CN"/>
              </w:rPr>
              <w:t>）</w:t>
            </w:r>
          </w:p>
        </w:tc>
        <w:tc>
          <w:tcPr>
            <w:tcW w:w="986" w:type="pct"/>
            <w:vAlign w:val="center"/>
          </w:tcPr>
          <w:p>
            <w:pPr>
              <w:spacing w:line="0" w:lineRule="atLeast"/>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6.5～8.5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379"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491"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1430"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COD</w:t>
            </w:r>
          </w:p>
        </w:tc>
        <w:tc>
          <w:tcPr>
            <w:tcW w:w="1712" w:type="pct"/>
            <w:vMerge w:val="continue"/>
            <w:vAlign w:val="center"/>
          </w:tcPr>
          <w:p>
            <w:pPr>
              <w:widowControl/>
              <w:spacing w:line="0" w:lineRule="atLeast"/>
              <w:contextualSpacing/>
              <w:jc w:val="center"/>
              <w:rPr>
                <w:rFonts w:hint="default" w:ascii="Times New Roman" w:hAnsi="Times New Roman" w:eastAsia="宋体" w:cs="Times New Roman"/>
                <w:color w:val="auto"/>
                <w:kern w:val="0"/>
                <w:szCs w:val="21"/>
              </w:rPr>
            </w:pPr>
          </w:p>
        </w:tc>
        <w:tc>
          <w:tcPr>
            <w:tcW w:w="986" w:type="pct"/>
            <w:vAlign w:val="center"/>
          </w:tcPr>
          <w:p>
            <w:pPr>
              <w:widowControl/>
              <w:spacing w:line="0" w:lineRule="atLeast"/>
              <w:contextualSpacing/>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spacing w:val="-6"/>
                <w:szCs w:val="21"/>
                <w:highlight w:val="none"/>
                <w:lang w:val="en-US" w:eastAsia="zh-CN"/>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trPr>
        <w:tc>
          <w:tcPr>
            <w:tcW w:w="379"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491"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1430"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BOD</w:t>
            </w:r>
            <w:r>
              <w:rPr>
                <w:rFonts w:hint="default" w:ascii="Times New Roman" w:hAnsi="Times New Roman" w:eastAsia="宋体" w:cs="Times New Roman"/>
                <w:color w:val="auto"/>
                <w:szCs w:val="21"/>
                <w:vertAlign w:val="subscript"/>
              </w:rPr>
              <w:t>5</w:t>
            </w:r>
          </w:p>
        </w:tc>
        <w:tc>
          <w:tcPr>
            <w:tcW w:w="1712" w:type="pct"/>
            <w:vMerge w:val="continue"/>
            <w:vAlign w:val="center"/>
          </w:tcPr>
          <w:p>
            <w:pPr>
              <w:widowControl/>
              <w:spacing w:line="0" w:lineRule="atLeast"/>
              <w:contextualSpacing/>
              <w:jc w:val="center"/>
              <w:rPr>
                <w:rFonts w:hint="default" w:ascii="Times New Roman" w:hAnsi="Times New Roman" w:eastAsia="宋体" w:cs="Times New Roman"/>
                <w:color w:val="auto"/>
                <w:kern w:val="0"/>
                <w:szCs w:val="21"/>
              </w:rPr>
            </w:pPr>
          </w:p>
        </w:tc>
        <w:tc>
          <w:tcPr>
            <w:tcW w:w="986" w:type="pct"/>
            <w:vAlign w:val="center"/>
          </w:tcPr>
          <w:p>
            <w:pPr>
              <w:widowControl/>
              <w:spacing w:line="0" w:lineRule="atLeast"/>
              <w:contextualSpacing/>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trPr>
        <w:tc>
          <w:tcPr>
            <w:tcW w:w="379"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491"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1430"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NH</w:t>
            </w:r>
            <w:r>
              <w:rPr>
                <w:rFonts w:hint="default" w:ascii="Times New Roman" w:hAnsi="Times New Roman" w:eastAsia="宋体" w:cs="Times New Roman"/>
                <w:color w:val="auto"/>
                <w:szCs w:val="21"/>
                <w:vertAlign w:val="subscript"/>
              </w:rPr>
              <w:t>3</w:t>
            </w:r>
            <w:r>
              <w:rPr>
                <w:rFonts w:hint="default" w:ascii="Times New Roman" w:hAnsi="Times New Roman" w:eastAsia="宋体" w:cs="Times New Roman"/>
                <w:color w:val="auto"/>
                <w:szCs w:val="21"/>
              </w:rPr>
              <w:t>-N</w:t>
            </w:r>
          </w:p>
        </w:tc>
        <w:tc>
          <w:tcPr>
            <w:tcW w:w="1712" w:type="pct"/>
            <w:vMerge w:val="continue"/>
            <w:vAlign w:val="center"/>
          </w:tcPr>
          <w:p>
            <w:pPr>
              <w:widowControl/>
              <w:spacing w:line="0" w:lineRule="atLeast"/>
              <w:contextualSpacing/>
              <w:jc w:val="center"/>
              <w:rPr>
                <w:rFonts w:hint="default" w:ascii="Times New Roman" w:hAnsi="Times New Roman" w:eastAsia="宋体" w:cs="Times New Roman"/>
                <w:color w:val="auto"/>
                <w:kern w:val="0"/>
                <w:szCs w:val="21"/>
              </w:rPr>
            </w:pPr>
          </w:p>
        </w:tc>
        <w:tc>
          <w:tcPr>
            <w:tcW w:w="986" w:type="pct"/>
            <w:vAlign w:val="center"/>
          </w:tcPr>
          <w:p>
            <w:pPr>
              <w:widowControl/>
              <w:spacing w:line="0" w:lineRule="atLeast"/>
              <w:contextualSpacing/>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trPr>
        <w:tc>
          <w:tcPr>
            <w:tcW w:w="379"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491"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1430"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SS</w:t>
            </w:r>
          </w:p>
        </w:tc>
        <w:tc>
          <w:tcPr>
            <w:tcW w:w="1712" w:type="pct"/>
            <w:vMerge w:val="continue"/>
            <w:vAlign w:val="center"/>
          </w:tcPr>
          <w:p>
            <w:pPr>
              <w:widowControl/>
              <w:spacing w:line="0" w:lineRule="atLeast"/>
              <w:contextualSpacing/>
              <w:jc w:val="center"/>
              <w:rPr>
                <w:rFonts w:hint="default" w:ascii="Times New Roman" w:hAnsi="Times New Roman" w:eastAsia="宋体" w:cs="Times New Roman"/>
                <w:color w:val="auto"/>
                <w:kern w:val="0"/>
                <w:szCs w:val="21"/>
              </w:rPr>
            </w:pPr>
          </w:p>
        </w:tc>
        <w:tc>
          <w:tcPr>
            <w:tcW w:w="986" w:type="pct"/>
            <w:vAlign w:val="center"/>
          </w:tcPr>
          <w:p>
            <w:pPr>
              <w:widowControl/>
              <w:spacing w:line="0" w:lineRule="atLeast"/>
              <w:contextualSpacing/>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trPr>
        <w:tc>
          <w:tcPr>
            <w:tcW w:w="379"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491"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1430"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动植物油</w:t>
            </w:r>
          </w:p>
        </w:tc>
        <w:tc>
          <w:tcPr>
            <w:tcW w:w="1712" w:type="pct"/>
            <w:vMerge w:val="continue"/>
            <w:vAlign w:val="center"/>
          </w:tcPr>
          <w:p>
            <w:pPr>
              <w:widowControl/>
              <w:spacing w:line="0" w:lineRule="atLeast"/>
              <w:contextualSpacing/>
              <w:jc w:val="center"/>
              <w:rPr>
                <w:rFonts w:hint="default" w:ascii="Times New Roman" w:hAnsi="Times New Roman" w:eastAsia="宋体" w:cs="Times New Roman"/>
                <w:color w:val="auto"/>
                <w:kern w:val="0"/>
                <w:szCs w:val="21"/>
              </w:rPr>
            </w:pPr>
          </w:p>
        </w:tc>
        <w:tc>
          <w:tcPr>
            <w:tcW w:w="986" w:type="pct"/>
            <w:vAlign w:val="center"/>
          </w:tcPr>
          <w:p>
            <w:pPr>
              <w:widowControl/>
              <w:spacing w:line="0" w:lineRule="atLeast"/>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trPr>
        <w:tc>
          <w:tcPr>
            <w:tcW w:w="379"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491"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1430"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大肠菌群数（个/L）</w:t>
            </w:r>
          </w:p>
        </w:tc>
        <w:tc>
          <w:tcPr>
            <w:tcW w:w="1712" w:type="pct"/>
            <w:vMerge w:val="continue"/>
            <w:vAlign w:val="center"/>
          </w:tcPr>
          <w:p>
            <w:pPr>
              <w:widowControl/>
              <w:spacing w:line="0" w:lineRule="atLeast"/>
              <w:contextualSpacing/>
              <w:jc w:val="center"/>
              <w:rPr>
                <w:rFonts w:hint="default" w:ascii="Times New Roman" w:hAnsi="Times New Roman" w:eastAsia="宋体" w:cs="Times New Roman"/>
                <w:color w:val="auto"/>
                <w:kern w:val="0"/>
                <w:szCs w:val="21"/>
              </w:rPr>
            </w:pPr>
          </w:p>
        </w:tc>
        <w:tc>
          <w:tcPr>
            <w:tcW w:w="986" w:type="pct"/>
            <w:vAlign w:val="center"/>
          </w:tcPr>
          <w:p>
            <w:pPr>
              <w:widowControl/>
              <w:spacing w:line="0" w:lineRule="atLeast"/>
              <w:contextualSpacing/>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w:t>
            </w:r>
          </w:p>
        </w:tc>
      </w:tr>
    </w:tbl>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b/>
          <w:color w:val="auto"/>
          <w:sz w:val="24"/>
          <w:lang w:eastAsia="zh-CN"/>
        </w:rPr>
      </w:pPr>
      <w:r>
        <w:rPr>
          <w:rFonts w:hint="default" w:ascii="Times New Roman" w:hAnsi="Times New Roman" w:eastAsia="宋体" w:cs="Times New Roman"/>
          <w:b/>
          <w:color w:val="auto"/>
          <w:sz w:val="24"/>
        </w:rPr>
        <w:t>表5-2-1</w:t>
      </w:r>
      <w:r>
        <w:rPr>
          <w:rFonts w:hint="default" w:ascii="Times New Roman" w:hAnsi="Times New Roman" w:eastAsia="宋体" w:cs="Times New Roman"/>
          <w:b/>
          <w:color w:val="auto"/>
          <w:sz w:val="24"/>
          <w:lang w:val="en-US" w:eastAsia="zh-CN"/>
        </w:rPr>
        <w:t>6</w:t>
      </w:r>
      <w:r>
        <w:rPr>
          <w:rFonts w:hint="default" w:ascii="Times New Roman" w:hAnsi="Times New Roman" w:eastAsia="宋体" w:cs="Times New Roman"/>
          <w:b/>
          <w:color w:val="auto"/>
          <w:sz w:val="24"/>
        </w:rPr>
        <w:t xml:space="preserve"> 废水污染物排放信息表（</w:t>
      </w:r>
      <w:r>
        <w:rPr>
          <w:rFonts w:hint="eastAsia" w:ascii="Times New Roman" w:hAnsi="Times New Roman" w:eastAsia="宋体" w:cs="Times New Roman"/>
          <w:b/>
          <w:color w:val="auto"/>
          <w:sz w:val="24"/>
          <w:lang w:val="en-US" w:eastAsia="zh-CN"/>
        </w:rPr>
        <w:t>改扩建</w:t>
      </w:r>
      <w:r>
        <w:rPr>
          <w:rFonts w:hint="default" w:ascii="Times New Roman" w:hAnsi="Times New Roman" w:eastAsia="宋体" w:cs="Times New Roman"/>
          <w:b/>
          <w:color w:val="auto"/>
          <w:sz w:val="24"/>
        </w:rPr>
        <w:t>项目）</w:t>
      </w:r>
    </w:p>
    <w:tbl>
      <w:tblPr>
        <w:tblStyle w:val="24"/>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10"/>
        <w:gridCol w:w="1285"/>
        <w:gridCol w:w="1472"/>
        <w:gridCol w:w="1791"/>
        <w:gridCol w:w="1525"/>
        <w:gridCol w:w="173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jc w:val="center"/>
        </w:trPr>
        <w:tc>
          <w:tcPr>
            <w:tcW w:w="417"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序号</w:t>
            </w:r>
          </w:p>
        </w:tc>
        <w:tc>
          <w:tcPr>
            <w:tcW w:w="753"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排放口编号</w:t>
            </w:r>
          </w:p>
        </w:tc>
        <w:tc>
          <w:tcPr>
            <w:tcW w:w="864"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污染物种类</w:t>
            </w:r>
          </w:p>
        </w:tc>
        <w:tc>
          <w:tcPr>
            <w:tcW w:w="1051"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排放浓度/（mg/L）</w:t>
            </w:r>
          </w:p>
        </w:tc>
        <w:tc>
          <w:tcPr>
            <w:tcW w:w="894"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日排放量/（t/d）</w:t>
            </w:r>
          </w:p>
        </w:tc>
        <w:tc>
          <w:tcPr>
            <w:tcW w:w="1018"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年排放量/（t/a）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jc w:val="center"/>
        </w:trPr>
        <w:tc>
          <w:tcPr>
            <w:tcW w:w="417" w:type="pct"/>
            <w:vMerge w:val="restar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753" w:type="pct"/>
            <w:vMerge w:val="restar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DW001</w:t>
            </w:r>
          </w:p>
        </w:tc>
        <w:tc>
          <w:tcPr>
            <w:tcW w:w="864"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pH（无量纲）</w:t>
            </w:r>
          </w:p>
        </w:tc>
        <w:tc>
          <w:tcPr>
            <w:tcW w:w="1051"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7.5</w:t>
            </w:r>
          </w:p>
        </w:tc>
        <w:tc>
          <w:tcPr>
            <w:tcW w:w="894"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1018"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417"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753"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864"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COD</w:t>
            </w:r>
          </w:p>
        </w:tc>
        <w:tc>
          <w:tcPr>
            <w:tcW w:w="1051" w:type="pct"/>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snapToGrid w:val="0"/>
                <w:color w:val="auto"/>
                <w:szCs w:val="21"/>
                <w:lang w:val="en-US" w:eastAsia="zh-CN"/>
              </w:rPr>
              <w:t>238</w:t>
            </w:r>
          </w:p>
        </w:tc>
        <w:tc>
          <w:tcPr>
            <w:tcW w:w="894" w:type="pct"/>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w:t>
            </w:r>
          </w:p>
        </w:tc>
        <w:tc>
          <w:tcPr>
            <w:tcW w:w="1936" w:type="dxa"/>
            <w:vAlign w:val="center"/>
          </w:tcPr>
          <w:p>
            <w:pPr>
              <w:spacing w:line="0" w:lineRule="atLeast"/>
              <w:contextualSpacing/>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17.67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417"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753"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864"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氨氮</w:t>
            </w:r>
          </w:p>
        </w:tc>
        <w:tc>
          <w:tcPr>
            <w:tcW w:w="1051" w:type="pct"/>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18.6</w:t>
            </w:r>
          </w:p>
        </w:tc>
        <w:tc>
          <w:tcPr>
            <w:tcW w:w="894" w:type="pct"/>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w:t>
            </w:r>
          </w:p>
        </w:tc>
        <w:tc>
          <w:tcPr>
            <w:tcW w:w="1936" w:type="dxa"/>
            <w:vAlign w:val="center"/>
          </w:tcPr>
          <w:p>
            <w:pPr>
              <w:spacing w:line="0" w:lineRule="atLeast"/>
              <w:contextualSpacing/>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1.38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417"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753"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864"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BOD</w:t>
            </w:r>
            <w:r>
              <w:rPr>
                <w:rFonts w:hint="default" w:ascii="Times New Roman" w:hAnsi="Times New Roman" w:eastAsia="宋体" w:cs="Times New Roman"/>
                <w:color w:val="auto"/>
                <w:szCs w:val="21"/>
                <w:vertAlign w:val="subscript"/>
              </w:rPr>
              <w:t>5</w:t>
            </w:r>
          </w:p>
        </w:tc>
        <w:tc>
          <w:tcPr>
            <w:tcW w:w="1051" w:type="pct"/>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150</w:t>
            </w:r>
          </w:p>
        </w:tc>
        <w:tc>
          <w:tcPr>
            <w:tcW w:w="894" w:type="pct"/>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w:t>
            </w:r>
          </w:p>
        </w:tc>
        <w:tc>
          <w:tcPr>
            <w:tcW w:w="1936" w:type="dxa"/>
            <w:vAlign w:val="center"/>
          </w:tcPr>
          <w:p>
            <w:pPr>
              <w:spacing w:line="0" w:lineRule="atLeast"/>
              <w:contextualSpacing/>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11.14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417"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753"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864"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SS</w:t>
            </w:r>
          </w:p>
        </w:tc>
        <w:tc>
          <w:tcPr>
            <w:tcW w:w="1051" w:type="pct"/>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160</w:t>
            </w:r>
          </w:p>
        </w:tc>
        <w:tc>
          <w:tcPr>
            <w:tcW w:w="894" w:type="pct"/>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w:t>
            </w:r>
          </w:p>
        </w:tc>
        <w:tc>
          <w:tcPr>
            <w:tcW w:w="1936" w:type="dxa"/>
            <w:vAlign w:val="center"/>
          </w:tcPr>
          <w:p>
            <w:pPr>
              <w:spacing w:line="0" w:lineRule="atLeast"/>
              <w:contextualSpacing/>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11.88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417"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753"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864"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动植物油</w:t>
            </w:r>
          </w:p>
        </w:tc>
        <w:tc>
          <w:tcPr>
            <w:tcW w:w="1051" w:type="pct"/>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45.7</w:t>
            </w:r>
          </w:p>
        </w:tc>
        <w:tc>
          <w:tcPr>
            <w:tcW w:w="894" w:type="pct"/>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w:t>
            </w:r>
          </w:p>
        </w:tc>
        <w:tc>
          <w:tcPr>
            <w:tcW w:w="1936" w:type="dxa"/>
            <w:vAlign w:val="center"/>
          </w:tcPr>
          <w:p>
            <w:pPr>
              <w:spacing w:line="0" w:lineRule="atLeast"/>
              <w:contextualSpacing/>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auto"/>
                <w:szCs w:val="21"/>
                <w:highlight w:val="none"/>
                <w:lang w:val="en-US" w:eastAsia="zh-CN"/>
              </w:rPr>
              <w:t>3.39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417"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753" w:type="pct"/>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864" w:type="pct"/>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大肠菌群数（个/L）</w:t>
            </w:r>
          </w:p>
        </w:tc>
        <w:tc>
          <w:tcPr>
            <w:tcW w:w="1051" w:type="pct"/>
            <w:vAlign w:val="center"/>
          </w:tcPr>
          <w:p>
            <w:pPr>
              <w:spacing w:line="0" w:lineRule="atLeast"/>
              <w:contextualSpacing/>
              <w:jc w:val="center"/>
              <w:rPr>
                <w:rFonts w:hint="default" w:ascii="Times New Roman" w:hAnsi="Times New Roman" w:eastAsia="宋体" w:cs="Times New Roman"/>
                <w:color w:val="auto"/>
                <w:szCs w:val="21"/>
                <w:lang w:val="en-US"/>
              </w:rPr>
            </w:pPr>
            <w:r>
              <w:rPr>
                <w:rFonts w:hint="eastAsia" w:ascii="Times New Roman" w:hAnsi="Times New Roman" w:eastAsia="宋体" w:cs="Times New Roman"/>
                <w:color w:val="auto"/>
                <w:szCs w:val="21"/>
                <w:lang w:val="en-US" w:eastAsia="zh-CN"/>
              </w:rPr>
              <w:t>≥24000</w:t>
            </w:r>
          </w:p>
        </w:tc>
        <w:tc>
          <w:tcPr>
            <w:tcW w:w="1702" w:type="dxa"/>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1936" w:type="dxa"/>
            <w:vAlign w:val="center"/>
          </w:tcPr>
          <w:p>
            <w:pPr>
              <w:spacing w:line="0" w:lineRule="atLeast"/>
              <w:contextualSpacing/>
              <w:jc w:val="center"/>
              <w:rPr>
                <w:rFonts w:hint="default" w:ascii="Times New Roman" w:hAnsi="Times New Roman" w:eastAsia="宋体" w:cs="Times New Roman"/>
                <w:color w:val="FF0000"/>
                <w:szCs w:val="21"/>
                <w:highlight w:val="none"/>
              </w:rPr>
            </w:pPr>
            <w:r>
              <w:rPr>
                <w:rFonts w:hint="default" w:ascii="Times New Roman" w:hAnsi="Times New Roman" w:eastAsia="宋体" w:cs="Times New Roman"/>
                <w:color w:val="auto"/>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2" w:hRule="atLeast"/>
          <w:jc w:val="center"/>
        </w:trPr>
        <w:tc>
          <w:tcPr>
            <w:tcW w:w="1171" w:type="pct"/>
            <w:gridSpan w:val="2"/>
            <w:vMerge w:val="restart"/>
            <w:vAlign w:val="center"/>
          </w:tcPr>
          <w:p>
            <w:pPr>
              <w:spacing w:line="0" w:lineRule="atLeast"/>
              <w:contextualSpacing/>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改扩建后</w:t>
            </w:r>
            <w:r>
              <w:rPr>
                <w:rFonts w:hint="eastAsia" w:ascii="Times New Roman" w:hAnsi="Times New Roman" w:eastAsia="宋体" w:cs="Times New Roman"/>
                <w:color w:val="auto"/>
                <w:szCs w:val="21"/>
                <w:lang w:eastAsia="zh-CN"/>
              </w:rPr>
              <w:t>全厂排放</w:t>
            </w:r>
            <w:r>
              <w:rPr>
                <w:rFonts w:hint="default" w:ascii="Times New Roman" w:hAnsi="Times New Roman" w:eastAsia="宋体" w:cs="Times New Roman"/>
                <w:color w:val="auto"/>
                <w:szCs w:val="21"/>
              </w:rPr>
              <w:t>口合计</w:t>
            </w:r>
          </w:p>
        </w:tc>
        <w:tc>
          <w:tcPr>
            <w:tcW w:w="2810" w:type="pct"/>
            <w:gridSpan w:val="3"/>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COD</w:t>
            </w:r>
          </w:p>
        </w:tc>
        <w:tc>
          <w:tcPr>
            <w:tcW w:w="1734" w:type="dxa"/>
            <w:vAlign w:val="center"/>
          </w:tcPr>
          <w:p>
            <w:pPr>
              <w:spacing w:line="0" w:lineRule="atLeast"/>
              <w:contextualSpacing/>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auto"/>
                <w:szCs w:val="21"/>
                <w:highlight w:val="none"/>
                <w:lang w:val="en-US" w:eastAsia="zh-CN"/>
              </w:rPr>
              <w:t>19.02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1171" w:type="pct"/>
            <w:gridSpan w:val="2"/>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2810" w:type="pct"/>
            <w:gridSpan w:val="3"/>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氨氮</w:t>
            </w:r>
          </w:p>
        </w:tc>
        <w:tc>
          <w:tcPr>
            <w:tcW w:w="1734" w:type="dxa"/>
            <w:vAlign w:val="center"/>
          </w:tcPr>
          <w:p>
            <w:pPr>
              <w:spacing w:line="0" w:lineRule="atLeast"/>
              <w:contextualSpacing/>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auto"/>
                <w:szCs w:val="21"/>
                <w:highlight w:val="none"/>
                <w:lang w:val="en-US" w:eastAsia="zh-CN"/>
              </w:rPr>
              <w:t>1.49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1171" w:type="pct"/>
            <w:gridSpan w:val="2"/>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2810" w:type="pct"/>
            <w:gridSpan w:val="3"/>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BOD</w:t>
            </w:r>
            <w:r>
              <w:rPr>
                <w:rFonts w:hint="default" w:ascii="Times New Roman" w:hAnsi="Times New Roman" w:eastAsia="宋体" w:cs="Times New Roman"/>
                <w:color w:val="auto"/>
                <w:szCs w:val="21"/>
                <w:vertAlign w:val="subscript"/>
              </w:rPr>
              <w:t>5</w:t>
            </w:r>
          </w:p>
        </w:tc>
        <w:tc>
          <w:tcPr>
            <w:tcW w:w="1734" w:type="dxa"/>
            <w:vAlign w:val="center"/>
          </w:tcPr>
          <w:p>
            <w:pPr>
              <w:spacing w:line="0" w:lineRule="atLeast"/>
              <w:contextualSpacing/>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auto"/>
                <w:szCs w:val="21"/>
                <w:highlight w:val="none"/>
                <w:lang w:val="en-US" w:eastAsia="zh-CN"/>
              </w:rPr>
              <w:t>11.99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1171" w:type="pct"/>
            <w:gridSpan w:val="2"/>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2810" w:type="pct"/>
            <w:gridSpan w:val="3"/>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SS</w:t>
            </w:r>
          </w:p>
        </w:tc>
        <w:tc>
          <w:tcPr>
            <w:tcW w:w="1734" w:type="dxa"/>
            <w:vAlign w:val="center"/>
          </w:tcPr>
          <w:p>
            <w:pPr>
              <w:spacing w:line="0" w:lineRule="atLeast"/>
              <w:contextualSpacing/>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auto"/>
                <w:szCs w:val="21"/>
                <w:highlight w:val="none"/>
                <w:lang w:val="en-US" w:eastAsia="zh-CN"/>
              </w:rPr>
              <w:t>12.79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1171" w:type="pct"/>
            <w:gridSpan w:val="2"/>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2810" w:type="pct"/>
            <w:gridSpan w:val="3"/>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动植物油</w:t>
            </w:r>
          </w:p>
        </w:tc>
        <w:tc>
          <w:tcPr>
            <w:tcW w:w="1734" w:type="dxa"/>
            <w:vAlign w:val="center"/>
          </w:tcPr>
          <w:p>
            <w:pPr>
              <w:spacing w:line="0" w:lineRule="atLeast"/>
              <w:contextualSpacing/>
              <w:jc w:val="center"/>
              <w:rPr>
                <w:rFonts w:hint="default" w:ascii="Times New Roman" w:hAnsi="Times New Roman" w:eastAsia="宋体" w:cs="Times New Roman"/>
                <w:color w:val="FF0000"/>
                <w:szCs w:val="21"/>
                <w:highlight w:val="none"/>
                <w:lang w:val="en-US"/>
              </w:rPr>
            </w:pPr>
            <w:r>
              <w:rPr>
                <w:rFonts w:hint="eastAsia" w:ascii="Times New Roman" w:hAnsi="Times New Roman" w:eastAsia="宋体" w:cs="Times New Roman"/>
                <w:color w:val="auto"/>
                <w:szCs w:val="21"/>
                <w:highlight w:val="none"/>
                <w:lang w:val="en-US" w:eastAsia="zh-CN"/>
              </w:rPr>
              <w:t>3.66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jc w:val="center"/>
        </w:trPr>
        <w:tc>
          <w:tcPr>
            <w:tcW w:w="1171" w:type="pct"/>
            <w:gridSpan w:val="2"/>
            <w:vMerge w:val="continue"/>
            <w:vAlign w:val="center"/>
          </w:tcPr>
          <w:p>
            <w:pPr>
              <w:spacing w:line="0" w:lineRule="atLeast"/>
              <w:contextualSpacing/>
              <w:jc w:val="center"/>
              <w:rPr>
                <w:rFonts w:hint="default" w:ascii="Times New Roman" w:hAnsi="Times New Roman" w:eastAsia="宋体" w:cs="Times New Roman"/>
                <w:color w:val="auto"/>
                <w:szCs w:val="21"/>
              </w:rPr>
            </w:pPr>
          </w:p>
        </w:tc>
        <w:tc>
          <w:tcPr>
            <w:tcW w:w="2810" w:type="pct"/>
            <w:gridSpan w:val="3"/>
            <w:vAlign w:val="center"/>
          </w:tcPr>
          <w:p>
            <w:pPr>
              <w:spacing w:line="0" w:lineRule="atLeast"/>
              <w:contextualSpacing/>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大肠菌群数（个/L）</w:t>
            </w:r>
          </w:p>
        </w:tc>
        <w:tc>
          <w:tcPr>
            <w:tcW w:w="1734" w:type="dxa"/>
            <w:vAlign w:val="center"/>
          </w:tcPr>
          <w:p>
            <w:pPr>
              <w:spacing w:line="0" w:lineRule="atLeast"/>
              <w:contextualSpacing/>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auto"/>
                <w:szCs w:val="21"/>
              </w:rPr>
              <w:t>—</w:t>
            </w:r>
          </w:p>
        </w:tc>
      </w:tr>
    </w:tbl>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表5-2-1</w:t>
      </w:r>
      <w:r>
        <w:rPr>
          <w:rFonts w:hint="default" w:ascii="Times New Roman" w:hAnsi="Times New Roman" w:eastAsia="宋体" w:cs="Times New Roman"/>
          <w:b/>
          <w:color w:val="auto"/>
          <w:sz w:val="24"/>
          <w:lang w:val="en-US" w:eastAsia="zh-CN"/>
        </w:rPr>
        <w:t>7</w:t>
      </w:r>
      <w:r>
        <w:rPr>
          <w:rFonts w:hint="default" w:ascii="Times New Roman" w:hAnsi="Times New Roman" w:eastAsia="宋体" w:cs="Times New Roman"/>
          <w:b/>
          <w:color w:val="auto"/>
          <w:sz w:val="24"/>
        </w:rPr>
        <w:t xml:space="preserve"> 废水间接排放口基本情况表</w:t>
      </w:r>
    </w:p>
    <w:tbl>
      <w:tblPr>
        <w:tblStyle w:val="67"/>
        <w:tblW w:w="4997" w:type="pct"/>
        <w:jc w:val="center"/>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Layout w:type="autofit"/>
        <w:tblCellMar>
          <w:top w:w="0" w:type="dxa"/>
          <w:left w:w="108" w:type="dxa"/>
          <w:bottom w:w="0" w:type="dxa"/>
          <w:right w:w="108" w:type="dxa"/>
        </w:tblCellMar>
      </w:tblPr>
      <w:tblGrid>
        <w:gridCol w:w="426"/>
        <w:gridCol w:w="881"/>
        <w:gridCol w:w="1424"/>
        <w:gridCol w:w="1319"/>
        <w:gridCol w:w="846"/>
        <w:gridCol w:w="426"/>
        <w:gridCol w:w="426"/>
        <w:gridCol w:w="426"/>
        <w:gridCol w:w="426"/>
        <w:gridCol w:w="728"/>
        <w:gridCol w:w="1189"/>
      </w:tblGrid>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568" w:hRule="atLeast"/>
          <w:jc w:val="center"/>
        </w:trPr>
        <w:tc>
          <w:tcPr>
            <w:tcW w:w="224" w:type="pct"/>
            <w:vMerge w:val="restart"/>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序号</w:t>
            </w:r>
          </w:p>
        </w:tc>
        <w:tc>
          <w:tcPr>
            <w:tcW w:w="463" w:type="pct"/>
            <w:vMerge w:val="restart"/>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排放口编号</w:t>
            </w:r>
          </w:p>
        </w:tc>
        <w:tc>
          <w:tcPr>
            <w:tcW w:w="1442" w:type="pct"/>
            <w:gridSpan w:val="2"/>
            <w:tcBorders>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snapToGrid w:val="0"/>
                <w:color w:val="000000"/>
                <w:spacing w:val="6"/>
                <w:kern w:val="0"/>
                <w:sz w:val="20"/>
                <w:szCs w:val="20"/>
                <w:lang w:val="en-US" w:eastAsia="en-US" w:bidi="ar-SA"/>
                <w14:textOutline w14:w="3795" w14:cap="sq" w14:cmpd="sng">
                  <w14:solidFill>
                    <w14:srgbClr w14:val="000000"/>
                  </w14:solidFill>
                  <w14:prstDash w14:val="solid"/>
                  <w14:bevel/>
                </w14:textOutline>
              </w:rPr>
              <w:t>排放口地理坐标</w:t>
            </w:r>
          </w:p>
        </w:tc>
        <w:tc>
          <w:tcPr>
            <w:tcW w:w="583" w:type="pct"/>
            <w:vMerge w:val="restart"/>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lang w:val="en-US" w:eastAsia="zh-CN"/>
              </w:rPr>
              <w:t>全厂</w:t>
            </w:r>
            <w:r>
              <w:rPr>
                <w:rFonts w:hint="default" w:ascii="Times New Roman" w:hAnsi="Times New Roman" w:eastAsia="宋体" w:cs="Times New Roman"/>
                <w:color w:val="auto"/>
                <w:kern w:val="0"/>
                <w:sz w:val="21"/>
                <w:szCs w:val="21"/>
              </w:rPr>
              <w:t>废水排放量/（t/a）</w:t>
            </w:r>
          </w:p>
        </w:tc>
        <w:tc>
          <w:tcPr>
            <w:tcW w:w="331" w:type="pct"/>
            <w:vMerge w:val="restart"/>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排放去向</w:t>
            </w:r>
          </w:p>
        </w:tc>
        <w:tc>
          <w:tcPr>
            <w:tcW w:w="224" w:type="pct"/>
            <w:vMerge w:val="restart"/>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排放规律</w:t>
            </w:r>
          </w:p>
        </w:tc>
        <w:tc>
          <w:tcPr>
            <w:tcW w:w="224" w:type="pct"/>
            <w:vMerge w:val="restart"/>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间歇排放时段</w:t>
            </w:r>
          </w:p>
        </w:tc>
        <w:tc>
          <w:tcPr>
            <w:tcW w:w="1507" w:type="pct"/>
            <w:gridSpan w:val="3"/>
            <w:tcBorders>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受纳污水处理厂信息</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151" w:hRule="atLeast"/>
          <w:jc w:val="center"/>
        </w:trPr>
        <w:tc>
          <w:tcPr>
            <w:tcW w:w="224" w:type="pct"/>
            <w:vMerge w:val="continue"/>
            <w:tcBorders>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p>
        </w:tc>
        <w:tc>
          <w:tcPr>
            <w:tcW w:w="463" w:type="pct"/>
            <w:vMerge w:val="continue"/>
            <w:tcBorders>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p>
        </w:tc>
        <w:tc>
          <w:tcPr>
            <w:tcW w:w="748" w:type="pct"/>
            <w:tcBorders>
              <w:top w:val="single" w:color="000000" w:sz="4" w:space="0"/>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经度</w:t>
            </w:r>
          </w:p>
        </w:tc>
        <w:tc>
          <w:tcPr>
            <w:tcW w:w="693" w:type="pct"/>
            <w:tcBorders>
              <w:top w:val="single" w:color="000000" w:sz="4" w:space="0"/>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纬度</w:t>
            </w:r>
          </w:p>
        </w:tc>
        <w:tc>
          <w:tcPr>
            <w:tcW w:w="583" w:type="pct"/>
            <w:vMerge w:val="continue"/>
            <w:tcBorders>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p>
        </w:tc>
        <w:tc>
          <w:tcPr>
            <w:tcW w:w="331" w:type="pct"/>
            <w:vMerge w:val="continue"/>
            <w:tcBorders>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p>
        </w:tc>
        <w:tc>
          <w:tcPr>
            <w:tcW w:w="224" w:type="pct"/>
            <w:vMerge w:val="continue"/>
            <w:tcBorders>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p>
        </w:tc>
        <w:tc>
          <w:tcPr>
            <w:tcW w:w="224" w:type="pct"/>
            <w:vMerge w:val="continue"/>
            <w:tcBorders>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p>
        </w:tc>
        <w:tc>
          <w:tcPr>
            <w:tcW w:w="266" w:type="pct"/>
            <w:tcBorders>
              <w:top w:val="single" w:color="000000" w:sz="4" w:space="0"/>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名称</w:t>
            </w:r>
          </w:p>
        </w:tc>
        <w:tc>
          <w:tcPr>
            <w:tcW w:w="383" w:type="pct"/>
            <w:tcBorders>
              <w:top w:val="single" w:color="000000" w:sz="4" w:space="0"/>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污染物种类</w:t>
            </w:r>
          </w:p>
        </w:tc>
        <w:tc>
          <w:tcPr>
            <w:tcW w:w="857" w:type="pct"/>
            <w:tcBorders>
              <w:top w:val="single" w:color="000000" w:sz="4" w:space="0"/>
              <w:bottom w:val="single" w:color="000000" w:sz="4" w:space="0"/>
            </w:tcBorders>
            <w:vAlign w:val="center"/>
          </w:tcPr>
          <w:p>
            <w:pPr>
              <w:spacing w:line="0" w:lineRule="atLeast"/>
              <w:contextualSpacing/>
              <w:jc w:val="center"/>
              <w:rPr>
                <w:rFonts w:hint="eastAsia"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国家或地方污染物排放标准浓度限值/（mg/L）</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lang w:val="en-US" w:eastAsia="zh-CN"/>
              </w:rPr>
              <w:t>这里是污水厂排放标准</w:t>
            </w:r>
            <w:r>
              <w:rPr>
                <w:rFonts w:hint="eastAsia" w:ascii="Times New Roman" w:hAnsi="Times New Roman" w:eastAsia="宋体" w:cs="Times New Roman"/>
                <w:color w:val="auto"/>
                <w:kern w:val="0"/>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89" w:hRule="atLeast"/>
          <w:jc w:val="center"/>
        </w:trPr>
        <w:tc>
          <w:tcPr>
            <w:tcW w:w="224" w:type="pct"/>
            <w:vMerge w:val="restart"/>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w:t>
            </w:r>
          </w:p>
        </w:tc>
        <w:tc>
          <w:tcPr>
            <w:tcW w:w="463" w:type="pct"/>
            <w:vMerge w:val="restart"/>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DW001</w:t>
            </w:r>
          </w:p>
        </w:tc>
        <w:tc>
          <w:tcPr>
            <w:tcW w:w="748" w:type="pct"/>
            <w:vMerge w:val="restart"/>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127.08883524</w:t>
            </w:r>
          </w:p>
        </w:tc>
        <w:tc>
          <w:tcPr>
            <w:tcW w:w="693" w:type="pct"/>
            <w:vMerge w:val="restart"/>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46.42672088</w:t>
            </w:r>
          </w:p>
        </w:tc>
        <w:tc>
          <w:tcPr>
            <w:tcW w:w="583" w:type="pct"/>
            <w:vMerge w:val="restart"/>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235.09</w:t>
            </w:r>
          </w:p>
        </w:tc>
        <w:tc>
          <w:tcPr>
            <w:tcW w:w="331" w:type="pct"/>
            <w:vMerge w:val="restart"/>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val="en-US" w:eastAsia="zh-CN"/>
              </w:rPr>
              <w:t>兴隆镇</w:t>
            </w:r>
            <w:r>
              <w:rPr>
                <w:rFonts w:hint="default" w:ascii="Times New Roman" w:hAnsi="Times New Roman" w:eastAsia="宋体" w:cs="Times New Roman"/>
                <w:color w:val="auto"/>
                <w:kern w:val="0"/>
                <w:sz w:val="21"/>
                <w:szCs w:val="21"/>
                <w:lang w:eastAsia="zh-CN"/>
              </w:rPr>
              <w:t>污水处理厂</w:t>
            </w:r>
          </w:p>
        </w:tc>
        <w:tc>
          <w:tcPr>
            <w:tcW w:w="224" w:type="pct"/>
            <w:vMerge w:val="restart"/>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224" w:type="pct"/>
            <w:vMerge w:val="restart"/>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266" w:type="pct"/>
            <w:vMerge w:val="restart"/>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val="en-US" w:eastAsia="zh-CN"/>
              </w:rPr>
              <w:t>兴隆镇</w:t>
            </w:r>
            <w:r>
              <w:rPr>
                <w:rFonts w:hint="default" w:ascii="Times New Roman" w:hAnsi="Times New Roman" w:eastAsia="宋体" w:cs="Times New Roman"/>
                <w:color w:val="auto"/>
                <w:kern w:val="0"/>
                <w:sz w:val="21"/>
                <w:szCs w:val="21"/>
                <w:lang w:eastAsia="zh-CN"/>
              </w:rPr>
              <w:t>污水处理厂</w:t>
            </w:r>
          </w:p>
        </w:tc>
        <w:tc>
          <w:tcPr>
            <w:tcW w:w="383" w:type="pct"/>
            <w:tcBorders>
              <w:top w:val="single" w:color="000000" w:sz="4" w:space="0"/>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COD</w:t>
            </w:r>
          </w:p>
        </w:tc>
        <w:tc>
          <w:tcPr>
            <w:tcW w:w="857" w:type="pct"/>
            <w:tcBorders>
              <w:top w:val="single" w:color="000000" w:sz="4" w:space="0"/>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500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89" w:hRule="atLeast"/>
          <w:jc w:val="center"/>
        </w:trPr>
        <w:tc>
          <w:tcPr>
            <w:tcW w:w="224" w:type="pct"/>
            <w:vMerge w:val="continue"/>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463" w:type="pct"/>
            <w:vMerge w:val="continue"/>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748" w:type="pct"/>
            <w:vMerge w:val="continue"/>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693" w:type="pct"/>
            <w:vMerge w:val="continue"/>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583" w:type="pct"/>
            <w:vMerge w:val="continue"/>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331" w:type="pct"/>
            <w:vMerge w:val="continue"/>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24" w:type="pct"/>
            <w:vMerge w:val="continue"/>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24" w:type="pct"/>
            <w:vMerge w:val="continue"/>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66" w:type="pct"/>
            <w:vMerge w:val="continue"/>
            <w:tcBorders>
              <w:top w:val="single" w:color="000000" w:sz="4" w:space="0"/>
              <w:bottom w:val="single" w:color="auto" w:sz="8"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p>
        </w:tc>
        <w:tc>
          <w:tcPr>
            <w:tcW w:w="383" w:type="pct"/>
            <w:tcBorders>
              <w:top w:val="single" w:color="000000" w:sz="4" w:space="0"/>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pH</w:t>
            </w:r>
          </w:p>
        </w:tc>
        <w:tc>
          <w:tcPr>
            <w:tcW w:w="857" w:type="pct"/>
            <w:tcBorders>
              <w:top w:val="single" w:color="000000" w:sz="4" w:space="0"/>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6.0~8.5</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14" w:hRule="atLeast"/>
          <w:jc w:val="center"/>
        </w:trPr>
        <w:tc>
          <w:tcPr>
            <w:tcW w:w="224"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463"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748"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693"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583"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331"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24"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24"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66"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p>
        </w:tc>
        <w:tc>
          <w:tcPr>
            <w:tcW w:w="383" w:type="pct"/>
            <w:tcBorders>
              <w:top w:val="single" w:color="000000" w:sz="4" w:space="0"/>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氨氮</w:t>
            </w:r>
          </w:p>
        </w:tc>
        <w:tc>
          <w:tcPr>
            <w:tcW w:w="857" w:type="pct"/>
            <w:tcBorders>
              <w:top w:val="single" w:color="000000" w:sz="4" w:space="0"/>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14" w:hRule="atLeast"/>
          <w:jc w:val="center"/>
        </w:trPr>
        <w:tc>
          <w:tcPr>
            <w:tcW w:w="224"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463"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748"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693"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583"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331"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24"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24"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66" w:type="pct"/>
            <w:vMerge w:val="continue"/>
            <w:tcBorders>
              <w:top w:val="single" w:color="auto" w:sz="8" w:space="0"/>
              <w:bottom w:val="single" w:color="auto" w:sz="8"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p>
        </w:tc>
        <w:tc>
          <w:tcPr>
            <w:tcW w:w="383" w:type="pct"/>
            <w:tcBorders>
              <w:top w:val="single" w:color="000000" w:sz="4" w:space="0"/>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BOD</w:t>
            </w:r>
            <w:r>
              <w:rPr>
                <w:rFonts w:hint="default" w:ascii="Times New Roman" w:hAnsi="Times New Roman" w:eastAsia="宋体" w:cs="Times New Roman"/>
                <w:color w:val="auto"/>
                <w:kern w:val="0"/>
                <w:sz w:val="21"/>
                <w:szCs w:val="21"/>
                <w:vertAlign w:val="subscript"/>
              </w:rPr>
              <w:t>5</w:t>
            </w:r>
          </w:p>
        </w:tc>
        <w:tc>
          <w:tcPr>
            <w:tcW w:w="857" w:type="pct"/>
            <w:tcBorders>
              <w:top w:val="single" w:color="000000" w:sz="4" w:space="0"/>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300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17" w:hRule="atLeast"/>
          <w:jc w:val="center"/>
        </w:trPr>
        <w:tc>
          <w:tcPr>
            <w:tcW w:w="224"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463"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748"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693"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583"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331"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24"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24"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66"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p>
        </w:tc>
        <w:tc>
          <w:tcPr>
            <w:tcW w:w="383" w:type="pct"/>
            <w:tcBorders>
              <w:top w:val="single" w:color="000000" w:sz="4" w:space="0"/>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SS</w:t>
            </w:r>
          </w:p>
        </w:tc>
        <w:tc>
          <w:tcPr>
            <w:tcW w:w="857" w:type="pct"/>
            <w:tcBorders>
              <w:top w:val="single" w:color="000000" w:sz="4" w:space="0"/>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400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17" w:hRule="atLeast"/>
          <w:jc w:val="center"/>
        </w:trPr>
        <w:tc>
          <w:tcPr>
            <w:tcW w:w="224"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463"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748"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693"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583"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331"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24"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24"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66" w:type="pct"/>
            <w:vMerge w:val="continue"/>
            <w:tcBorders>
              <w:top w:val="single" w:color="auto" w:sz="8"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p>
        </w:tc>
        <w:tc>
          <w:tcPr>
            <w:tcW w:w="383" w:type="pct"/>
            <w:tcBorders>
              <w:top w:val="single" w:color="000000" w:sz="4" w:space="0"/>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动植物油</w:t>
            </w:r>
          </w:p>
        </w:tc>
        <w:tc>
          <w:tcPr>
            <w:tcW w:w="857" w:type="pct"/>
            <w:tcBorders>
              <w:top w:val="single" w:color="000000" w:sz="4" w:space="0"/>
              <w:bottom w:val="single" w:color="000000" w:sz="4" w:space="0"/>
            </w:tcBorders>
            <w:vAlign w:val="center"/>
          </w:tcPr>
          <w:p>
            <w:pPr>
              <w:spacing w:line="0" w:lineRule="atLeast"/>
              <w:contextualSpacing/>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60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17" w:hRule="atLeast"/>
          <w:jc w:val="center"/>
        </w:trPr>
        <w:tc>
          <w:tcPr>
            <w:tcW w:w="224" w:type="pct"/>
            <w:vMerge w:val="continue"/>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463" w:type="pct"/>
            <w:vMerge w:val="continue"/>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748" w:type="pct"/>
            <w:vMerge w:val="continue"/>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693" w:type="pct"/>
            <w:vMerge w:val="continue"/>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583" w:type="pct"/>
            <w:vMerge w:val="continue"/>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331" w:type="pct"/>
            <w:vMerge w:val="continue"/>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24" w:type="pct"/>
            <w:vMerge w:val="continue"/>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24" w:type="pct"/>
            <w:vMerge w:val="continue"/>
            <w:vAlign w:val="center"/>
          </w:tcPr>
          <w:p>
            <w:pPr>
              <w:spacing w:line="0" w:lineRule="atLeast"/>
              <w:contextualSpacing/>
              <w:jc w:val="center"/>
              <w:rPr>
                <w:rFonts w:hint="default" w:ascii="Times New Roman" w:hAnsi="Times New Roman" w:eastAsia="宋体" w:cs="Times New Roman"/>
                <w:color w:val="FF0000"/>
                <w:kern w:val="0"/>
                <w:sz w:val="21"/>
                <w:szCs w:val="21"/>
              </w:rPr>
            </w:pPr>
          </w:p>
        </w:tc>
        <w:tc>
          <w:tcPr>
            <w:tcW w:w="266" w:type="pct"/>
            <w:vMerge w:val="continue"/>
            <w:vAlign w:val="center"/>
          </w:tcPr>
          <w:p>
            <w:pPr>
              <w:spacing w:line="0" w:lineRule="atLeast"/>
              <w:contextualSpacing/>
              <w:jc w:val="center"/>
              <w:rPr>
                <w:rFonts w:hint="default" w:ascii="Times New Roman" w:hAnsi="Times New Roman" w:eastAsia="宋体" w:cs="Times New Roman"/>
                <w:color w:val="auto"/>
                <w:kern w:val="0"/>
                <w:sz w:val="21"/>
                <w:szCs w:val="21"/>
              </w:rPr>
            </w:pPr>
          </w:p>
        </w:tc>
        <w:tc>
          <w:tcPr>
            <w:tcW w:w="383" w:type="pct"/>
            <w:tcBorders>
              <w:top w:val="single" w:color="000000" w:sz="4" w:space="0"/>
              <w:bottom w:val="single" w:color="auto" w:sz="12" w:space="0"/>
            </w:tcBorders>
            <w:vAlign w:val="center"/>
          </w:tcPr>
          <w:p>
            <w:pPr>
              <w:spacing w:line="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大肠菌群数（个/L）</w:t>
            </w:r>
          </w:p>
        </w:tc>
        <w:tc>
          <w:tcPr>
            <w:tcW w:w="857" w:type="pct"/>
            <w:tcBorders>
              <w:top w:val="single" w:color="000000" w:sz="4" w:space="0"/>
              <w:bottom w:val="single" w:color="auto" w:sz="12" w:space="0"/>
            </w:tcBorders>
            <w:vAlign w:val="center"/>
          </w:tcPr>
          <w:p>
            <w:pPr>
              <w:spacing w:line="0" w:lineRule="atLeast"/>
              <w:contextualSpacing/>
              <w:jc w:val="center"/>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val="en-US" w:eastAsia="zh-CN"/>
              </w:rPr>
              <w:t>-</w:t>
            </w:r>
          </w:p>
        </w:tc>
      </w:tr>
    </w:tbl>
    <w:p>
      <w:pPr>
        <w:bidi w:val="0"/>
        <w:rPr>
          <w:rFonts w:hint="default" w:ascii="Times New Roman" w:hAnsi="Times New Roman" w:cs="Times New Roma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2" w:firstLineChars="200"/>
        <w:jc w:val="both"/>
        <w:textAlignment w:val="baseline"/>
        <w:outlineLvl w:val="1"/>
        <w:rPr>
          <w:rFonts w:hint="default" w:ascii="Times New Roman" w:hAnsi="Times New Roman" w:eastAsia="宋体" w:cs="Times New Roman"/>
          <w:sz w:val="24"/>
          <w:szCs w:val="24"/>
          <w:highlight w:val="none"/>
          <w:lang w:val="en-US" w:eastAsia="zh-CN"/>
        </w:rPr>
      </w:pPr>
      <w:bookmarkStart w:id="329" w:name="_Toc32271"/>
      <w:bookmarkStart w:id="330" w:name="_Toc15341"/>
      <w:r>
        <w:rPr>
          <w:rFonts w:hint="default" w:ascii="Times New Roman" w:hAnsi="Times New Roman" w:eastAsia="宋体" w:cs="Times New Roman"/>
          <w:b/>
          <w:snapToGrid w:val="0"/>
          <w:color w:val="auto"/>
          <w:kern w:val="0"/>
          <w:sz w:val="24"/>
          <w:szCs w:val="24"/>
          <w:lang w:eastAsia="zh-CN"/>
        </w:rPr>
        <w:fldChar w:fldCharType="begin"/>
      </w:r>
      <w:r>
        <w:rPr>
          <w:rFonts w:hint="default" w:ascii="Times New Roman" w:hAnsi="Times New Roman" w:eastAsia="宋体" w:cs="Times New Roman"/>
          <w:b/>
          <w:snapToGrid w:val="0"/>
          <w:color w:val="auto"/>
          <w:kern w:val="0"/>
          <w:sz w:val="24"/>
          <w:szCs w:val="24"/>
          <w:lang w:eastAsia="zh-CN"/>
        </w:rPr>
        <w:instrText xml:space="preserve"> HYPERLINK "5.2.2.2" </w:instrText>
      </w:r>
      <w:r>
        <w:rPr>
          <w:rFonts w:hint="default" w:ascii="Times New Roman" w:hAnsi="Times New Roman" w:eastAsia="宋体" w:cs="Times New Roman"/>
          <w:b/>
          <w:snapToGrid w:val="0"/>
          <w:color w:val="auto"/>
          <w:kern w:val="0"/>
          <w:sz w:val="24"/>
          <w:szCs w:val="24"/>
          <w:lang w:eastAsia="zh-CN"/>
        </w:rPr>
        <w:fldChar w:fldCharType="separate"/>
      </w:r>
      <w:r>
        <w:rPr>
          <w:rFonts w:hint="default" w:ascii="Times New Roman" w:hAnsi="Times New Roman" w:eastAsia="宋体" w:cs="Times New Roman"/>
          <w:b/>
          <w:snapToGrid w:val="0"/>
          <w:color w:val="auto"/>
          <w:kern w:val="0"/>
          <w:sz w:val="24"/>
          <w:szCs w:val="24"/>
          <w:lang w:eastAsia="zh-CN"/>
        </w:rPr>
        <w:t>5.2.2.2</w:t>
      </w:r>
      <w:r>
        <w:rPr>
          <w:rFonts w:hint="default" w:ascii="Times New Roman" w:hAnsi="Times New Roman" w:eastAsia="宋体" w:cs="Times New Roman"/>
          <w:b/>
          <w:snapToGrid w:val="0"/>
          <w:color w:val="auto"/>
          <w:kern w:val="0"/>
          <w:sz w:val="24"/>
          <w:szCs w:val="24"/>
          <w:lang w:eastAsia="zh-CN"/>
        </w:rPr>
        <w:fldChar w:fldCharType="end"/>
      </w:r>
      <w:r>
        <w:rPr>
          <w:rFonts w:hint="default" w:ascii="Times New Roman" w:hAnsi="Times New Roman" w:eastAsia="宋体" w:cs="Times New Roman"/>
          <w:b/>
          <w:snapToGrid w:val="0"/>
          <w:color w:val="auto"/>
          <w:kern w:val="0"/>
          <w:sz w:val="24"/>
          <w:szCs w:val="24"/>
          <w:lang w:eastAsia="zh-CN"/>
        </w:rPr>
        <w:t xml:space="preserve">  </w:t>
      </w:r>
      <w:r>
        <w:rPr>
          <w:rFonts w:hint="default" w:ascii="Times New Roman" w:hAnsi="Times New Roman" w:eastAsia="宋体" w:cs="Times New Roman"/>
          <w:b/>
          <w:snapToGrid w:val="0"/>
          <w:color w:val="auto"/>
          <w:kern w:val="0"/>
          <w:sz w:val="24"/>
          <w:szCs w:val="24"/>
          <w:lang w:val="en-US" w:eastAsia="zh-CN"/>
        </w:rPr>
        <w:t>地下水环境影响预测分析</w:t>
      </w:r>
      <w:bookmarkEnd w:id="329"/>
      <w:bookmarkEnd w:id="330"/>
    </w:p>
    <w:p>
      <w:pPr>
        <w:keepNext w:val="0"/>
        <w:keepLines w:val="0"/>
        <w:pageBreakBefore w:val="0"/>
        <w:widowControl/>
        <w:kinsoku w:val="0"/>
        <w:wordWrap/>
        <w:overflowPunct/>
        <w:topLinePunct w:val="0"/>
        <w:autoSpaceDE w:val="0"/>
        <w:autoSpaceDN w:val="0"/>
        <w:bidi w:val="0"/>
        <w:spacing w:line="360" w:lineRule="auto"/>
        <w:ind w:firstLine="480" w:firstLineChars="200"/>
        <w:contextualSpacing/>
        <w:jc w:val="both"/>
        <w:textAlignment w:val="baseline"/>
        <w:outlineLvl w:val="0"/>
        <w:rPr>
          <w:rFonts w:hint="eastAsia" w:ascii="Times New Roman" w:hAnsi="Times New Roman" w:eastAsia="宋体" w:cs="Times New Roman"/>
          <w:color w:val="auto"/>
          <w:sz w:val="24"/>
          <w:highlight w:val="magenta"/>
          <w:lang w:eastAsia="zh-CN"/>
        </w:rPr>
      </w:pPr>
      <w:bookmarkStart w:id="331" w:name="_Toc10325"/>
      <w:bookmarkStart w:id="332" w:name="_Toc17557"/>
      <w:r>
        <w:rPr>
          <w:rFonts w:hint="default" w:ascii="Times New Roman" w:hAnsi="Times New Roman" w:cs="Times New Roman"/>
          <w:color w:val="auto"/>
          <w:sz w:val="24"/>
        </w:rPr>
        <w:t>1、预测范围</w:t>
      </w:r>
      <w:bookmarkEnd w:id="331"/>
      <w:bookmarkEnd w:id="332"/>
    </w:p>
    <w:p>
      <w:pPr>
        <w:keepNext w:val="0"/>
        <w:keepLines w:val="0"/>
        <w:pageBreakBefore w:val="0"/>
        <w:widowControl/>
        <w:kinsoku w:val="0"/>
        <w:wordWrap/>
        <w:overflowPunct/>
        <w:topLinePunct w:val="0"/>
        <w:autoSpaceDE w:val="0"/>
        <w:autoSpaceDN w:val="0"/>
        <w:bidi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根据《环境影响评价技术导则地下水环境》（HJ610-2016）的要求，本次地下水环境影响评价预测范围与地下水现状调查范围一致，即：项目所在区域</w:t>
      </w:r>
      <w:r>
        <w:rPr>
          <w:rFonts w:hint="default" w:ascii="Times New Roman" w:hAnsi="Times New Roman" w:cs="Times New Roman"/>
          <w:color w:val="auto"/>
          <w:sz w:val="24"/>
          <w:lang w:val="en-US" w:eastAsia="zh-CN"/>
        </w:rPr>
        <w:t>6</w:t>
      </w:r>
      <w:r>
        <w:rPr>
          <w:rFonts w:hint="default" w:ascii="Times New Roman" w:hAnsi="Times New Roman" w:cs="Times New Roman"/>
          <w:color w:val="auto"/>
          <w:sz w:val="24"/>
        </w:rPr>
        <w:t>km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（边界上游</w:t>
      </w:r>
      <w:r>
        <w:rPr>
          <w:rFonts w:hint="default" w:ascii="Times New Roman" w:hAnsi="Times New Roman" w:cs="Times New Roman"/>
          <w:color w:val="auto"/>
          <w:sz w:val="24"/>
          <w:lang w:val="en-US" w:eastAsia="zh-CN"/>
        </w:rPr>
        <w:t>15</w:t>
      </w:r>
      <w:r>
        <w:rPr>
          <w:rFonts w:hint="default" w:ascii="Times New Roman" w:hAnsi="Times New Roman" w:cs="Times New Roman"/>
          <w:color w:val="auto"/>
          <w:sz w:val="24"/>
        </w:rPr>
        <w:t>00m、下游</w:t>
      </w:r>
      <w:r>
        <w:rPr>
          <w:rFonts w:hint="default" w:ascii="Times New Roman" w:hAnsi="Times New Roman" w:cs="Times New Roman"/>
          <w:color w:val="auto"/>
          <w:sz w:val="24"/>
          <w:lang w:val="en-US" w:eastAsia="zh-CN"/>
        </w:rPr>
        <w:t>1500</w:t>
      </w:r>
      <w:r>
        <w:rPr>
          <w:rFonts w:hint="default" w:ascii="Times New Roman" w:hAnsi="Times New Roman" w:cs="Times New Roman"/>
          <w:color w:val="auto"/>
          <w:sz w:val="24"/>
        </w:rPr>
        <w:t>m，左侧1000m，右侧1000m范围的多边形）范围内。预测层位为地下水的潜水层。</w:t>
      </w:r>
    </w:p>
    <w:p>
      <w:pPr>
        <w:keepNext w:val="0"/>
        <w:keepLines w:val="0"/>
        <w:pageBreakBefore w:val="0"/>
        <w:widowControl/>
        <w:kinsoku w:val="0"/>
        <w:wordWrap/>
        <w:overflowPunct/>
        <w:topLinePunct w:val="0"/>
        <w:autoSpaceDE w:val="0"/>
        <w:autoSpaceDN w:val="0"/>
        <w:bidi w:val="0"/>
        <w:spacing w:line="360" w:lineRule="auto"/>
        <w:ind w:firstLine="480" w:firstLineChars="200"/>
        <w:contextualSpacing/>
        <w:jc w:val="both"/>
        <w:textAlignment w:val="baseline"/>
        <w:outlineLvl w:val="0"/>
        <w:rPr>
          <w:rFonts w:hint="default" w:ascii="Times New Roman" w:hAnsi="Times New Roman" w:cs="Times New Roman"/>
          <w:color w:val="auto"/>
          <w:sz w:val="24"/>
        </w:rPr>
      </w:pPr>
      <w:bookmarkStart w:id="333" w:name="_Toc32707"/>
      <w:bookmarkStart w:id="334" w:name="_Toc26669"/>
      <w:r>
        <w:rPr>
          <w:rFonts w:hint="default" w:ascii="Times New Roman" w:hAnsi="Times New Roman" w:cs="Times New Roman"/>
          <w:color w:val="auto"/>
          <w:sz w:val="24"/>
        </w:rPr>
        <w:t>2、预测时段</w:t>
      </w:r>
      <w:bookmarkEnd w:id="333"/>
      <w:bookmarkEnd w:id="334"/>
    </w:p>
    <w:p>
      <w:pPr>
        <w:keepNext w:val="0"/>
        <w:keepLines w:val="0"/>
        <w:pageBreakBefore w:val="0"/>
        <w:widowControl/>
        <w:kinsoku w:val="0"/>
        <w:wordWrap/>
        <w:overflowPunct/>
        <w:topLinePunct w:val="0"/>
        <w:autoSpaceDE w:val="0"/>
        <w:autoSpaceDN w:val="0"/>
        <w:bidi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结合地下水跟踪监测的频率（1次/年），预测时段设定为发生泄漏后的100天、1000天、20年（服务年限）。</w:t>
      </w:r>
    </w:p>
    <w:p>
      <w:pPr>
        <w:keepNext w:val="0"/>
        <w:keepLines w:val="0"/>
        <w:pageBreakBefore w:val="0"/>
        <w:widowControl/>
        <w:kinsoku w:val="0"/>
        <w:wordWrap/>
        <w:overflowPunct/>
        <w:topLinePunct w:val="0"/>
        <w:autoSpaceDE w:val="0"/>
        <w:autoSpaceDN w:val="0"/>
        <w:bidi w:val="0"/>
        <w:spacing w:line="360" w:lineRule="auto"/>
        <w:ind w:firstLine="480" w:firstLineChars="200"/>
        <w:contextualSpacing/>
        <w:jc w:val="both"/>
        <w:textAlignment w:val="baseline"/>
        <w:outlineLvl w:val="0"/>
        <w:rPr>
          <w:rFonts w:hint="default" w:ascii="Times New Roman" w:hAnsi="Times New Roman" w:cs="Times New Roman"/>
          <w:color w:val="auto"/>
          <w:sz w:val="24"/>
        </w:rPr>
      </w:pPr>
      <w:bookmarkStart w:id="335" w:name="_Toc28695"/>
      <w:bookmarkStart w:id="336" w:name="_Toc16745"/>
      <w:r>
        <w:rPr>
          <w:rFonts w:hint="default" w:ascii="Times New Roman" w:hAnsi="Times New Roman" w:cs="Times New Roman"/>
          <w:color w:val="auto"/>
          <w:sz w:val="24"/>
        </w:rPr>
        <w:t>3、情景设置</w:t>
      </w:r>
      <w:bookmarkEnd w:id="335"/>
      <w:bookmarkEnd w:id="336"/>
    </w:p>
    <w:p>
      <w:pPr>
        <w:keepNext w:val="0"/>
        <w:keepLines w:val="0"/>
        <w:pageBreakBefore w:val="0"/>
        <w:widowControl/>
        <w:kinsoku w:val="0"/>
        <w:wordWrap/>
        <w:overflowPunct/>
        <w:topLinePunct w:val="0"/>
        <w:autoSpaceDE w:val="0"/>
        <w:autoSpaceDN w:val="0"/>
        <w:bidi w:val="0"/>
        <w:spacing w:line="360" w:lineRule="auto"/>
        <w:ind w:firstLine="480" w:firstLineChars="200"/>
        <w:jc w:val="both"/>
        <w:textAlignment w:val="baseline"/>
        <w:outlineLvl w:val="1"/>
        <w:rPr>
          <w:rFonts w:hint="default" w:ascii="Times New Roman" w:hAnsi="Times New Roman" w:cs="Times New Roman"/>
          <w:color w:val="auto"/>
          <w:sz w:val="24"/>
        </w:rPr>
      </w:pPr>
      <w:bookmarkStart w:id="337" w:name="_Toc9298"/>
      <w:bookmarkStart w:id="338" w:name="_Toc14261"/>
      <w:r>
        <w:rPr>
          <w:rFonts w:hint="default" w:ascii="Times New Roman" w:hAnsi="Times New Roman" w:cs="Times New Roman"/>
          <w:color w:val="auto"/>
          <w:sz w:val="24"/>
        </w:rPr>
        <w:t>（1）运营期正常工况下地下水环境影响分析</w:t>
      </w:r>
      <w:bookmarkEnd w:id="337"/>
      <w:bookmarkEnd w:id="338"/>
    </w:p>
    <w:p>
      <w:pPr>
        <w:keepNext w:val="0"/>
        <w:keepLines w:val="0"/>
        <w:pageBreakBefore w:val="0"/>
        <w:widowControl/>
        <w:kinsoku w:val="0"/>
        <w:wordWrap/>
        <w:overflowPunct/>
        <w:topLinePunct w:val="0"/>
        <w:autoSpaceDE w:val="0"/>
        <w:autoSpaceDN w:val="0"/>
        <w:bidi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本项目污水处理站</w:t>
      </w:r>
      <w:r>
        <w:rPr>
          <w:rFonts w:hint="eastAsia" w:ascii="Times New Roman" w:hAnsi="Times New Roman" w:eastAsia="宋体" w:cs="Times New Roman"/>
          <w:color w:val="auto"/>
          <w:sz w:val="24"/>
          <w:lang w:val="en-US" w:eastAsia="zh-CN"/>
        </w:rPr>
        <w:t>沉淀池</w:t>
      </w:r>
      <w:r>
        <w:rPr>
          <w:rFonts w:hint="default" w:ascii="Times New Roman" w:hAnsi="Times New Roman" w:cs="Times New Roman"/>
          <w:color w:val="auto"/>
          <w:sz w:val="24"/>
        </w:rPr>
        <w:t>可能存在污染因子入渗而影响地下水的可能，在按照《给水排水工程构筑物结构设计规范》（GB50069-2002）中有关防渗要求构筑前提下，认真落实报告书中提出的地下水污染防治措施的基础上，项目运行期间产生的废水不会渗入地下，不会对地下水产生影响。</w:t>
      </w:r>
    </w:p>
    <w:p>
      <w:pPr>
        <w:keepNext w:val="0"/>
        <w:keepLines w:val="0"/>
        <w:pageBreakBefore w:val="0"/>
        <w:widowControl/>
        <w:kinsoku w:val="0"/>
        <w:wordWrap/>
        <w:overflowPunct/>
        <w:topLinePunct w:val="0"/>
        <w:autoSpaceDE w:val="0"/>
        <w:autoSpaceDN w:val="0"/>
        <w:bidi w:val="0"/>
        <w:spacing w:line="360" w:lineRule="auto"/>
        <w:ind w:firstLine="480" w:firstLineChars="200"/>
        <w:jc w:val="both"/>
        <w:textAlignment w:val="baseline"/>
        <w:outlineLvl w:val="1"/>
        <w:rPr>
          <w:rFonts w:hint="default" w:ascii="Times New Roman" w:hAnsi="Times New Roman" w:cs="Times New Roman"/>
          <w:color w:val="auto"/>
          <w:sz w:val="24"/>
        </w:rPr>
      </w:pPr>
      <w:bookmarkStart w:id="339" w:name="_Toc16310"/>
      <w:bookmarkStart w:id="340" w:name="_Toc25019"/>
      <w:r>
        <w:rPr>
          <w:rFonts w:hint="default" w:ascii="Times New Roman" w:hAnsi="Times New Roman" w:cs="Times New Roman"/>
          <w:color w:val="auto"/>
          <w:sz w:val="24"/>
        </w:rPr>
        <w:t>（2）运营期非正常工况下地下水环境影响预测</w:t>
      </w:r>
      <w:bookmarkEnd w:id="339"/>
      <w:bookmarkEnd w:id="340"/>
    </w:p>
    <w:p>
      <w:pPr>
        <w:keepNext w:val="0"/>
        <w:keepLines w:val="0"/>
        <w:pageBreakBefore w:val="0"/>
        <w:widowControl/>
        <w:kinsoku w:val="0"/>
        <w:wordWrap/>
        <w:overflowPunct/>
        <w:topLinePunct w:val="0"/>
        <w:autoSpaceDE w:val="0"/>
        <w:autoSpaceDN w:val="0"/>
        <w:bidi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非正常工况是指违反操作规程和有关规定或由于工艺设备或地下水环境保护措施因系统老化或腐蚀，使正常生产秩序被破坏，造成环境污染的状态。污染来源于埋在地下不可视部分的破损、管线泄漏等。</w:t>
      </w:r>
    </w:p>
    <w:p>
      <w:pPr>
        <w:pStyle w:val="45"/>
        <w:keepNext w:val="0"/>
        <w:keepLines w:val="0"/>
        <w:pageBreakBefore w:val="0"/>
        <w:widowControl/>
        <w:kinsoku w:val="0"/>
        <w:wordWrap/>
        <w:overflowPunct/>
        <w:topLinePunct w:val="0"/>
        <w:autoSpaceDE w:val="0"/>
        <w:autoSpaceDN w:val="0"/>
        <w:bidi w:val="0"/>
        <w:adjustRightInd/>
        <w:snapToGrid/>
        <w:spacing w:line="360" w:lineRule="auto"/>
        <w:jc w:val="both"/>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①泄漏点的设定</w:t>
      </w:r>
    </w:p>
    <w:p>
      <w:pPr>
        <w:pStyle w:val="30"/>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综合考虑本工程特性及平面布置，非正常状况主要考虑污水处理站</w:t>
      </w:r>
      <w:r>
        <w:rPr>
          <w:rFonts w:hint="eastAsia" w:ascii="Times New Roman" w:hAnsi="Times New Roman" w:eastAsia="宋体" w:cs="Times New Roman"/>
          <w:color w:val="auto"/>
          <w:lang w:val="en-US" w:eastAsia="zh-CN"/>
        </w:rPr>
        <w:t>沉淀</w:t>
      </w:r>
      <w:r>
        <w:rPr>
          <w:rFonts w:hint="default" w:ascii="Times New Roman" w:hAnsi="Times New Roman" w:eastAsia="宋体" w:cs="Times New Roman"/>
          <w:color w:val="auto"/>
        </w:rPr>
        <w:t>池渗漏</w:t>
      </w:r>
      <w:r>
        <w:rPr>
          <w:rFonts w:hint="eastAsia" w:ascii="Times New Roman" w:hAnsi="Times New Roman" w:eastAsia="宋体" w:cs="Times New Roman"/>
          <w:color w:val="auto"/>
          <w:lang w:val="en-US" w:eastAsia="zh-CN"/>
        </w:rPr>
        <w:t>以及柴油储罐泄露</w:t>
      </w:r>
      <w:r>
        <w:rPr>
          <w:rFonts w:hint="default" w:ascii="Times New Roman" w:hAnsi="Times New Roman" w:eastAsia="宋体" w:cs="Times New Roman"/>
          <w:color w:val="auto"/>
        </w:rPr>
        <w:t>情景，本项目</w:t>
      </w:r>
      <w:r>
        <w:rPr>
          <w:rFonts w:hint="eastAsia" w:ascii="Times New Roman" w:hAnsi="Times New Roman" w:cs="Times New Roman"/>
          <w:color w:val="auto"/>
          <w:lang w:val="en-US" w:eastAsia="zh-CN"/>
        </w:rPr>
        <w:t>产生的</w:t>
      </w:r>
      <w:r>
        <w:rPr>
          <w:rFonts w:hint="default" w:ascii="Times New Roman" w:hAnsi="Times New Roman" w:eastAsia="宋体" w:cs="Times New Roman"/>
          <w:color w:val="auto"/>
        </w:rPr>
        <w:t>废水经厂区污水处理站</w:t>
      </w:r>
      <w:r>
        <w:rPr>
          <w:rFonts w:hint="eastAsia" w:ascii="Times New Roman" w:hAnsi="Times New Roman" w:cs="Times New Roman"/>
          <w:color w:val="auto"/>
          <w:lang w:eastAsia="zh-CN"/>
        </w:rPr>
        <w:t>（</w:t>
      </w:r>
      <w:r>
        <w:rPr>
          <w:rFonts w:hint="default" w:ascii="Times New Roman" w:hAnsi="Times New Roman" w:eastAsia="宋体" w:cs="Times New Roman"/>
          <w:color w:val="auto"/>
          <w:kern w:val="21"/>
          <w:sz w:val="24"/>
          <w:szCs w:val="24"/>
          <w:highlight w:val="none"/>
          <w:u w:val="none"/>
          <w:lang w:val="en-US" w:eastAsia="zh-CN" w:bidi="ar-SA"/>
        </w:rPr>
        <w:t>沉淀池+气浮池+调节池+水解酸化+好氧生物池+MBR膜池+污泥消化池+消毒工艺处</w:t>
      </w:r>
      <w:r>
        <w:rPr>
          <w:rFonts w:hint="eastAsia" w:ascii="Times New Roman" w:hAnsi="Times New Roman" w:cs="Times New Roman"/>
          <w:color w:val="auto"/>
          <w:lang w:eastAsia="zh-CN"/>
        </w:rPr>
        <w:t>），</w:t>
      </w:r>
      <w:r>
        <w:rPr>
          <w:rFonts w:hint="default" w:ascii="Times New Roman" w:hAnsi="Times New Roman" w:eastAsia="宋体" w:cs="Times New Roman"/>
          <w:color w:val="auto"/>
          <w:kern w:val="21"/>
          <w:sz w:val="24"/>
          <w:szCs w:val="24"/>
          <w:highlight w:val="none"/>
          <w:u w:val="none"/>
          <w:lang w:val="en-US" w:eastAsia="zh-CN" w:bidi="ar-SA"/>
        </w:rPr>
        <w:t>处理后的废水满足《肉类加工工业水污染物排放标准》</w:t>
      </w:r>
      <w:r>
        <w:rPr>
          <w:rFonts w:hint="default" w:ascii="Times New Roman" w:hAnsi="Times New Roman" w:eastAsia="宋体" w:cs="Times New Roman"/>
          <w:color w:val="auto"/>
          <w:sz w:val="24"/>
        </w:rPr>
        <w:t>（GB13457-92）表3</w:t>
      </w:r>
      <w:r>
        <w:rPr>
          <w:rFonts w:hint="default" w:ascii="Times New Roman" w:hAnsi="Times New Roman" w:eastAsia="宋体" w:cs="Times New Roman"/>
          <w:color w:val="auto"/>
          <w:kern w:val="21"/>
          <w:sz w:val="24"/>
          <w:szCs w:val="24"/>
          <w:highlight w:val="none"/>
          <w:u w:val="none"/>
          <w:lang w:val="en-US" w:eastAsia="zh-CN" w:bidi="ar-SA"/>
        </w:rPr>
        <w:t>中畜类屠宰加工及肉制品加工三级标准及兴隆镇污水处理厂设计进水水质指标的要求后排入兴隆镇污水处理厂处理，</w:t>
      </w:r>
      <w:r>
        <w:rPr>
          <w:rFonts w:hint="eastAsia" w:ascii="Times New Roman" w:hAnsi="Times New Roman" w:eastAsia="宋体" w:cs="Times New Roman"/>
          <w:color w:val="auto"/>
          <w:kern w:val="21"/>
          <w:sz w:val="24"/>
          <w:szCs w:val="24"/>
          <w:highlight w:val="none"/>
          <w:u w:val="none"/>
          <w:lang w:val="en-US" w:eastAsia="zh-CN" w:bidi="ar-SA"/>
        </w:rPr>
        <w:t>排入泥河</w:t>
      </w:r>
      <w:r>
        <w:rPr>
          <w:rFonts w:hint="default" w:ascii="Times New Roman" w:hAnsi="Times New Roman" w:eastAsia="宋体" w:cs="Times New Roman"/>
          <w:color w:val="auto"/>
          <w:kern w:val="21"/>
          <w:sz w:val="24"/>
          <w:szCs w:val="24"/>
          <w:highlight w:val="none"/>
          <w:u w:val="none"/>
          <w:lang w:val="en-US" w:eastAsia="zh-CN" w:bidi="ar-SA"/>
        </w:rPr>
        <w:t>。</w:t>
      </w:r>
      <w:r>
        <w:rPr>
          <w:rFonts w:hint="default" w:ascii="Times New Roman" w:hAnsi="Times New Roman" w:eastAsia="宋体" w:cs="Times New Roman"/>
          <w:color w:val="auto"/>
        </w:rPr>
        <w:t>因此选择源强最大的主要污染源污水处理站</w:t>
      </w:r>
      <w:r>
        <w:rPr>
          <w:rFonts w:hint="eastAsia" w:ascii="Times New Roman" w:hAnsi="Times New Roman" w:eastAsia="宋体" w:cs="Times New Roman"/>
          <w:color w:val="auto"/>
          <w:lang w:val="en-US" w:eastAsia="zh-CN"/>
        </w:rPr>
        <w:t>沉淀</w:t>
      </w:r>
      <w:r>
        <w:rPr>
          <w:rFonts w:hint="default" w:ascii="Times New Roman" w:hAnsi="Times New Roman" w:eastAsia="宋体" w:cs="Times New Roman"/>
          <w:color w:val="auto"/>
        </w:rPr>
        <w:t>池进行非正常状况地下水环境影响预测评价。</w:t>
      </w:r>
    </w:p>
    <w:p>
      <w:pPr>
        <w:keepNext w:val="0"/>
        <w:keepLines w:val="0"/>
        <w:pageBreakBefore w:val="0"/>
        <w:widowControl/>
        <w:kinsoku w:val="0"/>
        <w:wordWrap/>
        <w:overflowPunct/>
        <w:topLinePunct w:val="0"/>
        <w:autoSpaceDE w:val="0"/>
        <w:autoSpaceDN w:val="0"/>
        <w:bidi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②预测因子</w:t>
      </w:r>
    </w:p>
    <w:p>
      <w:pPr>
        <w:keepNext w:val="0"/>
        <w:keepLines w:val="0"/>
        <w:pageBreakBefore w:val="0"/>
        <w:widowControl/>
        <w:kinsoku w:val="0"/>
        <w:wordWrap/>
        <w:overflowPunct/>
        <w:topLinePunct w:val="0"/>
        <w:autoSpaceDE w:val="0"/>
        <w:autoSpaceDN w:val="0"/>
        <w:bidi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本项目不涉及重金属，污水中主要污染物因子为COD、氨氮，选取COD和氨氮为预测因子。</w:t>
      </w:r>
    </w:p>
    <w:p>
      <w:pPr>
        <w:ind w:firstLine="425" w:firstLineChars="177"/>
        <w:jc w:val="center"/>
        <w:rPr>
          <w:rFonts w:hint="default" w:ascii="Times New Roman" w:hAnsi="Times New Roman" w:cs="Times New Roman"/>
          <w:b/>
          <w:color w:val="auto"/>
          <w:kern w:val="0"/>
          <w:sz w:val="24"/>
        </w:rPr>
      </w:pPr>
      <w:r>
        <w:rPr>
          <w:rFonts w:hint="default" w:ascii="Times New Roman" w:hAnsi="Times New Roman" w:cs="Times New Roman"/>
          <w:b/>
          <w:color w:val="auto"/>
          <w:kern w:val="0"/>
          <w:sz w:val="24"/>
        </w:rPr>
        <w:t>表5-2-1</w:t>
      </w:r>
      <w:r>
        <w:rPr>
          <w:rFonts w:hint="default" w:ascii="Times New Roman" w:hAnsi="Times New Roman" w:cs="Times New Roman"/>
          <w:b/>
          <w:color w:val="auto"/>
          <w:kern w:val="0"/>
          <w:sz w:val="24"/>
          <w:lang w:val="en-US" w:eastAsia="zh-CN"/>
        </w:rPr>
        <w:t>8</w:t>
      </w:r>
      <w:r>
        <w:rPr>
          <w:rFonts w:hint="default" w:ascii="Times New Roman" w:hAnsi="Times New Roman" w:cs="Times New Roman"/>
          <w:b/>
          <w:color w:val="auto"/>
          <w:kern w:val="0"/>
          <w:sz w:val="24"/>
        </w:rPr>
        <w:t>预测因子源强、标准限值及最低检出限</w:t>
      </w:r>
    </w:p>
    <w:tbl>
      <w:tblPr>
        <w:tblStyle w:val="24"/>
        <w:tblW w:w="0" w:type="auto"/>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160"/>
        <w:gridCol w:w="2160"/>
        <w:gridCol w:w="1459"/>
        <w:gridCol w:w="1150"/>
        <w:gridCol w:w="1358"/>
      </w:tblGrid>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 w:hRule="atLeast"/>
          <w:jc w:val="center"/>
        </w:trPr>
        <w:tc>
          <w:tcPr>
            <w:tcW w:w="2160" w:type="dxa"/>
            <w:tcBorders>
              <w:tl2br w:val="nil"/>
              <w:tr2bl w:val="nil"/>
            </w:tcBorders>
            <w:vAlign w:val="center"/>
          </w:tcPr>
          <w:p>
            <w:pPr>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预测单元</w:t>
            </w:r>
          </w:p>
        </w:tc>
        <w:tc>
          <w:tcPr>
            <w:tcW w:w="2160" w:type="dxa"/>
            <w:tcBorders>
              <w:tl2br w:val="nil"/>
              <w:tr2bl w:val="nil"/>
            </w:tcBorders>
            <w:vAlign w:val="center"/>
          </w:tcPr>
          <w:p>
            <w:pPr>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主要污染因子</w:t>
            </w:r>
          </w:p>
        </w:tc>
        <w:tc>
          <w:tcPr>
            <w:tcW w:w="1459" w:type="dxa"/>
            <w:tcBorders>
              <w:tl2br w:val="nil"/>
              <w:tr2bl w:val="nil"/>
            </w:tcBorders>
            <w:vAlign w:val="center"/>
          </w:tcPr>
          <w:p>
            <w:pPr>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泄漏浓度</w:t>
            </w:r>
          </w:p>
        </w:tc>
        <w:tc>
          <w:tcPr>
            <w:tcW w:w="1150" w:type="dxa"/>
            <w:tcBorders>
              <w:tl2br w:val="nil"/>
              <w:tr2bl w:val="nil"/>
            </w:tcBorders>
            <w:vAlign w:val="center"/>
          </w:tcPr>
          <w:p>
            <w:pPr>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标准限值</w:t>
            </w:r>
          </w:p>
        </w:tc>
        <w:tc>
          <w:tcPr>
            <w:tcW w:w="1358" w:type="dxa"/>
            <w:tcBorders>
              <w:tl2br w:val="nil"/>
              <w:tr2bl w:val="nil"/>
            </w:tcBorders>
          </w:tcPr>
          <w:p>
            <w:pPr>
              <w:contextualSpacing/>
              <w:jc w:val="center"/>
              <w:rPr>
                <w:rFonts w:hint="default" w:ascii="Times New Roman" w:hAnsi="Times New Roman" w:cs="Times New Roman"/>
                <w:color w:val="auto"/>
                <w:szCs w:val="21"/>
              </w:rPr>
            </w:pPr>
            <w:r>
              <w:rPr>
                <w:rFonts w:hint="default" w:ascii="Times New Roman" w:hAnsi="Times New Roman" w:cs="Times New Roman"/>
                <w:snapToGrid w:val="0"/>
                <w:color w:val="auto"/>
              </w:rPr>
              <w:t>检出限</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 w:hRule="atLeast"/>
          <w:jc w:val="center"/>
        </w:trPr>
        <w:tc>
          <w:tcPr>
            <w:tcW w:w="2160" w:type="dxa"/>
            <w:vMerge w:val="restart"/>
            <w:tcBorders>
              <w:tl2br w:val="nil"/>
              <w:tr2bl w:val="nil"/>
            </w:tcBorders>
            <w:vAlign w:val="center"/>
          </w:tcPr>
          <w:p>
            <w:pPr>
              <w:pStyle w:val="36"/>
              <w:contextualSpacing/>
              <w:rPr>
                <w:rFonts w:hint="default" w:ascii="Times New Roman" w:hAnsi="Times New Roman" w:cs="Times New Roman"/>
                <w:snapToGrid w:val="0"/>
                <w:color w:val="auto"/>
              </w:rPr>
            </w:pPr>
            <w:r>
              <w:rPr>
                <w:rFonts w:hint="default" w:ascii="Times New Roman" w:hAnsi="Times New Roman" w:cs="Times New Roman"/>
                <w:snapToGrid w:val="0"/>
                <w:color w:val="auto"/>
              </w:rPr>
              <w:t>污水处理站隔油池</w:t>
            </w:r>
          </w:p>
        </w:tc>
        <w:tc>
          <w:tcPr>
            <w:tcW w:w="2160" w:type="dxa"/>
            <w:tcBorders>
              <w:tl2br w:val="nil"/>
              <w:tr2bl w:val="nil"/>
            </w:tcBorders>
            <w:vAlign w:val="center"/>
          </w:tcPr>
          <w:p>
            <w:pPr>
              <w:pStyle w:val="36"/>
              <w:contextualSpacing/>
              <w:rPr>
                <w:rFonts w:hint="default" w:ascii="Times New Roman" w:hAnsi="Times New Roman" w:cs="Times New Roman"/>
                <w:snapToGrid w:val="0"/>
                <w:color w:val="auto"/>
              </w:rPr>
            </w:pPr>
            <w:r>
              <w:rPr>
                <w:rFonts w:hint="default" w:ascii="Times New Roman" w:hAnsi="Times New Roman" w:cs="Times New Roman"/>
                <w:snapToGrid w:val="0"/>
                <w:color w:val="auto"/>
              </w:rPr>
              <w:t>COD</w:t>
            </w:r>
          </w:p>
        </w:tc>
        <w:tc>
          <w:tcPr>
            <w:tcW w:w="1459" w:type="dxa"/>
            <w:tcBorders>
              <w:tl2br w:val="nil"/>
              <w:tr2bl w:val="nil"/>
            </w:tcBorders>
            <w:vAlign w:val="center"/>
          </w:tcPr>
          <w:p>
            <w:pPr>
              <w:pStyle w:val="36"/>
              <w:rPr>
                <w:rFonts w:hint="default" w:ascii="Times New Roman" w:hAnsi="Times New Roman" w:cs="Times New Roman"/>
                <w:snapToGrid w:val="0"/>
                <w:color w:val="auto"/>
              </w:rPr>
            </w:pPr>
            <w:r>
              <w:rPr>
                <w:rFonts w:hint="eastAsia" w:ascii="Times New Roman" w:hAnsi="Times New Roman" w:cs="Times New Roman"/>
                <w:color w:val="auto"/>
                <w:lang w:val="en-US" w:eastAsia="zh-CN"/>
              </w:rPr>
              <w:t>2520</w:t>
            </w:r>
            <w:r>
              <w:rPr>
                <w:rFonts w:hint="default" w:ascii="Times New Roman" w:hAnsi="Times New Roman" w:cs="Times New Roman"/>
                <w:color w:val="auto"/>
              </w:rPr>
              <w:t>mg/L</w:t>
            </w:r>
          </w:p>
        </w:tc>
        <w:tc>
          <w:tcPr>
            <w:tcW w:w="1150" w:type="dxa"/>
            <w:tcBorders>
              <w:tl2br w:val="nil"/>
              <w:tr2bl w:val="nil"/>
            </w:tcBorders>
            <w:vAlign w:val="center"/>
          </w:tcPr>
          <w:p>
            <w:pPr>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15mg/L</w:t>
            </w:r>
          </w:p>
        </w:tc>
        <w:tc>
          <w:tcPr>
            <w:tcW w:w="1358" w:type="dxa"/>
            <w:tcBorders>
              <w:tl2br w:val="nil"/>
              <w:tr2bl w:val="nil"/>
            </w:tcBorders>
          </w:tcPr>
          <w:p>
            <w:pPr>
              <w:contextualSpacing/>
              <w:jc w:val="center"/>
              <w:rPr>
                <w:rFonts w:hint="default" w:ascii="Times New Roman" w:hAnsi="Times New Roman" w:cs="Times New Roman"/>
                <w:color w:val="auto"/>
                <w:szCs w:val="21"/>
              </w:rPr>
            </w:pPr>
            <w:r>
              <w:rPr>
                <w:rFonts w:hint="default" w:ascii="Times New Roman" w:hAnsi="Times New Roman" w:cs="Times New Roman"/>
                <w:snapToGrid w:val="0"/>
                <w:color w:val="auto"/>
                <w:lang w:val="en-US" w:eastAsia="zh-CN"/>
              </w:rPr>
              <w:t>10</w:t>
            </w:r>
            <w:r>
              <w:rPr>
                <w:rFonts w:hint="default" w:ascii="Times New Roman" w:hAnsi="Times New Roman" w:cs="Times New Roman"/>
                <w:snapToGrid w:val="0"/>
                <w:color w:val="auto"/>
              </w:rPr>
              <w:t>mg/L</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 w:hRule="atLeast"/>
          <w:jc w:val="center"/>
        </w:trPr>
        <w:tc>
          <w:tcPr>
            <w:tcW w:w="2160" w:type="dxa"/>
            <w:vMerge w:val="continue"/>
            <w:tcBorders>
              <w:tl2br w:val="nil"/>
              <w:tr2bl w:val="nil"/>
            </w:tcBorders>
            <w:vAlign w:val="center"/>
          </w:tcPr>
          <w:p>
            <w:pPr>
              <w:widowControl/>
              <w:contextualSpacing/>
              <w:jc w:val="center"/>
              <w:rPr>
                <w:rFonts w:hint="default" w:ascii="Times New Roman" w:hAnsi="Times New Roman" w:cs="Times New Roman"/>
                <w:snapToGrid w:val="0"/>
                <w:color w:val="auto"/>
                <w:szCs w:val="21"/>
              </w:rPr>
            </w:pPr>
          </w:p>
        </w:tc>
        <w:tc>
          <w:tcPr>
            <w:tcW w:w="2160" w:type="dxa"/>
            <w:tcBorders>
              <w:tl2br w:val="nil"/>
              <w:tr2bl w:val="nil"/>
            </w:tcBorders>
            <w:vAlign w:val="center"/>
          </w:tcPr>
          <w:p>
            <w:pPr>
              <w:widowControl/>
              <w:contextualSpacing/>
              <w:jc w:val="center"/>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氨氮</w:t>
            </w:r>
          </w:p>
        </w:tc>
        <w:tc>
          <w:tcPr>
            <w:tcW w:w="1459" w:type="dxa"/>
            <w:tcBorders>
              <w:tl2br w:val="nil"/>
              <w:tr2bl w:val="nil"/>
            </w:tcBorders>
            <w:vAlign w:val="center"/>
          </w:tcPr>
          <w:p>
            <w:pPr>
              <w:jc w:val="center"/>
              <w:rPr>
                <w:rFonts w:hint="default" w:ascii="Times New Roman" w:hAnsi="Times New Roman" w:cs="Times New Roman"/>
                <w:color w:val="auto"/>
                <w:szCs w:val="21"/>
              </w:rPr>
            </w:pPr>
            <w:r>
              <w:rPr>
                <w:rFonts w:hint="eastAsia" w:ascii="Times New Roman" w:hAnsi="Times New Roman" w:cs="Times New Roman"/>
                <w:color w:val="auto"/>
                <w:lang w:val="en-US" w:eastAsia="zh-CN"/>
              </w:rPr>
              <w:t>68</w:t>
            </w:r>
            <w:r>
              <w:rPr>
                <w:rFonts w:hint="default" w:ascii="Times New Roman" w:hAnsi="Times New Roman" w:cs="Times New Roman"/>
                <w:color w:val="auto"/>
                <w:szCs w:val="21"/>
              </w:rPr>
              <w:t>mg/L</w:t>
            </w:r>
          </w:p>
        </w:tc>
        <w:tc>
          <w:tcPr>
            <w:tcW w:w="1150" w:type="dxa"/>
            <w:tcBorders>
              <w:tl2br w:val="nil"/>
              <w:tr2bl w:val="nil"/>
            </w:tcBorders>
            <w:vAlign w:val="center"/>
          </w:tcPr>
          <w:p>
            <w:pPr>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0.5mg/L</w:t>
            </w:r>
          </w:p>
        </w:tc>
        <w:tc>
          <w:tcPr>
            <w:tcW w:w="1358" w:type="dxa"/>
            <w:tcBorders>
              <w:tl2br w:val="nil"/>
              <w:tr2bl w:val="nil"/>
            </w:tcBorders>
          </w:tcPr>
          <w:p>
            <w:pPr>
              <w:contextualSpacing/>
              <w:jc w:val="center"/>
              <w:rPr>
                <w:rFonts w:hint="default" w:ascii="Times New Roman" w:hAnsi="Times New Roman" w:cs="Times New Roman"/>
                <w:color w:val="auto"/>
                <w:szCs w:val="21"/>
              </w:rPr>
            </w:pPr>
            <w:r>
              <w:rPr>
                <w:rFonts w:hint="default" w:ascii="Times New Roman" w:hAnsi="Times New Roman" w:cs="Times New Roman"/>
                <w:snapToGrid w:val="0"/>
                <w:color w:val="auto"/>
                <w:lang w:val="en-US" w:eastAsia="zh-CN"/>
              </w:rPr>
              <w:t>0.01</w:t>
            </w:r>
            <w:r>
              <w:rPr>
                <w:rFonts w:hint="default" w:ascii="Times New Roman" w:hAnsi="Times New Roman" w:cs="Times New Roman"/>
                <w:snapToGrid w:val="0"/>
                <w:color w:val="auto"/>
              </w:rPr>
              <w:t>mg/L</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③评价标准</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氨氮评价标准执行《地下水质量标准》（GB/T14848-2017）Ш类标准（氨氮≤0.5mg/L）；COD在《地下水质量标准》（GB/T14848-2017）中无标准，根据《环境影响评价技术导则 地下水环境》（HJ610-2016）规定可参照国家（行业、地方）相关标准的水质标准值（如GB3838、GB5749 等）进行评价。《地下水质量标准》（GB/T14848-2017）中Ⅲ类水体“地下水化学组分含量中等，以GB5749-2006为依据，主要适用于集中式生活饮用水水源及工农业用水”，对应《地表水质量标准》（GB3838-2002）中Ⅱ类水体“主要适用于集中式生活饮用水地表水源地一级保护区、珍稀水生生物栖息地、鱼虾类产卵场、仔稚幼鱼的索饵场等”。故本项目COD评价标准参照《地表水质量标准》（GB3838-2002）中Ⅱ类水体标准限值15mg/L。</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④预测模式</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预测模型：</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根据《环境影响评价技术导则地下水环境》（HJ610-2016）要求，地下水环境影响评价三级评价预测方法可以选用解析法。根据本项目地下水的污染特性选用“一维半无限长多孔介质柱体，一端为定浓度边界”预测模型，公式如下。</w:t>
      </w:r>
    </w:p>
    <w:p>
      <w:pPr>
        <w:spacing w:line="360" w:lineRule="auto"/>
        <w:ind w:firstLine="480" w:firstLineChars="200"/>
        <w:jc w:val="center"/>
        <w:rPr>
          <w:rFonts w:hint="default" w:ascii="Times New Roman" w:hAnsi="Times New Roman" w:cs="Times New Roman"/>
          <w:color w:val="auto"/>
          <w:sz w:val="24"/>
        </w:rPr>
      </w:pPr>
      <w:r>
        <w:rPr>
          <w:rFonts w:hint="default" w:ascii="Times New Roman" w:hAnsi="Times New Roman" w:cs="Times New Roman"/>
          <w:color w:val="auto"/>
          <w:sz w:val="24"/>
        </w:rPr>
        <w:drawing>
          <wp:inline distT="0" distB="0" distL="0" distR="0">
            <wp:extent cx="2311400" cy="541020"/>
            <wp:effectExtent l="19050" t="0" r="0" b="0"/>
            <wp:docPr id="110" name="图片 39" descr="wps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9" descr="wps371"/>
                    <pic:cNvPicPr>
                      <a:picLocks noChangeAspect="1" noChangeArrowheads="1"/>
                    </pic:cNvPicPr>
                  </pic:nvPicPr>
                  <pic:blipFill>
                    <a:blip r:embed="rId65" cstate="print"/>
                    <a:srcRect/>
                    <a:stretch>
                      <a:fillRect/>
                    </a:stretch>
                  </pic:blipFill>
                  <pic:spPr>
                    <a:xfrm>
                      <a:off x="0" y="0"/>
                      <a:ext cx="2311400" cy="541020"/>
                    </a:xfrm>
                    <a:prstGeom prst="rect">
                      <a:avLst/>
                    </a:prstGeom>
                    <a:noFill/>
                    <a:ln w="9525">
                      <a:noFill/>
                      <a:miter lim="800000"/>
                      <a:headEnd/>
                      <a:tailEnd/>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式中：</w:t>
      </w:r>
      <w:r>
        <w:rPr>
          <w:rFonts w:hint="default" w:ascii="Times New Roman" w:hAnsi="Times New Roman" w:cs="Times New Roman"/>
          <w:i/>
          <w:color w:val="auto"/>
          <w:sz w:val="24"/>
        </w:rPr>
        <w:t>x</w:t>
      </w:r>
      <w:r>
        <w:rPr>
          <w:rFonts w:hint="default" w:ascii="Times New Roman" w:hAnsi="Times New Roman" w:cs="Times New Roman"/>
          <w:color w:val="auto"/>
          <w:sz w:val="24"/>
        </w:rPr>
        <w:t>—距注入点的距离，m；</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i/>
          <w:color w:val="auto"/>
          <w:sz w:val="24"/>
        </w:rPr>
        <w:t>t</w:t>
      </w:r>
      <w:r>
        <w:rPr>
          <w:rFonts w:hint="default" w:ascii="Times New Roman" w:hAnsi="Times New Roman" w:cs="Times New Roman"/>
          <w:color w:val="auto"/>
          <w:sz w:val="24"/>
        </w:rPr>
        <w:t>—时间，d；</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i/>
          <w:color w:val="auto"/>
          <w:sz w:val="24"/>
        </w:rPr>
        <w:t>C</w:t>
      </w:r>
      <w:r>
        <w:rPr>
          <w:rFonts w:hint="default" w:ascii="Times New Roman" w:hAnsi="Times New Roman" w:cs="Times New Roman"/>
          <w:color w:val="auto"/>
          <w:sz w:val="24"/>
        </w:rPr>
        <w:t>(</w:t>
      </w:r>
      <w:r>
        <w:rPr>
          <w:rFonts w:hint="default" w:ascii="Times New Roman" w:hAnsi="Times New Roman" w:cs="Times New Roman"/>
          <w:i/>
          <w:color w:val="auto"/>
          <w:sz w:val="24"/>
        </w:rPr>
        <w:t>x</w:t>
      </w:r>
      <w:r>
        <w:rPr>
          <w:rFonts w:hint="default" w:ascii="Times New Roman" w:hAnsi="Times New Roman" w:cs="Times New Roman"/>
          <w:color w:val="auto"/>
          <w:sz w:val="24"/>
        </w:rPr>
        <w:t>,</w:t>
      </w:r>
      <w:r>
        <w:rPr>
          <w:rFonts w:hint="default" w:ascii="Times New Roman" w:hAnsi="Times New Roman" w:cs="Times New Roman"/>
          <w:i/>
          <w:color w:val="auto"/>
          <w:sz w:val="24"/>
        </w:rPr>
        <w:t>t</w:t>
      </w:r>
      <w:r>
        <w:rPr>
          <w:rFonts w:hint="default" w:ascii="Times New Roman" w:hAnsi="Times New Roman" w:cs="Times New Roman"/>
          <w:color w:val="auto"/>
          <w:sz w:val="24"/>
        </w:rPr>
        <w:t>)—t时刻点x处的示踪剂浓度，g/L；</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i/>
          <w:color w:val="auto"/>
          <w:sz w:val="24"/>
        </w:rPr>
        <w:t>C</w:t>
      </w:r>
      <w:r>
        <w:rPr>
          <w:rFonts w:hint="default" w:ascii="Times New Roman" w:hAnsi="Times New Roman" w:cs="Times New Roman"/>
          <w:color w:val="auto"/>
          <w:sz w:val="24"/>
          <w:vertAlign w:val="subscript"/>
        </w:rPr>
        <w:t>0</w:t>
      </w:r>
      <w:r>
        <w:rPr>
          <w:rFonts w:hint="default" w:ascii="Times New Roman" w:hAnsi="Times New Roman" w:cs="Times New Roman"/>
          <w:color w:val="auto"/>
          <w:sz w:val="24"/>
        </w:rPr>
        <w:t>—注入示踪剂浓度，g/L；</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i/>
          <w:color w:val="auto"/>
          <w:sz w:val="24"/>
        </w:rPr>
        <w:t>u</w:t>
      </w:r>
      <w:r>
        <w:rPr>
          <w:rFonts w:hint="default" w:ascii="Times New Roman" w:hAnsi="Times New Roman" w:cs="Times New Roman"/>
          <w:color w:val="auto"/>
          <w:sz w:val="24"/>
        </w:rPr>
        <w:t>—水流速度，m/d；</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i/>
          <w:color w:val="auto"/>
          <w:sz w:val="24"/>
        </w:rPr>
        <w:t>D</w:t>
      </w:r>
      <w:r>
        <w:rPr>
          <w:rFonts w:hint="default" w:ascii="Times New Roman" w:hAnsi="Times New Roman" w:cs="Times New Roman"/>
          <w:color w:val="auto"/>
          <w:sz w:val="24"/>
          <w:vertAlign w:val="subscript"/>
        </w:rPr>
        <w:t>L</w:t>
      </w:r>
      <w:r>
        <w:rPr>
          <w:rFonts w:hint="default" w:ascii="Times New Roman" w:hAnsi="Times New Roman" w:cs="Times New Roman"/>
          <w:color w:val="auto"/>
          <w:sz w:val="24"/>
        </w:rPr>
        <w:t>—纵向弥散系数，m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/d；</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erfc()—余差数函数；</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模式中参数的确定：</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本项目含水层主要为细砂，根据《环境影响评价技术导则 地下水环境》附录B，渗透系数5~10m/d，本项目渗透系数取</w:t>
      </w:r>
      <w:r>
        <w:rPr>
          <w:rFonts w:hint="eastAsia" w:ascii="Times New Roman" w:hAnsi="Times New Roman" w:eastAsia="宋体" w:cs="Times New Roman"/>
          <w:color w:val="auto"/>
          <w:sz w:val="24"/>
          <w:highlight w:val="none"/>
          <w:lang w:val="en-US" w:eastAsia="zh-CN"/>
        </w:rPr>
        <w:t>5</w:t>
      </w:r>
      <w:r>
        <w:rPr>
          <w:rFonts w:hint="default" w:ascii="Times New Roman" w:hAnsi="Times New Roman" w:cs="Times New Roman"/>
          <w:color w:val="auto"/>
          <w:sz w:val="24"/>
          <w:highlight w:val="none"/>
        </w:rPr>
        <w:t>m/d；水力坡度取I=</w:t>
      </w:r>
      <w:r>
        <w:rPr>
          <w:rFonts w:hint="eastAsia" w:ascii="Times New Roman" w:hAnsi="Times New Roman" w:eastAsia="宋体" w:cs="Times New Roman"/>
          <w:color w:val="auto"/>
          <w:sz w:val="24"/>
          <w:highlight w:val="none"/>
          <w:lang w:val="en-US" w:eastAsia="zh-CN"/>
        </w:rPr>
        <w:t>0.1%</w:t>
      </w:r>
      <w:r>
        <w:rPr>
          <w:rFonts w:hint="default" w:ascii="Times New Roman" w:hAnsi="Times New Roman" w:cs="Times New Roman"/>
          <w:color w:val="auto"/>
          <w:sz w:val="24"/>
          <w:highlight w:val="none"/>
        </w:rPr>
        <w:t>；水流速度为0.0</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m/d。本项目有效孔隙度取</w:t>
      </w:r>
      <w:r>
        <w:rPr>
          <w:rFonts w:hint="eastAsia" w:ascii="Times New Roman" w:hAnsi="Times New Roman" w:eastAsia="宋体" w:cs="Times New Roman"/>
          <w:color w:val="auto"/>
          <w:sz w:val="24"/>
          <w:highlight w:val="none"/>
          <w:lang w:val="en-US" w:eastAsia="zh-CN"/>
        </w:rPr>
        <w:t>0.2</w:t>
      </w:r>
      <w:r>
        <w:rPr>
          <w:rFonts w:hint="default" w:ascii="Times New Roman" w:hAnsi="Times New Roman" w:cs="Times New Roman"/>
          <w:color w:val="auto"/>
          <w:sz w:val="24"/>
          <w:highlight w:val="none"/>
        </w:rPr>
        <w:t>。弥散系数：纵横弥散系数根据含水层岩性及渗透系数、水力坡度等因素，参照相同地区的经验值确定，0.2m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/d。</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表5-2-1</w:t>
      </w:r>
      <w:r>
        <w:rPr>
          <w:rFonts w:hint="default" w:ascii="Times New Roman" w:hAnsi="Times New Roman" w:cs="Times New Roman"/>
          <w:b/>
          <w:color w:val="auto"/>
          <w:sz w:val="24"/>
          <w:lang w:val="en-US" w:eastAsia="zh-CN"/>
        </w:rPr>
        <w:t>9</w:t>
      </w:r>
      <w:r>
        <w:rPr>
          <w:rFonts w:hint="default" w:ascii="Times New Roman" w:hAnsi="Times New Roman" w:cs="Times New Roman"/>
          <w:b/>
          <w:color w:val="auto"/>
          <w:sz w:val="24"/>
        </w:rPr>
        <w:t>预测参数</w:t>
      </w:r>
    </w:p>
    <w:tbl>
      <w:tblPr>
        <w:tblStyle w:val="24"/>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2130" w:type="dxa"/>
            <w:vAlign w:val="center"/>
          </w:tcPr>
          <w:p>
            <w:pPr>
              <w:spacing w:line="0" w:lineRule="atLeast"/>
              <w:contextualSpacing/>
              <w:jc w:val="center"/>
              <w:rPr>
                <w:rFonts w:hint="default" w:ascii="Times New Roman" w:hAnsi="Times New Roman" w:cs="Times New Roman"/>
                <w:color w:val="auto"/>
                <w:szCs w:val="21"/>
              </w:rPr>
            </w:pPr>
            <w:bookmarkStart w:id="341" w:name="_Hlk522485953"/>
            <w:r>
              <w:rPr>
                <w:rFonts w:hint="default" w:ascii="Times New Roman" w:hAnsi="Times New Roman" w:cs="Times New Roman"/>
                <w:color w:val="auto"/>
                <w:szCs w:val="21"/>
              </w:rPr>
              <w:t>含水层参数</w:t>
            </w:r>
          </w:p>
        </w:tc>
        <w:tc>
          <w:tcPr>
            <w:tcW w:w="2130"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取值</w:t>
            </w:r>
          </w:p>
        </w:tc>
        <w:tc>
          <w:tcPr>
            <w:tcW w:w="2131"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含水层参数</w:t>
            </w:r>
          </w:p>
        </w:tc>
        <w:tc>
          <w:tcPr>
            <w:tcW w:w="2131"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取值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渗透系数</w:t>
            </w:r>
          </w:p>
        </w:tc>
        <w:tc>
          <w:tcPr>
            <w:tcW w:w="2130"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5m/d</w:t>
            </w:r>
          </w:p>
        </w:tc>
        <w:tc>
          <w:tcPr>
            <w:tcW w:w="2131"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水利坡度</w:t>
            </w:r>
          </w:p>
        </w:tc>
        <w:tc>
          <w:tcPr>
            <w:tcW w:w="2131" w:type="dxa"/>
            <w:vAlign w:val="center"/>
          </w:tcPr>
          <w:p>
            <w:pPr>
              <w:spacing w:line="0" w:lineRule="atLeast"/>
              <w:contextualSpacing/>
              <w:jc w:val="center"/>
              <w:rPr>
                <w:rFonts w:hint="default" w:ascii="Times New Roman" w:hAnsi="Times New Roman" w:cs="Times New Roman"/>
                <w:color w:val="auto"/>
                <w:szCs w:val="21"/>
              </w:rPr>
            </w:pPr>
            <w:r>
              <w:rPr>
                <w:rFonts w:hint="eastAsia" w:ascii="Times New Roman" w:hAnsi="Times New Roman" w:eastAsia="宋体" w:cs="Times New Roman"/>
                <w:color w:val="auto"/>
                <w:szCs w:val="21"/>
                <w:lang w:val="en-US" w:eastAsia="zh-CN"/>
              </w:rPr>
              <w:t>0.</w:t>
            </w:r>
            <w:r>
              <w:rPr>
                <w:rFonts w:hint="default" w:ascii="Times New Roman" w:hAnsi="Times New Roman" w:cs="Times New Roman"/>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有效孔隙率</w:t>
            </w:r>
          </w:p>
        </w:tc>
        <w:tc>
          <w:tcPr>
            <w:tcW w:w="2130"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0.2</w:t>
            </w:r>
          </w:p>
        </w:tc>
        <w:tc>
          <w:tcPr>
            <w:tcW w:w="2131"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弥散系数</w:t>
            </w:r>
          </w:p>
        </w:tc>
        <w:tc>
          <w:tcPr>
            <w:tcW w:w="2131"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0.2m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 w:hRule="atLeast"/>
          <w:jc w:val="center"/>
        </w:trPr>
        <w:tc>
          <w:tcPr>
            <w:tcW w:w="2130"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流速</w:t>
            </w:r>
          </w:p>
        </w:tc>
        <w:tc>
          <w:tcPr>
            <w:tcW w:w="6392" w:type="dxa"/>
            <w:gridSpan w:val="3"/>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0.0</w:t>
            </w:r>
            <w:r>
              <w:rPr>
                <w:rFonts w:hint="default" w:ascii="Times New Roman" w:hAnsi="Times New Roman" w:cs="Times New Roman"/>
                <w:color w:val="auto"/>
                <w:szCs w:val="21"/>
                <w:lang w:val="en-US" w:eastAsia="zh-CN"/>
              </w:rPr>
              <w:t>1</w:t>
            </w:r>
            <w:r>
              <w:rPr>
                <w:rFonts w:hint="default" w:ascii="Times New Roman" w:hAnsi="Times New Roman" w:cs="Times New Roman"/>
                <w:color w:val="auto"/>
                <w:szCs w:val="21"/>
              </w:rPr>
              <w:t>m/d</w:t>
            </w:r>
          </w:p>
        </w:tc>
      </w:tr>
      <w:bookmarkEnd w:id="341"/>
    </w:tbl>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⑤预测结果</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sz w:val="24"/>
        </w:rPr>
        <w:t>预测计算结果见下表。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color w:val="auto"/>
          <w:kern w:val="0"/>
          <w:sz w:val="24"/>
        </w:rPr>
      </w:pPr>
      <w:r>
        <w:rPr>
          <w:rFonts w:hint="default" w:ascii="Times New Roman" w:hAnsi="Times New Roman" w:cs="Times New Roman"/>
          <w:b/>
          <w:color w:val="auto"/>
          <w:kern w:val="0"/>
          <w:sz w:val="24"/>
        </w:rPr>
        <w:t>表5-2-</w:t>
      </w:r>
      <w:r>
        <w:rPr>
          <w:rFonts w:hint="default" w:ascii="Times New Roman" w:hAnsi="Times New Roman" w:cs="Times New Roman"/>
          <w:b/>
          <w:color w:val="auto"/>
          <w:kern w:val="0"/>
          <w:sz w:val="24"/>
          <w:lang w:val="en-US" w:eastAsia="zh-CN"/>
        </w:rPr>
        <w:t>20</w:t>
      </w:r>
      <w:r>
        <w:rPr>
          <w:rFonts w:hint="default" w:ascii="Times New Roman" w:hAnsi="Times New Roman" w:cs="Times New Roman"/>
          <w:b/>
          <w:color w:val="auto"/>
          <w:kern w:val="0"/>
          <w:sz w:val="24"/>
        </w:rPr>
        <w:t>地下预测结果（污水处理站</w:t>
      </w:r>
      <w:r>
        <w:rPr>
          <w:rFonts w:hint="eastAsia" w:ascii="Times New Roman" w:hAnsi="Times New Roman" w:eastAsia="宋体" w:cs="Times New Roman"/>
          <w:b/>
          <w:color w:val="auto"/>
          <w:kern w:val="0"/>
          <w:sz w:val="24"/>
          <w:lang w:val="en-US" w:eastAsia="zh-CN"/>
        </w:rPr>
        <w:t>沉淀</w:t>
      </w:r>
      <w:r>
        <w:rPr>
          <w:rFonts w:hint="default" w:ascii="Times New Roman" w:hAnsi="Times New Roman" w:cs="Times New Roman"/>
          <w:b/>
          <w:color w:val="auto"/>
          <w:kern w:val="0"/>
          <w:sz w:val="24"/>
        </w:rPr>
        <w:t>池泄漏）</w:t>
      </w:r>
    </w:p>
    <w:tbl>
      <w:tblPr>
        <w:tblStyle w:val="24"/>
        <w:tblW w:w="0" w:type="auto"/>
        <w:tblInd w:w="0" w:type="dxa"/>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979"/>
        <w:gridCol w:w="1332"/>
        <w:gridCol w:w="979"/>
        <w:gridCol w:w="1332"/>
        <w:gridCol w:w="935"/>
        <w:gridCol w:w="1275"/>
        <w:gridCol w:w="993"/>
        <w:gridCol w:w="1275"/>
        <w:gridCol w:w="1134"/>
        <w:gridCol w:w="1418"/>
        <w:gridCol w:w="1134"/>
        <w:gridCol w:w="1228"/>
      </w:tblGrid>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4" w:hRule="atLeast"/>
        </w:trPr>
        <w:tc>
          <w:tcPr>
            <w:tcW w:w="6832" w:type="dxa"/>
            <w:gridSpan w:val="6"/>
            <w:vAlign w:val="center"/>
          </w:tcPr>
          <w:p>
            <w:pPr>
              <w:pStyle w:val="36"/>
              <w:spacing w:line="0" w:lineRule="atLeast"/>
              <w:contextualSpacing/>
              <w:rPr>
                <w:rFonts w:hint="default" w:ascii="Times New Roman" w:hAnsi="Times New Roman" w:cs="Times New Roman"/>
                <w:color w:val="auto"/>
              </w:rPr>
            </w:pPr>
            <w:r>
              <w:rPr>
                <w:rFonts w:hint="default" w:ascii="Times New Roman" w:hAnsi="Times New Roman" w:cs="Times New Roman"/>
                <w:snapToGrid w:val="0"/>
                <w:color w:val="auto"/>
              </w:rPr>
              <w:t>COD</w:t>
            </w:r>
          </w:p>
        </w:tc>
        <w:tc>
          <w:tcPr>
            <w:tcW w:w="7182" w:type="dxa"/>
            <w:gridSpan w:val="6"/>
            <w:vAlign w:val="center"/>
          </w:tcPr>
          <w:p>
            <w:pPr>
              <w:pStyle w:val="36"/>
              <w:spacing w:line="0" w:lineRule="atLeast"/>
              <w:contextualSpacing/>
              <w:rPr>
                <w:rFonts w:hint="default" w:ascii="Times New Roman" w:hAnsi="Times New Roman" w:cs="Times New Roman"/>
                <w:color w:val="auto"/>
              </w:rPr>
            </w:pPr>
            <w:r>
              <w:rPr>
                <w:rFonts w:hint="default" w:ascii="Times New Roman" w:hAnsi="Times New Roman" w:cs="Times New Roman"/>
                <w:color w:val="auto"/>
              </w:rPr>
              <w:t>氨氮</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4" w:hRule="atLeast"/>
        </w:trPr>
        <w:tc>
          <w:tcPr>
            <w:tcW w:w="2311" w:type="dxa"/>
            <w:gridSpan w:val="2"/>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100天</w:t>
            </w:r>
          </w:p>
        </w:tc>
        <w:tc>
          <w:tcPr>
            <w:tcW w:w="2311" w:type="dxa"/>
            <w:gridSpan w:val="2"/>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1000天</w:t>
            </w:r>
          </w:p>
        </w:tc>
        <w:tc>
          <w:tcPr>
            <w:tcW w:w="2210" w:type="dxa"/>
            <w:gridSpan w:val="2"/>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20年（服务年限）</w:t>
            </w:r>
          </w:p>
        </w:tc>
        <w:tc>
          <w:tcPr>
            <w:tcW w:w="2268" w:type="dxa"/>
            <w:gridSpan w:val="2"/>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100天</w:t>
            </w:r>
          </w:p>
        </w:tc>
        <w:tc>
          <w:tcPr>
            <w:tcW w:w="2552" w:type="dxa"/>
            <w:gridSpan w:val="2"/>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1000天</w:t>
            </w:r>
          </w:p>
        </w:tc>
        <w:tc>
          <w:tcPr>
            <w:tcW w:w="2362" w:type="dxa"/>
            <w:gridSpan w:val="2"/>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20年（服务年限）</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距离（m）</w:t>
            </w:r>
          </w:p>
        </w:tc>
        <w:tc>
          <w:tcPr>
            <w:tcW w:w="1332"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浓度（mg/L）</w:t>
            </w:r>
          </w:p>
        </w:tc>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距离（m）</w:t>
            </w:r>
          </w:p>
        </w:tc>
        <w:tc>
          <w:tcPr>
            <w:tcW w:w="1332"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浓度（mg/L）</w:t>
            </w:r>
          </w:p>
        </w:tc>
        <w:tc>
          <w:tcPr>
            <w:tcW w:w="93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距离（m）</w:t>
            </w:r>
          </w:p>
        </w:tc>
        <w:tc>
          <w:tcPr>
            <w:tcW w:w="127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浓度（mg/L）</w:t>
            </w:r>
          </w:p>
        </w:tc>
        <w:tc>
          <w:tcPr>
            <w:tcW w:w="993"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距离（m）</w:t>
            </w:r>
          </w:p>
        </w:tc>
        <w:tc>
          <w:tcPr>
            <w:tcW w:w="127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浓度（mg/L）</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距离（m）</w:t>
            </w:r>
          </w:p>
        </w:tc>
        <w:tc>
          <w:tcPr>
            <w:tcW w:w="1418"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浓度（mg/L）</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距离（m）</w:t>
            </w:r>
          </w:p>
        </w:tc>
        <w:tc>
          <w:tcPr>
            <w:tcW w:w="1228"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浓度（mg/L）</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6" w:hRule="atLeast"/>
        </w:trPr>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1332"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1.89E+03</w:t>
            </w:r>
          </w:p>
        </w:tc>
        <w:tc>
          <w:tcPr>
            <w:tcW w:w="979"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1332"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1.89E+03</w:t>
            </w:r>
          </w:p>
        </w:tc>
        <w:tc>
          <w:tcPr>
            <w:tcW w:w="935"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1275"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1.89E+03</w:t>
            </w:r>
          </w:p>
        </w:tc>
        <w:tc>
          <w:tcPr>
            <w:tcW w:w="993"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1275"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1.42E+02</w:t>
            </w:r>
          </w:p>
        </w:tc>
        <w:tc>
          <w:tcPr>
            <w:tcW w:w="1134"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1418"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1.42E+02</w:t>
            </w:r>
          </w:p>
        </w:tc>
        <w:tc>
          <w:tcPr>
            <w:tcW w:w="1134"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1228"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1.42E+02</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6" w:hRule="atLeast"/>
        </w:trPr>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2.74E+02</w:t>
            </w:r>
          </w:p>
        </w:tc>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1.44E+03</w:t>
            </w:r>
          </w:p>
        </w:tc>
        <w:tc>
          <w:tcPr>
            <w:tcW w:w="93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275" w:type="dxa"/>
            <w:vAlign w:val="center"/>
          </w:tcPr>
          <w:p>
            <w:pPr>
              <w:spacing w:line="0" w:lineRule="atLeast"/>
              <w:contextualSpacing/>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1.85E+03</w:t>
            </w:r>
          </w:p>
        </w:tc>
        <w:tc>
          <w:tcPr>
            <w:tcW w:w="993"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275"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2.06E+01</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418"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1.08E+02</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1228"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1.39E+02</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6" w:hRule="atLeast"/>
        </w:trPr>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20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4.83E+00</w:t>
            </w:r>
          </w:p>
        </w:tc>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20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9.27E+02</w:t>
            </w:r>
          </w:p>
        </w:tc>
        <w:tc>
          <w:tcPr>
            <w:tcW w:w="93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275" w:type="dxa"/>
            <w:vAlign w:val="center"/>
          </w:tcPr>
          <w:p>
            <w:pPr>
              <w:spacing w:line="0" w:lineRule="atLeast"/>
              <w:contextualSpacing/>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1.52E+03</w:t>
            </w:r>
          </w:p>
        </w:tc>
        <w:tc>
          <w:tcPr>
            <w:tcW w:w="993"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20</w:t>
            </w:r>
          </w:p>
        </w:tc>
        <w:tc>
          <w:tcPr>
            <w:tcW w:w="1275"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3.63E-01</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20</w:t>
            </w:r>
          </w:p>
        </w:tc>
        <w:tc>
          <w:tcPr>
            <w:tcW w:w="1418"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6.97E+01</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228"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1.14E+02</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6" w:hRule="atLeast"/>
        </w:trPr>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30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8.33E-03</w:t>
            </w:r>
          </w:p>
        </w:tc>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30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4.93E+02</w:t>
            </w:r>
          </w:p>
        </w:tc>
        <w:tc>
          <w:tcPr>
            <w:tcW w:w="93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100</w:t>
            </w:r>
          </w:p>
        </w:tc>
        <w:tc>
          <w:tcPr>
            <w:tcW w:w="127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7.76E+02</w:t>
            </w:r>
          </w:p>
        </w:tc>
        <w:tc>
          <w:tcPr>
            <w:tcW w:w="993"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30</w:t>
            </w:r>
          </w:p>
        </w:tc>
        <w:tc>
          <w:tcPr>
            <w:tcW w:w="1275"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6.26E-04</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30</w:t>
            </w:r>
          </w:p>
        </w:tc>
        <w:tc>
          <w:tcPr>
            <w:tcW w:w="1418"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3.70E+01</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100</w:t>
            </w:r>
          </w:p>
        </w:tc>
        <w:tc>
          <w:tcPr>
            <w:tcW w:w="1228"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5.83E+01</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6" w:hRule="atLeast"/>
        </w:trPr>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40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1.30E-06</w:t>
            </w:r>
          </w:p>
        </w:tc>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40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2.13E+02</w:t>
            </w:r>
          </w:p>
        </w:tc>
        <w:tc>
          <w:tcPr>
            <w:tcW w:w="93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200</w:t>
            </w:r>
          </w:p>
        </w:tc>
        <w:tc>
          <w:tcPr>
            <w:tcW w:w="127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2.69E+01</w:t>
            </w:r>
          </w:p>
        </w:tc>
        <w:tc>
          <w:tcPr>
            <w:tcW w:w="993"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40</w:t>
            </w:r>
          </w:p>
        </w:tc>
        <w:tc>
          <w:tcPr>
            <w:tcW w:w="1275"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9.74E-08</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40</w:t>
            </w:r>
          </w:p>
        </w:tc>
        <w:tc>
          <w:tcPr>
            <w:tcW w:w="1418" w:type="dxa"/>
            <w:vAlign w:val="center"/>
          </w:tcPr>
          <w:p>
            <w:pPr>
              <w:widowControl/>
              <w:spacing w:line="0" w:lineRule="atLeast"/>
              <w:contextualSpacing/>
              <w:jc w:val="center"/>
              <w:textAlignment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1.60E+01</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200</w:t>
            </w:r>
          </w:p>
        </w:tc>
        <w:tc>
          <w:tcPr>
            <w:tcW w:w="1228" w:type="dxa"/>
            <w:vAlign w:val="center"/>
          </w:tcPr>
          <w:p>
            <w:pPr>
              <w:widowControl/>
              <w:spacing w:line="0" w:lineRule="atLeast"/>
              <w:contextualSpacing/>
              <w:jc w:val="center"/>
              <w:textAlignment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2.02E+00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6" w:hRule="atLeast"/>
        </w:trPr>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1.84E-11</w:t>
            </w:r>
          </w:p>
        </w:tc>
        <w:tc>
          <w:tcPr>
            <w:tcW w:w="979" w:type="dxa"/>
            <w:vAlign w:val="center"/>
          </w:tcPr>
          <w:p>
            <w:pPr>
              <w:spacing w:line="0" w:lineRule="atLeast"/>
              <w:contextualSpacing/>
              <w:jc w:val="center"/>
              <w:rPr>
                <w:rFonts w:hint="default" w:ascii="Times New Roman" w:hAnsi="Times New Roman" w:cs="Times New Roman"/>
                <w:bCs/>
                <w:color w:val="auto"/>
                <w:szCs w:val="21"/>
              </w:rPr>
            </w:pPr>
            <w:r>
              <w:rPr>
                <w:rFonts w:hint="default" w:ascii="Times New Roman" w:hAnsi="Times New Roman" w:cs="Times New Roman"/>
                <w:color w:val="auto"/>
                <w:szCs w:val="21"/>
              </w:rPr>
              <w:t>50</w:t>
            </w:r>
          </w:p>
        </w:tc>
        <w:tc>
          <w:tcPr>
            <w:tcW w:w="1332" w:type="dxa"/>
            <w:vAlign w:val="center"/>
          </w:tcPr>
          <w:p>
            <w:pPr>
              <w:widowControl/>
              <w:spacing w:line="0" w:lineRule="atLeast"/>
              <w:contextualSpacing/>
              <w:jc w:val="center"/>
              <w:textAlignment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7.41E+01</w:t>
            </w:r>
          </w:p>
        </w:tc>
        <w:tc>
          <w:tcPr>
            <w:tcW w:w="93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300</w:t>
            </w:r>
          </w:p>
        </w:tc>
        <w:tc>
          <w:tcPr>
            <w:tcW w:w="127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4.10E-02</w:t>
            </w:r>
          </w:p>
        </w:tc>
        <w:tc>
          <w:tcPr>
            <w:tcW w:w="993"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275" w:type="dxa"/>
            <w:vAlign w:val="center"/>
          </w:tcPr>
          <w:p>
            <w:pPr>
              <w:widowControl/>
              <w:spacing w:line="0" w:lineRule="atLeast"/>
              <w:contextualSpacing/>
              <w:jc w:val="center"/>
              <w:textAlignment w:val="center"/>
              <w:rPr>
                <w:rFonts w:hint="default" w:ascii="Times New Roman" w:hAnsi="Times New Roman" w:cs="Times New Roman"/>
                <w:bCs/>
                <w:color w:val="auto"/>
                <w:szCs w:val="21"/>
              </w:rPr>
            </w:pPr>
            <w:r>
              <w:rPr>
                <w:rFonts w:hint="default" w:ascii="Times New Roman" w:hAnsi="Times New Roman" w:cs="Times New Roman"/>
                <w:bCs/>
                <w:color w:val="auto"/>
                <w:szCs w:val="21"/>
              </w:rPr>
              <w:t>1.38E-12</w:t>
            </w:r>
          </w:p>
        </w:tc>
        <w:tc>
          <w:tcPr>
            <w:tcW w:w="1134" w:type="dxa"/>
            <w:vAlign w:val="center"/>
          </w:tcPr>
          <w:p>
            <w:pPr>
              <w:spacing w:line="0" w:lineRule="atLeast"/>
              <w:contextualSpacing/>
              <w:jc w:val="center"/>
              <w:rPr>
                <w:rFonts w:hint="default" w:ascii="Times New Roman" w:hAnsi="Times New Roman" w:cs="Times New Roman"/>
                <w:bCs/>
                <w:color w:val="auto"/>
                <w:szCs w:val="21"/>
              </w:rPr>
            </w:pPr>
            <w:r>
              <w:rPr>
                <w:rFonts w:hint="default" w:ascii="Times New Roman" w:hAnsi="Times New Roman" w:cs="Times New Roman"/>
                <w:color w:val="auto"/>
                <w:szCs w:val="21"/>
              </w:rPr>
              <w:t>50</w:t>
            </w:r>
          </w:p>
        </w:tc>
        <w:tc>
          <w:tcPr>
            <w:tcW w:w="1418" w:type="dxa"/>
            <w:vAlign w:val="center"/>
          </w:tcPr>
          <w:p>
            <w:pPr>
              <w:widowControl/>
              <w:spacing w:line="0" w:lineRule="atLeast"/>
              <w:contextualSpacing/>
              <w:jc w:val="center"/>
              <w:textAlignment w:val="center"/>
              <w:rPr>
                <w:rFonts w:hint="default" w:ascii="Times New Roman" w:hAnsi="Times New Roman" w:cs="Times New Roman"/>
                <w:bCs/>
                <w:color w:val="auto"/>
                <w:szCs w:val="21"/>
              </w:rPr>
            </w:pPr>
            <w:r>
              <w:rPr>
                <w:rFonts w:hint="default" w:ascii="Times New Roman" w:hAnsi="Times New Roman" w:cs="Times New Roman"/>
                <w:bCs/>
                <w:color w:val="auto"/>
                <w:szCs w:val="21"/>
              </w:rPr>
              <w:t>5.57E+00</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300</w:t>
            </w:r>
          </w:p>
        </w:tc>
        <w:tc>
          <w:tcPr>
            <w:tcW w:w="1228" w:type="dxa"/>
            <w:vAlign w:val="center"/>
          </w:tcPr>
          <w:p>
            <w:pPr>
              <w:widowControl/>
              <w:spacing w:line="0" w:lineRule="atLeast"/>
              <w:contextualSpacing/>
              <w:jc w:val="center"/>
              <w:textAlignment w:val="center"/>
              <w:rPr>
                <w:rFonts w:hint="default" w:ascii="Times New Roman" w:hAnsi="Times New Roman" w:cs="Times New Roman"/>
                <w:bCs/>
                <w:color w:val="auto"/>
                <w:szCs w:val="21"/>
              </w:rPr>
            </w:pPr>
            <w:r>
              <w:rPr>
                <w:rFonts w:hint="default" w:ascii="Times New Roman" w:hAnsi="Times New Roman" w:cs="Times New Roman"/>
                <w:bCs/>
                <w:color w:val="auto"/>
                <w:szCs w:val="21"/>
              </w:rPr>
              <w:t>3.08E-03</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55</w:t>
            </w:r>
          </w:p>
        </w:tc>
        <w:tc>
          <w:tcPr>
            <w:tcW w:w="1332"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w:t>
            </w:r>
          </w:p>
        </w:tc>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90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szCs w:val="21"/>
              </w:rPr>
            </w:pPr>
            <w:r>
              <w:rPr>
                <w:rFonts w:hint="default" w:ascii="Times New Roman" w:hAnsi="Times New Roman" w:cs="Times New Roman"/>
                <w:color w:val="auto"/>
                <w:kern w:val="0"/>
                <w:szCs w:val="21"/>
              </w:rPr>
              <w:t>1.09E-01</w:t>
            </w:r>
          </w:p>
        </w:tc>
        <w:tc>
          <w:tcPr>
            <w:tcW w:w="93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400</w:t>
            </w:r>
          </w:p>
        </w:tc>
        <w:tc>
          <w:tcPr>
            <w:tcW w:w="127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1.36E-06</w:t>
            </w:r>
          </w:p>
        </w:tc>
        <w:tc>
          <w:tcPr>
            <w:tcW w:w="993"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55</w:t>
            </w:r>
          </w:p>
        </w:tc>
        <w:tc>
          <w:tcPr>
            <w:tcW w:w="1275"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90</w:t>
            </w:r>
          </w:p>
        </w:tc>
        <w:tc>
          <w:tcPr>
            <w:tcW w:w="1418"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8.18E-03</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400</w:t>
            </w:r>
          </w:p>
        </w:tc>
        <w:tc>
          <w:tcPr>
            <w:tcW w:w="1228"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1.02E-07</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60</w:t>
            </w:r>
          </w:p>
        </w:tc>
        <w:tc>
          <w:tcPr>
            <w:tcW w:w="1332"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w:t>
            </w:r>
          </w:p>
        </w:tc>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1.18E-02</w:t>
            </w:r>
          </w:p>
        </w:tc>
        <w:tc>
          <w:tcPr>
            <w:tcW w:w="93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500</w:t>
            </w:r>
          </w:p>
        </w:tc>
        <w:tc>
          <w:tcPr>
            <w:tcW w:w="127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2.73E-12</w:t>
            </w:r>
          </w:p>
        </w:tc>
        <w:tc>
          <w:tcPr>
            <w:tcW w:w="993"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60</w:t>
            </w:r>
          </w:p>
        </w:tc>
        <w:tc>
          <w:tcPr>
            <w:tcW w:w="1275"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100</w:t>
            </w:r>
          </w:p>
        </w:tc>
        <w:tc>
          <w:tcPr>
            <w:tcW w:w="1418"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8.85E-04</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500</w:t>
            </w:r>
          </w:p>
        </w:tc>
        <w:tc>
          <w:tcPr>
            <w:tcW w:w="1228"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2.05E-13</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65</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120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6.68E-05</w:t>
            </w:r>
          </w:p>
        </w:tc>
        <w:tc>
          <w:tcPr>
            <w:tcW w:w="93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600</w:t>
            </w:r>
          </w:p>
        </w:tc>
        <w:tc>
          <w:tcPr>
            <w:tcW w:w="1275"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0</w:t>
            </w:r>
          </w:p>
        </w:tc>
        <w:tc>
          <w:tcPr>
            <w:tcW w:w="993"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65</w:t>
            </w:r>
          </w:p>
        </w:tc>
        <w:tc>
          <w:tcPr>
            <w:tcW w:w="1275"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120</w:t>
            </w:r>
          </w:p>
        </w:tc>
        <w:tc>
          <w:tcPr>
            <w:tcW w:w="1418"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5.02E-06</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600</w:t>
            </w:r>
          </w:p>
        </w:tc>
        <w:tc>
          <w:tcPr>
            <w:tcW w:w="1228"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70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150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4.71E-09</w:t>
            </w:r>
          </w:p>
        </w:tc>
        <w:tc>
          <w:tcPr>
            <w:tcW w:w="93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700</w:t>
            </w:r>
          </w:p>
        </w:tc>
        <w:tc>
          <w:tcPr>
            <w:tcW w:w="1275"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0</w:t>
            </w:r>
          </w:p>
        </w:tc>
        <w:tc>
          <w:tcPr>
            <w:tcW w:w="993"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70</w:t>
            </w:r>
          </w:p>
        </w:tc>
        <w:tc>
          <w:tcPr>
            <w:tcW w:w="1275"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150</w:t>
            </w:r>
          </w:p>
        </w:tc>
        <w:tc>
          <w:tcPr>
            <w:tcW w:w="1418"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3.54E-10</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700</w:t>
            </w:r>
          </w:p>
        </w:tc>
        <w:tc>
          <w:tcPr>
            <w:tcW w:w="1228"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75</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200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93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800</w:t>
            </w:r>
          </w:p>
        </w:tc>
        <w:tc>
          <w:tcPr>
            <w:tcW w:w="1275"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0</w:t>
            </w:r>
          </w:p>
        </w:tc>
        <w:tc>
          <w:tcPr>
            <w:tcW w:w="993"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75</w:t>
            </w:r>
          </w:p>
        </w:tc>
        <w:tc>
          <w:tcPr>
            <w:tcW w:w="1275"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200</w:t>
            </w:r>
          </w:p>
        </w:tc>
        <w:tc>
          <w:tcPr>
            <w:tcW w:w="1418"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800</w:t>
            </w:r>
          </w:p>
        </w:tc>
        <w:tc>
          <w:tcPr>
            <w:tcW w:w="1228"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80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979"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210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935"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850</w:t>
            </w:r>
          </w:p>
        </w:tc>
        <w:tc>
          <w:tcPr>
            <w:tcW w:w="1275"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0</w:t>
            </w:r>
          </w:p>
        </w:tc>
        <w:tc>
          <w:tcPr>
            <w:tcW w:w="993"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80</w:t>
            </w:r>
          </w:p>
        </w:tc>
        <w:tc>
          <w:tcPr>
            <w:tcW w:w="1275"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210</w:t>
            </w:r>
          </w:p>
        </w:tc>
        <w:tc>
          <w:tcPr>
            <w:tcW w:w="1418"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850</w:t>
            </w:r>
          </w:p>
        </w:tc>
        <w:tc>
          <w:tcPr>
            <w:tcW w:w="1228"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90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979"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220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935"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900</w:t>
            </w:r>
          </w:p>
        </w:tc>
        <w:tc>
          <w:tcPr>
            <w:tcW w:w="1275"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0</w:t>
            </w:r>
          </w:p>
        </w:tc>
        <w:tc>
          <w:tcPr>
            <w:tcW w:w="993"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90</w:t>
            </w:r>
          </w:p>
        </w:tc>
        <w:tc>
          <w:tcPr>
            <w:tcW w:w="1275"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220</w:t>
            </w:r>
          </w:p>
        </w:tc>
        <w:tc>
          <w:tcPr>
            <w:tcW w:w="1418"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900</w:t>
            </w:r>
          </w:p>
        </w:tc>
        <w:tc>
          <w:tcPr>
            <w:tcW w:w="1228"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979"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2</w:t>
            </w:r>
            <w:r>
              <w:rPr>
                <w:rFonts w:hint="default" w:ascii="Times New Roman" w:hAnsi="Times New Roman" w:cs="Times New Roman"/>
                <w:color w:val="auto"/>
                <w:szCs w:val="21"/>
                <w:lang w:val="en-US" w:eastAsia="zh-CN"/>
              </w:rPr>
              <w:t>30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935"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9</w:t>
            </w:r>
            <w:r>
              <w:rPr>
                <w:rFonts w:hint="default" w:ascii="Times New Roman" w:hAnsi="Times New Roman" w:cs="Times New Roman"/>
                <w:color w:val="auto"/>
                <w:szCs w:val="21"/>
                <w:lang w:val="en-US" w:eastAsia="zh-CN"/>
              </w:rPr>
              <w:t>50</w:t>
            </w:r>
          </w:p>
        </w:tc>
        <w:tc>
          <w:tcPr>
            <w:tcW w:w="1275"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0</w:t>
            </w:r>
          </w:p>
        </w:tc>
        <w:tc>
          <w:tcPr>
            <w:tcW w:w="993"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100</w:t>
            </w:r>
          </w:p>
        </w:tc>
        <w:tc>
          <w:tcPr>
            <w:tcW w:w="1275"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2</w:t>
            </w:r>
            <w:r>
              <w:rPr>
                <w:rFonts w:hint="default" w:ascii="Times New Roman" w:hAnsi="Times New Roman" w:cs="Times New Roman"/>
                <w:color w:val="auto"/>
                <w:szCs w:val="21"/>
                <w:lang w:val="en-US" w:eastAsia="zh-CN"/>
              </w:rPr>
              <w:t>30</w:t>
            </w:r>
          </w:p>
        </w:tc>
        <w:tc>
          <w:tcPr>
            <w:tcW w:w="1418"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9</w:t>
            </w:r>
            <w:r>
              <w:rPr>
                <w:rFonts w:hint="default" w:ascii="Times New Roman" w:hAnsi="Times New Roman" w:cs="Times New Roman"/>
                <w:color w:val="auto"/>
                <w:szCs w:val="21"/>
                <w:lang w:val="en-US" w:eastAsia="zh-CN"/>
              </w:rPr>
              <w:t>50</w:t>
            </w:r>
          </w:p>
        </w:tc>
        <w:tc>
          <w:tcPr>
            <w:tcW w:w="1228"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trPr>
        <w:tc>
          <w:tcPr>
            <w:tcW w:w="979"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110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979"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240</w:t>
            </w:r>
          </w:p>
        </w:tc>
        <w:tc>
          <w:tcPr>
            <w:tcW w:w="1332"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935"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1000</w:t>
            </w:r>
          </w:p>
        </w:tc>
        <w:tc>
          <w:tcPr>
            <w:tcW w:w="1275" w:type="dxa"/>
            <w:vAlign w:val="center"/>
          </w:tcPr>
          <w:p>
            <w:pPr>
              <w:spacing w:line="0" w:lineRule="atLeast"/>
              <w:contextualSpacing/>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0</w:t>
            </w:r>
          </w:p>
        </w:tc>
        <w:tc>
          <w:tcPr>
            <w:tcW w:w="993"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110</w:t>
            </w:r>
          </w:p>
        </w:tc>
        <w:tc>
          <w:tcPr>
            <w:tcW w:w="1275"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240</w:t>
            </w:r>
          </w:p>
        </w:tc>
        <w:tc>
          <w:tcPr>
            <w:tcW w:w="1418" w:type="dxa"/>
            <w:vAlign w:val="center"/>
          </w:tcPr>
          <w:p>
            <w:pPr>
              <w:widowControl/>
              <w:spacing w:line="0" w:lineRule="atLeast"/>
              <w:contextualSpacing/>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w:t>
            </w:r>
          </w:p>
        </w:tc>
        <w:tc>
          <w:tcPr>
            <w:tcW w:w="1134" w:type="dxa"/>
            <w:vAlign w:val="center"/>
          </w:tcPr>
          <w:p>
            <w:pPr>
              <w:spacing w:line="0" w:lineRule="atLeast"/>
              <w:contextualSpacing/>
              <w:jc w:val="center"/>
              <w:rPr>
                <w:rFonts w:hint="default" w:ascii="Times New Roman" w:hAnsi="Times New Roman" w:cs="Times New Roman"/>
                <w:color w:val="auto"/>
                <w:szCs w:val="21"/>
              </w:rPr>
            </w:pPr>
            <w:r>
              <w:rPr>
                <w:rFonts w:hint="default" w:ascii="Times New Roman" w:hAnsi="Times New Roman" w:cs="Times New Roman"/>
                <w:color w:val="auto"/>
                <w:szCs w:val="21"/>
              </w:rPr>
              <w:t>1000</w:t>
            </w:r>
          </w:p>
        </w:tc>
        <w:tc>
          <w:tcPr>
            <w:tcW w:w="1228" w:type="dxa"/>
            <w:vAlign w:val="center"/>
          </w:tcPr>
          <w:p>
            <w:pPr>
              <w:widowControl/>
              <w:spacing w:line="0" w:lineRule="atLeast"/>
              <w:contextualSpacing/>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w:t>
            </w:r>
          </w:p>
        </w:tc>
      </w:tr>
    </w:tbl>
    <w:p>
      <w:pPr>
        <w:spacing w:line="360" w:lineRule="auto"/>
        <w:ind w:firstLine="425" w:firstLineChars="177"/>
        <w:jc w:val="center"/>
        <w:rPr>
          <w:rFonts w:hint="default" w:ascii="Times New Roman" w:hAnsi="Times New Roman" w:cs="Times New Roman"/>
          <w:b/>
          <w:color w:val="FF0000"/>
          <w:kern w:val="0"/>
          <w:sz w:val="24"/>
        </w:rPr>
      </w:pPr>
    </w:p>
    <w:p>
      <w:pPr>
        <w:spacing w:line="360" w:lineRule="auto"/>
        <w:ind w:firstLine="425" w:firstLineChars="177"/>
        <w:jc w:val="center"/>
        <w:rPr>
          <w:rFonts w:hint="default" w:ascii="Times New Roman" w:hAnsi="Times New Roman" w:cs="Times New Roman"/>
          <w:b/>
          <w:color w:val="FF0000"/>
          <w:kern w:val="0"/>
          <w:sz w:val="24"/>
        </w:rPr>
      </w:pPr>
    </w:p>
    <w:p>
      <w:pPr>
        <w:spacing w:line="360" w:lineRule="auto"/>
        <w:ind w:firstLine="425" w:firstLineChars="177"/>
        <w:jc w:val="center"/>
        <w:rPr>
          <w:rFonts w:hint="default" w:ascii="Times New Roman" w:hAnsi="Times New Roman" w:cs="Times New Roman"/>
          <w:b/>
          <w:color w:val="FF0000"/>
          <w:kern w:val="0"/>
          <w:sz w:val="24"/>
        </w:rPr>
      </w:pPr>
    </w:p>
    <w:p>
      <w:pPr>
        <w:spacing w:line="360" w:lineRule="auto"/>
        <w:ind w:firstLine="425" w:firstLineChars="177"/>
        <w:jc w:val="center"/>
        <w:rPr>
          <w:rFonts w:hint="default" w:ascii="Times New Roman" w:hAnsi="Times New Roman" w:cs="Times New Roman"/>
          <w:b/>
          <w:color w:val="FF0000"/>
          <w:kern w:val="0"/>
          <w:sz w:val="24"/>
        </w:rPr>
      </w:pPr>
    </w:p>
    <w:p>
      <w:pPr>
        <w:spacing w:line="360" w:lineRule="auto"/>
        <w:ind w:firstLine="480" w:firstLineChars="200"/>
        <w:rPr>
          <w:rFonts w:hint="default" w:ascii="Times New Roman" w:hAnsi="Times New Roman" w:cs="Times New Roman"/>
          <w:color w:val="FF0000"/>
          <w:kern w:val="0"/>
          <w:sz w:val="24"/>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根据表5-2-</w:t>
      </w:r>
      <w:r>
        <w:rPr>
          <w:rFonts w:hint="default" w:ascii="Times New Roman" w:hAnsi="Times New Roman" w:cs="Times New Roman"/>
          <w:color w:val="auto"/>
          <w:kern w:val="0"/>
          <w:sz w:val="24"/>
          <w:highlight w:val="none"/>
          <w:lang w:val="en-US" w:eastAsia="zh-CN"/>
        </w:rPr>
        <w:t>20</w:t>
      </w:r>
      <w:r>
        <w:rPr>
          <w:rFonts w:hint="default" w:ascii="Times New Roman" w:hAnsi="Times New Roman" w:cs="Times New Roman"/>
          <w:color w:val="auto"/>
          <w:kern w:val="0"/>
          <w:sz w:val="24"/>
          <w:highlight w:val="none"/>
        </w:rPr>
        <w:t>可知，本项目污水处理站</w:t>
      </w:r>
      <w:r>
        <w:rPr>
          <w:rFonts w:hint="eastAsia" w:ascii="Times New Roman" w:hAnsi="Times New Roman" w:eastAsia="宋体" w:cs="Times New Roman"/>
          <w:color w:val="auto"/>
          <w:kern w:val="0"/>
          <w:sz w:val="24"/>
          <w:highlight w:val="none"/>
          <w:lang w:val="en-US" w:eastAsia="zh-CN"/>
        </w:rPr>
        <w:t>沉淀</w:t>
      </w:r>
      <w:r>
        <w:rPr>
          <w:rFonts w:hint="default" w:ascii="Times New Roman" w:hAnsi="Times New Roman" w:cs="Times New Roman"/>
          <w:color w:val="auto"/>
          <w:kern w:val="0"/>
          <w:sz w:val="24"/>
          <w:highlight w:val="none"/>
        </w:rPr>
        <w:t>池发生泄漏情况下，COD：100d，在下游</w:t>
      </w:r>
      <w:r>
        <w:rPr>
          <w:rFonts w:hint="default" w:ascii="Times New Roman" w:hAnsi="Times New Roman" w:cs="Times New Roman"/>
          <w:color w:val="auto"/>
          <w:kern w:val="0"/>
          <w:sz w:val="24"/>
          <w:highlight w:val="none"/>
          <w:lang w:val="en-US" w:eastAsia="zh-CN"/>
        </w:rPr>
        <w:t>17</w:t>
      </w:r>
      <w:r>
        <w:rPr>
          <w:rFonts w:hint="default" w:ascii="Times New Roman" w:hAnsi="Times New Roman" w:cs="Times New Roman"/>
          <w:color w:val="auto"/>
          <w:kern w:val="0"/>
          <w:sz w:val="24"/>
          <w:highlight w:val="none"/>
        </w:rPr>
        <w:t>m处达到标准值，影响范围为</w:t>
      </w:r>
      <w:r>
        <w:rPr>
          <w:rFonts w:hint="default" w:ascii="Times New Roman" w:hAnsi="Times New Roman" w:cs="Times New Roman"/>
          <w:color w:val="auto"/>
          <w:kern w:val="0"/>
          <w:sz w:val="24"/>
          <w:highlight w:val="none"/>
          <w:lang w:val="en-US" w:eastAsia="zh-CN"/>
        </w:rPr>
        <w:t>18</w:t>
      </w:r>
      <w:r>
        <w:rPr>
          <w:rFonts w:hint="default" w:ascii="Times New Roman" w:hAnsi="Times New Roman" w:cs="Times New Roman"/>
          <w:color w:val="auto"/>
          <w:kern w:val="0"/>
          <w:sz w:val="24"/>
          <w:highlight w:val="none"/>
        </w:rPr>
        <w:t>m；1000d，在下游</w:t>
      </w:r>
      <w:r>
        <w:rPr>
          <w:rFonts w:hint="default" w:ascii="Times New Roman" w:hAnsi="Times New Roman" w:cs="Times New Roman"/>
          <w:color w:val="auto"/>
          <w:kern w:val="0"/>
          <w:sz w:val="24"/>
          <w:highlight w:val="none"/>
          <w:lang w:val="en-US" w:eastAsia="zh-CN"/>
        </w:rPr>
        <w:t>62</w:t>
      </w:r>
      <w:r>
        <w:rPr>
          <w:rFonts w:hint="default" w:ascii="Times New Roman" w:hAnsi="Times New Roman" w:cs="Times New Roman"/>
          <w:color w:val="auto"/>
          <w:kern w:val="0"/>
          <w:sz w:val="24"/>
          <w:highlight w:val="none"/>
        </w:rPr>
        <w:t>m处达到标准值，影响范围为</w:t>
      </w:r>
      <w:r>
        <w:rPr>
          <w:rFonts w:hint="default" w:ascii="Times New Roman" w:hAnsi="Times New Roman" w:cs="Times New Roman"/>
          <w:color w:val="auto"/>
          <w:kern w:val="0"/>
          <w:sz w:val="24"/>
          <w:highlight w:val="none"/>
          <w:lang w:val="en-US" w:eastAsia="zh-CN"/>
        </w:rPr>
        <w:t>64</w:t>
      </w:r>
      <w:r>
        <w:rPr>
          <w:rFonts w:hint="default" w:ascii="Times New Roman" w:hAnsi="Times New Roman" w:cs="Times New Roman"/>
          <w:color w:val="auto"/>
          <w:kern w:val="0"/>
          <w:sz w:val="24"/>
          <w:highlight w:val="none"/>
        </w:rPr>
        <w:t>m；20年（服务年限），在下游</w:t>
      </w:r>
      <w:r>
        <w:rPr>
          <w:rFonts w:hint="default" w:ascii="Times New Roman" w:hAnsi="Times New Roman" w:cs="Times New Roman"/>
          <w:color w:val="auto"/>
          <w:kern w:val="0"/>
          <w:sz w:val="24"/>
          <w:highlight w:val="none"/>
          <w:lang w:val="en-US" w:eastAsia="zh-CN"/>
        </w:rPr>
        <w:t>211</w:t>
      </w:r>
      <w:r>
        <w:rPr>
          <w:rFonts w:hint="default" w:ascii="Times New Roman" w:hAnsi="Times New Roman" w:cs="Times New Roman"/>
          <w:color w:val="auto"/>
          <w:kern w:val="0"/>
          <w:sz w:val="24"/>
          <w:highlight w:val="none"/>
        </w:rPr>
        <w:t>m处达到标准值，影响范围为</w:t>
      </w:r>
      <w:r>
        <w:rPr>
          <w:rFonts w:hint="default" w:ascii="Times New Roman" w:hAnsi="Times New Roman" w:cs="Times New Roman"/>
          <w:color w:val="auto"/>
          <w:kern w:val="0"/>
          <w:sz w:val="24"/>
          <w:highlight w:val="none"/>
          <w:lang w:val="en-US" w:eastAsia="zh-CN"/>
        </w:rPr>
        <w:t>219</w:t>
      </w:r>
      <w:r>
        <w:rPr>
          <w:rFonts w:hint="default" w:ascii="Times New Roman" w:hAnsi="Times New Roman" w:cs="Times New Roman"/>
          <w:color w:val="auto"/>
          <w:kern w:val="0"/>
          <w:sz w:val="24"/>
          <w:highlight w:val="none"/>
        </w:rPr>
        <w:t>m。氨氮：100d，在下游</w:t>
      </w:r>
      <w:r>
        <w:rPr>
          <w:rFonts w:hint="default" w:ascii="Times New Roman" w:hAnsi="Times New Roman" w:cs="Times New Roman"/>
          <w:color w:val="auto"/>
          <w:kern w:val="0"/>
          <w:sz w:val="24"/>
          <w:highlight w:val="none"/>
          <w:lang w:val="en-US" w:eastAsia="zh-CN"/>
        </w:rPr>
        <w:t>19</w:t>
      </w:r>
      <w:r>
        <w:rPr>
          <w:rFonts w:hint="default" w:ascii="Times New Roman" w:hAnsi="Times New Roman" w:cs="Times New Roman"/>
          <w:color w:val="auto"/>
          <w:kern w:val="0"/>
          <w:sz w:val="24"/>
          <w:highlight w:val="none"/>
        </w:rPr>
        <w:t>m处达到标准值，影响范围为</w:t>
      </w:r>
      <w:r>
        <w:rPr>
          <w:rFonts w:hint="default" w:ascii="Times New Roman" w:hAnsi="Times New Roman" w:cs="Times New Roman"/>
          <w:color w:val="auto"/>
          <w:kern w:val="0"/>
          <w:sz w:val="24"/>
          <w:highlight w:val="none"/>
          <w:lang w:val="en-US" w:eastAsia="zh-CN"/>
        </w:rPr>
        <w:t>26</w:t>
      </w:r>
      <w:r>
        <w:rPr>
          <w:rFonts w:hint="default" w:ascii="Times New Roman" w:hAnsi="Times New Roman" w:cs="Times New Roman"/>
          <w:color w:val="auto"/>
          <w:kern w:val="0"/>
          <w:sz w:val="24"/>
          <w:highlight w:val="none"/>
        </w:rPr>
        <w:t>m；1000d，在下游</w:t>
      </w:r>
      <w:r>
        <w:rPr>
          <w:rFonts w:hint="default" w:ascii="Times New Roman" w:hAnsi="Times New Roman" w:cs="Times New Roman"/>
          <w:color w:val="auto"/>
          <w:kern w:val="0"/>
          <w:sz w:val="24"/>
          <w:highlight w:val="none"/>
          <w:lang w:val="en-US" w:eastAsia="zh-CN"/>
        </w:rPr>
        <w:t>67</w:t>
      </w:r>
      <w:r>
        <w:rPr>
          <w:rFonts w:hint="default" w:ascii="Times New Roman" w:hAnsi="Times New Roman" w:cs="Times New Roman"/>
          <w:color w:val="auto"/>
          <w:kern w:val="0"/>
          <w:sz w:val="24"/>
          <w:highlight w:val="none"/>
        </w:rPr>
        <w:t>m处达到标准值，影响范围为</w:t>
      </w:r>
      <w:r>
        <w:rPr>
          <w:rFonts w:hint="default" w:ascii="Times New Roman" w:hAnsi="Times New Roman" w:cs="Times New Roman"/>
          <w:color w:val="auto"/>
          <w:kern w:val="0"/>
          <w:sz w:val="24"/>
          <w:highlight w:val="none"/>
          <w:lang w:val="en-US" w:eastAsia="zh-CN"/>
        </w:rPr>
        <w:t>89</w:t>
      </w:r>
      <w:r>
        <w:rPr>
          <w:rFonts w:hint="default" w:ascii="Times New Roman" w:hAnsi="Times New Roman" w:cs="Times New Roman"/>
          <w:color w:val="auto"/>
          <w:kern w:val="0"/>
          <w:sz w:val="24"/>
          <w:highlight w:val="none"/>
        </w:rPr>
        <w:t>m；20年（服务年限），在下游</w:t>
      </w:r>
      <w:r>
        <w:rPr>
          <w:rFonts w:hint="default" w:ascii="Times New Roman" w:hAnsi="Times New Roman" w:cs="Times New Roman"/>
          <w:color w:val="auto"/>
          <w:kern w:val="0"/>
          <w:sz w:val="24"/>
          <w:highlight w:val="none"/>
          <w:lang w:val="en-US" w:eastAsia="zh-CN"/>
        </w:rPr>
        <w:t>226</w:t>
      </w:r>
      <w:r>
        <w:rPr>
          <w:rFonts w:hint="default" w:ascii="Times New Roman" w:hAnsi="Times New Roman" w:cs="Times New Roman"/>
          <w:color w:val="auto"/>
          <w:kern w:val="0"/>
          <w:sz w:val="24"/>
          <w:highlight w:val="none"/>
        </w:rPr>
        <w:t>m处达到标准值，影响范围为</w:t>
      </w:r>
      <w:r>
        <w:rPr>
          <w:rFonts w:hint="default" w:ascii="Times New Roman" w:hAnsi="Times New Roman" w:cs="Times New Roman"/>
          <w:color w:val="auto"/>
          <w:kern w:val="0"/>
          <w:sz w:val="24"/>
          <w:highlight w:val="none"/>
          <w:lang w:val="en-US" w:eastAsia="zh-CN"/>
        </w:rPr>
        <w:t>285</w:t>
      </w:r>
      <w:r>
        <w:rPr>
          <w:rFonts w:hint="default" w:ascii="Times New Roman" w:hAnsi="Times New Roman" w:cs="Times New Roman"/>
          <w:color w:val="auto"/>
          <w:kern w:val="0"/>
          <w:sz w:val="24"/>
          <w:highlight w:val="none"/>
        </w:rPr>
        <w:t>m。</w:t>
      </w:r>
    </w:p>
    <w:p>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snapToGrid w:val="0"/>
          <w:color w:val="auto"/>
          <w:kern w:val="0"/>
          <w:sz w:val="24"/>
          <w:highlight w:val="none"/>
        </w:rPr>
        <w:t>地下水污染预测结果表明，非正常工况下，预测100d</w:t>
      </w:r>
      <w:r>
        <w:rPr>
          <w:rFonts w:hint="default" w:ascii="Times New Roman" w:hAnsi="Times New Roman" w:cs="Times New Roman"/>
          <w:snapToGrid w:val="0"/>
          <w:color w:val="auto"/>
          <w:kern w:val="0"/>
          <w:sz w:val="24"/>
          <w:highlight w:val="none"/>
          <w:lang w:eastAsia="zh-CN"/>
        </w:rPr>
        <w:t>、</w:t>
      </w:r>
      <w:r>
        <w:rPr>
          <w:rFonts w:hint="default" w:ascii="Times New Roman" w:hAnsi="Times New Roman" w:cs="Times New Roman"/>
          <w:snapToGrid w:val="0"/>
          <w:color w:val="auto"/>
          <w:kern w:val="0"/>
          <w:sz w:val="24"/>
          <w:highlight w:val="none"/>
        </w:rPr>
        <w:t>1000d</w:t>
      </w:r>
      <w:r>
        <w:rPr>
          <w:rFonts w:hint="default" w:ascii="Times New Roman" w:hAnsi="Times New Roman" w:cs="Times New Roman"/>
          <w:snapToGrid w:val="0"/>
          <w:color w:val="auto"/>
          <w:kern w:val="0"/>
          <w:sz w:val="24"/>
          <w:highlight w:val="none"/>
          <w:lang w:val="en-US" w:eastAsia="zh-CN"/>
        </w:rPr>
        <w:t>及</w:t>
      </w:r>
      <w:r>
        <w:rPr>
          <w:rFonts w:hint="default" w:ascii="Times New Roman" w:hAnsi="Times New Roman" w:cs="Times New Roman"/>
          <w:color w:val="auto"/>
          <w:kern w:val="0"/>
          <w:sz w:val="24"/>
          <w:highlight w:val="none"/>
        </w:rPr>
        <w:t>20年（服务年限）</w:t>
      </w:r>
      <w:r>
        <w:rPr>
          <w:rFonts w:hint="default" w:ascii="Times New Roman" w:hAnsi="Times New Roman" w:cs="Times New Roman"/>
          <w:snapToGrid w:val="0"/>
          <w:color w:val="auto"/>
          <w:kern w:val="0"/>
          <w:sz w:val="24"/>
          <w:highlight w:val="none"/>
        </w:rPr>
        <w:t>污水泄漏影响范围内无地下水环境敏感目标，不会对地下水流向下游居民点地下饮用水造成影响。</w:t>
      </w:r>
    </w:p>
    <w:p>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本项目污水处理站各池体及贮水池均采取防渗措施，并在厂区地下水下游</w:t>
      </w:r>
      <w:r>
        <w:rPr>
          <w:rFonts w:hint="default" w:ascii="Times New Roman" w:hAnsi="Times New Roman" w:cs="Times New Roman"/>
          <w:color w:val="auto"/>
          <w:kern w:val="0"/>
          <w:sz w:val="24"/>
          <w:highlight w:val="none"/>
          <w:lang w:val="en-GB"/>
        </w:rPr>
        <w:t>设置一个跟踪监测井，每1年监测一次，可及时发现污水泄漏情况，并及时检修，因此不会</w:t>
      </w:r>
      <w:r>
        <w:rPr>
          <w:rFonts w:hint="default" w:ascii="Times New Roman" w:hAnsi="Times New Roman" w:cs="Times New Roman"/>
          <w:snapToGrid w:val="0"/>
          <w:color w:val="auto"/>
          <w:kern w:val="0"/>
          <w:sz w:val="24"/>
          <w:highlight w:val="none"/>
        </w:rPr>
        <w:t>对地下水流向下游居民点地下饮用水造成影响</w:t>
      </w:r>
      <w:r>
        <w:rPr>
          <w:rFonts w:hint="default" w:ascii="Times New Roman" w:hAnsi="Times New Roman" w:cs="Times New Roman"/>
          <w:color w:val="auto"/>
          <w:kern w:val="0"/>
          <w:sz w:val="24"/>
          <w:highlight w:val="none"/>
        </w:rPr>
        <w:t>。</w:t>
      </w:r>
      <w:r>
        <w:rPr>
          <w:rFonts w:hint="default" w:ascii="Times New Roman" w:hAnsi="Times New Roman" w:cs="Times New Roman"/>
          <w:snapToGrid w:val="0"/>
          <w:color w:val="auto"/>
          <w:kern w:val="0"/>
          <w:sz w:val="24"/>
          <w:highlight w:val="none"/>
        </w:rPr>
        <w:t>综上项目建设对区域地下水环境影响较小。</w:t>
      </w:r>
    </w:p>
    <w:p>
      <w:pPr>
        <w:spacing w:line="360" w:lineRule="auto"/>
        <w:jc w:val="center"/>
        <w:rPr>
          <w:rFonts w:hint="default" w:ascii="Times New Roman" w:hAnsi="Times New Roman" w:cs="Times New Roman"/>
          <w:snapToGrid w:val="0"/>
          <w:color w:val="FF0000"/>
          <w:kern w:val="0"/>
          <w:sz w:val="24"/>
          <w:highlight w:val="magenta"/>
        </w:rPr>
      </w:pPr>
      <w:r>
        <w:rPr>
          <w:rFonts w:hint="default" w:ascii="Times New Roman" w:hAnsi="Times New Roman" w:cs="Times New Roman"/>
          <w:highlight w:val="none"/>
        </w:rPr>
        <w:drawing>
          <wp:inline distT="0" distB="0" distL="114300" distR="114300">
            <wp:extent cx="4826000" cy="2743200"/>
            <wp:effectExtent l="4445" t="4445" r="8255" b="14605"/>
            <wp:docPr id="112"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pPr>
        <w:pStyle w:val="50"/>
        <w:spacing w:line="240" w:lineRule="auto"/>
        <w:ind w:firstLine="42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图5-2-</w:t>
      </w:r>
      <w:r>
        <w:rPr>
          <w:rFonts w:hint="eastAsia"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 xml:space="preserve">  100天COD预测参数及过程截图（</w:t>
      </w:r>
      <w:r>
        <w:rPr>
          <w:rFonts w:hint="default" w:ascii="Times New Roman" w:hAnsi="Times New Roman" w:cs="Times New Roman"/>
          <w:color w:val="auto"/>
          <w:sz w:val="24"/>
          <w:szCs w:val="24"/>
          <w:highlight w:val="none"/>
          <w:lang w:val="en-US" w:eastAsia="zh-CN"/>
        </w:rPr>
        <w:t>污水处理站沉淀</w:t>
      </w:r>
      <w:r>
        <w:rPr>
          <w:rFonts w:hint="default" w:ascii="Times New Roman" w:hAnsi="Times New Roman" w:cs="Times New Roman"/>
          <w:color w:val="auto"/>
          <w:sz w:val="24"/>
          <w:szCs w:val="24"/>
          <w:highlight w:val="none"/>
        </w:rPr>
        <w:t>池）</w:t>
      </w:r>
    </w:p>
    <w:p>
      <w:pPr>
        <w:spacing w:line="360" w:lineRule="auto"/>
        <w:jc w:val="center"/>
        <w:rPr>
          <w:rFonts w:hint="default" w:ascii="Times New Roman" w:hAnsi="Times New Roman" w:cs="Times New Roman"/>
          <w:snapToGrid w:val="0"/>
          <w:color w:val="FF0000"/>
          <w:kern w:val="0"/>
          <w:sz w:val="24"/>
          <w:highlight w:val="none"/>
        </w:rPr>
      </w:pPr>
      <w:r>
        <w:rPr>
          <w:rFonts w:hint="default" w:ascii="Times New Roman" w:hAnsi="Times New Roman" w:cs="Times New Roman"/>
          <w:highlight w:val="none"/>
        </w:rPr>
        <w:drawing>
          <wp:inline distT="0" distB="0" distL="114300" distR="114300">
            <wp:extent cx="4826000" cy="2743200"/>
            <wp:effectExtent l="4445" t="4445" r="8255" b="14605"/>
            <wp:docPr id="114" name="图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pPr>
        <w:pStyle w:val="50"/>
        <w:spacing w:line="240" w:lineRule="auto"/>
        <w:ind w:firstLine="42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图5-2-</w:t>
      </w: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 xml:space="preserve">  1000天COD预测参数及过程截图（污水处理站）</w:t>
      </w:r>
    </w:p>
    <w:p>
      <w:pPr>
        <w:spacing w:line="360" w:lineRule="auto"/>
        <w:jc w:val="center"/>
        <w:rPr>
          <w:rFonts w:hint="default" w:ascii="Times New Roman" w:hAnsi="Times New Roman" w:cs="Times New Roman"/>
          <w:snapToGrid w:val="0"/>
          <w:color w:val="auto"/>
          <w:kern w:val="0"/>
          <w:sz w:val="24"/>
          <w:highlight w:val="none"/>
        </w:rPr>
      </w:pPr>
      <w:r>
        <w:rPr>
          <w:rFonts w:hint="default" w:ascii="Times New Roman" w:hAnsi="Times New Roman" w:cs="Times New Roman"/>
          <w:color w:val="auto"/>
          <w:highlight w:val="none"/>
        </w:rPr>
        <w:drawing>
          <wp:inline distT="0" distB="0" distL="114300" distR="114300">
            <wp:extent cx="4826000" cy="2743200"/>
            <wp:effectExtent l="4445" t="4445" r="8255" b="14605"/>
            <wp:docPr id="116"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pPr>
        <w:pStyle w:val="50"/>
        <w:spacing w:line="240" w:lineRule="auto"/>
        <w:ind w:firstLine="42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图5-2-</w:t>
      </w:r>
      <w:r>
        <w:rPr>
          <w:rFonts w:hint="eastAsia"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 xml:space="preserve">  20年（服务年限）COD预测参数及过程截图（污水处理站）</w:t>
      </w:r>
    </w:p>
    <w:p>
      <w:pPr>
        <w:pStyle w:val="50"/>
        <w:spacing w:line="240" w:lineRule="auto"/>
        <w:ind w:firstLine="0" w:firstLineChars="0"/>
        <w:rPr>
          <w:rFonts w:hint="default" w:ascii="Times New Roman" w:hAnsi="Times New Roman" w:cs="Times New Roman"/>
          <w:color w:val="auto"/>
          <w:highlight w:val="none"/>
        </w:rPr>
      </w:pPr>
      <w:r>
        <w:rPr>
          <w:rFonts w:hint="default" w:ascii="Times New Roman" w:hAnsi="Times New Roman" w:cs="Times New Roman"/>
          <w:highlight w:val="none"/>
        </w:rPr>
        <w:drawing>
          <wp:inline distT="0" distB="0" distL="114300" distR="114300">
            <wp:extent cx="4826000" cy="2457450"/>
            <wp:effectExtent l="4445" t="4445" r="8255" b="14605"/>
            <wp:docPr id="118" name="图表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pPr>
        <w:pStyle w:val="50"/>
        <w:spacing w:line="240" w:lineRule="auto"/>
        <w:ind w:firstLine="42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图5-2-</w:t>
      </w:r>
      <w:r>
        <w:rPr>
          <w:rFonts w:hint="eastAsia"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 xml:space="preserve">  100天氨氮预测参数及过程截图（污水处理站）</w:t>
      </w:r>
    </w:p>
    <w:p>
      <w:pPr>
        <w:widowControl/>
        <w:spacing w:line="360" w:lineRule="auto"/>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drawing>
          <wp:inline distT="0" distB="0" distL="114300" distR="114300">
            <wp:extent cx="4826000" cy="2609850"/>
            <wp:effectExtent l="4445" t="4445" r="8255" b="14605"/>
            <wp:docPr id="120" name="图表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pPr>
        <w:pStyle w:val="50"/>
        <w:spacing w:line="240" w:lineRule="auto"/>
        <w:ind w:firstLine="42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图5-2-</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 xml:space="preserve">  1000天氨氮预测参数及过程截图（污水处理站）</w:t>
      </w:r>
    </w:p>
    <w:p>
      <w:pPr>
        <w:widowControl/>
        <w:spacing w:line="360" w:lineRule="auto"/>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drawing>
          <wp:inline distT="0" distB="0" distL="114300" distR="114300">
            <wp:extent cx="4826000" cy="2571750"/>
            <wp:effectExtent l="4445" t="4445" r="8255" b="14605"/>
            <wp:docPr id="122"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pPr>
        <w:pStyle w:val="50"/>
        <w:keepNext w:val="0"/>
        <w:keepLines w:val="0"/>
        <w:pageBreakBefore w:val="0"/>
        <w:wordWrap/>
        <w:overflowPunct/>
        <w:topLinePunct w:val="0"/>
        <w:bidi w:val="0"/>
        <w:spacing w:line="360" w:lineRule="auto"/>
        <w:ind w:left="0" w:firstLine="480" w:firstLineChars="20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图5-2-</w:t>
      </w:r>
      <w:r>
        <w:rPr>
          <w:rFonts w:hint="eastAsia"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 xml:space="preserve">  20年（服务年限）氨氮预测参数及过程截图（污水处理站）</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宋体" w:cs="Times New Roman"/>
          <w:b/>
          <w:snapToGrid/>
          <w:color w:val="auto"/>
          <w:kern w:val="2"/>
          <w:sz w:val="28"/>
          <w:szCs w:val="28"/>
          <w:lang w:eastAsia="zh-CN"/>
        </w:rPr>
      </w:pPr>
      <w:bookmarkStart w:id="342" w:name="_Toc17468"/>
      <w:bookmarkStart w:id="343" w:name="_Toc11809"/>
      <w:r>
        <w:rPr>
          <w:rFonts w:hint="default" w:ascii="Times New Roman" w:hAnsi="Times New Roman" w:eastAsia="宋体" w:cs="Times New Roman"/>
          <w:b/>
          <w:snapToGrid/>
          <w:color w:val="auto"/>
          <w:kern w:val="2"/>
          <w:sz w:val="28"/>
          <w:szCs w:val="28"/>
          <w:lang w:eastAsia="zh-CN"/>
        </w:rPr>
        <w:t>5.2.3  噪声环境影响分析</w:t>
      </w:r>
      <w:bookmarkEnd w:id="342"/>
      <w:bookmarkEnd w:id="343"/>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9"/>
        <w:rPr>
          <w:rFonts w:ascii="Times New Roman" w:hAnsi="Times New Roman" w:eastAsia="宋体" w:cs="Times New Roman"/>
          <w:b/>
          <w:snapToGrid w:val="0"/>
          <w:color w:val="auto"/>
          <w:kern w:val="2"/>
          <w:sz w:val="24"/>
          <w:szCs w:val="24"/>
          <w:lang w:eastAsia="zh-CN"/>
        </w:rPr>
      </w:pPr>
      <w:r>
        <w:rPr>
          <w:rFonts w:ascii="Times New Roman" w:hAnsi="Times New Roman" w:eastAsia="宋体" w:cs="Times New Roman"/>
          <w:b/>
          <w:snapToGrid w:val="0"/>
          <w:color w:val="auto"/>
          <w:kern w:val="2"/>
          <w:sz w:val="24"/>
          <w:szCs w:val="24"/>
          <w:lang w:eastAsia="zh-CN"/>
        </w:rPr>
        <w:t>5.2.</w:t>
      </w:r>
      <w:r>
        <w:rPr>
          <w:rFonts w:hint="eastAsia" w:ascii="Times New Roman" w:hAnsi="Times New Roman" w:eastAsia="宋体" w:cs="Times New Roman"/>
          <w:b/>
          <w:snapToGrid w:val="0"/>
          <w:color w:val="auto"/>
          <w:kern w:val="2"/>
          <w:sz w:val="24"/>
          <w:szCs w:val="24"/>
          <w:lang w:val="en-US" w:eastAsia="zh-CN"/>
        </w:rPr>
        <w:t>3</w:t>
      </w:r>
      <w:r>
        <w:rPr>
          <w:rFonts w:ascii="Times New Roman" w:hAnsi="Times New Roman" w:eastAsia="宋体" w:cs="Times New Roman"/>
          <w:b/>
          <w:snapToGrid w:val="0"/>
          <w:color w:val="auto"/>
          <w:kern w:val="2"/>
          <w:sz w:val="24"/>
          <w:szCs w:val="24"/>
          <w:lang w:eastAsia="zh-CN"/>
        </w:rPr>
        <w:t>.1预测模式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预测模式选用《环境影响评价技术导则 声环境》（HJ2.4-2021）推荐的模式，噪声预测计算的基本公式如下：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①室内声源等效室外声源的计算方法：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某一室内声源靠近围护结构处产生的倍频带声压级：</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default" w:ascii="Times New Roman" w:hAnsi="Times New Roman" w:eastAsia="Times New Roman" w:cs="Times New Roman"/>
          <w:color w:val="auto"/>
          <w:highlight w:val="none"/>
        </w:rPr>
      </w:pPr>
      <w:r>
        <w:rPr>
          <w:color w:val="auto"/>
          <w:position w:val="-28"/>
          <w:sz w:val="24"/>
          <w:szCs w:val="24"/>
          <w:highlight w:val="none"/>
        </w:rPr>
        <w:object>
          <v:shape id="_x0000_i1033" o:spt="75" type="#_x0000_t75" style="height:46.65pt;width:151.55pt;" o:ole="t" filled="f" o:preferrelative="t" stroked="f" coordsize="21600,21600">
            <v:path/>
            <v:fill on="f" focussize="0,0"/>
            <v:stroke on="f"/>
            <v:imagedata r:id="rId73" o:title=""/>
            <o:lock v:ext="edit" aspectratio="t"/>
            <w10:wrap type="none"/>
            <w10:anchorlock/>
          </v:shape>
          <o:OLEObject Type="Embed" ProgID="Equation.3" ShapeID="_x0000_i1033" DrawAspect="Content" ObjectID="_1468075733" r:id="rId72">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式中：L</w:t>
      </w:r>
      <w:r>
        <w:rPr>
          <w:rFonts w:hint="default" w:ascii="Times New Roman" w:hAnsi="Times New Roman" w:eastAsia="宋体" w:cs="Times New Roman"/>
          <w:color w:val="auto"/>
          <w:sz w:val="24"/>
          <w:highlight w:val="none"/>
          <w:vertAlign w:val="subscript"/>
          <w:lang w:val="en-US" w:eastAsia="zh-CN" w:bidi="ar-SA"/>
        </w:rPr>
        <w:t>p1</w:t>
      </w:r>
      <w:r>
        <w:rPr>
          <w:rFonts w:hint="default" w:ascii="Times New Roman" w:hAnsi="Times New Roman" w:eastAsia="宋体" w:cs="Times New Roman"/>
          <w:color w:val="auto"/>
          <w:sz w:val="24"/>
          <w:highlight w:val="none"/>
          <w:lang w:val="en-US" w:eastAsia="zh-CN" w:bidi="ar-SA"/>
        </w:rPr>
        <w:t>—室内某倍频带的声压级或A声级，dB；</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L</w:t>
      </w:r>
      <w:r>
        <w:rPr>
          <w:rFonts w:hint="default" w:ascii="Times New Roman" w:hAnsi="Times New Roman" w:eastAsia="宋体" w:cs="Times New Roman"/>
          <w:color w:val="auto"/>
          <w:sz w:val="24"/>
          <w:highlight w:val="none"/>
          <w:vertAlign w:val="subscript"/>
          <w:lang w:val="en-US" w:eastAsia="zh-CN" w:bidi="ar-SA"/>
        </w:rPr>
        <w:t>w</w:t>
      </w:r>
      <w:r>
        <w:rPr>
          <w:rFonts w:hint="default" w:ascii="Times New Roman" w:hAnsi="Times New Roman" w:eastAsia="宋体" w:cs="Times New Roman"/>
          <w:color w:val="auto"/>
          <w:sz w:val="24"/>
          <w:highlight w:val="none"/>
          <w:lang w:val="en-US" w:eastAsia="zh-CN" w:bidi="ar-SA"/>
        </w:rPr>
        <w:t>—点声源声功率级（A计权或倍频带），dB；</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r—声源到靠近围护结构某点处的距离，m；</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Q—指向性因数，通常对无指向性声源，当声源放在房间中心时，Q=1，当放在一面墙的中心时，Q=2；当放在两面墙夹角处时，Q=4，当放在三面墙夹角处时，Q=8；</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R—房间常数，R=Sα/(1−α)，S为房间内表面面积，m</w:t>
      </w:r>
      <w:r>
        <w:rPr>
          <w:rFonts w:hint="default" w:ascii="Times New Roman" w:hAnsi="Times New Roman" w:eastAsia="宋体" w:cs="Times New Roman"/>
          <w:color w:val="auto"/>
          <w:sz w:val="24"/>
          <w:highlight w:val="none"/>
          <w:vertAlign w:val="superscript"/>
          <w:lang w:val="en-US" w:eastAsia="zh-CN" w:bidi="ar-SA"/>
        </w:rPr>
        <w:t>2</w:t>
      </w:r>
      <w:r>
        <w:rPr>
          <w:rFonts w:hint="default" w:ascii="Times New Roman" w:hAnsi="Times New Roman" w:eastAsia="宋体" w:cs="Times New Roman"/>
          <w:color w:val="auto"/>
          <w:sz w:val="24"/>
          <w:highlight w:val="none"/>
          <w:lang w:val="en-US" w:eastAsia="zh-CN" w:bidi="ar-SA"/>
        </w:rPr>
        <w:t>，α为平均吸声系数，取0.1；</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②室内所有声源在靠近围护结构处的合成声压级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Times New Roman" w:cs="Times New Roman"/>
          <w:color w:val="auto"/>
          <w:sz w:val="24"/>
          <w:szCs w:val="24"/>
          <w:highlight w:val="none"/>
        </w:rPr>
      </w:pPr>
      <m:oMathPara>
        <m:oMath>
          <m:sSub>
            <m:sSubPr>
              <m:ctrlPr>
                <w:rPr>
                  <w:rFonts w:hint="default" w:ascii="Cambria Math" w:hAnsi="Cambria Math"/>
                  <w:i/>
                  <w:sz w:val="24"/>
                  <w:szCs w:val="24"/>
                </w:rPr>
              </m:ctrlPr>
            </m:sSubPr>
            <m:e>
              <m:r>
                <m:rPr/>
                <w:rPr>
                  <w:rFonts w:hint="default" w:ascii="Cambria Math"/>
                  <w:sz w:val="24"/>
                  <w:szCs w:val="24"/>
                </w:rPr>
                <m:t>L</m:t>
              </m:r>
              <m:ctrlPr>
                <w:rPr>
                  <w:rFonts w:hint="default" w:ascii="Cambria Math" w:hAnsi="Cambria Math"/>
                  <w:i/>
                  <w:sz w:val="24"/>
                  <w:szCs w:val="24"/>
                </w:rPr>
              </m:ctrlPr>
            </m:e>
            <m:sub>
              <m:r>
                <m:rPr/>
                <w:rPr>
                  <w:rFonts w:hint="eastAsia" w:ascii="Cambria Math"/>
                  <w:sz w:val="24"/>
                  <w:szCs w:val="24"/>
                </w:rPr>
                <m:t>p</m:t>
              </m:r>
              <m:r>
                <m:rPr/>
                <w:rPr>
                  <w:rFonts w:hint="default" w:ascii="Cambria Math"/>
                  <w:sz w:val="24"/>
                  <w:szCs w:val="24"/>
                </w:rPr>
                <m:t>1i</m:t>
              </m:r>
              <m:ctrlPr>
                <w:rPr>
                  <w:rFonts w:hint="default" w:ascii="Cambria Math" w:hAnsi="Cambria Math"/>
                  <w:i/>
                  <w:sz w:val="24"/>
                  <w:szCs w:val="24"/>
                </w:rPr>
              </m:ctrlPr>
            </m:sub>
          </m:sSub>
          <m:r>
            <m:rPr/>
            <w:rPr>
              <w:rFonts w:hint="default" w:ascii="Cambria Math"/>
              <w:sz w:val="24"/>
              <w:szCs w:val="24"/>
            </w:rPr>
            <m:t>=10</m:t>
          </m:r>
          <m:func>
            <m:funcPr>
              <m:ctrlPr>
                <w:rPr>
                  <w:rFonts w:hint="default" w:ascii="Cambria Math" w:hAnsi="Cambria Math"/>
                  <w:i/>
                  <w:sz w:val="24"/>
                  <w:szCs w:val="24"/>
                </w:rPr>
              </m:ctrlPr>
            </m:funcPr>
            <m:fName>
              <m:r>
                <m:rPr/>
                <w:rPr>
                  <w:rFonts w:hint="default" w:ascii="Cambria Math"/>
                  <w:sz w:val="24"/>
                  <w:szCs w:val="24"/>
                </w:rPr>
                <m:t>lg</m:t>
              </m:r>
              <m:ctrlPr>
                <w:rPr>
                  <w:rFonts w:hint="default" w:ascii="Cambria Math" w:hAnsi="Cambria Math"/>
                  <w:i/>
                  <w:sz w:val="24"/>
                  <w:szCs w:val="24"/>
                </w:rPr>
              </m:ctrlPr>
            </m:fName>
            <m:e>
              <m:d>
                <m:dPr>
                  <m:ctrlPr>
                    <w:rPr>
                      <w:rFonts w:hint="default" w:ascii="Cambria Math" w:hAnsi="Cambria Math"/>
                      <w:i/>
                      <w:sz w:val="24"/>
                      <w:szCs w:val="24"/>
                    </w:rPr>
                  </m:ctrlPr>
                </m:dPr>
                <m:e>
                  <m:sSup>
                    <m:sSupPr>
                      <m:ctrlPr>
                        <w:rPr>
                          <w:rFonts w:hint="default" w:ascii="Cambria Math" w:hAnsi="Cambria Math"/>
                          <w:i/>
                          <w:sz w:val="24"/>
                          <w:szCs w:val="24"/>
                        </w:rPr>
                      </m:ctrlPr>
                    </m:sSupPr>
                    <m:e>
                      <m:nary>
                        <m:naryPr>
                          <m:chr m:val="∑"/>
                          <m:ctrlPr>
                            <w:rPr>
                              <w:rFonts w:hint="default" w:ascii="Cambria Math" w:hAnsi="Cambria Math"/>
                              <w:i/>
                              <w:sz w:val="24"/>
                              <w:szCs w:val="24"/>
                            </w:rPr>
                          </m:ctrlPr>
                        </m:naryPr>
                        <m:sub>
                          <m:r>
                            <m:rPr/>
                            <w:rPr>
                              <w:rFonts w:hint="default" w:ascii="Cambria Math"/>
                              <w:sz w:val="24"/>
                              <w:szCs w:val="24"/>
                            </w:rPr>
                            <m:t>j=1</m:t>
                          </m:r>
                          <m:ctrlPr>
                            <w:rPr>
                              <w:rFonts w:hint="default" w:ascii="Cambria Math" w:hAnsi="Cambria Math"/>
                              <w:i/>
                              <w:sz w:val="24"/>
                              <w:szCs w:val="24"/>
                            </w:rPr>
                          </m:ctrlPr>
                        </m:sub>
                        <m:sup>
                          <m:r>
                            <m:rPr/>
                            <w:rPr>
                              <w:rFonts w:hint="default" w:ascii="Cambria Math"/>
                              <w:sz w:val="24"/>
                              <w:szCs w:val="24"/>
                            </w:rPr>
                            <m:t>N</m:t>
                          </m:r>
                          <m:ctrlPr>
                            <w:rPr>
                              <w:rFonts w:hint="default" w:ascii="Cambria Math" w:hAnsi="Cambria Math"/>
                              <w:i/>
                              <w:sz w:val="24"/>
                              <w:szCs w:val="24"/>
                            </w:rPr>
                          </m:ctrlPr>
                        </m:sup>
                        <m:e>
                          <m:r>
                            <m:rPr/>
                            <w:rPr>
                              <w:rFonts w:hint="default" w:ascii="Cambria Math"/>
                              <w:sz w:val="24"/>
                              <w:szCs w:val="24"/>
                            </w:rPr>
                            <m:t>10</m:t>
                          </m:r>
                          <m:ctrlPr>
                            <w:rPr>
                              <w:rFonts w:hint="default" w:ascii="Cambria Math" w:hAnsi="Cambria Math"/>
                              <w:i/>
                              <w:sz w:val="24"/>
                              <w:szCs w:val="24"/>
                            </w:rPr>
                          </m:ctrlPr>
                        </m:e>
                      </m:nary>
                      <m:ctrlPr>
                        <w:rPr>
                          <w:rFonts w:hint="default" w:ascii="Cambria Math" w:hAnsi="Cambria Math"/>
                          <w:i/>
                          <w:sz w:val="24"/>
                          <w:szCs w:val="24"/>
                        </w:rPr>
                      </m:ctrlPr>
                    </m:e>
                    <m:sup>
                      <m:r>
                        <m:rPr/>
                        <w:rPr>
                          <w:rFonts w:hint="default" w:ascii="Cambria Math"/>
                          <w:sz w:val="24"/>
                          <w:szCs w:val="24"/>
                        </w:rPr>
                        <m:t>0.1</m:t>
                      </m:r>
                      <m:sSub>
                        <m:sSubPr>
                          <m:ctrlPr>
                            <w:rPr>
                              <w:rFonts w:hint="default" w:ascii="Cambria Math" w:hAnsi="Cambria Math"/>
                              <w:i/>
                              <w:sz w:val="24"/>
                              <w:szCs w:val="24"/>
                            </w:rPr>
                          </m:ctrlPr>
                        </m:sSubPr>
                        <m:e>
                          <m:r>
                            <m:rPr/>
                            <w:rPr>
                              <w:rFonts w:hint="default" w:ascii="Cambria Math"/>
                              <w:sz w:val="24"/>
                              <w:szCs w:val="24"/>
                            </w:rPr>
                            <m:t>L</m:t>
                          </m:r>
                          <m:ctrlPr>
                            <w:rPr>
                              <w:rFonts w:hint="default" w:ascii="Cambria Math" w:hAnsi="Cambria Math"/>
                              <w:i/>
                              <w:sz w:val="24"/>
                              <w:szCs w:val="24"/>
                            </w:rPr>
                          </m:ctrlPr>
                        </m:e>
                        <m:sub>
                          <m:r>
                            <m:rPr/>
                            <w:rPr>
                              <w:rFonts w:hint="default" w:ascii="Cambria Math"/>
                              <w:sz w:val="24"/>
                              <w:szCs w:val="24"/>
                            </w:rPr>
                            <m:t>p1ij</m:t>
                          </m:r>
                          <m:ctrlPr>
                            <w:rPr>
                              <w:rFonts w:hint="default" w:ascii="Cambria Math" w:hAnsi="Cambria Math"/>
                              <w:i/>
                              <w:sz w:val="24"/>
                              <w:szCs w:val="24"/>
                            </w:rPr>
                          </m:ctrlPr>
                        </m:sub>
                      </m:sSub>
                      <m:ctrlPr>
                        <w:rPr>
                          <w:rFonts w:hint="default" w:ascii="Cambria Math" w:hAnsi="Cambria Math"/>
                          <w:i/>
                          <w:sz w:val="24"/>
                          <w:szCs w:val="24"/>
                        </w:rPr>
                      </m:ctrlPr>
                    </m:sup>
                  </m:sSup>
                  <m:ctrlPr>
                    <w:rPr>
                      <w:rFonts w:hint="default" w:ascii="Cambria Math" w:hAnsi="Cambria Math"/>
                      <w:i/>
                      <w:sz w:val="24"/>
                      <w:szCs w:val="24"/>
                    </w:rPr>
                  </m:ctrlPr>
                </m:e>
              </m:d>
              <m:ctrlPr>
                <w:rPr>
                  <w:rFonts w:hint="default" w:ascii="Cambria Math" w:hAnsi="Cambria Math"/>
                  <w:i/>
                  <w:sz w:val="24"/>
                  <w:szCs w:val="24"/>
                </w:rPr>
              </m:ctrlPr>
            </m:e>
          </m:func>
        </m:oMath>
      </m:oMathPara>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式中：N—室内声源总数。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③外靠近围护结构处的声压级（L2）</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Times New Roman" w:cs="Times New Roman"/>
          <w:color w:val="auto"/>
          <w:sz w:val="24"/>
          <w:szCs w:val="24"/>
          <w:highlight w:val="none"/>
        </w:rPr>
      </w:pPr>
      <w:r>
        <w:rPr>
          <w:rFonts w:hint="default" w:ascii="Times New Roman" w:hAnsi="Times New Roman" w:eastAsia="Times New Roman" w:cs="Times New Roman"/>
          <w:color w:val="auto"/>
          <w:sz w:val="24"/>
          <w:szCs w:val="24"/>
          <w:highlight w:val="none"/>
        </w:rPr>
        <w:t>L</w:t>
      </w:r>
      <w:r>
        <w:rPr>
          <w:rFonts w:hint="default" w:ascii="Times New Roman" w:hAnsi="Times New Roman" w:eastAsia="Times New Roman" w:cs="Times New Roman"/>
          <w:color w:val="auto"/>
          <w:sz w:val="24"/>
          <w:szCs w:val="24"/>
          <w:highlight w:val="none"/>
          <w:vertAlign w:val="subscript"/>
        </w:rPr>
        <w:t>p2</w:t>
      </w:r>
      <w:r>
        <w:rPr>
          <w:rFonts w:hint="default" w:ascii="Times New Roman" w:hAnsi="Times New Roman" w:eastAsia="Times New Roman" w:cs="Times New Roman"/>
          <w:color w:val="auto"/>
          <w:sz w:val="24"/>
          <w:szCs w:val="24"/>
          <w:highlight w:val="none"/>
        </w:rPr>
        <w:t>=L</w:t>
      </w:r>
      <w:r>
        <w:rPr>
          <w:rFonts w:hint="default" w:ascii="Times New Roman" w:hAnsi="Times New Roman" w:eastAsia="Times New Roman" w:cs="Times New Roman"/>
          <w:color w:val="auto"/>
          <w:sz w:val="24"/>
          <w:szCs w:val="24"/>
          <w:highlight w:val="none"/>
          <w:vertAlign w:val="subscript"/>
        </w:rPr>
        <w:t>p1</w:t>
      </w:r>
      <w:r>
        <w:rPr>
          <w:rFonts w:hint="default" w:ascii="Times New Roman" w:hAnsi="Times New Roman" w:eastAsia="Times New Roman" w:cs="Times New Roman"/>
          <w:color w:val="auto"/>
          <w:sz w:val="24"/>
          <w:szCs w:val="24"/>
          <w:highlight w:val="none"/>
        </w:rPr>
        <w:t>-(TL+6)</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式中：TL—隔墙倍频带或A声级的隔声量。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④将室外声级和透过面积换算成等效的室外声源，计算出中心位置位于透声面积（S）处的等效声源的倍频带声功率级，公式如下：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Times New Roman" w:cs="Times New Roman"/>
          <w:color w:val="auto"/>
          <w:sz w:val="24"/>
          <w:szCs w:val="24"/>
          <w:highlight w:val="none"/>
        </w:rPr>
      </w:pPr>
      <w:r>
        <w:rPr>
          <w:rFonts w:hint="default" w:ascii="Times New Roman" w:hAnsi="Times New Roman" w:eastAsia="Times New Roman" w:cs="Times New Roman"/>
          <w:color w:val="auto"/>
          <w:sz w:val="24"/>
          <w:szCs w:val="24"/>
          <w:highlight w:val="none"/>
        </w:rPr>
        <w:t>L</w:t>
      </w:r>
      <w:r>
        <w:rPr>
          <w:rFonts w:hint="default" w:ascii="Times New Roman" w:hAnsi="Times New Roman" w:eastAsia="Times New Roman" w:cs="Times New Roman"/>
          <w:color w:val="auto"/>
          <w:sz w:val="24"/>
          <w:szCs w:val="24"/>
          <w:highlight w:val="none"/>
          <w:vertAlign w:val="subscript"/>
        </w:rPr>
        <w:t>w</w:t>
      </w:r>
      <w:r>
        <w:rPr>
          <w:rFonts w:hint="default" w:ascii="Times New Roman" w:hAnsi="Times New Roman" w:eastAsia="Times New Roman" w:cs="Times New Roman"/>
          <w:color w:val="auto"/>
          <w:sz w:val="24"/>
          <w:szCs w:val="24"/>
          <w:highlight w:val="none"/>
        </w:rPr>
        <w:t>=L</w:t>
      </w:r>
      <w:r>
        <w:rPr>
          <w:rFonts w:hint="default" w:ascii="Times New Roman" w:hAnsi="Times New Roman" w:eastAsia="Times New Roman" w:cs="Times New Roman"/>
          <w:color w:val="auto"/>
          <w:sz w:val="24"/>
          <w:szCs w:val="24"/>
          <w:highlight w:val="none"/>
          <w:vertAlign w:val="subscript"/>
        </w:rPr>
        <w:t>p2</w:t>
      </w:r>
      <w:r>
        <w:rPr>
          <w:rFonts w:hint="default" w:ascii="Times New Roman" w:hAnsi="Times New Roman" w:eastAsia="Times New Roman" w:cs="Times New Roman"/>
          <w:color w:val="auto"/>
          <w:sz w:val="24"/>
          <w:szCs w:val="24"/>
          <w:highlight w:val="none"/>
        </w:rPr>
        <w:t>（T）+10lgS</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⑤计算等效室外声源传播到预测点的声压级（Li）</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Times New Roman" w:cs="Times New Roman"/>
          <w:color w:val="auto"/>
          <w:sz w:val="24"/>
          <w:szCs w:val="24"/>
          <w:highlight w:val="none"/>
        </w:rPr>
      </w:pPr>
      <w:r>
        <w:rPr>
          <w:rFonts w:hint="default" w:ascii="Times New Roman" w:hAnsi="Times New Roman" w:eastAsia="Times New Roman" w:cs="Times New Roman"/>
          <w:color w:val="auto"/>
          <w:sz w:val="24"/>
          <w:szCs w:val="24"/>
          <w:highlight w:val="none"/>
        </w:rPr>
        <w:t>Lp（r）=L</w:t>
      </w:r>
      <w:r>
        <w:rPr>
          <w:rFonts w:hint="default" w:ascii="Times New Roman" w:hAnsi="Times New Roman" w:eastAsia="Times New Roman" w:cs="Times New Roman"/>
          <w:color w:val="auto"/>
          <w:sz w:val="24"/>
          <w:szCs w:val="24"/>
          <w:highlight w:val="none"/>
          <w:vertAlign w:val="subscript"/>
        </w:rPr>
        <w:t>W</w:t>
      </w:r>
      <w:r>
        <w:rPr>
          <w:rFonts w:hint="default" w:ascii="Times New Roman" w:hAnsi="Times New Roman" w:eastAsia="Times New Roman" w:cs="Times New Roman"/>
          <w:color w:val="auto"/>
          <w:sz w:val="24"/>
          <w:szCs w:val="24"/>
          <w:highlight w:val="none"/>
        </w:rPr>
        <w:t>+D</w:t>
      </w:r>
      <w:r>
        <w:rPr>
          <w:rFonts w:hint="default" w:ascii="Times New Roman" w:hAnsi="Times New Roman" w:eastAsia="Times New Roman" w:cs="Times New Roman"/>
          <w:color w:val="auto"/>
          <w:sz w:val="24"/>
          <w:szCs w:val="24"/>
          <w:highlight w:val="none"/>
          <w:vertAlign w:val="subscript"/>
        </w:rPr>
        <w:t>C</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div</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bar</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atm</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gr</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misc</w:t>
      </w:r>
      <w:r>
        <w:rPr>
          <w:rFonts w:hint="default" w:ascii="Times New Roman" w:hAnsi="Times New Roman" w:eastAsia="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Times New Roman" w:cs="Times New Roman"/>
          <w:color w:val="auto"/>
          <w:sz w:val="24"/>
          <w:szCs w:val="24"/>
          <w:highlight w:val="none"/>
        </w:rPr>
      </w:pP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div</w:t>
      </w:r>
      <w:r>
        <w:rPr>
          <w:rFonts w:hint="default" w:ascii="Times New Roman" w:hAnsi="Times New Roman" w:eastAsia="Times New Roman" w:cs="Times New Roman"/>
          <w:color w:val="auto"/>
          <w:sz w:val="24"/>
          <w:szCs w:val="24"/>
          <w:highlight w:val="none"/>
        </w:rPr>
        <w:t>=20lg（r/r</w:t>
      </w:r>
      <w:r>
        <w:rPr>
          <w:rFonts w:hint="default" w:ascii="Times New Roman" w:hAnsi="Times New Roman" w:eastAsia="Times New Roman" w:cs="Times New Roman"/>
          <w:color w:val="auto"/>
          <w:sz w:val="24"/>
          <w:szCs w:val="24"/>
          <w:highlight w:val="none"/>
          <w:vertAlign w:val="subscript"/>
        </w:rPr>
        <w:t>0</w:t>
      </w:r>
      <w:r>
        <w:rPr>
          <w:rFonts w:hint="default" w:ascii="Times New Roman" w:hAnsi="Times New Roman" w:eastAsia="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bidi="ar-SA"/>
        </w:rPr>
        <w:t>式中：Lp（r）—预测点处声压级，dB；</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L</w:t>
      </w:r>
      <w:r>
        <w:rPr>
          <w:rFonts w:hint="default" w:ascii="Times New Roman" w:hAnsi="Times New Roman" w:eastAsia="宋体" w:cs="Times New Roman"/>
          <w:color w:val="auto"/>
          <w:sz w:val="24"/>
          <w:highlight w:val="none"/>
          <w:vertAlign w:val="subscript"/>
          <w:lang w:val="en-US" w:eastAsia="zh-CN" w:bidi="ar-SA"/>
        </w:rPr>
        <w:t>W</w:t>
      </w:r>
      <w:r>
        <w:rPr>
          <w:rFonts w:hint="default" w:ascii="Times New Roman" w:hAnsi="Times New Roman" w:eastAsia="宋体" w:cs="Times New Roman"/>
          <w:color w:val="auto"/>
          <w:sz w:val="24"/>
          <w:highlight w:val="none"/>
          <w:lang w:val="en-US" w:eastAsia="zh-CN" w:bidi="ar-SA"/>
        </w:rPr>
        <w:t>—由点声源产生的声功率级（A计权或倍频带），dB；</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D</w:t>
      </w:r>
      <w:r>
        <w:rPr>
          <w:rFonts w:hint="default" w:ascii="Times New Roman" w:hAnsi="Times New Roman" w:eastAsia="宋体" w:cs="Times New Roman"/>
          <w:color w:val="auto"/>
          <w:sz w:val="24"/>
          <w:highlight w:val="none"/>
          <w:vertAlign w:val="subscript"/>
          <w:lang w:val="en-US" w:eastAsia="zh-CN" w:bidi="ar-SA"/>
        </w:rPr>
        <w:t>C</w:t>
      </w:r>
      <w:r>
        <w:rPr>
          <w:rFonts w:hint="default" w:ascii="Times New Roman" w:hAnsi="Times New Roman" w:eastAsia="宋体" w:cs="Times New Roman"/>
          <w:color w:val="auto"/>
          <w:sz w:val="24"/>
          <w:highlight w:val="none"/>
          <w:lang w:val="en-US" w:eastAsia="zh-CN" w:bidi="ar-SA"/>
        </w:rPr>
        <w:t>—指向性校正，它描述点声源的等效连续声压级与产生声功率级LW的全向点声源在规定方向的声级的偏差程度，dB；</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A</w:t>
      </w:r>
      <w:r>
        <w:rPr>
          <w:rFonts w:hint="default" w:ascii="Times New Roman" w:hAnsi="Times New Roman" w:eastAsia="宋体" w:cs="Times New Roman"/>
          <w:color w:val="auto"/>
          <w:sz w:val="24"/>
          <w:highlight w:val="none"/>
          <w:vertAlign w:val="subscript"/>
          <w:lang w:val="en-US" w:eastAsia="zh-CN" w:bidi="ar-SA"/>
        </w:rPr>
        <w:t>div</w:t>
      </w:r>
      <w:r>
        <w:rPr>
          <w:rFonts w:hint="default" w:ascii="Times New Roman" w:hAnsi="Times New Roman" w:eastAsia="宋体" w:cs="Times New Roman"/>
          <w:color w:val="auto"/>
          <w:sz w:val="24"/>
          <w:highlight w:val="none"/>
          <w:lang w:val="en-US" w:eastAsia="zh-CN" w:bidi="ar-SA"/>
        </w:rPr>
        <w:t>—几何发散引起的衰减，dB；</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A</w:t>
      </w:r>
      <w:r>
        <w:rPr>
          <w:rFonts w:hint="default" w:ascii="Times New Roman" w:hAnsi="Times New Roman" w:eastAsia="宋体" w:cs="Times New Roman"/>
          <w:color w:val="auto"/>
          <w:sz w:val="24"/>
          <w:highlight w:val="none"/>
          <w:vertAlign w:val="subscript"/>
          <w:lang w:val="en-US" w:eastAsia="zh-CN" w:bidi="ar-SA"/>
        </w:rPr>
        <w:t>bar</w:t>
      </w:r>
      <w:r>
        <w:rPr>
          <w:rFonts w:hint="default" w:ascii="Times New Roman" w:hAnsi="Times New Roman" w:eastAsia="宋体" w:cs="Times New Roman"/>
          <w:color w:val="auto"/>
          <w:sz w:val="24"/>
          <w:highlight w:val="none"/>
          <w:lang w:val="en-US" w:eastAsia="zh-CN" w:bidi="ar-SA"/>
        </w:rPr>
        <w:t>—障碍物屏障引起的衰减，dB，本项目墙、门窗等维护结构按薄屏障考虑，衰减取20dB；</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A</w:t>
      </w:r>
      <w:r>
        <w:rPr>
          <w:rFonts w:hint="default" w:ascii="Times New Roman" w:hAnsi="Times New Roman" w:eastAsia="宋体" w:cs="Times New Roman"/>
          <w:color w:val="auto"/>
          <w:sz w:val="24"/>
          <w:highlight w:val="none"/>
          <w:vertAlign w:val="subscript"/>
          <w:lang w:val="en-US" w:eastAsia="zh-CN" w:bidi="ar-SA"/>
        </w:rPr>
        <w:t>atm</w:t>
      </w:r>
      <w:r>
        <w:rPr>
          <w:rFonts w:hint="default" w:ascii="Times New Roman" w:hAnsi="Times New Roman" w:eastAsia="宋体" w:cs="Times New Roman"/>
          <w:color w:val="auto"/>
          <w:sz w:val="24"/>
          <w:highlight w:val="none"/>
          <w:lang w:val="en-US" w:eastAsia="zh-CN" w:bidi="ar-SA"/>
        </w:rPr>
        <w:t>—大气吸收引起的衰减，dB；</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A</w:t>
      </w:r>
      <w:r>
        <w:rPr>
          <w:rFonts w:hint="default" w:ascii="Times New Roman" w:hAnsi="Times New Roman" w:eastAsia="宋体" w:cs="Times New Roman"/>
          <w:color w:val="auto"/>
          <w:sz w:val="24"/>
          <w:highlight w:val="none"/>
          <w:vertAlign w:val="subscript"/>
          <w:lang w:val="en-US" w:eastAsia="zh-CN" w:bidi="ar-SA"/>
        </w:rPr>
        <w:t>gr</w:t>
      </w:r>
      <w:r>
        <w:rPr>
          <w:rFonts w:hint="default" w:ascii="Times New Roman" w:hAnsi="Times New Roman" w:eastAsia="宋体" w:cs="Times New Roman"/>
          <w:color w:val="auto"/>
          <w:sz w:val="24"/>
          <w:highlight w:val="none"/>
          <w:lang w:val="en-US" w:eastAsia="zh-CN" w:bidi="ar-SA"/>
        </w:rPr>
        <w:t>—地面效应引起的衰减，dB；</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A</w:t>
      </w:r>
      <w:r>
        <w:rPr>
          <w:rFonts w:hint="default" w:ascii="Times New Roman" w:hAnsi="Times New Roman" w:eastAsia="宋体" w:cs="Times New Roman"/>
          <w:color w:val="auto"/>
          <w:sz w:val="24"/>
          <w:highlight w:val="none"/>
          <w:vertAlign w:val="subscript"/>
          <w:lang w:val="en-US" w:eastAsia="zh-CN" w:bidi="ar-SA"/>
        </w:rPr>
        <w:t>exc</w:t>
      </w:r>
      <w:r>
        <w:rPr>
          <w:rFonts w:hint="default" w:ascii="Times New Roman" w:hAnsi="Times New Roman" w:eastAsia="宋体" w:cs="Times New Roman"/>
          <w:color w:val="auto"/>
          <w:sz w:val="24"/>
          <w:highlight w:val="none"/>
          <w:lang w:val="en-US" w:eastAsia="zh-CN" w:bidi="ar-SA"/>
        </w:rPr>
        <w:t>—其他多方面效应引起的衰减，dB；</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r—预测点距声源的距离；</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r</w:t>
      </w:r>
      <w:r>
        <w:rPr>
          <w:rFonts w:hint="default" w:ascii="Times New Roman" w:hAnsi="Times New Roman" w:eastAsia="宋体" w:cs="Times New Roman"/>
          <w:color w:val="auto"/>
          <w:sz w:val="24"/>
          <w:highlight w:val="none"/>
          <w:vertAlign w:val="subscript"/>
          <w:lang w:val="en-US" w:eastAsia="zh-CN" w:bidi="ar-SA"/>
        </w:rPr>
        <w:t>0</w:t>
      </w:r>
      <w:r>
        <w:rPr>
          <w:rFonts w:hint="default" w:ascii="Times New Roman" w:hAnsi="Times New Roman" w:eastAsia="宋体" w:cs="Times New Roman"/>
          <w:color w:val="auto"/>
          <w:sz w:val="24"/>
          <w:highlight w:val="none"/>
          <w:lang w:val="en-US" w:eastAsia="zh-CN" w:bidi="ar-SA"/>
        </w:rPr>
        <w:t>—参考位置距声源的距离。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根据本评价的实际情况，仅考虑几何发散和屏障。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⑥计算等效室外声源在预测点产生的等效声级贡献值(Leqg)计算公式：</w:t>
      </w:r>
    </w:p>
    <w:p>
      <w:pPr>
        <w:keepNext w:val="0"/>
        <w:keepLines w:val="0"/>
        <w:pageBreakBefore w:val="0"/>
        <w:wordWrap/>
        <w:overflowPunct/>
        <w:topLinePunct w:val="0"/>
        <w:bidi w:val="0"/>
        <w:snapToGrid w:val="0"/>
        <w:spacing w:line="360" w:lineRule="auto"/>
        <w:ind w:firstLine="1155" w:firstLineChars="550"/>
        <w:jc w:val="both"/>
        <w:rPr>
          <w:rFonts w:hint="default" w:ascii="Times New Roman" w:hAnsi="Times New Roman" w:cs="Times New Roman"/>
          <w:color w:val="auto"/>
          <w:highlight w:val="none"/>
        </w:rPr>
      </w:pPr>
      <w:r>
        <w:rPr>
          <w:rFonts w:hint="default" w:ascii="Times New Roman" w:hAnsi="Times New Roman" w:cs="Times New Roman"/>
          <w:color w:val="auto"/>
          <w:position w:val="-34"/>
          <w:highlight w:val="none"/>
        </w:rPr>
        <w:object>
          <v:shape id="_x0000_i1034" o:spt="75" type="#_x0000_t75" style="height:41.35pt;width:204.75pt;" o:ole="t" filled="f" o:preferrelative="t" stroked="f" coordsize="21600,21600">
            <v:path/>
            <v:fill on="f" focussize="0,0"/>
            <v:stroke on="f" joinstyle="miter"/>
            <v:imagedata r:id="rId75" o:title=""/>
            <o:lock v:ext="edit" aspectratio="t"/>
            <w10:wrap type="none"/>
            <w10:anchorlock/>
          </v:shape>
          <o:OLEObject Type="Embed" ProgID="Equation.3" ShapeID="_x0000_i1034" DrawAspect="Content" ObjectID="_1468075734" r:id="rId74">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式中：L</w:t>
      </w:r>
      <w:r>
        <w:rPr>
          <w:rFonts w:hint="default" w:ascii="Times New Roman" w:hAnsi="Times New Roman" w:eastAsia="宋体" w:cs="Times New Roman"/>
          <w:color w:val="auto"/>
          <w:sz w:val="24"/>
          <w:highlight w:val="none"/>
          <w:vertAlign w:val="subscript"/>
          <w:lang w:val="en-US" w:eastAsia="zh-CN" w:bidi="ar-SA"/>
        </w:rPr>
        <w:t>eqg</w:t>
      </w:r>
      <w:r>
        <w:rPr>
          <w:rFonts w:hint="default" w:ascii="Times New Roman" w:hAnsi="Times New Roman" w:eastAsia="宋体" w:cs="Times New Roman"/>
          <w:color w:val="auto"/>
          <w:sz w:val="24"/>
          <w:highlight w:val="none"/>
          <w:lang w:val="en-US" w:eastAsia="zh-CN" w:bidi="ar-SA"/>
        </w:rPr>
        <w:t>—建设项目声源在预测点产生的噪声贡献值，dB(A)；</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T—用于计算等效声级的时间，s；</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t</w:t>
      </w:r>
      <w:r>
        <w:rPr>
          <w:rFonts w:hint="default" w:ascii="Times New Roman" w:hAnsi="Times New Roman" w:eastAsia="宋体" w:cs="Times New Roman"/>
          <w:color w:val="auto"/>
          <w:sz w:val="24"/>
          <w:highlight w:val="none"/>
          <w:vertAlign w:val="subscript"/>
          <w:lang w:val="en-US" w:eastAsia="zh-CN" w:bidi="ar-SA"/>
        </w:rPr>
        <w:t>i</w:t>
      </w:r>
      <w:r>
        <w:rPr>
          <w:rFonts w:hint="default" w:ascii="Times New Roman" w:hAnsi="Times New Roman" w:eastAsia="宋体" w:cs="Times New Roman"/>
          <w:color w:val="auto"/>
          <w:sz w:val="24"/>
          <w:highlight w:val="none"/>
          <w:lang w:val="en-US" w:eastAsia="zh-CN" w:bidi="ar-SA"/>
        </w:rPr>
        <w:t>—在T时间内i声源工作时间，s；</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t</w:t>
      </w:r>
      <w:r>
        <w:rPr>
          <w:rFonts w:hint="default" w:ascii="Times New Roman" w:hAnsi="Times New Roman" w:eastAsia="宋体" w:cs="Times New Roman"/>
          <w:color w:val="auto"/>
          <w:sz w:val="24"/>
          <w:highlight w:val="none"/>
          <w:vertAlign w:val="subscript"/>
          <w:lang w:val="en-US" w:eastAsia="zh-CN" w:bidi="ar-SA"/>
        </w:rPr>
        <w:t>j</w:t>
      </w:r>
      <w:r>
        <w:rPr>
          <w:rFonts w:hint="default" w:ascii="Times New Roman" w:hAnsi="Times New Roman" w:eastAsia="宋体" w:cs="Times New Roman"/>
          <w:color w:val="auto"/>
          <w:sz w:val="24"/>
          <w:highlight w:val="none"/>
          <w:lang w:val="en-US" w:eastAsia="zh-CN" w:bidi="ar-SA"/>
        </w:rPr>
        <w:t>—在T时间内j声源工作时间，s；</w:t>
      </w:r>
    </w:p>
    <w:p>
      <w:pPr>
        <w:pStyle w:val="62"/>
        <w:keepNext w:val="0"/>
        <w:keepLines w:val="0"/>
        <w:pageBreakBefore w:val="0"/>
        <w:wordWrap/>
        <w:overflowPunct/>
        <w:topLinePunct w:val="0"/>
        <w:bidi w:val="0"/>
        <w:spacing w:line="360" w:lineRule="auto"/>
        <w:jc w:val="both"/>
        <w:rPr>
          <w:color w:val="FF0000"/>
        </w:rPr>
      </w:pPr>
      <w:r>
        <w:rPr>
          <w:rFonts w:hint="default" w:ascii="Times New Roman" w:hAnsi="Times New Roman" w:eastAsia="宋体" w:cs="Times New Roman"/>
          <w:color w:val="auto"/>
          <w:sz w:val="24"/>
          <w:highlight w:val="none"/>
          <w:lang w:val="en-US" w:eastAsia="zh-CN" w:bidi="ar-SA"/>
        </w:rPr>
        <w:t>M—等效室外声源个数。</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9"/>
        <w:rPr>
          <w:rFonts w:ascii="Times New Roman" w:hAnsi="Times New Roman" w:eastAsia="宋体" w:cs="Times New Roman"/>
          <w:b/>
          <w:snapToGrid w:val="0"/>
          <w:color w:val="auto"/>
          <w:kern w:val="2"/>
          <w:sz w:val="24"/>
          <w:szCs w:val="24"/>
          <w:lang w:eastAsia="zh-CN"/>
        </w:rPr>
      </w:pPr>
      <w:r>
        <w:rPr>
          <w:rFonts w:ascii="Times New Roman" w:hAnsi="Times New Roman" w:eastAsia="宋体" w:cs="Times New Roman"/>
          <w:b/>
          <w:snapToGrid w:val="0"/>
          <w:color w:val="auto"/>
          <w:kern w:val="2"/>
          <w:sz w:val="24"/>
          <w:szCs w:val="24"/>
          <w:lang w:eastAsia="zh-CN"/>
        </w:rPr>
        <w:t>5.2.</w:t>
      </w:r>
      <w:r>
        <w:rPr>
          <w:rFonts w:hint="eastAsia" w:ascii="Times New Roman" w:hAnsi="Times New Roman" w:eastAsia="宋体" w:cs="Times New Roman"/>
          <w:b/>
          <w:snapToGrid w:val="0"/>
          <w:color w:val="auto"/>
          <w:kern w:val="2"/>
          <w:sz w:val="24"/>
          <w:szCs w:val="24"/>
          <w:lang w:val="en-US" w:eastAsia="zh-CN"/>
        </w:rPr>
        <w:t>3</w:t>
      </w:r>
      <w:r>
        <w:rPr>
          <w:rFonts w:ascii="Times New Roman" w:hAnsi="Times New Roman" w:eastAsia="宋体" w:cs="Times New Roman"/>
          <w:b/>
          <w:snapToGrid w:val="0"/>
          <w:color w:val="auto"/>
          <w:kern w:val="2"/>
          <w:sz w:val="24"/>
          <w:szCs w:val="24"/>
          <w:lang w:eastAsia="zh-CN"/>
        </w:rPr>
        <w:t>.2预测结果</w:t>
      </w:r>
    </w:p>
    <w:p>
      <w:pPr>
        <w:pStyle w:val="45"/>
        <w:keepNext w:val="0"/>
        <w:keepLines w:val="0"/>
        <w:pageBreakBefore w:val="0"/>
        <w:wordWrap/>
        <w:overflowPunct/>
        <w:topLinePunct w:val="0"/>
        <w:bidi w:val="0"/>
        <w:adjustRightInd/>
        <w:snapToGrid/>
        <w:spacing w:line="360" w:lineRule="auto"/>
        <w:jc w:val="both"/>
        <w:rPr>
          <w:rFonts w:ascii="Times New Roman" w:hAnsi="Times New Roman" w:eastAsia="宋体" w:cs="Times New Roman"/>
          <w:iCs/>
          <w:snapToGrid w:val="0"/>
          <w:color w:val="auto"/>
        </w:rPr>
      </w:pPr>
      <w:r>
        <w:rPr>
          <w:rFonts w:ascii="Times New Roman" w:hAnsi="Times New Roman" w:eastAsia="宋体" w:cs="Times New Roman"/>
          <w:color w:val="auto"/>
        </w:rPr>
        <w:t>厂界</w:t>
      </w:r>
      <w:r>
        <w:rPr>
          <w:rFonts w:ascii="Times New Roman" w:hAnsi="Times New Roman" w:eastAsia="宋体" w:cs="Times New Roman"/>
          <w:snapToGrid w:val="0"/>
          <w:color w:val="auto"/>
        </w:rPr>
        <w:t>噪声</w:t>
      </w:r>
      <w:r>
        <w:rPr>
          <w:rFonts w:ascii="Times New Roman" w:hAnsi="Times New Roman" w:eastAsia="宋体" w:cs="Times New Roman"/>
          <w:iCs/>
          <w:snapToGrid w:val="0"/>
          <w:color w:val="auto"/>
        </w:rPr>
        <w:t>预测结果见表</w:t>
      </w:r>
      <w:r>
        <w:rPr>
          <w:rFonts w:ascii="Times New Roman" w:hAnsi="Times New Roman" w:eastAsia="宋体" w:cs="Times New Roman"/>
          <w:snapToGrid w:val="0"/>
          <w:color w:val="auto"/>
        </w:rPr>
        <w:t>5-2-</w:t>
      </w:r>
      <w:r>
        <w:rPr>
          <w:rFonts w:hint="eastAsia" w:ascii="Times New Roman" w:hAnsi="Times New Roman" w:eastAsia="宋体" w:cs="Times New Roman"/>
          <w:snapToGrid w:val="0"/>
          <w:color w:val="auto"/>
        </w:rPr>
        <w:t>2</w:t>
      </w:r>
      <w:r>
        <w:rPr>
          <w:rFonts w:hint="eastAsia" w:cs="Times New Roman"/>
          <w:snapToGrid w:val="0"/>
          <w:color w:val="auto"/>
          <w:lang w:val="en-US" w:eastAsia="zh-CN"/>
        </w:rPr>
        <w:t>1</w:t>
      </w:r>
      <w:r>
        <w:rPr>
          <w:rFonts w:ascii="Times New Roman" w:hAnsi="Times New Roman" w:eastAsia="宋体" w:cs="Times New Roman"/>
          <w:iCs/>
          <w:snapToGrid w:val="0"/>
          <w:color w:val="auto"/>
        </w:rPr>
        <w:t>。</w:t>
      </w:r>
      <w:r>
        <w:rPr>
          <w:rFonts w:ascii="Times New Roman" w:hAnsi="Times New Roman" w:eastAsia="宋体" w:cs="Times New Roman"/>
          <w:snapToGrid w:val="0"/>
          <w:color w:val="auto"/>
        </w:rPr>
        <w:t>本项目预测时仅考虑点声源对周边环境的影响。</w:t>
      </w:r>
    </w:p>
    <w:p>
      <w:pPr>
        <w:keepNext w:val="0"/>
        <w:keepLines w:val="0"/>
        <w:pageBreakBefore w:val="0"/>
        <w:widowControl/>
        <w:kinsoku w:val="0"/>
        <w:wordWrap/>
        <w:overflowPunct/>
        <w:topLinePunct w:val="0"/>
        <w:autoSpaceDE w:val="0"/>
        <w:autoSpaceDN w:val="0"/>
        <w:bidi w:val="0"/>
        <w:adjustRightInd w:val="0"/>
        <w:snapToGrid w:val="0"/>
        <w:spacing w:line="240" w:lineRule="auto"/>
        <w:ind w:right="0"/>
        <w:jc w:val="center"/>
        <w:textAlignment w:val="baseline"/>
        <w:rPr>
          <w:rFonts w:hint="eastAsia" w:ascii="Times New Roman" w:hAnsi="Times New Roman" w:eastAsia="宋体" w:cs="Times New Roman"/>
          <w:sz w:val="20"/>
          <w:szCs w:val="20"/>
          <w:highlight w:val="magenta"/>
          <w:lang w:eastAsia="zh-CN"/>
        </w:rPr>
      </w:pP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24"/>
          <w:sz w:val="20"/>
          <w:szCs w:val="20"/>
          <w:highlight w:val="none"/>
        </w:rPr>
        <w:t xml:space="preserve"> </w:t>
      </w:r>
      <w:r>
        <w:rPr>
          <w:rFonts w:hint="default" w:ascii="Times New Roman" w:hAnsi="Times New Roman" w:eastAsia="Times New Roman" w:cs="Times New Roman"/>
          <w:b/>
          <w:bCs/>
          <w:spacing w:val="7"/>
          <w:sz w:val="20"/>
          <w:szCs w:val="20"/>
          <w:highlight w:val="none"/>
        </w:rPr>
        <w:t>5</w:t>
      </w:r>
      <w:r>
        <w:rPr>
          <w:rFonts w:hint="eastAsia" w:ascii="Times New Roman" w:hAnsi="Times New Roman" w:eastAsia="宋体" w:cs="Times New Roman"/>
          <w:b/>
          <w:bCs/>
          <w:spacing w:val="7"/>
          <w:sz w:val="20"/>
          <w:szCs w:val="20"/>
          <w:highlight w:val="none"/>
          <w:lang w:val="en-US" w:eastAsia="zh-CN"/>
        </w:rPr>
        <w:t>-</w:t>
      </w:r>
      <w:r>
        <w:rPr>
          <w:rFonts w:hint="default" w:ascii="Times New Roman" w:hAnsi="Times New Roman" w:eastAsia="Times New Roman" w:cs="Times New Roman"/>
          <w:b/>
          <w:bCs/>
          <w:spacing w:val="7"/>
          <w:sz w:val="20"/>
          <w:szCs w:val="20"/>
          <w:highlight w:val="none"/>
        </w:rPr>
        <w:t>2</w:t>
      </w:r>
      <w:r>
        <w:rPr>
          <w:rFonts w:hint="eastAsia" w:ascii="Times New Roman" w:hAnsi="Times New Roman" w:eastAsia="宋体" w:cs="Times New Roman"/>
          <w:b/>
          <w:bCs/>
          <w:spacing w:val="7"/>
          <w:sz w:val="20"/>
          <w:szCs w:val="20"/>
          <w:highlight w:val="none"/>
          <w:lang w:val="en-US" w:eastAsia="zh-CN"/>
        </w:rPr>
        <w:t>-21</w:t>
      </w:r>
      <w:r>
        <w:rPr>
          <w:rFonts w:hint="default" w:ascii="Times New Roman" w:hAnsi="Times New Roman" w:eastAsia="Times New Roman" w:cs="Times New Roman"/>
          <w:b/>
          <w:bCs/>
          <w:spacing w:val="7"/>
          <w:sz w:val="20"/>
          <w:szCs w:val="20"/>
          <w:highlight w:val="none"/>
        </w:rPr>
        <w:t xml:space="preserve">  </w:t>
      </w: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厂界噪声预测结果一览表</w:t>
      </w:r>
      <w:r>
        <w:rPr>
          <w:rFonts w:hint="default" w:ascii="Times New Roman" w:hAnsi="Times New Roman" w:eastAsia="宋体" w:cs="Times New Roman"/>
          <w:spacing w:val="7"/>
          <w:sz w:val="20"/>
          <w:szCs w:val="20"/>
          <w:highlight w:val="none"/>
        </w:rPr>
        <w:t xml:space="preserve">    </w:t>
      </w: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单位：</w:t>
      </w:r>
      <w:r>
        <w:rPr>
          <w:rFonts w:hint="default" w:ascii="Times New Roman" w:hAnsi="Times New Roman" w:eastAsia="Times New Roman" w:cs="Times New Roman"/>
          <w:b/>
          <w:bCs/>
          <w:sz w:val="20"/>
          <w:szCs w:val="20"/>
          <w:highlight w:val="none"/>
        </w:rPr>
        <w:t>dB</w:t>
      </w: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w:t>
      </w:r>
      <w:r>
        <w:rPr>
          <w:rFonts w:hint="default" w:ascii="Times New Roman" w:hAnsi="Times New Roman" w:eastAsia="Times New Roman" w:cs="Times New Roman"/>
          <w:b/>
          <w:bCs/>
          <w:spacing w:val="7"/>
          <w:sz w:val="20"/>
          <w:szCs w:val="20"/>
          <w:highlight w:val="none"/>
        </w:rPr>
        <w:t>A</w:t>
      </w: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w:t>
      </w:r>
    </w:p>
    <w:tbl>
      <w:tblPr>
        <w:tblStyle w:val="24"/>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645"/>
        <w:gridCol w:w="1079"/>
        <w:gridCol w:w="1040"/>
        <w:gridCol w:w="872"/>
        <w:gridCol w:w="966"/>
        <w:gridCol w:w="901"/>
        <w:gridCol w:w="892"/>
        <w:gridCol w:w="959"/>
        <w:gridCol w:w="96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6" w:hRule="atLeast"/>
          <w:jc w:val="center"/>
        </w:trPr>
        <w:tc>
          <w:tcPr>
            <w:tcW w:w="882" w:type="pct"/>
            <w:vMerge w:val="restart"/>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w:t>
            </w:r>
          </w:p>
        </w:tc>
        <w:tc>
          <w:tcPr>
            <w:tcW w:w="1136"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eastAsia" w:ascii="Times New Roman" w:hAnsi="Times New Roman" w:eastAsia="宋体" w:cs="Times New Roman"/>
                <w:bCs/>
                <w:color w:val="auto"/>
                <w:sz w:val="21"/>
                <w:szCs w:val="21"/>
                <w:highlight w:val="none"/>
                <w:lang w:val="en-US" w:eastAsia="zh-CN"/>
              </w:rPr>
              <w:t>改扩建项目噪声厂界</w:t>
            </w:r>
            <w:r>
              <w:rPr>
                <w:rFonts w:hint="default" w:ascii="Times New Roman" w:hAnsi="Times New Roman" w:cs="Times New Roman"/>
                <w:bCs/>
                <w:color w:val="auto"/>
                <w:sz w:val="21"/>
                <w:szCs w:val="21"/>
                <w:highlight w:val="none"/>
              </w:rPr>
              <w:t>贡献值</w:t>
            </w:r>
          </w:p>
        </w:tc>
        <w:tc>
          <w:tcPr>
            <w:tcW w:w="985"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厂界噪声现状值</w:t>
            </w:r>
          </w:p>
        </w:tc>
        <w:tc>
          <w:tcPr>
            <w:tcW w:w="961" w:type="pct"/>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改扩建后厂界噪声预测值</w:t>
            </w:r>
          </w:p>
        </w:tc>
        <w:tc>
          <w:tcPr>
            <w:tcW w:w="103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超标和达标情况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4" w:hRule="atLeast"/>
          <w:jc w:val="center"/>
        </w:trPr>
        <w:tc>
          <w:tcPr>
            <w:tcW w:w="882" w:type="pct"/>
            <w:vMerge w:val="continue"/>
            <w:tcBorders>
              <w:tl2br w:val="nil"/>
              <w:tr2bl w:val="nil"/>
            </w:tcBorders>
            <w:noWrap w:val="0"/>
            <w:vAlign w:val="center"/>
          </w:tcPr>
          <w:p>
            <w:pPr>
              <w:keepNext w:val="0"/>
              <w:keepLines w:val="0"/>
              <w:pageBreakBefore w:val="0"/>
              <w:kinsoku/>
              <w:wordWrap/>
              <w:overflowPunct/>
              <w:topLinePunct w:val="0"/>
              <w:autoSpaceDE/>
              <w:autoSpaceDN/>
              <w:bidi w:val="0"/>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78"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昼间</w:t>
            </w:r>
          </w:p>
        </w:tc>
        <w:tc>
          <w:tcPr>
            <w:tcW w:w="55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夜间</w:t>
            </w:r>
          </w:p>
        </w:tc>
        <w:tc>
          <w:tcPr>
            <w:tcW w:w="46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昼间</w:t>
            </w:r>
          </w:p>
        </w:tc>
        <w:tc>
          <w:tcPr>
            <w:tcW w:w="518"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夜间</w:t>
            </w:r>
          </w:p>
        </w:tc>
        <w:tc>
          <w:tcPr>
            <w:tcW w:w="483"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昼间</w:t>
            </w:r>
          </w:p>
        </w:tc>
        <w:tc>
          <w:tcPr>
            <w:tcW w:w="478"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夜间</w:t>
            </w:r>
          </w:p>
        </w:tc>
        <w:tc>
          <w:tcPr>
            <w:tcW w:w="5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color w:val="auto"/>
                <w:sz w:val="21"/>
                <w:szCs w:val="21"/>
                <w:highlight w:val="none"/>
                <w:lang w:eastAsia="zh-CN"/>
              </w:rPr>
            </w:pPr>
            <w:r>
              <w:rPr>
                <w:rFonts w:hint="default" w:ascii="Times New Roman" w:hAnsi="Times New Roman" w:eastAsia="宋体" w:cs="Times New Roman"/>
                <w:color w:val="auto"/>
                <w:sz w:val="21"/>
                <w:szCs w:val="21"/>
                <w:highlight w:val="none"/>
              </w:rPr>
              <w:t>昼间</w:t>
            </w:r>
          </w:p>
        </w:tc>
        <w:tc>
          <w:tcPr>
            <w:tcW w:w="5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color w:val="auto"/>
                <w:sz w:val="21"/>
                <w:szCs w:val="21"/>
                <w:highlight w:val="none"/>
                <w:lang w:eastAsia="zh-CN"/>
              </w:rPr>
            </w:pPr>
            <w:r>
              <w:rPr>
                <w:rFonts w:hint="default" w:ascii="Times New Roman" w:hAnsi="Times New Roman" w:eastAsia="宋体" w:cs="Times New Roman"/>
                <w:color w:val="auto"/>
                <w:sz w:val="21"/>
                <w:szCs w:val="21"/>
                <w:highlight w:val="none"/>
              </w:rPr>
              <w:t>夜间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3" w:hRule="atLeast"/>
          <w:jc w:val="center"/>
        </w:trPr>
        <w:tc>
          <w:tcPr>
            <w:tcW w:w="8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hint="default" w:ascii="Times New Roman" w:hAnsi="Times New Roman" w:cs="Times New Roman"/>
                <w:color w:val="auto"/>
                <w:szCs w:val="21"/>
              </w:rPr>
              <w:t>厂界东侧</w:t>
            </w:r>
            <w:r>
              <w:rPr>
                <w:rFonts w:hint="default" w:ascii="Times New Roman" w:hAnsi="Times New Roman" w:eastAsia="Times New Roman" w:cs="Times New Roman"/>
                <w:color w:val="auto"/>
                <w:sz w:val="21"/>
                <w:szCs w:val="21"/>
                <w:highlight w:val="none"/>
              </w:rPr>
              <w:t>1#</w:t>
            </w:r>
          </w:p>
        </w:tc>
        <w:tc>
          <w:tcPr>
            <w:tcW w:w="10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47.2</w:t>
            </w:r>
          </w:p>
        </w:tc>
        <w:tc>
          <w:tcPr>
            <w:tcW w:w="10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hint="default" w:ascii="Times New Roman" w:hAnsi="Times New Roman" w:eastAsia="Times New Roman" w:cs="Times New Roman"/>
                <w:color w:val="auto"/>
                <w:sz w:val="21"/>
                <w:szCs w:val="21"/>
                <w:highlight w:val="none"/>
                <w:lang w:val="en-US" w:eastAsia="zh-CN" w:bidi="ar-SA"/>
              </w:rPr>
              <w:t>47.2</w:t>
            </w:r>
          </w:p>
        </w:tc>
        <w:tc>
          <w:tcPr>
            <w:tcW w:w="467" w:type="pct"/>
            <w:tcBorders>
              <w:tl2br w:val="nil"/>
              <w:tr2bl w:val="nil"/>
            </w:tcBorders>
            <w:noWrap w:val="0"/>
            <w:vAlign w:val="center"/>
          </w:tcPr>
          <w:p>
            <w:pPr>
              <w:pStyle w:val="32"/>
              <w:spacing w:line="240" w:lineRule="auto"/>
              <w:ind w:left="0" w:leftChars="0" w:firstLine="0" w:firstLineChars="0"/>
              <w:jc w:val="center"/>
              <w:rPr>
                <w:rFonts w:hint="default" w:ascii="Times New Roman" w:hAnsi="Times New Roman" w:eastAsia="Times New Roman"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56</w:t>
            </w:r>
          </w:p>
        </w:tc>
        <w:tc>
          <w:tcPr>
            <w:tcW w:w="518" w:type="pct"/>
            <w:tcBorders>
              <w:tl2br w:val="nil"/>
              <w:tr2bl w:val="nil"/>
            </w:tcBorders>
            <w:noWrap w:val="0"/>
            <w:vAlign w:val="center"/>
          </w:tcPr>
          <w:p>
            <w:pPr>
              <w:pStyle w:val="32"/>
              <w:spacing w:line="240" w:lineRule="auto"/>
              <w:ind w:left="0" w:leftChars="0" w:firstLine="0" w:firstLineChars="0"/>
              <w:jc w:val="center"/>
              <w:rPr>
                <w:rFonts w:hint="default" w:ascii="Times New Roman" w:hAnsi="Times New Roman" w:eastAsia="Times New Roman" w:cs="Times New Roman"/>
                <w:color w:val="auto"/>
                <w:sz w:val="21"/>
                <w:szCs w:val="21"/>
                <w:highlight w:val="none"/>
                <w:lang w:val="en-US" w:eastAsia="zh-CN" w:bidi="ar-SA"/>
              </w:rPr>
            </w:pPr>
            <w:r>
              <w:rPr>
                <w:rFonts w:hint="eastAsia" w:ascii="Times New Roman" w:eastAsia="宋体" w:cs="Times New Roman"/>
                <w:color w:val="auto"/>
                <w:sz w:val="21"/>
                <w:szCs w:val="21"/>
                <w:highlight w:val="none"/>
                <w:vertAlign w:val="baseline"/>
                <w:lang w:val="en-US" w:eastAsia="zh-CN"/>
              </w:rPr>
              <w:t>44</w:t>
            </w:r>
          </w:p>
        </w:tc>
        <w:tc>
          <w:tcPr>
            <w:tcW w:w="4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56.54</w:t>
            </w:r>
          </w:p>
        </w:tc>
        <w:tc>
          <w:tcPr>
            <w:tcW w:w="47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44.82</w:t>
            </w:r>
          </w:p>
        </w:tc>
        <w:tc>
          <w:tcPr>
            <w:tcW w:w="5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达标</w:t>
            </w:r>
          </w:p>
        </w:tc>
        <w:tc>
          <w:tcPr>
            <w:tcW w:w="5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8" w:hRule="atLeast"/>
          <w:jc w:val="center"/>
        </w:trPr>
        <w:tc>
          <w:tcPr>
            <w:tcW w:w="8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hint="default" w:ascii="Times New Roman" w:hAnsi="Times New Roman" w:cs="Times New Roman"/>
                <w:color w:val="auto"/>
                <w:szCs w:val="21"/>
              </w:rPr>
              <w:t>厂界南侧</w:t>
            </w:r>
            <w:r>
              <w:rPr>
                <w:rFonts w:hint="default" w:ascii="Times New Roman" w:hAnsi="Times New Roman" w:eastAsia="Times New Roman" w:cs="Times New Roman"/>
                <w:color w:val="auto"/>
                <w:sz w:val="21"/>
                <w:szCs w:val="21"/>
                <w:highlight w:val="none"/>
              </w:rPr>
              <w:t>2#</w:t>
            </w:r>
          </w:p>
        </w:tc>
        <w:tc>
          <w:tcPr>
            <w:tcW w:w="10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46.12</w:t>
            </w:r>
          </w:p>
        </w:tc>
        <w:tc>
          <w:tcPr>
            <w:tcW w:w="10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46.12</w:t>
            </w:r>
          </w:p>
        </w:tc>
        <w:tc>
          <w:tcPr>
            <w:tcW w:w="467" w:type="pct"/>
            <w:tcBorders>
              <w:tl2br w:val="nil"/>
              <w:tr2bl w:val="nil"/>
            </w:tcBorders>
            <w:noWrap w:val="0"/>
            <w:vAlign w:val="center"/>
          </w:tcPr>
          <w:p>
            <w:pPr>
              <w:pStyle w:val="32"/>
              <w:spacing w:line="240" w:lineRule="auto"/>
              <w:jc w:val="center"/>
              <w:rPr>
                <w:rFonts w:hint="default" w:ascii="Times New Roman" w:hAnsi="Times New Roman" w:cs="Times New Roman"/>
                <w:color w:val="auto"/>
                <w:sz w:val="21"/>
                <w:szCs w:val="21"/>
                <w:highlight w:val="none"/>
                <w:lang w:val="en-US" w:eastAsia="zh-CN" w:bidi="ar-SA"/>
              </w:rPr>
            </w:pPr>
            <w:r>
              <w:rPr>
                <w:rFonts w:hint="eastAsia" w:ascii="Times New Roman" w:eastAsia="宋体" w:cs="Times New Roman"/>
                <w:color w:val="auto"/>
                <w:sz w:val="21"/>
                <w:szCs w:val="21"/>
                <w:highlight w:val="none"/>
                <w:vertAlign w:val="baseline"/>
                <w:lang w:val="en-US" w:eastAsia="zh-CN"/>
              </w:rPr>
              <w:t>55</w:t>
            </w:r>
          </w:p>
        </w:tc>
        <w:tc>
          <w:tcPr>
            <w:tcW w:w="518" w:type="pct"/>
            <w:tcBorders>
              <w:tl2br w:val="nil"/>
              <w:tr2bl w:val="nil"/>
            </w:tcBorders>
            <w:noWrap w:val="0"/>
            <w:vAlign w:val="center"/>
          </w:tcPr>
          <w:p>
            <w:pPr>
              <w:pStyle w:val="32"/>
              <w:spacing w:line="240" w:lineRule="auto"/>
              <w:jc w:val="center"/>
              <w:rPr>
                <w:rFonts w:hint="default" w:ascii="Times New Roman" w:hAnsi="Times New Roman" w:cs="Times New Roman"/>
                <w:color w:val="auto"/>
                <w:sz w:val="21"/>
                <w:szCs w:val="21"/>
                <w:highlight w:val="none"/>
                <w:lang w:val="en-US" w:eastAsia="zh-CN" w:bidi="ar-SA"/>
              </w:rPr>
            </w:pPr>
            <w:r>
              <w:rPr>
                <w:rFonts w:hint="eastAsia" w:ascii="Times New Roman" w:eastAsia="宋体" w:cs="Times New Roman"/>
                <w:color w:val="auto"/>
                <w:sz w:val="21"/>
                <w:szCs w:val="21"/>
                <w:highlight w:val="none"/>
                <w:vertAlign w:val="baseline"/>
                <w:lang w:val="en-US" w:eastAsia="zh-CN"/>
              </w:rPr>
              <w:t>45</w:t>
            </w:r>
          </w:p>
        </w:tc>
        <w:tc>
          <w:tcPr>
            <w:tcW w:w="4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55.53</w:t>
            </w:r>
          </w:p>
        </w:tc>
        <w:tc>
          <w:tcPr>
            <w:tcW w:w="47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48.61</w:t>
            </w:r>
          </w:p>
        </w:tc>
        <w:tc>
          <w:tcPr>
            <w:tcW w:w="5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达标</w:t>
            </w:r>
          </w:p>
        </w:tc>
        <w:tc>
          <w:tcPr>
            <w:tcW w:w="5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3" w:hRule="atLeast"/>
          <w:jc w:val="center"/>
        </w:trPr>
        <w:tc>
          <w:tcPr>
            <w:tcW w:w="8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hint="default" w:ascii="Times New Roman" w:hAnsi="Times New Roman" w:cs="Times New Roman"/>
                <w:color w:val="auto"/>
                <w:szCs w:val="21"/>
              </w:rPr>
              <w:t>厂界西侧</w:t>
            </w:r>
            <w:r>
              <w:rPr>
                <w:rFonts w:hint="default" w:ascii="Times New Roman" w:hAnsi="Times New Roman" w:eastAsia="Times New Roman" w:cs="Times New Roman"/>
                <w:color w:val="auto"/>
                <w:sz w:val="21"/>
                <w:szCs w:val="21"/>
                <w:highlight w:val="none"/>
              </w:rPr>
              <w:t>3#</w:t>
            </w:r>
          </w:p>
        </w:tc>
        <w:tc>
          <w:tcPr>
            <w:tcW w:w="10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44.8</w:t>
            </w:r>
          </w:p>
        </w:tc>
        <w:tc>
          <w:tcPr>
            <w:tcW w:w="10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44.8</w:t>
            </w:r>
          </w:p>
        </w:tc>
        <w:tc>
          <w:tcPr>
            <w:tcW w:w="467" w:type="pct"/>
            <w:tcBorders>
              <w:tl2br w:val="nil"/>
              <w:tr2bl w:val="nil"/>
            </w:tcBorders>
            <w:noWrap w:val="0"/>
            <w:vAlign w:val="center"/>
          </w:tcPr>
          <w:p>
            <w:pPr>
              <w:pStyle w:val="32"/>
              <w:spacing w:line="240" w:lineRule="auto"/>
              <w:ind w:left="0" w:lef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ascii="Times New Roman" w:eastAsia="宋体" w:cs="Times New Roman"/>
                <w:color w:val="auto"/>
                <w:sz w:val="21"/>
                <w:szCs w:val="21"/>
                <w:highlight w:val="none"/>
                <w:vertAlign w:val="baseline"/>
                <w:lang w:val="en-US" w:eastAsia="zh-CN"/>
              </w:rPr>
              <w:t>58</w:t>
            </w:r>
          </w:p>
        </w:tc>
        <w:tc>
          <w:tcPr>
            <w:tcW w:w="518" w:type="pct"/>
            <w:tcBorders>
              <w:tl2br w:val="nil"/>
              <w:tr2bl w:val="nil"/>
            </w:tcBorders>
            <w:noWrap w:val="0"/>
            <w:vAlign w:val="center"/>
          </w:tcPr>
          <w:p>
            <w:pPr>
              <w:pStyle w:val="32"/>
              <w:spacing w:line="240" w:lineRule="auto"/>
              <w:ind w:left="0" w:lef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ascii="Times New Roman" w:eastAsia="宋体" w:cs="Times New Roman"/>
                <w:color w:val="auto"/>
                <w:sz w:val="21"/>
                <w:szCs w:val="21"/>
                <w:highlight w:val="none"/>
                <w:vertAlign w:val="baseline"/>
                <w:lang w:val="en-US" w:eastAsia="zh-CN"/>
              </w:rPr>
              <w:t>47</w:t>
            </w:r>
          </w:p>
        </w:tc>
        <w:tc>
          <w:tcPr>
            <w:tcW w:w="4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58.20</w:t>
            </w:r>
          </w:p>
        </w:tc>
        <w:tc>
          <w:tcPr>
            <w:tcW w:w="47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49.05</w:t>
            </w:r>
          </w:p>
        </w:tc>
        <w:tc>
          <w:tcPr>
            <w:tcW w:w="5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达标</w:t>
            </w:r>
          </w:p>
        </w:tc>
        <w:tc>
          <w:tcPr>
            <w:tcW w:w="5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5" w:hRule="atLeast"/>
          <w:jc w:val="center"/>
        </w:trPr>
        <w:tc>
          <w:tcPr>
            <w:tcW w:w="8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hint="default" w:ascii="Times New Roman" w:hAnsi="Times New Roman" w:cs="Times New Roman"/>
                <w:color w:val="auto"/>
                <w:szCs w:val="21"/>
              </w:rPr>
              <w:t>厂界北侧</w:t>
            </w:r>
            <w:r>
              <w:rPr>
                <w:rFonts w:hint="default" w:ascii="Times New Roman" w:hAnsi="Times New Roman" w:eastAsia="Times New Roman" w:cs="Times New Roman"/>
                <w:color w:val="auto"/>
                <w:sz w:val="21"/>
                <w:szCs w:val="21"/>
                <w:highlight w:val="none"/>
              </w:rPr>
              <w:t>4#</w:t>
            </w:r>
          </w:p>
        </w:tc>
        <w:tc>
          <w:tcPr>
            <w:tcW w:w="10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30.97</w:t>
            </w:r>
          </w:p>
        </w:tc>
        <w:tc>
          <w:tcPr>
            <w:tcW w:w="10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30.97</w:t>
            </w:r>
          </w:p>
        </w:tc>
        <w:tc>
          <w:tcPr>
            <w:tcW w:w="467" w:type="pct"/>
            <w:tcBorders>
              <w:tl2br w:val="nil"/>
              <w:tr2bl w:val="nil"/>
            </w:tcBorders>
            <w:noWrap w:val="0"/>
            <w:vAlign w:val="center"/>
          </w:tcPr>
          <w:p>
            <w:pPr>
              <w:pStyle w:val="32"/>
              <w:spacing w:line="240" w:lineRule="auto"/>
              <w:ind w:left="0" w:lef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ascii="Times New Roman" w:eastAsia="宋体" w:cs="Times New Roman"/>
                <w:color w:val="auto"/>
                <w:sz w:val="21"/>
                <w:szCs w:val="21"/>
                <w:highlight w:val="none"/>
                <w:vertAlign w:val="baseline"/>
                <w:lang w:val="en-US" w:eastAsia="zh-CN"/>
              </w:rPr>
              <w:t>55</w:t>
            </w:r>
          </w:p>
        </w:tc>
        <w:tc>
          <w:tcPr>
            <w:tcW w:w="518" w:type="pct"/>
            <w:tcBorders>
              <w:tl2br w:val="nil"/>
              <w:tr2bl w:val="nil"/>
            </w:tcBorders>
            <w:noWrap w:val="0"/>
            <w:vAlign w:val="center"/>
          </w:tcPr>
          <w:p>
            <w:pPr>
              <w:pStyle w:val="32"/>
              <w:spacing w:line="240" w:lineRule="auto"/>
              <w:ind w:left="0" w:lef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ascii="Times New Roman" w:eastAsia="宋体" w:cs="Times New Roman"/>
                <w:color w:val="auto"/>
                <w:sz w:val="21"/>
                <w:szCs w:val="21"/>
                <w:highlight w:val="none"/>
                <w:vertAlign w:val="baseline"/>
                <w:lang w:val="en-US" w:eastAsia="zh-CN"/>
              </w:rPr>
              <w:t>45</w:t>
            </w:r>
          </w:p>
        </w:tc>
        <w:tc>
          <w:tcPr>
            <w:tcW w:w="4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55.13</w:t>
            </w:r>
          </w:p>
        </w:tc>
        <w:tc>
          <w:tcPr>
            <w:tcW w:w="47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46.12</w:t>
            </w:r>
          </w:p>
        </w:tc>
        <w:tc>
          <w:tcPr>
            <w:tcW w:w="5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达标</w:t>
            </w:r>
          </w:p>
        </w:tc>
        <w:tc>
          <w:tcPr>
            <w:tcW w:w="5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达标</w:t>
            </w:r>
          </w:p>
        </w:tc>
      </w:tr>
    </w:tbl>
    <w:p>
      <w:pPr>
        <w:jc w:val="center"/>
        <w:rPr>
          <w:rFonts w:hint="default" w:ascii="Times New Roman" w:hAnsi="Times New Roman" w:eastAsia="宋体" w:cs="Times New Roman"/>
          <w:b/>
          <w:color w:val="FF0000"/>
          <w:kern w:val="0"/>
          <w:szCs w:val="21"/>
          <w:lang w:eastAsia="zh-CN"/>
        </w:rPr>
      </w:pPr>
      <w:r>
        <w:rPr>
          <w:rFonts w:hint="default" w:ascii="Times New Roman" w:hAnsi="Times New Roman" w:cs="Times New Roman"/>
          <w:b/>
          <w:color w:val="FF0000"/>
          <w:kern w:val="0"/>
          <w:szCs w:val="21"/>
        </w:rPr>
        <w:drawing>
          <wp:anchor distT="0" distB="0" distL="114300" distR="114300" simplePos="0" relativeHeight="251806720" behindDoc="0" locked="0" layoutInCell="1" allowOverlap="1">
            <wp:simplePos x="0" y="0"/>
            <wp:positionH relativeFrom="column">
              <wp:posOffset>4724400</wp:posOffset>
            </wp:positionH>
            <wp:positionV relativeFrom="paragraph">
              <wp:posOffset>632460</wp:posOffset>
            </wp:positionV>
            <wp:extent cx="298450" cy="1457325"/>
            <wp:effectExtent l="0" t="0" r="6350" b="9525"/>
            <wp:wrapNone/>
            <wp:docPr id="51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17"/>
                    <pic:cNvPicPr>
                      <a:picLocks noChangeAspect="1" noChangeArrowheads="1"/>
                    </pic:cNvPicPr>
                  </pic:nvPicPr>
                  <pic:blipFill>
                    <a:blip r:embed="rId76"/>
                    <a:srcRect/>
                    <a:stretch>
                      <a:fillRect/>
                    </a:stretch>
                  </pic:blipFill>
                  <pic:spPr>
                    <a:xfrm>
                      <a:off x="0" y="0"/>
                      <a:ext cx="298450" cy="1457325"/>
                    </a:xfrm>
                    <a:prstGeom prst="rect">
                      <a:avLst/>
                    </a:prstGeom>
                    <a:noFill/>
                    <a:ln w="9525">
                      <a:noFill/>
                      <a:miter lim="800000"/>
                      <a:headEnd/>
                      <a:tailEnd/>
                    </a:ln>
                  </pic:spPr>
                </pic:pic>
              </a:graphicData>
            </a:graphic>
          </wp:anchor>
        </w:drawing>
      </w:r>
      <w:r>
        <w:rPr>
          <w:rFonts w:hint="default" w:ascii="Times New Roman" w:hAnsi="Times New Roman" w:eastAsia="宋体" w:cs="Times New Roman"/>
          <w:b/>
          <w:color w:val="FF0000"/>
          <w:kern w:val="0"/>
          <w:szCs w:val="21"/>
          <w:lang w:eastAsia="zh-CN"/>
        </w:rPr>
        <w:drawing>
          <wp:inline distT="0" distB="0" distL="114300" distR="114300">
            <wp:extent cx="5898515" cy="3589020"/>
            <wp:effectExtent l="0" t="0" r="6985" b="11430"/>
            <wp:docPr id="512" name="图片 512" descr="99009b529100c29c816ca15b6d15e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descr="99009b529100c29c816ca15b6d15efc"/>
                    <pic:cNvPicPr>
                      <a:picLocks noChangeAspect="1"/>
                    </pic:cNvPicPr>
                  </pic:nvPicPr>
                  <pic:blipFill>
                    <a:blip r:embed="rId77"/>
                    <a:stretch>
                      <a:fillRect/>
                    </a:stretch>
                  </pic:blipFill>
                  <pic:spPr>
                    <a:xfrm>
                      <a:off x="0" y="0"/>
                      <a:ext cx="5898515" cy="358902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25" w:firstLineChars="177"/>
        <w:jc w:val="center"/>
        <w:textAlignment w:val="baseline"/>
        <w:rPr>
          <w:rFonts w:hint="default" w:ascii="Times New Roman" w:hAnsi="Times New Roman" w:eastAsia="宋体" w:cs="Times New Roman"/>
          <w:spacing w:val="-3"/>
          <w:sz w:val="24"/>
          <w:szCs w:val="24"/>
          <w:highlight w:val="none"/>
        </w:rPr>
      </w:pPr>
      <w:r>
        <w:rPr>
          <w:rFonts w:hint="default" w:ascii="Times New Roman" w:hAnsi="Times New Roman" w:cs="Times New Roman"/>
          <w:b/>
          <w:color w:val="auto"/>
          <w:kern w:val="0"/>
          <w:sz w:val="24"/>
          <w:highlight w:val="none"/>
        </w:rPr>
        <w:t>图5-2-</w:t>
      </w:r>
      <w:r>
        <w:rPr>
          <w:rFonts w:hint="eastAsia" w:ascii="Times New Roman" w:hAnsi="Times New Roman" w:eastAsia="宋体" w:cs="Times New Roman"/>
          <w:b/>
          <w:color w:val="auto"/>
          <w:kern w:val="0"/>
          <w:sz w:val="24"/>
          <w:highlight w:val="none"/>
          <w:lang w:val="en-US" w:eastAsia="zh-CN"/>
        </w:rPr>
        <w:t>7</w:t>
      </w:r>
      <w:r>
        <w:rPr>
          <w:rFonts w:hint="default" w:ascii="Times New Roman" w:hAnsi="Times New Roman" w:cs="Times New Roman"/>
          <w:b/>
          <w:color w:val="auto"/>
          <w:kern w:val="0"/>
          <w:sz w:val="24"/>
          <w:highlight w:val="none"/>
          <w:lang w:val="en-US" w:eastAsia="zh-CN"/>
        </w:rPr>
        <w:t xml:space="preserve"> </w:t>
      </w:r>
      <w:r>
        <w:rPr>
          <w:rFonts w:hint="default" w:ascii="Times New Roman" w:hAnsi="Times New Roman" w:cs="Times New Roman"/>
          <w:b/>
          <w:color w:val="auto"/>
          <w:kern w:val="0"/>
          <w:sz w:val="24"/>
          <w:highlight w:val="none"/>
        </w:rPr>
        <w:t>声环境预测结果等值线图</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pacing w:val="-3"/>
          <w:sz w:val="24"/>
          <w:szCs w:val="24"/>
        </w:rPr>
      </w:pPr>
      <w:r>
        <w:rPr>
          <w:rFonts w:hint="default" w:ascii="Times New Roman" w:hAnsi="Times New Roman" w:eastAsia="宋体" w:cs="Times New Roman"/>
          <w:spacing w:val="-3"/>
          <w:sz w:val="24"/>
          <w:szCs w:val="24"/>
        </w:rPr>
        <w:t>由预测结果可知，厂界四周噪声值可达到 GB12348-2008《工业企业厂界环境噪声排放标准》中 2 类标准要求，项目建成后对区域声环境质量影响较小。</w:t>
      </w:r>
    </w:p>
    <w:p>
      <w:pPr>
        <w:pStyle w:val="10"/>
        <w:pageBreakBefore w:val="0"/>
        <w:widowControl w:val="0"/>
        <w:numPr>
          <w:ilvl w:val="2"/>
          <w:numId w:val="0"/>
        </w:numPr>
        <w:tabs>
          <w:tab w:val="left" w:pos="720"/>
        </w:tabs>
        <w:kinsoku/>
        <w:wordWrap/>
        <w:overflowPunct/>
        <w:topLinePunct w:val="0"/>
        <w:autoSpaceDE/>
        <w:autoSpaceDN/>
        <w:bidi w:val="0"/>
        <w:adjustRightInd/>
        <w:snapToGrid/>
        <w:spacing w:before="0" w:after="0" w:line="360" w:lineRule="auto"/>
        <w:ind w:right="0"/>
        <w:jc w:val="both"/>
        <w:textAlignment w:val="auto"/>
        <w:outlineLvl w:val="1"/>
        <w:rPr>
          <w:rFonts w:hint="default" w:ascii="Times New Roman" w:hAnsi="Times New Roman" w:eastAsia="宋体" w:cs="Times New Roman"/>
          <w:b/>
          <w:bCs w:val="0"/>
          <w:snapToGrid/>
          <w:color w:val="auto"/>
          <w:kern w:val="2"/>
          <w:sz w:val="28"/>
          <w:szCs w:val="28"/>
          <w:lang w:eastAsia="zh-CN"/>
        </w:rPr>
      </w:pPr>
      <w:bookmarkStart w:id="344" w:name="_Toc14930"/>
      <w:bookmarkStart w:id="345" w:name="_Toc4464"/>
      <w:r>
        <w:rPr>
          <w:rFonts w:hint="default" w:ascii="Times New Roman" w:hAnsi="Times New Roman" w:eastAsia="宋体" w:cs="Times New Roman"/>
          <w:b/>
          <w:bCs w:val="0"/>
          <w:snapToGrid/>
          <w:color w:val="auto"/>
          <w:kern w:val="2"/>
          <w:sz w:val="28"/>
          <w:szCs w:val="28"/>
          <w:lang w:eastAsia="zh-CN"/>
        </w:rPr>
        <w:t>5.2.</w:t>
      </w:r>
      <w:r>
        <w:rPr>
          <w:rFonts w:hint="eastAsia" w:ascii="Times New Roman" w:hAnsi="Times New Roman" w:eastAsia="宋体" w:cs="Times New Roman"/>
          <w:b/>
          <w:bCs w:val="0"/>
          <w:snapToGrid/>
          <w:color w:val="auto"/>
          <w:kern w:val="2"/>
          <w:sz w:val="28"/>
          <w:szCs w:val="28"/>
          <w:lang w:val="en-US" w:eastAsia="zh-CN"/>
        </w:rPr>
        <w:t>4</w:t>
      </w:r>
      <w:r>
        <w:rPr>
          <w:rFonts w:hint="default" w:ascii="Times New Roman" w:hAnsi="Times New Roman" w:eastAsia="宋体" w:cs="Times New Roman"/>
          <w:b/>
          <w:bCs w:val="0"/>
          <w:snapToGrid/>
          <w:color w:val="auto"/>
          <w:kern w:val="2"/>
          <w:sz w:val="28"/>
          <w:szCs w:val="28"/>
          <w:lang w:eastAsia="zh-CN"/>
        </w:rPr>
        <w:t xml:space="preserve">  固体废物环境影响分析</w:t>
      </w:r>
      <w:bookmarkEnd w:id="344"/>
      <w:bookmarkEnd w:id="345"/>
    </w:p>
    <w:p>
      <w:pPr>
        <w:keepNext w:val="0"/>
        <w:keepLines w:val="0"/>
        <w:pageBreakBefore w:val="0"/>
        <w:wordWrap/>
        <w:overflowPunct/>
        <w:topLinePunct w:val="0"/>
        <w:bidi w:val="0"/>
        <w:spacing w:line="360" w:lineRule="auto"/>
        <w:ind w:left="0" w:firstLine="480" w:firstLineChars="200"/>
        <w:jc w:val="both"/>
        <w:rPr>
          <w:color w:val="auto"/>
          <w:sz w:val="24"/>
          <w:highlight w:val="none"/>
        </w:rPr>
      </w:pPr>
      <w:r>
        <w:rPr>
          <w:color w:val="auto"/>
          <w:sz w:val="24"/>
          <w:highlight w:val="none"/>
        </w:rPr>
        <w:t>运行期固体废弃物主要为</w:t>
      </w:r>
      <w:r>
        <w:rPr>
          <w:rFonts w:hint="eastAsia"/>
          <w:color w:val="auto"/>
          <w:sz w:val="24"/>
          <w:highlight w:val="none"/>
        </w:rPr>
        <w:t>粪便</w:t>
      </w:r>
      <w:r>
        <w:rPr>
          <w:color w:val="auto"/>
          <w:sz w:val="24"/>
          <w:highlight w:val="none"/>
        </w:rPr>
        <w:t>、</w:t>
      </w:r>
      <w:r>
        <w:rPr>
          <w:rFonts w:hint="default" w:ascii="Times New Roman" w:hAnsi="Times New Roman" w:cs="Times New Roman"/>
          <w:sz w:val="24"/>
          <w:szCs w:val="24"/>
          <w:highlight w:val="none"/>
          <w:lang w:val="en-US" w:eastAsia="zh-CN"/>
        </w:rPr>
        <w:t>猪毛</w:t>
      </w:r>
      <w:r>
        <w:rPr>
          <w:color w:val="auto"/>
          <w:sz w:val="24"/>
          <w:highlight w:val="none"/>
        </w:rPr>
        <w:t>、</w:t>
      </w:r>
      <w:r>
        <w:rPr>
          <w:rFonts w:hint="default" w:ascii="Times New Roman" w:hAnsi="Times New Roman" w:cs="Times New Roman"/>
          <w:sz w:val="24"/>
          <w:szCs w:val="24"/>
          <w:highlight w:val="none"/>
          <w:lang w:val="en-US" w:eastAsia="zh-CN"/>
        </w:rPr>
        <w:t>肠胃内容物</w:t>
      </w:r>
      <w:r>
        <w:rPr>
          <w:rFonts w:hint="eastAsia" w:ascii="Times New Roman" w:hAnsi="Times New Roman" w:cs="Times New Roman"/>
          <w:sz w:val="24"/>
          <w:szCs w:val="24"/>
          <w:highlight w:val="none"/>
          <w:lang w:val="en-US" w:eastAsia="zh-CN"/>
        </w:rPr>
        <w:t>、</w:t>
      </w:r>
      <w:r>
        <w:rPr>
          <w:rFonts w:hint="default" w:ascii="Times New Roman" w:hAnsi="Times New Roman" w:cs="Times New Roman"/>
          <w:sz w:val="24"/>
          <w:szCs w:val="24"/>
          <w:highlight w:val="none"/>
          <w:lang w:val="en-US" w:eastAsia="zh-CN"/>
        </w:rPr>
        <w:t>病变腺体、内脏及残留脂肪</w:t>
      </w:r>
      <w:r>
        <w:rPr>
          <w:rFonts w:hint="eastAsia" w:ascii="Times New Roman" w:hAnsi="Times New Roman" w:cs="Times New Roman"/>
          <w:sz w:val="24"/>
          <w:szCs w:val="24"/>
          <w:highlight w:val="none"/>
          <w:lang w:val="en-US" w:eastAsia="zh-CN"/>
        </w:rPr>
        <w:t>、</w:t>
      </w:r>
      <w:r>
        <w:rPr>
          <w:rFonts w:hint="eastAsia"/>
          <w:color w:val="auto"/>
          <w:sz w:val="24"/>
          <w:highlight w:val="none"/>
        </w:rPr>
        <w:t>污水处理站栅渣及污泥</w:t>
      </w:r>
      <w:r>
        <w:rPr>
          <w:color w:val="auto"/>
          <w:sz w:val="24"/>
          <w:highlight w:val="none"/>
        </w:rPr>
        <w:t>、</w:t>
      </w:r>
      <w:r>
        <w:rPr>
          <w:rFonts w:hint="eastAsia" w:ascii="Times New Roman" w:hAnsi="Times New Roman" w:cs="Times New Roman"/>
          <w:sz w:val="24"/>
          <w:szCs w:val="24"/>
          <w:highlight w:val="none"/>
          <w:lang w:val="en-US" w:eastAsia="zh-CN"/>
        </w:rPr>
        <w:t>隔油工段的</w:t>
      </w:r>
      <w:r>
        <w:rPr>
          <w:rFonts w:hint="default" w:ascii="Times New Roman" w:hAnsi="Times New Roman" w:cs="Times New Roman"/>
          <w:sz w:val="24"/>
          <w:szCs w:val="24"/>
          <w:highlight w:val="none"/>
          <w:lang w:val="en-US" w:eastAsia="zh-CN"/>
        </w:rPr>
        <w:t>废油</w:t>
      </w:r>
      <w:r>
        <w:rPr>
          <w:rFonts w:hint="eastAsia" w:ascii="Times New Roman" w:hAnsi="Times New Roman" w:cs="Times New Roman"/>
          <w:sz w:val="24"/>
          <w:szCs w:val="24"/>
          <w:highlight w:val="none"/>
          <w:lang w:val="en-US" w:eastAsia="zh-CN"/>
        </w:rPr>
        <w:t>脂和落地油</w:t>
      </w:r>
      <w:r>
        <w:rPr>
          <w:color w:val="auto"/>
          <w:sz w:val="24"/>
          <w:highlight w:val="none"/>
        </w:rPr>
        <w:t>、废</w:t>
      </w:r>
      <w:r>
        <w:rPr>
          <w:rFonts w:hint="eastAsia" w:eastAsia="宋体"/>
          <w:color w:val="auto"/>
          <w:sz w:val="24"/>
          <w:highlight w:val="none"/>
          <w:lang w:val="en-US" w:eastAsia="zh-CN"/>
        </w:rPr>
        <w:t>外</w:t>
      </w:r>
      <w:r>
        <w:rPr>
          <w:color w:val="auto"/>
          <w:sz w:val="24"/>
          <w:highlight w:val="none"/>
        </w:rPr>
        <w:t>包装、</w:t>
      </w:r>
      <w:r>
        <w:rPr>
          <w:rFonts w:hint="default" w:ascii="Times New Roman" w:hAnsi="Times New Roman" w:cs="Times New Roman"/>
          <w:sz w:val="24"/>
          <w:szCs w:val="24"/>
          <w:highlight w:val="none"/>
          <w:lang w:val="en-US" w:eastAsia="zh-CN"/>
        </w:rPr>
        <w:t>检疫、检验废物</w:t>
      </w:r>
      <w:r>
        <w:rPr>
          <w:rFonts w:hint="eastAsia" w:ascii="Times New Roman" w:hAnsi="Times New Roman" w:cs="Times New Roman"/>
          <w:sz w:val="24"/>
          <w:szCs w:val="24"/>
          <w:highlight w:val="none"/>
          <w:lang w:val="en-US" w:eastAsia="zh-CN"/>
        </w:rPr>
        <w:t>（HW01）</w:t>
      </w:r>
      <w:r>
        <w:rPr>
          <w:rFonts w:hint="eastAsia"/>
          <w:bCs/>
          <w:color w:val="auto"/>
          <w:sz w:val="24"/>
          <w:highlight w:val="none"/>
        </w:rPr>
        <w:t>、</w:t>
      </w:r>
      <w:r>
        <w:rPr>
          <w:rFonts w:hint="eastAsia"/>
          <w:color w:val="auto"/>
          <w:sz w:val="24"/>
          <w:highlight w:val="none"/>
        </w:rPr>
        <w:t>废</w:t>
      </w:r>
      <w:r>
        <w:rPr>
          <w:color w:val="auto"/>
          <w:sz w:val="24"/>
          <w:highlight w:val="none"/>
        </w:rPr>
        <w:t>活性炭、</w:t>
      </w:r>
      <w:r>
        <w:rPr>
          <w:rFonts w:hint="eastAsia"/>
          <w:color w:val="auto"/>
          <w:sz w:val="24"/>
          <w:highlight w:val="none"/>
          <w:lang w:val="en-US" w:eastAsia="zh-CN"/>
        </w:rPr>
        <w:t>废离子交换树脂</w:t>
      </w:r>
      <w:r>
        <w:rPr>
          <w:color w:val="auto"/>
          <w:sz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2" w:firstLineChars="200"/>
        <w:jc w:val="both"/>
        <w:textAlignment w:val="baseline"/>
        <w:outlineLvl w:val="9"/>
        <w:rPr>
          <w:rFonts w:hint="default" w:ascii="Times New Roman" w:hAnsi="Times New Roman" w:eastAsia="宋体" w:cs="Times New Roman"/>
          <w:b/>
          <w:snapToGrid w:val="0"/>
          <w:color w:val="auto"/>
          <w:kern w:val="0"/>
          <w:sz w:val="24"/>
          <w:szCs w:val="24"/>
          <w:lang w:eastAsia="zh-CN"/>
        </w:rPr>
      </w:pPr>
      <w:r>
        <w:rPr>
          <w:rFonts w:hint="eastAsia" w:ascii="Times New Roman" w:hAnsi="Times New Roman" w:eastAsia="宋体" w:cs="Times New Roman"/>
          <w:b/>
          <w:snapToGrid w:val="0"/>
          <w:color w:val="auto"/>
          <w:kern w:val="0"/>
          <w:sz w:val="24"/>
          <w:szCs w:val="24"/>
          <w:lang w:eastAsia="zh-CN"/>
        </w:rPr>
        <w:t>5.2.</w:t>
      </w:r>
      <w:r>
        <w:rPr>
          <w:rFonts w:hint="eastAsia" w:ascii="Times New Roman" w:hAnsi="Times New Roman" w:eastAsia="宋体" w:cs="Times New Roman"/>
          <w:b/>
          <w:snapToGrid w:val="0"/>
          <w:color w:val="auto"/>
          <w:kern w:val="0"/>
          <w:sz w:val="24"/>
          <w:szCs w:val="24"/>
          <w:lang w:val="en-US" w:eastAsia="zh-CN"/>
        </w:rPr>
        <w:t>4</w:t>
      </w:r>
      <w:r>
        <w:rPr>
          <w:rFonts w:hint="eastAsia" w:ascii="Times New Roman" w:hAnsi="Times New Roman" w:eastAsia="宋体" w:cs="Times New Roman"/>
          <w:b/>
          <w:snapToGrid w:val="0"/>
          <w:color w:val="auto"/>
          <w:kern w:val="0"/>
          <w:sz w:val="24"/>
          <w:szCs w:val="24"/>
          <w:lang w:eastAsia="zh-CN"/>
        </w:rPr>
        <w:t>.1</w:t>
      </w:r>
      <w:r>
        <w:rPr>
          <w:rFonts w:hint="default" w:ascii="Times New Roman" w:hAnsi="Times New Roman" w:eastAsia="宋体" w:cs="Times New Roman"/>
          <w:b/>
          <w:snapToGrid w:val="0"/>
          <w:color w:val="auto"/>
          <w:kern w:val="0"/>
          <w:sz w:val="24"/>
          <w:szCs w:val="24"/>
          <w:lang w:eastAsia="zh-CN"/>
        </w:rPr>
        <w:t>一般工业固体废物影响分析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猪粪便在待宰圈防渗池内临时贮存，每天清运一次，外售有机肥厂进行堆肥处理；检疫室、检验室的检疫和检验废物以及病变腺体、内脏及残留脂肪送至</w:t>
      </w:r>
      <w:r>
        <w:rPr>
          <w:rFonts w:hint="eastAsia" w:ascii="Times New Roman" w:hAnsi="Times New Roman" w:eastAsia="宋体" w:cs="Times New Roman"/>
          <w:spacing w:val="-2"/>
          <w:sz w:val="24"/>
          <w:szCs w:val="24"/>
          <w:highlight w:val="none"/>
          <w:lang w:val="en-US" w:eastAsia="zh-CN"/>
        </w:rPr>
        <w:t>巴彦县燊缘无害化处理有限公司</w:t>
      </w:r>
      <w:r>
        <w:rPr>
          <w:rFonts w:hint="default" w:ascii="Times New Roman" w:hAnsi="Times New Roman" w:eastAsia="宋体" w:cs="Times New Roman"/>
          <w:spacing w:val="-2"/>
          <w:sz w:val="24"/>
          <w:szCs w:val="24"/>
          <w:highlight w:val="none"/>
          <w:lang w:val="en-US" w:eastAsia="zh-CN"/>
        </w:rPr>
        <w:t>处理；</w:t>
      </w:r>
      <w:r>
        <w:rPr>
          <w:rFonts w:hint="default" w:ascii="Times New Roman" w:hAnsi="Times New Roman" w:eastAsia="宋体" w:cs="Times New Roman"/>
          <w:spacing w:val="-2"/>
          <w:sz w:val="24"/>
          <w:szCs w:val="24"/>
          <w:lang w:val="en-US" w:eastAsia="zh-CN"/>
        </w:rPr>
        <w:t>屠宰加工车间产生的猪毛在专用容器内储存，外售至毛刷厂；肠胃内容物</w:t>
      </w:r>
      <w:r>
        <w:rPr>
          <w:rFonts w:hint="default" w:ascii="Times New Roman" w:hAnsi="Times New Roman" w:eastAsia="宋体" w:cs="Times New Roman"/>
          <w:spacing w:val="-2"/>
          <w:sz w:val="24"/>
          <w:szCs w:val="24"/>
          <w:lang w:eastAsia="zh-CN"/>
        </w:rPr>
        <w:t>通过</w:t>
      </w:r>
      <w:r>
        <w:rPr>
          <w:rFonts w:hint="default" w:ascii="Times New Roman" w:hAnsi="Times New Roman" w:eastAsia="宋体" w:cs="Times New Roman"/>
          <w:spacing w:val="-2"/>
          <w:sz w:val="24"/>
          <w:szCs w:val="24"/>
        </w:rPr>
        <w:t>风送设备排至肠内物收集池</w:t>
      </w:r>
      <w:r>
        <w:rPr>
          <w:rFonts w:hint="default" w:ascii="Times New Roman" w:hAnsi="Times New Roman" w:eastAsia="宋体" w:cs="Times New Roman"/>
          <w:spacing w:val="-2"/>
          <w:sz w:val="24"/>
          <w:szCs w:val="24"/>
          <w:lang w:eastAsia="zh-CN"/>
        </w:rPr>
        <w:t>封闭贮存，</w:t>
      </w:r>
      <w:r>
        <w:rPr>
          <w:rFonts w:hint="default" w:ascii="Times New Roman" w:hAnsi="Times New Roman" w:eastAsia="宋体" w:cs="Times New Roman"/>
          <w:spacing w:val="-2"/>
          <w:sz w:val="24"/>
          <w:szCs w:val="24"/>
          <w:lang w:val="en-US" w:eastAsia="zh-CN"/>
        </w:rPr>
        <w:t>外运有机肥厂堆肥处理；污水处理站污泥和栅渣</w:t>
      </w:r>
      <w:r>
        <w:rPr>
          <w:rFonts w:hint="default" w:ascii="Times New Roman" w:hAnsi="Times New Roman" w:eastAsia="宋体" w:cs="Times New Roman"/>
          <w:spacing w:val="-2"/>
          <w:sz w:val="24"/>
          <w:szCs w:val="24"/>
        </w:rPr>
        <w:t>(HW01)经离心式脱水机脱水、漂白粉消毒后</w:t>
      </w:r>
      <w:r>
        <w:rPr>
          <w:rFonts w:hint="default" w:ascii="Times New Roman" w:hAnsi="Times New Roman" w:eastAsia="宋体" w:cs="Times New Roman"/>
          <w:color w:val="auto"/>
          <w:sz w:val="24"/>
          <w:szCs w:val="24"/>
          <w:lang w:val="en-US" w:eastAsia="zh-CN"/>
        </w:rPr>
        <w:t>送垃圾填埋场填埋</w:t>
      </w:r>
      <w:r>
        <w:rPr>
          <w:rFonts w:hint="default" w:ascii="Times New Roman" w:hAnsi="Times New Roman" w:eastAsia="宋体" w:cs="Times New Roman"/>
          <w:spacing w:val="-2"/>
          <w:sz w:val="24"/>
          <w:szCs w:val="24"/>
          <w:lang w:eastAsia="zh-CN"/>
        </w:rPr>
        <w:t>。</w:t>
      </w:r>
      <w:r>
        <w:rPr>
          <w:rFonts w:hint="default" w:ascii="Times New Roman" w:hAnsi="Times New Roman" w:eastAsia="宋体" w:cs="Times New Roman"/>
          <w:spacing w:val="-2"/>
          <w:sz w:val="24"/>
          <w:szCs w:val="24"/>
          <w:lang w:val="en-US" w:eastAsia="zh-CN"/>
        </w:rPr>
        <w:t>锅炉房产生的废离子交换树脂由厂家回收；吸附恶臭气体的废活性炭作为一般工业固体废物暂存于一般固废暂存间封闭塑料箱内，</w:t>
      </w:r>
      <w:r>
        <w:rPr>
          <w:rFonts w:hint="eastAsia" w:ascii="Times New Roman" w:hAnsi="Times New Roman" w:eastAsia="宋体" w:cs="Times New Roman"/>
          <w:spacing w:val="-2"/>
          <w:sz w:val="24"/>
          <w:szCs w:val="24"/>
          <w:highlight w:val="none"/>
          <w:lang w:val="en-US" w:eastAsia="zh-CN"/>
        </w:rPr>
        <w:t>由活性炭厂家回收再生处理</w:t>
      </w:r>
      <w:r>
        <w:rPr>
          <w:rFonts w:hint="default" w:ascii="Times New Roman" w:hAnsi="Times New Roman" w:eastAsia="宋体" w:cs="Times New Roman"/>
          <w:spacing w:val="-2"/>
          <w:sz w:val="24"/>
          <w:szCs w:val="24"/>
          <w:lang w:val="en-US" w:eastAsia="zh-CN"/>
        </w:rPr>
        <w:t>；非正常工况下对发现的病猪进行急宰；送至</w:t>
      </w:r>
      <w:r>
        <w:rPr>
          <w:rFonts w:hint="eastAsia" w:ascii="Times New Roman" w:hAnsi="Times New Roman" w:eastAsia="宋体" w:cs="Times New Roman"/>
          <w:spacing w:val="-2"/>
          <w:sz w:val="24"/>
          <w:szCs w:val="24"/>
          <w:highlight w:val="none"/>
          <w:lang w:val="en-US" w:eastAsia="zh-CN"/>
        </w:rPr>
        <w:t>巴彦县燊缘无害化处理有限公司</w:t>
      </w:r>
      <w:r>
        <w:rPr>
          <w:rFonts w:hint="default" w:ascii="Times New Roman" w:hAnsi="Times New Roman" w:eastAsia="宋体" w:cs="Times New Roman"/>
          <w:spacing w:val="-2"/>
          <w:sz w:val="24"/>
          <w:szCs w:val="24"/>
          <w:highlight w:val="none"/>
          <w:lang w:val="en-US" w:eastAsia="zh-CN"/>
        </w:rPr>
        <w:t>处理</w:t>
      </w:r>
      <w:r>
        <w:rPr>
          <w:rFonts w:hint="default" w:ascii="Times New Roman" w:hAnsi="Times New Roman" w:eastAsia="宋体" w:cs="Times New Roman"/>
          <w:spacing w:val="-2"/>
          <w:sz w:val="24"/>
          <w:szCs w:val="24"/>
          <w:lang w:val="en-US" w:eastAsia="zh-CN"/>
        </w:rPr>
        <w:t>。</w:t>
      </w:r>
    </w:p>
    <w:p>
      <w:pPr>
        <w:pStyle w:val="29"/>
        <w:ind w:left="0" w:lef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所有固体废物均得到综合利用和妥善处置，不排入外环境。</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2" w:firstLineChars="200"/>
        <w:jc w:val="both"/>
        <w:textAlignment w:val="baseline"/>
        <w:outlineLvl w:val="9"/>
        <w:rPr>
          <w:rFonts w:hint="eastAsia" w:ascii="Times New Roman" w:hAnsi="Times New Roman" w:eastAsia="宋体" w:cs="Times New Roman"/>
          <w:b/>
          <w:snapToGrid w:val="0"/>
          <w:color w:val="auto"/>
          <w:kern w:val="0"/>
          <w:sz w:val="24"/>
          <w:szCs w:val="24"/>
          <w:lang w:eastAsia="zh-CN"/>
        </w:rPr>
      </w:pPr>
      <w:r>
        <w:rPr>
          <w:rFonts w:hint="eastAsia" w:ascii="Times New Roman" w:hAnsi="Times New Roman" w:eastAsia="宋体" w:cs="Times New Roman"/>
          <w:b/>
          <w:snapToGrid w:val="0"/>
          <w:color w:val="auto"/>
          <w:kern w:val="0"/>
          <w:sz w:val="24"/>
          <w:szCs w:val="24"/>
          <w:lang w:eastAsia="zh-CN"/>
        </w:rPr>
        <w:t>5.2.</w:t>
      </w:r>
      <w:r>
        <w:rPr>
          <w:rFonts w:hint="eastAsia" w:ascii="Times New Roman" w:hAnsi="Times New Roman" w:eastAsia="宋体" w:cs="Times New Roman"/>
          <w:b/>
          <w:snapToGrid w:val="0"/>
          <w:color w:val="auto"/>
          <w:kern w:val="0"/>
          <w:sz w:val="24"/>
          <w:szCs w:val="24"/>
          <w:lang w:val="en-US" w:eastAsia="zh-CN"/>
        </w:rPr>
        <w:t>4</w:t>
      </w:r>
      <w:r>
        <w:rPr>
          <w:rFonts w:hint="eastAsia" w:ascii="Times New Roman" w:hAnsi="Times New Roman" w:eastAsia="宋体" w:cs="Times New Roman"/>
          <w:b/>
          <w:snapToGrid w:val="0"/>
          <w:color w:val="auto"/>
          <w:kern w:val="0"/>
          <w:sz w:val="24"/>
          <w:szCs w:val="24"/>
          <w:lang w:eastAsia="zh-CN"/>
        </w:rPr>
        <w:t>.2危险废物影响分析</w:t>
      </w:r>
    </w:p>
    <w:p>
      <w:pPr>
        <w:pStyle w:val="45"/>
        <w:keepNext w:val="0"/>
        <w:keepLines w:val="0"/>
        <w:pageBreakBefore w:val="0"/>
        <w:widowControl/>
        <w:kinsoku w:val="0"/>
        <w:wordWrap/>
        <w:overflowPunct/>
        <w:topLinePunct w:val="0"/>
        <w:autoSpaceDE w:val="0"/>
        <w:autoSpaceDN w:val="0"/>
        <w:bidi w:val="0"/>
        <w:adjustRightInd/>
        <w:snapToGrid/>
        <w:spacing w:line="360" w:lineRule="auto"/>
        <w:jc w:val="both"/>
        <w:textAlignment w:val="baseline"/>
        <w:outlineLvl w:val="1"/>
        <w:rPr>
          <w:rFonts w:ascii="Times New Roman" w:hAnsi="Times New Roman" w:eastAsia="宋体" w:cs="Times New Roman"/>
          <w:snapToGrid w:val="0"/>
          <w:color w:val="auto"/>
          <w:kern w:val="0"/>
          <w:highlight w:val="none"/>
        </w:rPr>
      </w:pPr>
      <w:bookmarkStart w:id="346" w:name="_Toc18525"/>
      <w:bookmarkStart w:id="347" w:name="_Toc984"/>
      <w:r>
        <w:rPr>
          <w:rFonts w:hint="eastAsia" w:ascii="Times New Roman" w:hAnsi="Times New Roman" w:eastAsia="宋体" w:cs="Times New Roman"/>
          <w:snapToGrid w:val="0"/>
          <w:color w:val="auto"/>
          <w:kern w:val="0"/>
          <w:highlight w:val="none"/>
        </w:rPr>
        <w:t>（1）危险废物产生及收集环境影响分析</w:t>
      </w:r>
      <w:bookmarkEnd w:id="346"/>
      <w:bookmarkEnd w:id="347"/>
    </w:p>
    <w:p>
      <w:pPr>
        <w:pStyle w:val="45"/>
        <w:keepNext w:val="0"/>
        <w:keepLines w:val="0"/>
        <w:pageBreakBefore w:val="0"/>
        <w:widowControl/>
        <w:kinsoku w:val="0"/>
        <w:wordWrap/>
        <w:overflowPunct/>
        <w:topLinePunct w:val="0"/>
        <w:autoSpaceDE w:val="0"/>
        <w:autoSpaceDN w:val="0"/>
        <w:bidi w:val="0"/>
        <w:adjustRightInd/>
        <w:snapToGrid/>
        <w:spacing w:line="360" w:lineRule="auto"/>
        <w:jc w:val="both"/>
        <w:textAlignment w:val="baseline"/>
        <w:rPr>
          <w:rFonts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本项目危险废物来自于检疫过程中产生的检疫废物类别为HW01医疗废物，代码为841-005-01，</w:t>
      </w:r>
      <w:r>
        <w:rPr>
          <w:rFonts w:ascii="Times New Roman" w:hAnsi="Times New Roman" w:eastAsia="宋体" w:cs="Times New Roman"/>
          <w:snapToGrid w:val="0"/>
          <w:color w:val="auto"/>
          <w:kern w:val="0"/>
          <w:highlight w:val="none"/>
        </w:rPr>
        <w:t>产生量</w:t>
      </w:r>
      <w:r>
        <w:rPr>
          <w:rFonts w:hint="eastAsia" w:ascii="Times New Roman" w:hAnsi="Times New Roman" w:eastAsia="宋体" w:cs="Times New Roman"/>
          <w:snapToGrid w:val="0"/>
          <w:color w:val="auto"/>
          <w:kern w:val="0"/>
          <w:highlight w:val="none"/>
        </w:rPr>
        <w:t>约为</w:t>
      </w:r>
      <w:r>
        <w:rPr>
          <w:rFonts w:hint="eastAsia" w:cs="Times New Roman"/>
          <w:snapToGrid w:val="0"/>
          <w:color w:val="auto"/>
          <w:kern w:val="0"/>
          <w:highlight w:val="none"/>
          <w:lang w:val="en-US" w:eastAsia="zh-CN"/>
        </w:rPr>
        <w:t>1.4</w:t>
      </w:r>
      <w:r>
        <w:rPr>
          <w:rFonts w:ascii="Times New Roman" w:hAnsi="Times New Roman" w:eastAsia="宋体" w:cs="Times New Roman"/>
          <w:snapToGrid w:val="0"/>
          <w:color w:val="auto"/>
          <w:kern w:val="0"/>
          <w:highlight w:val="none"/>
        </w:rPr>
        <w:t>t/a。危险废物产生后采用防漏胶袋盛装就地收集包装，然后采用专用转运车转移至</w:t>
      </w:r>
      <w:r>
        <w:rPr>
          <w:rFonts w:hint="eastAsia" w:cs="Times New Roman"/>
          <w:snapToGrid w:val="0"/>
          <w:color w:val="auto"/>
          <w:kern w:val="0"/>
          <w:highlight w:val="none"/>
          <w:lang w:val="en-US" w:eastAsia="zh-CN"/>
        </w:rPr>
        <w:t>哈尔滨国环医疗固体废物无害化集中处置中心有限公司处置，不在厂区内贮存。</w:t>
      </w:r>
      <w:r>
        <w:rPr>
          <w:rFonts w:ascii="Times New Roman" w:hAnsi="Times New Roman" w:eastAsia="宋体" w:cs="Times New Roman"/>
          <w:snapToGrid w:val="0"/>
          <w:color w:val="auto"/>
          <w:kern w:val="0"/>
          <w:highlight w:val="none"/>
        </w:rPr>
        <w:t>不会对周围环境造成影响。</w:t>
      </w:r>
    </w:p>
    <w:p>
      <w:pPr>
        <w:pStyle w:val="45"/>
        <w:keepNext w:val="0"/>
        <w:keepLines w:val="0"/>
        <w:pageBreakBefore w:val="0"/>
        <w:widowControl/>
        <w:kinsoku w:val="0"/>
        <w:wordWrap/>
        <w:overflowPunct/>
        <w:topLinePunct w:val="0"/>
        <w:autoSpaceDE w:val="0"/>
        <w:autoSpaceDN w:val="0"/>
        <w:bidi w:val="0"/>
        <w:adjustRightInd/>
        <w:snapToGrid/>
        <w:spacing w:line="360" w:lineRule="auto"/>
        <w:jc w:val="both"/>
        <w:textAlignment w:val="baseline"/>
        <w:outlineLvl w:val="1"/>
        <w:rPr>
          <w:rFonts w:ascii="Times New Roman" w:hAnsi="Times New Roman" w:eastAsia="宋体" w:cs="Times New Roman"/>
          <w:snapToGrid w:val="0"/>
          <w:color w:val="auto"/>
          <w:kern w:val="0"/>
        </w:rPr>
      </w:pPr>
      <w:bookmarkStart w:id="348" w:name="_Toc4585"/>
      <w:bookmarkStart w:id="349" w:name="_Toc16299"/>
      <w:r>
        <w:rPr>
          <w:rFonts w:ascii="Times New Roman" w:hAnsi="Times New Roman" w:eastAsia="宋体" w:cs="Times New Roman"/>
          <w:snapToGrid w:val="0"/>
          <w:color w:val="auto"/>
          <w:kern w:val="0"/>
        </w:rPr>
        <w:t>（</w:t>
      </w:r>
      <w:r>
        <w:rPr>
          <w:rFonts w:hint="eastAsia" w:cs="Times New Roman"/>
          <w:snapToGrid w:val="0"/>
          <w:color w:val="auto"/>
          <w:kern w:val="0"/>
          <w:lang w:val="en-US" w:eastAsia="zh-CN"/>
        </w:rPr>
        <w:t>2</w:t>
      </w:r>
      <w:r>
        <w:rPr>
          <w:rFonts w:ascii="Times New Roman" w:hAnsi="Times New Roman" w:eastAsia="宋体" w:cs="Times New Roman"/>
          <w:snapToGrid w:val="0"/>
          <w:color w:val="auto"/>
          <w:kern w:val="0"/>
        </w:rPr>
        <w:t>）运输过程的环境影响分析</w:t>
      </w:r>
      <w:bookmarkEnd w:id="348"/>
      <w:bookmarkEnd w:id="349"/>
    </w:p>
    <w:p>
      <w:pPr>
        <w:pStyle w:val="45"/>
        <w:keepNext w:val="0"/>
        <w:keepLines w:val="0"/>
        <w:pageBreakBefore w:val="0"/>
        <w:widowControl/>
        <w:kinsoku w:val="0"/>
        <w:wordWrap/>
        <w:overflowPunct/>
        <w:topLinePunct w:val="0"/>
        <w:autoSpaceDE w:val="0"/>
        <w:autoSpaceDN w:val="0"/>
        <w:bidi w:val="0"/>
        <w:adjustRightInd/>
        <w:snapToGrid/>
        <w:spacing w:line="360" w:lineRule="auto"/>
        <w:jc w:val="both"/>
        <w:textAlignment w:val="baseline"/>
        <w:rPr>
          <w:rFonts w:ascii="Times New Roman" w:hAnsi="Times New Roman" w:eastAsia="宋体" w:cs="Times New Roman"/>
          <w:snapToGrid w:val="0"/>
          <w:color w:val="auto"/>
          <w:kern w:val="0"/>
        </w:rPr>
      </w:pPr>
      <w:r>
        <w:rPr>
          <w:rFonts w:ascii="Times New Roman" w:hAnsi="Times New Roman" w:eastAsia="宋体" w:cs="Times New Roman"/>
          <w:snapToGrid w:val="0"/>
          <w:color w:val="auto"/>
          <w:kern w:val="0"/>
        </w:rPr>
        <w:t>本项目</w:t>
      </w:r>
      <w:r>
        <w:rPr>
          <w:rFonts w:hint="eastAsia" w:ascii="Times New Roman" w:hAnsi="Times New Roman" w:eastAsia="宋体" w:cs="Times New Roman"/>
          <w:snapToGrid w:val="0"/>
          <w:color w:val="auto"/>
          <w:kern w:val="0"/>
        </w:rPr>
        <w:t>检疫</w:t>
      </w:r>
      <w:r>
        <w:rPr>
          <w:rFonts w:ascii="Times New Roman" w:hAnsi="Times New Roman" w:eastAsia="宋体" w:cs="Times New Roman"/>
          <w:snapToGrid w:val="0"/>
          <w:color w:val="auto"/>
          <w:kern w:val="0"/>
        </w:rPr>
        <w:t>废物</w:t>
      </w:r>
      <w:r>
        <w:rPr>
          <w:rFonts w:hint="eastAsia" w:ascii="Times New Roman" w:hAnsi="Times New Roman" w:eastAsia="宋体" w:cs="Times New Roman"/>
          <w:bCs/>
          <w:snapToGrid w:val="0"/>
          <w:color w:val="auto"/>
          <w:kern w:val="0"/>
        </w:rPr>
        <w:t>（HW01）</w:t>
      </w:r>
      <w:r>
        <w:rPr>
          <w:rFonts w:ascii="Times New Roman" w:hAnsi="Times New Roman" w:eastAsia="宋体" w:cs="Times New Roman"/>
          <w:snapToGrid w:val="0"/>
          <w:color w:val="auto"/>
          <w:kern w:val="0"/>
        </w:rPr>
        <w:t>产生后就地包装，然后采用专用转运车转移</w:t>
      </w:r>
      <w:r>
        <w:rPr>
          <w:rFonts w:ascii="Times New Roman" w:hAnsi="Times New Roman" w:eastAsia="宋体" w:cs="Times New Roman"/>
          <w:snapToGrid w:val="0"/>
          <w:color w:val="auto"/>
          <w:kern w:val="0"/>
          <w:highlight w:val="none"/>
        </w:rPr>
        <w:t>至</w:t>
      </w:r>
      <w:r>
        <w:rPr>
          <w:rFonts w:hint="eastAsia" w:cs="Times New Roman"/>
          <w:snapToGrid w:val="0"/>
          <w:color w:val="auto"/>
          <w:kern w:val="0"/>
          <w:highlight w:val="none"/>
          <w:lang w:val="en-US" w:eastAsia="zh-CN"/>
        </w:rPr>
        <w:t>哈尔滨国环医疗固体废物无害化集中处置中心有限公司处置，不在厂区内贮存。</w:t>
      </w:r>
      <w:r>
        <w:rPr>
          <w:rFonts w:ascii="Times New Roman" w:hAnsi="Times New Roman" w:eastAsia="宋体" w:cs="Times New Roman"/>
          <w:snapToGrid w:val="0"/>
          <w:color w:val="auto"/>
          <w:kern w:val="0"/>
        </w:rPr>
        <w:t>转运车具备防腐蚀、防渗漏性能，正常情况下不会发生散落、泄露，一旦由于员工操作不当导致危险废物泄露，可立即采取措施进行收集清理，影响范围</w:t>
      </w:r>
      <w:r>
        <w:rPr>
          <w:rFonts w:hint="eastAsia" w:cs="Times New Roman"/>
          <w:snapToGrid w:val="0"/>
          <w:color w:val="auto"/>
          <w:kern w:val="0"/>
          <w:lang w:val="en-US" w:eastAsia="zh-CN"/>
        </w:rPr>
        <w:t>可控</w:t>
      </w:r>
      <w:r>
        <w:rPr>
          <w:rFonts w:ascii="Times New Roman" w:hAnsi="Times New Roman" w:eastAsia="宋体" w:cs="Times New Roman"/>
          <w:snapToGrid w:val="0"/>
          <w:color w:val="auto"/>
          <w:kern w:val="0"/>
        </w:rPr>
        <w:t>，不会影响环境保护目标。</w:t>
      </w:r>
    </w:p>
    <w:p>
      <w:pPr>
        <w:pStyle w:val="45"/>
        <w:keepNext w:val="0"/>
        <w:keepLines w:val="0"/>
        <w:pageBreakBefore w:val="0"/>
        <w:widowControl/>
        <w:kinsoku w:val="0"/>
        <w:wordWrap/>
        <w:overflowPunct/>
        <w:topLinePunct w:val="0"/>
        <w:autoSpaceDE w:val="0"/>
        <w:autoSpaceDN w:val="0"/>
        <w:bidi w:val="0"/>
        <w:adjustRightInd/>
        <w:snapToGrid/>
        <w:spacing w:line="360" w:lineRule="auto"/>
        <w:jc w:val="both"/>
        <w:textAlignment w:val="baseline"/>
        <w:outlineLvl w:val="1"/>
        <w:rPr>
          <w:rFonts w:ascii="Times New Roman" w:hAnsi="Times New Roman" w:cs="Times New Roman"/>
          <w:snapToGrid w:val="0"/>
          <w:color w:val="auto"/>
          <w:kern w:val="0"/>
          <w:highlight w:val="none"/>
        </w:rPr>
      </w:pPr>
      <w:bookmarkStart w:id="350" w:name="_Toc19581"/>
      <w:bookmarkStart w:id="351" w:name="_Toc23281"/>
      <w:r>
        <w:rPr>
          <w:rFonts w:ascii="Times New Roman" w:hAnsi="Times New Roman" w:cs="Times New Roman"/>
          <w:snapToGrid w:val="0"/>
          <w:color w:val="auto"/>
          <w:kern w:val="0"/>
          <w:highlight w:val="none"/>
        </w:rPr>
        <w:t>（</w:t>
      </w:r>
      <w:r>
        <w:rPr>
          <w:rFonts w:hint="eastAsia" w:cs="Times New Roman"/>
          <w:snapToGrid w:val="0"/>
          <w:color w:val="auto"/>
          <w:kern w:val="0"/>
          <w:highlight w:val="none"/>
          <w:lang w:val="en-US" w:eastAsia="zh-CN"/>
        </w:rPr>
        <w:t>3</w:t>
      </w:r>
      <w:r>
        <w:rPr>
          <w:rFonts w:ascii="Times New Roman" w:hAnsi="Times New Roman" w:cs="Times New Roman"/>
          <w:snapToGrid w:val="0"/>
          <w:color w:val="auto"/>
          <w:kern w:val="0"/>
          <w:highlight w:val="none"/>
        </w:rPr>
        <w:t>）委托处置的环境影响分析</w:t>
      </w:r>
      <w:bookmarkEnd w:id="350"/>
      <w:bookmarkEnd w:id="351"/>
    </w:p>
    <w:p>
      <w:pPr>
        <w:pStyle w:val="45"/>
        <w:keepNext w:val="0"/>
        <w:keepLines w:val="0"/>
        <w:pageBreakBefore w:val="0"/>
        <w:widowControl/>
        <w:kinsoku w:val="0"/>
        <w:wordWrap/>
        <w:overflowPunct/>
        <w:topLinePunct w:val="0"/>
        <w:autoSpaceDE w:val="0"/>
        <w:autoSpaceDN w:val="0"/>
        <w:bidi w:val="0"/>
        <w:adjustRightInd/>
        <w:snapToGrid/>
        <w:spacing w:line="360" w:lineRule="auto"/>
        <w:jc w:val="both"/>
        <w:textAlignment w:val="baseline"/>
        <w:rPr>
          <w:rFonts w:ascii="Times New Roman" w:hAnsi="Times New Roman" w:cs="Times New Roman"/>
          <w:snapToGrid w:val="0"/>
          <w:color w:val="auto"/>
          <w:kern w:val="0"/>
          <w:highlight w:val="none"/>
        </w:rPr>
      </w:pPr>
      <w:r>
        <w:rPr>
          <w:rFonts w:ascii="Times New Roman" w:hAnsi="Times New Roman" w:cs="Times New Roman"/>
          <w:snapToGrid w:val="0"/>
          <w:color w:val="auto"/>
          <w:kern w:val="0"/>
          <w:highlight w:val="none"/>
        </w:rPr>
        <w:t>本项目</w:t>
      </w:r>
      <w:r>
        <w:rPr>
          <w:rFonts w:hint="eastAsia" w:ascii="Times New Roman" w:hAnsi="Times New Roman" w:cs="Times New Roman"/>
          <w:snapToGrid w:val="0"/>
          <w:color w:val="auto"/>
          <w:kern w:val="0"/>
          <w:highlight w:val="none"/>
        </w:rPr>
        <w:t>检疫</w:t>
      </w:r>
      <w:r>
        <w:rPr>
          <w:rFonts w:ascii="Times New Roman" w:hAnsi="Times New Roman" w:cs="Times New Roman"/>
          <w:snapToGrid w:val="0"/>
          <w:color w:val="auto"/>
          <w:kern w:val="0"/>
          <w:highlight w:val="none"/>
        </w:rPr>
        <w:t>废物</w:t>
      </w:r>
      <w:r>
        <w:rPr>
          <w:rFonts w:hint="eastAsia" w:ascii="Times New Roman" w:hAnsi="Times New Roman" w:cs="Times New Roman"/>
          <w:bCs/>
          <w:snapToGrid w:val="0"/>
          <w:color w:val="auto"/>
          <w:kern w:val="0"/>
          <w:highlight w:val="none"/>
        </w:rPr>
        <w:t>（HW01）</w:t>
      </w:r>
      <w:r>
        <w:rPr>
          <w:rFonts w:ascii="Times New Roman" w:hAnsi="Times New Roman" w:cs="Times New Roman"/>
          <w:snapToGrid w:val="0"/>
          <w:color w:val="auto"/>
          <w:kern w:val="0"/>
          <w:highlight w:val="none"/>
        </w:rPr>
        <w:t>委托哈尔滨国环医疗固体废物无害化集中处置中心有限公司处置。哈尔滨国环医疗固体废物无害化集中处置中心有限公司位于</w:t>
      </w:r>
      <w:r>
        <w:rPr>
          <w:rFonts w:hint="eastAsia" w:ascii="Times New Roman" w:hAnsi="Times New Roman" w:cs="Times New Roman"/>
          <w:snapToGrid w:val="0"/>
          <w:color w:val="auto"/>
          <w:kern w:val="0"/>
          <w:highlight w:val="none"/>
        </w:rPr>
        <w:t>哈尔滨市利民经济技术开发区哈尔滨国环医疗固体废物无害化集中处置中心有限公司</w:t>
      </w:r>
      <w:r>
        <w:rPr>
          <w:rFonts w:ascii="Times New Roman" w:hAnsi="Times New Roman" w:cs="Times New Roman"/>
          <w:snapToGrid w:val="0"/>
          <w:color w:val="auto"/>
          <w:kern w:val="0"/>
          <w:highlight w:val="none"/>
        </w:rPr>
        <w:t>内，主要从事工业危险废物的集中收集、运输、贮存工作，取得了</w:t>
      </w:r>
      <w:r>
        <w:rPr>
          <w:rFonts w:hint="eastAsia" w:ascii="Times New Roman" w:hAnsi="Times New Roman" w:cs="Times New Roman"/>
          <w:snapToGrid w:val="0"/>
          <w:color w:val="auto"/>
          <w:kern w:val="0"/>
          <w:highlight w:val="none"/>
        </w:rPr>
        <w:t>黑龙江省哈尔滨市环境保护局</w:t>
      </w:r>
      <w:r>
        <w:rPr>
          <w:rFonts w:ascii="Times New Roman" w:hAnsi="Times New Roman" w:cs="Times New Roman"/>
          <w:snapToGrid w:val="0"/>
          <w:color w:val="auto"/>
          <w:kern w:val="0"/>
          <w:highlight w:val="none"/>
        </w:rPr>
        <w:t>颁发的危险废物经营许可证（许可证编号：2301010100），HW01危险废物收集贮存规模为14600t/a，委托可行。</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2" w:firstLineChars="200"/>
        <w:jc w:val="both"/>
        <w:textAlignment w:val="baseline"/>
        <w:outlineLvl w:val="3"/>
        <w:rPr>
          <w:rFonts w:hint="eastAsia" w:ascii="Times New Roman" w:hAnsi="Times New Roman" w:eastAsia="宋体" w:cs="Times New Roman"/>
          <w:b/>
          <w:snapToGrid w:val="0"/>
          <w:color w:val="auto"/>
          <w:kern w:val="0"/>
          <w:sz w:val="24"/>
          <w:szCs w:val="24"/>
          <w:lang w:eastAsia="zh-CN"/>
        </w:rPr>
      </w:pPr>
      <w:r>
        <w:rPr>
          <w:rFonts w:hint="eastAsia" w:ascii="Times New Roman" w:hAnsi="Times New Roman" w:eastAsia="宋体" w:cs="Times New Roman"/>
          <w:b/>
          <w:snapToGrid w:val="0"/>
          <w:color w:val="auto"/>
          <w:kern w:val="0"/>
          <w:sz w:val="24"/>
          <w:szCs w:val="24"/>
          <w:lang w:eastAsia="zh-CN"/>
        </w:rPr>
        <w:t>5.2.</w:t>
      </w:r>
      <w:r>
        <w:rPr>
          <w:rFonts w:hint="eastAsia" w:ascii="Times New Roman" w:hAnsi="Times New Roman" w:eastAsia="宋体" w:cs="Times New Roman"/>
          <w:b/>
          <w:snapToGrid w:val="0"/>
          <w:color w:val="auto"/>
          <w:kern w:val="0"/>
          <w:sz w:val="24"/>
          <w:szCs w:val="24"/>
          <w:lang w:val="en-US" w:eastAsia="zh-CN"/>
        </w:rPr>
        <w:t>4</w:t>
      </w:r>
      <w:r>
        <w:rPr>
          <w:rFonts w:hint="eastAsia" w:ascii="Times New Roman" w:hAnsi="Times New Roman" w:eastAsia="宋体" w:cs="Times New Roman"/>
          <w:b/>
          <w:snapToGrid w:val="0"/>
          <w:color w:val="auto"/>
          <w:kern w:val="0"/>
          <w:sz w:val="24"/>
          <w:szCs w:val="24"/>
          <w:lang w:eastAsia="zh-CN"/>
        </w:rPr>
        <w:t>.3其他固体废物影响分析</w:t>
      </w:r>
    </w:p>
    <w:p>
      <w:pPr>
        <w:pStyle w:val="45"/>
        <w:keepNext w:val="0"/>
        <w:keepLines w:val="0"/>
        <w:pageBreakBefore w:val="0"/>
        <w:widowControl/>
        <w:kinsoku w:val="0"/>
        <w:wordWrap/>
        <w:overflowPunct/>
        <w:topLinePunct w:val="0"/>
        <w:autoSpaceDE w:val="0"/>
        <w:autoSpaceDN w:val="0"/>
        <w:bidi w:val="0"/>
        <w:adjustRightInd/>
        <w:snapToGrid/>
        <w:spacing w:line="360" w:lineRule="auto"/>
        <w:ind w:left="0" w:firstLine="480" w:firstLineChars="200"/>
        <w:contextualSpacing/>
        <w:jc w:val="both"/>
        <w:textAlignment w:val="baseline"/>
        <w:rPr>
          <w:rFonts w:ascii="Times New Roman" w:hAnsi="Times New Roman" w:cs="Times New Roman"/>
          <w:color w:val="auto"/>
        </w:rPr>
      </w:pPr>
      <w:r>
        <w:rPr>
          <w:rFonts w:ascii="Times New Roman" w:hAnsi="Times New Roman" w:cs="Times New Roman"/>
          <w:snapToGrid w:val="0"/>
          <w:color w:val="auto"/>
          <w:kern w:val="0"/>
        </w:rPr>
        <w:t>生活垃圾由市政部门统一处理。</w:t>
      </w:r>
      <w:r>
        <w:rPr>
          <w:rFonts w:hint="eastAsia" w:ascii="Times New Roman" w:hAnsi="Times New Roman" w:cs="Times New Roman"/>
          <w:bCs/>
          <w:snapToGrid w:val="0"/>
          <w:color w:val="auto"/>
          <w:kern w:val="0"/>
        </w:rPr>
        <w:t>污水处理站</w:t>
      </w:r>
      <w:r>
        <w:rPr>
          <w:rFonts w:hint="eastAsia" w:ascii="Times New Roman" w:hAnsi="Times New Roman" w:cs="Times New Roman"/>
          <w:sz w:val="24"/>
          <w:szCs w:val="24"/>
          <w:highlight w:val="none"/>
          <w:lang w:val="en-US" w:eastAsia="zh-CN"/>
        </w:rPr>
        <w:t>隔油工段的</w:t>
      </w:r>
      <w:r>
        <w:rPr>
          <w:rFonts w:hint="default" w:ascii="Times New Roman" w:hAnsi="Times New Roman" w:cs="Times New Roman"/>
          <w:sz w:val="24"/>
          <w:szCs w:val="24"/>
          <w:highlight w:val="none"/>
          <w:lang w:val="en-US" w:eastAsia="zh-CN"/>
        </w:rPr>
        <w:t>废油</w:t>
      </w:r>
      <w:r>
        <w:rPr>
          <w:rFonts w:hint="eastAsia" w:ascii="Times New Roman" w:hAnsi="Times New Roman" w:cs="Times New Roman"/>
          <w:sz w:val="24"/>
          <w:szCs w:val="24"/>
          <w:highlight w:val="none"/>
          <w:lang w:val="en-US" w:eastAsia="zh-CN"/>
        </w:rPr>
        <w:t>脂和落地油</w:t>
      </w:r>
      <w:r>
        <w:rPr>
          <w:rFonts w:hint="eastAsia" w:ascii="Times New Roman" w:hAnsi="Times New Roman" w:cs="Times New Roman"/>
          <w:bCs/>
          <w:snapToGrid w:val="0"/>
          <w:color w:val="auto"/>
          <w:kern w:val="0"/>
        </w:rPr>
        <w:t>交由</w:t>
      </w:r>
      <w:r>
        <w:rPr>
          <w:rFonts w:hint="eastAsia" w:cs="Times New Roman"/>
          <w:bCs/>
          <w:snapToGrid w:val="0"/>
          <w:color w:val="auto"/>
          <w:kern w:val="0"/>
          <w:lang w:eastAsia="zh-CN"/>
        </w:rPr>
        <w:t>哈尔滨国环医疗固体废物无害化集中处置中心有限公司</w:t>
      </w:r>
      <w:r>
        <w:rPr>
          <w:rFonts w:hint="eastAsia" w:ascii="Times New Roman" w:hAnsi="Times New Roman" w:cs="Times New Roman"/>
          <w:bCs/>
          <w:snapToGrid w:val="0"/>
          <w:color w:val="auto"/>
          <w:kern w:val="0"/>
        </w:rPr>
        <w:t>处置</w:t>
      </w:r>
      <w:r>
        <w:rPr>
          <w:rFonts w:ascii="Times New Roman" w:hAnsi="Times New Roman" w:cs="Times New Roman"/>
          <w:bCs/>
          <w:snapToGrid w:val="0"/>
          <w:color w:val="auto"/>
          <w:kern w:val="0"/>
        </w:rPr>
        <w:t>。</w:t>
      </w:r>
      <w:r>
        <w:rPr>
          <w:rFonts w:ascii="Times New Roman" w:hAnsi="Times New Roman" w:cs="Times New Roman"/>
          <w:color w:val="auto"/>
        </w:rPr>
        <w:t>通过以上分析，</w:t>
      </w:r>
      <w:r>
        <w:rPr>
          <w:rFonts w:hint="eastAsia" w:ascii="Times New Roman" w:hAnsi="Times New Roman" w:cs="Times New Roman"/>
          <w:color w:val="auto"/>
        </w:rPr>
        <w:t>本</w:t>
      </w:r>
      <w:r>
        <w:rPr>
          <w:rFonts w:ascii="Times New Roman" w:hAnsi="Times New Roman" w:cs="Times New Roman"/>
          <w:color w:val="auto"/>
        </w:rPr>
        <w:t>项目产生的固体废物全部得到了妥善处置，不长期堆存，因此对环境影响很小。</w:t>
      </w:r>
    </w:p>
    <w:p>
      <w:pPr>
        <w:pStyle w:val="11"/>
        <w:pageBreakBefore w:val="0"/>
        <w:widowControl w:val="0"/>
        <w:numPr>
          <w:ilvl w:val="2"/>
          <w:numId w:val="0"/>
        </w:numPr>
        <w:kinsoku/>
        <w:wordWrap/>
        <w:overflowPunct/>
        <w:topLinePunct w:val="0"/>
        <w:autoSpaceDE/>
        <w:autoSpaceDN/>
        <w:bidi w:val="0"/>
        <w:adjustRightInd/>
        <w:snapToGrid/>
        <w:spacing w:before="0" w:after="0" w:line="360" w:lineRule="auto"/>
        <w:ind w:right="0"/>
        <w:jc w:val="both"/>
        <w:textAlignment w:val="auto"/>
        <w:rPr>
          <w:rFonts w:hint="default" w:ascii="Times New Roman" w:hAnsi="Times New Roman" w:eastAsia="宋体" w:cs="Times New Roman"/>
          <w:b/>
          <w:bCs w:val="0"/>
          <w:snapToGrid/>
          <w:color w:val="auto"/>
          <w:kern w:val="2"/>
          <w:sz w:val="28"/>
          <w:szCs w:val="28"/>
          <w:highlight w:val="magenta"/>
          <w:lang w:eastAsia="zh-CN"/>
        </w:rPr>
      </w:pPr>
      <w:r>
        <w:rPr>
          <w:rFonts w:hint="default" w:ascii="Times New Roman" w:hAnsi="Times New Roman" w:eastAsia="宋体" w:cs="Times New Roman"/>
          <w:b/>
          <w:bCs w:val="0"/>
          <w:snapToGrid/>
          <w:color w:val="auto"/>
          <w:kern w:val="2"/>
          <w:sz w:val="28"/>
          <w:szCs w:val="28"/>
          <w:lang w:eastAsia="zh-CN"/>
        </w:rPr>
        <w:t>5.2.</w:t>
      </w:r>
      <w:r>
        <w:rPr>
          <w:rFonts w:hint="eastAsia" w:ascii="Times New Roman" w:hAnsi="Times New Roman" w:eastAsia="宋体" w:cs="Times New Roman"/>
          <w:b/>
          <w:bCs w:val="0"/>
          <w:snapToGrid/>
          <w:color w:val="auto"/>
          <w:kern w:val="2"/>
          <w:sz w:val="28"/>
          <w:szCs w:val="28"/>
          <w:lang w:val="en-US" w:eastAsia="zh-CN"/>
        </w:rPr>
        <w:t xml:space="preserve">5 </w:t>
      </w:r>
      <w:r>
        <w:rPr>
          <w:rFonts w:hint="default" w:ascii="Times New Roman" w:hAnsi="Times New Roman" w:eastAsia="宋体" w:cs="Times New Roman"/>
          <w:b/>
          <w:bCs w:val="0"/>
          <w:snapToGrid/>
          <w:color w:val="auto"/>
          <w:kern w:val="2"/>
          <w:sz w:val="28"/>
          <w:szCs w:val="28"/>
          <w:lang w:eastAsia="zh-CN"/>
        </w:rPr>
        <w:t xml:space="preserve"> 环境风险影响分析</w:t>
      </w:r>
    </w:p>
    <w:p>
      <w:pPr>
        <w:pageBreakBefore w:val="0"/>
        <w:wordWrap/>
        <w:overflowPunct/>
        <w:topLinePunct w:val="0"/>
        <w:bidi w:val="0"/>
        <w:spacing w:line="360" w:lineRule="auto"/>
        <w:ind w:left="0" w:firstLine="482" w:firstLineChars="200"/>
        <w:jc w:val="both"/>
        <w:outlineLvl w:val="3"/>
        <w:rPr>
          <w:rFonts w:hint="default" w:ascii="Times New Roman" w:hAnsi="Times New Roman" w:eastAsia="宋体" w:cs="Times New Roman"/>
          <w:sz w:val="24"/>
          <w:szCs w:val="24"/>
        </w:rPr>
      </w:pPr>
      <w:r>
        <w:rPr>
          <w:rFonts w:hint="default" w:ascii="Times New Roman" w:hAnsi="Times New Roman" w:eastAsia="宋体" w:cs="Times New Roman"/>
          <w:b/>
          <w:snapToGrid w:val="0"/>
          <w:color w:val="auto"/>
          <w:kern w:val="0"/>
          <w:sz w:val="24"/>
          <w:szCs w:val="24"/>
          <w:lang w:eastAsia="zh-CN"/>
        </w:rPr>
        <w:fldChar w:fldCharType="begin"/>
      </w:r>
      <w:r>
        <w:rPr>
          <w:rFonts w:hint="default" w:ascii="Times New Roman" w:hAnsi="Times New Roman" w:eastAsia="宋体" w:cs="Times New Roman"/>
          <w:b/>
          <w:snapToGrid w:val="0"/>
          <w:color w:val="auto"/>
          <w:kern w:val="0"/>
          <w:sz w:val="24"/>
          <w:szCs w:val="24"/>
          <w:lang w:eastAsia="zh-CN"/>
        </w:rPr>
        <w:instrText xml:space="preserve"> HYPERLINK "5.2.6.1" </w:instrText>
      </w:r>
      <w:r>
        <w:rPr>
          <w:rFonts w:hint="default" w:ascii="Times New Roman" w:hAnsi="Times New Roman" w:eastAsia="宋体" w:cs="Times New Roman"/>
          <w:b/>
          <w:snapToGrid w:val="0"/>
          <w:color w:val="auto"/>
          <w:kern w:val="0"/>
          <w:sz w:val="24"/>
          <w:szCs w:val="24"/>
          <w:lang w:eastAsia="zh-CN"/>
        </w:rPr>
        <w:fldChar w:fldCharType="separate"/>
      </w:r>
      <w:r>
        <w:rPr>
          <w:rFonts w:hint="default" w:ascii="Times New Roman" w:hAnsi="Times New Roman" w:eastAsia="宋体" w:cs="Times New Roman"/>
          <w:b/>
          <w:snapToGrid w:val="0"/>
          <w:color w:val="auto"/>
          <w:kern w:val="0"/>
          <w:sz w:val="24"/>
          <w:szCs w:val="24"/>
          <w:lang w:eastAsia="zh-CN"/>
        </w:rPr>
        <w:t>5.2.</w:t>
      </w:r>
      <w:r>
        <w:rPr>
          <w:rFonts w:hint="eastAsia" w:ascii="Times New Roman" w:hAnsi="Times New Roman" w:eastAsia="宋体" w:cs="Times New Roman"/>
          <w:b/>
          <w:snapToGrid w:val="0"/>
          <w:color w:val="auto"/>
          <w:kern w:val="0"/>
          <w:sz w:val="24"/>
          <w:szCs w:val="24"/>
          <w:lang w:val="en-US" w:eastAsia="zh-CN"/>
        </w:rPr>
        <w:t>5</w:t>
      </w:r>
      <w:r>
        <w:rPr>
          <w:rFonts w:hint="default" w:ascii="Times New Roman" w:hAnsi="Times New Roman" w:eastAsia="宋体" w:cs="Times New Roman"/>
          <w:b/>
          <w:snapToGrid w:val="0"/>
          <w:color w:val="auto"/>
          <w:kern w:val="0"/>
          <w:sz w:val="24"/>
          <w:szCs w:val="24"/>
          <w:lang w:eastAsia="zh-CN"/>
        </w:rPr>
        <w:t>.1</w:t>
      </w:r>
      <w:r>
        <w:rPr>
          <w:rFonts w:hint="default" w:ascii="Times New Roman" w:hAnsi="Times New Roman" w:eastAsia="宋体" w:cs="Times New Roman"/>
          <w:b/>
          <w:snapToGrid w:val="0"/>
          <w:color w:val="auto"/>
          <w:kern w:val="0"/>
          <w:sz w:val="24"/>
          <w:szCs w:val="24"/>
          <w:lang w:eastAsia="zh-CN"/>
        </w:rPr>
        <w:fldChar w:fldCharType="end"/>
      </w:r>
      <w:r>
        <w:rPr>
          <w:rFonts w:hint="default" w:ascii="Times New Roman" w:hAnsi="Times New Roman" w:eastAsia="宋体" w:cs="Times New Roman"/>
          <w:b/>
          <w:snapToGrid w:val="0"/>
          <w:color w:val="auto"/>
          <w:kern w:val="0"/>
          <w:sz w:val="24"/>
          <w:szCs w:val="24"/>
          <w:lang w:eastAsia="zh-CN"/>
        </w:rPr>
        <w:t xml:space="preserve"> 评价依据</w:t>
      </w:r>
    </w:p>
    <w:p>
      <w:pPr>
        <w:pStyle w:val="45"/>
        <w:keepNext w:val="0"/>
        <w:keepLines w:val="0"/>
        <w:pageBreakBefore w:val="0"/>
        <w:widowControl/>
        <w:kinsoku w:val="0"/>
        <w:wordWrap/>
        <w:overflowPunct/>
        <w:topLinePunct w:val="0"/>
        <w:autoSpaceDE w:val="0"/>
        <w:autoSpaceDN w:val="0"/>
        <w:bidi w:val="0"/>
        <w:adjustRightInd/>
        <w:snapToGrid/>
        <w:spacing w:line="360" w:lineRule="auto"/>
        <w:jc w:val="both"/>
        <w:textAlignment w:val="baseline"/>
        <w:outlineLvl w:val="1"/>
        <w:rPr>
          <w:rFonts w:hint="default" w:ascii="Times New Roman" w:hAnsi="Times New Roman" w:eastAsia="宋体" w:cs="Times New Roman"/>
          <w:snapToGrid w:val="0"/>
          <w:color w:val="auto"/>
          <w:kern w:val="0"/>
          <w:highlight w:val="none"/>
        </w:rPr>
      </w:pPr>
      <w:bookmarkStart w:id="352" w:name="_Toc5389"/>
      <w:bookmarkStart w:id="353" w:name="_Toc28810"/>
      <w:r>
        <w:rPr>
          <w:rFonts w:hint="default" w:ascii="Times New Roman" w:hAnsi="Times New Roman" w:eastAsia="宋体" w:cs="Times New Roman"/>
          <w:snapToGrid w:val="0"/>
          <w:color w:val="auto"/>
          <w:kern w:val="0"/>
          <w:highlight w:val="none"/>
        </w:rPr>
        <w:t>（1）风险调查</w:t>
      </w:r>
      <w:bookmarkEnd w:id="352"/>
      <w:bookmarkEnd w:id="353"/>
    </w:p>
    <w:p>
      <w:pPr>
        <w:pageBreakBefore w:val="0"/>
        <w:wordWrap/>
        <w:overflowPunct/>
        <w:topLinePunct w:val="0"/>
        <w:bidi w:val="0"/>
        <w:spacing w:line="360" w:lineRule="auto"/>
        <w:ind w:left="0" w:firstLine="464" w:firstLineChars="200"/>
        <w:jc w:val="both"/>
        <w:rPr>
          <w:rFonts w:hint="default" w:ascii="Times New Roman" w:hAnsi="Times New Roman" w:eastAsia="宋体" w:cs="Times New Roman"/>
          <w:sz w:val="24"/>
          <w:szCs w:val="24"/>
        </w:rPr>
      </w:pPr>
      <w:r>
        <w:rPr>
          <w:rFonts w:hint="default" w:ascii="Times New Roman" w:hAnsi="Times New Roman" w:eastAsia="Times New Roman" w:cs="Times New Roman"/>
          <w:spacing w:val="-4"/>
          <w:sz w:val="24"/>
          <w:szCs w:val="24"/>
        </w:rPr>
        <w:t>1</w:t>
      </w:r>
      <w:r>
        <w:rPr>
          <w:rFonts w:hint="default" w:ascii="Times New Roman" w:hAnsi="Times New Roman" w:eastAsia="宋体" w:cs="Times New Roman"/>
          <w:spacing w:val="-4"/>
          <w:sz w:val="24"/>
          <w:szCs w:val="24"/>
        </w:rPr>
        <w:t>）物质风险性调查</w:t>
      </w:r>
    </w:p>
    <w:p>
      <w:pPr>
        <w:keepNext w:val="0"/>
        <w:keepLines w:val="0"/>
        <w:pageBreakBefore w:val="0"/>
        <w:widowControl/>
        <w:kinsoku w:val="0"/>
        <w:wordWrap/>
        <w:overflowPunct/>
        <w:topLinePunct w:val="0"/>
        <w:autoSpaceDE w:val="0"/>
        <w:autoSpaceDN w:val="0"/>
        <w:bidi w:val="0"/>
        <w:spacing w:line="360" w:lineRule="auto"/>
        <w:ind w:left="0" w:right="0" w:firstLine="478"/>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本项目生产过程中涉及的原辅材料主要有次氯</w:t>
      </w:r>
      <w:r>
        <w:rPr>
          <w:rFonts w:hint="default" w:ascii="Times New Roman" w:hAnsi="Times New Roman" w:eastAsia="宋体" w:cs="Times New Roman"/>
          <w:spacing w:val="-2"/>
          <w:sz w:val="24"/>
          <w:szCs w:val="24"/>
        </w:rPr>
        <w:t>酸钠溶液</w:t>
      </w:r>
      <w:r>
        <w:rPr>
          <w:rFonts w:hint="eastAsia" w:ascii="Times New Roman" w:hAnsi="Times New Roman" w:eastAsia="宋体" w:cs="Times New Roman"/>
          <w:spacing w:val="-2"/>
          <w:sz w:val="24"/>
          <w:szCs w:val="24"/>
          <w:lang w:val="en-US" w:eastAsia="zh-CN"/>
        </w:rPr>
        <w:t>以及柴油</w:t>
      </w:r>
      <w:r>
        <w:rPr>
          <w:rFonts w:hint="default" w:ascii="Times New Roman" w:hAnsi="Times New Roman" w:eastAsia="宋体" w:cs="Times New Roman"/>
          <w:spacing w:val="-2"/>
          <w:sz w:val="24"/>
          <w:szCs w:val="24"/>
        </w:rPr>
        <w:t>。对全厂涉及物料的毒性、</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1"/>
          <w:sz w:val="24"/>
          <w:szCs w:val="24"/>
        </w:rPr>
        <w:t>危险性和易燃易爆性进行分析，其中，物料</w:t>
      </w:r>
      <w:r>
        <w:rPr>
          <w:rFonts w:hint="default" w:ascii="Times New Roman" w:hAnsi="Times New Roman" w:eastAsia="宋体" w:cs="Times New Roman"/>
          <w:spacing w:val="-2"/>
          <w:sz w:val="24"/>
          <w:szCs w:val="24"/>
        </w:rPr>
        <w:t>毒性和危险性主要判定依据为《建设项目环</w:t>
      </w:r>
    </w:p>
    <w:p>
      <w:pPr>
        <w:keepNext w:val="0"/>
        <w:keepLines w:val="0"/>
        <w:pageBreakBefore w:val="0"/>
        <w:widowControl/>
        <w:kinsoku w:val="0"/>
        <w:wordWrap/>
        <w:overflowPunct/>
        <w:topLinePunct w:val="0"/>
        <w:autoSpaceDE w:val="0"/>
        <w:autoSpaceDN w:val="0"/>
        <w:bidi w:val="0"/>
        <w:spacing w:line="360" w:lineRule="auto"/>
        <w:ind w:left="0" w:right="0"/>
        <w:jc w:val="both"/>
        <w:textAlignment w:val="baseline"/>
        <w:rPr>
          <w:rFonts w:hint="default" w:ascii="Times New Roman" w:hAnsi="Times New Roman" w:eastAsia="宋体" w:cs="Times New Roman"/>
          <w:spacing w:val="-3"/>
          <w:sz w:val="24"/>
          <w:szCs w:val="24"/>
        </w:rPr>
      </w:pPr>
      <w:r>
        <w:rPr>
          <w:rFonts w:hint="default" w:ascii="Times New Roman" w:hAnsi="Times New Roman" w:eastAsia="宋体" w:cs="Times New Roman"/>
          <w:spacing w:val="-2"/>
          <w:sz w:val="24"/>
          <w:szCs w:val="24"/>
        </w:rPr>
        <w:t>境风险评价技术导则》（</w:t>
      </w:r>
      <w:r>
        <w:rPr>
          <w:rFonts w:hint="default" w:ascii="Times New Roman" w:hAnsi="Times New Roman" w:eastAsia="Times New Roman" w:cs="Times New Roman"/>
          <w:spacing w:val="-2"/>
          <w:sz w:val="24"/>
          <w:szCs w:val="24"/>
        </w:rPr>
        <w:t>HJ</w:t>
      </w:r>
      <w:r>
        <w:rPr>
          <w:rFonts w:hint="default" w:ascii="Times New Roman" w:hAnsi="Times New Roman" w:eastAsia="Times New Roman" w:cs="Times New Roman"/>
          <w:spacing w:val="28"/>
          <w:w w:val="101"/>
          <w:sz w:val="24"/>
          <w:szCs w:val="24"/>
        </w:rPr>
        <w:t xml:space="preserve"> </w:t>
      </w:r>
      <w:r>
        <w:rPr>
          <w:rFonts w:hint="default" w:ascii="Times New Roman" w:hAnsi="Times New Roman" w:eastAsia="Times New Roman" w:cs="Times New Roman"/>
          <w:spacing w:val="-2"/>
          <w:sz w:val="24"/>
          <w:szCs w:val="24"/>
        </w:rPr>
        <w:t>169-2018</w:t>
      </w:r>
      <w:r>
        <w:rPr>
          <w:rFonts w:hint="default" w:ascii="Times New Roman" w:hAnsi="Times New Roman" w:eastAsia="宋体" w:cs="Times New Roman"/>
          <w:spacing w:val="-2"/>
          <w:sz w:val="24"/>
          <w:szCs w:val="24"/>
        </w:rPr>
        <w:t>）附录</w:t>
      </w:r>
      <w:r>
        <w:rPr>
          <w:rFonts w:hint="default" w:ascii="Times New Roman" w:hAnsi="Times New Roman" w:eastAsia="宋体" w:cs="Times New Roman"/>
          <w:spacing w:val="-56"/>
          <w:sz w:val="24"/>
          <w:szCs w:val="24"/>
        </w:rPr>
        <w:t xml:space="preserve"> </w:t>
      </w:r>
      <w:r>
        <w:rPr>
          <w:rFonts w:hint="default" w:ascii="Times New Roman" w:hAnsi="Times New Roman" w:eastAsia="Times New Roman" w:cs="Times New Roman"/>
          <w:spacing w:val="-2"/>
          <w:sz w:val="24"/>
          <w:szCs w:val="24"/>
        </w:rPr>
        <w:t>B</w:t>
      </w:r>
      <w:r>
        <w:rPr>
          <w:rFonts w:hint="default" w:ascii="Times New Roman" w:hAnsi="Times New Roman" w:eastAsia="Times New Roman" w:cs="Times New Roman"/>
          <w:spacing w:val="30"/>
          <w:w w:val="101"/>
          <w:sz w:val="24"/>
          <w:szCs w:val="24"/>
        </w:rPr>
        <w:t xml:space="preserve"> </w:t>
      </w:r>
      <w:r>
        <w:rPr>
          <w:rFonts w:hint="default" w:ascii="Times New Roman" w:hAnsi="Times New Roman" w:eastAsia="宋体" w:cs="Times New Roman"/>
          <w:spacing w:val="-2"/>
          <w:sz w:val="24"/>
          <w:szCs w:val="24"/>
        </w:rPr>
        <w:t>中重点关注的危险</w:t>
      </w:r>
      <w:r>
        <w:rPr>
          <w:rFonts w:hint="default" w:ascii="Times New Roman" w:hAnsi="Times New Roman" w:eastAsia="宋体" w:cs="Times New Roman"/>
          <w:spacing w:val="-3"/>
          <w:sz w:val="24"/>
          <w:szCs w:val="24"/>
        </w:rPr>
        <w:t>物质。</w:t>
      </w:r>
    </w:p>
    <w:p>
      <w:pPr>
        <w:keepNext w:val="0"/>
        <w:keepLines w:val="0"/>
        <w:pageBreakBefore w:val="0"/>
        <w:widowControl/>
        <w:kinsoku w:val="0"/>
        <w:wordWrap/>
        <w:overflowPunct/>
        <w:topLinePunct w:val="0"/>
        <w:autoSpaceDE w:val="0"/>
        <w:autoSpaceDN w:val="0"/>
        <w:bidi w:val="0"/>
        <w:spacing w:line="360" w:lineRule="auto"/>
        <w:ind w:left="0" w:right="0" w:firstLine="468" w:firstLineChars="200"/>
        <w:jc w:val="both"/>
        <w:textAlignment w:val="baseline"/>
        <w:rPr>
          <w:rFonts w:hint="default" w:ascii="Times New Roman" w:hAnsi="Times New Roman" w:eastAsia="Times New Roman" w:cs="Times New Roman"/>
          <w:sz w:val="24"/>
          <w:szCs w:val="24"/>
        </w:rPr>
      </w:pPr>
      <w:r>
        <w:rPr>
          <w:rFonts w:hint="default" w:ascii="Times New Roman" w:hAnsi="Times New Roman" w:eastAsia="宋体" w:cs="Times New Roman"/>
          <w:spacing w:val="-3"/>
          <w:position w:val="17"/>
          <w:sz w:val="24"/>
          <w:szCs w:val="24"/>
        </w:rPr>
        <w:t>根据本项目所用物料与《建设项目环境风险评价技术导则》（</w:t>
      </w:r>
      <w:r>
        <w:rPr>
          <w:rFonts w:hint="default" w:ascii="Times New Roman" w:hAnsi="Times New Roman" w:eastAsia="Times New Roman" w:cs="Times New Roman"/>
          <w:spacing w:val="-3"/>
          <w:position w:val="17"/>
          <w:sz w:val="24"/>
          <w:szCs w:val="24"/>
        </w:rPr>
        <w:t>HJ</w:t>
      </w:r>
      <w:r>
        <w:rPr>
          <w:rFonts w:hint="default" w:ascii="Times New Roman" w:hAnsi="Times New Roman" w:eastAsia="Times New Roman" w:cs="Times New Roman"/>
          <w:spacing w:val="41"/>
          <w:w w:val="101"/>
          <w:position w:val="17"/>
          <w:sz w:val="24"/>
          <w:szCs w:val="24"/>
        </w:rPr>
        <w:t xml:space="preserve"> </w:t>
      </w:r>
      <w:r>
        <w:rPr>
          <w:rFonts w:hint="default" w:ascii="Times New Roman" w:hAnsi="Times New Roman" w:eastAsia="Times New Roman" w:cs="Times New Roman"/>
          <w:spacing w:val="-3"/>
          <w:position w:val="17"/>
          <w:sz w:val="24"/>
          <w:szCs w:val="24"/>
        </w:rPr>
        <w:t>169-2018</w:t>
      </w:r>
      <w:r>
        <w:rPr>
          <w:rFonts w:hint="default" w:ascii="Times New Roman" w:hAnsi="Times New Roman" w:eastAsia="宋体" w:cs="Times New Roman"/>
          <w:spacing w:val="-3"/>
          <w:position w:val="17"/>
          <w:sz w:val="24"/>
          <w:szCs w:val="24"/>
        </w:rPr>
        <w:t>）附录</w:t>
      </w:r>
      <w:r>
        <w:rPr>
          <w:rFonts w:hint="default" w:ascii="Times New Roman" w:hAnsi="Times New Roman" w:eastAsia="宋体" w:cs="Times New Roman"/>
          <w:spacing w:val="-56"/>
          <w:position w:val="17"/>
          <w:sz w:val="24"/>
          <w:szCs w:val="24"/>
        </w:rPr>
        <w:t xml:space="preserve"> </w:t>
      </w:r>
      <w:r>
        <w:rPr>
          <w:rFonts w:hint="default" w:ascii="Times New Roman" w:hAnsi="Times New Roman" w:eastAsia="Times New Roman" w:cs="Times New Roman"/>
          <w:spacing w:val="-3"/>
          <w:position w:val="17"/>
          <w:sz w:val="24"/>
          <w:szCs w:val="24"/>
        </w:rPr>
        <w:t>B</w:t>
      </w:r>
    </w:p>
    <w:p>
      <w:pPr>
        <w:keepNext w:val="0"/>
        <w:keepLines w:val="0"/>
        <w:pageBreakBefore w:val="0"/>
        <w:widowControl/>
        <w:kinsoku w:val="0"/>
        <w:wordWrap/>
        <w:overflowPunct/>
        <w:topLinePunct w:val="0"/>
        <w:autoSpaceDE w:val="0"/>
        <w:autoSpaceDN w:val="0"/>
        <w:bidi w:val="0"/>
        <w:spacing w:line="360" w:lineRule="auto"/>
        <w:ind w:left="0" w:right="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中重点关注的危险物质进行对比，本项目重点关注的危险物质为次氯酸钠。</w:t>
      </w:r>
    </w:p>
    <w:p>
      <w:pPr>
        <w:keepNext w:val="0"/>
        <w:keepLines w:val="0"/>
        <w:pageBreakBefore w:val="0"/>
        <w:widowControl/>
        <w:kinsoku w:val="0"/>
        <w:wordWrap/>
        <w:overflowPunct/>
        <w:topLinePunct w:val="0"/>
        <w:autoSpaceDE w:val="0"/>
        <w:autoSpaceDN w:val="0"/>
        <w:bidi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Times New Roman" w:cs="Times New Roman"/>
          <w:spacing w:val="-1"/>
          <w:sz w:val="24"/>
          <w:szCs w:val="24"/>
        </w:rPr>
        <w:t>2</w:t>
      </w:r>
      <w:r>
        <w:rPr>
          <w:rFonts w:hint="default" w:ascii="Times New Roman" w:hAnsi="Times New Roman" w:eastAsia="宋体" w:cs="Times New Roman"/>
          <w:spacing w:val="-1"/>
          <w:sz w:val="24"/>
          <w:szCs w:val="24"/>
        </w:rPr>
        <w:t>）生产工艺危险性调查</w:t>
      </w:r>
    </w:p>
    <w:p>
      <w:pPr>
        <w:keepNext w:val="0"/>
        <w:keepLines w:val="0"/>
        <w:pageBreakBefore w:val="0"/>
        <w:widowControl/>
        <w:kinsoku w:val="0"/>
        <w:wordWrap/>
        <w:overflowPunct/>
        <w:topLinePunct w:val="0"/>
        <w:autoSpaceDE w:val="0"/>
        <w:autoSpaceDN w:val="0"/>
        <w:bidi w:val="0"/>
        <w:spacing w:line="360" w:lineRule="auto"/>
        <w:ind w:left="0" w:right="0" w:firstLine="48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position w:val="17"/>
          <w:sz w:val="24"/>
          <w:szCs w:val="24"/>
        </w:rPr>
        <w:t>本项目主要为屠宰过程及污水处理过程，根据《建设项</w:t>
      </w:r>
      <w:r>
        <w:rPr>
          <w:rFonts w:hint="default" w:ascii="Times New Roman" w:hAnsi="Times New Roman" w:eastAsia="宋体" w:cs="Times New Roman"/>
          <w:spacing w:val="-1"/>
          <w:position w:val="17"/>
          <w:sz w:val="24"/>
          <w:szCs w:val="24"/>
        </w:rPr>
        <w:t>目环境风险评价技术导则》</w:t>
      </w:r>
    </w:p>
    <w:p>
      <w:pPr>
        <w:keepNext w:val="0"/>
        <w:keepLines w:val="0"/>
        <w:pageBreakBefore w:val="0"/>
        <w:widowControl/>
        <w:kinsoku w:val="0"/>
        <w:wordWrap/>
        <w:overflowPunct/>
        <w:topLinePunct w:val="0"/>
        <w:autoSpaceDE w:val="0"/>
        <w:autoSpaceDN w:val="0"/>
        <w:bidi w:val="0"/>
        <w:spacing w:line="360" w:lineRule="auto"/>
        <w:ind w:left="0" w:right="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w:t>
      </w:r>
      <w:r>
        <w:rPr>
          <w:rFonts w:hint="default" w:ascii="Times New Roman" w:hAnsi="Times New Roman" w:eastAsia="Times New Roman" w:cs="Times New Roman"/>
          <w:spacing w:val="-3"/>
          <w:sz w:val="24"/>
          <w:szCs w:val="24"/>
        </w:rPr>
        <w:t>HJ</w:t>
      </w:r>
      <w:r>
        <w:rPr>
          <w:rFonts w:hint="default" w:ascii="Times New Roman" w:hAnsi="Times New Roman" w:eastAsia="Times New Roman" w:cs="Times New Roman"/>
          <w:spacing w:val="40"/>
          <w:w w:val="101"/>
          <w:sz w:val="24"/>
          <w:szCs w:val="24"/>
        </w:rPr>
        <w:t xml:space="preserve"> </w:t>
      </w:r>
      <w:r>
        <w:rPr>
          <w:rFonts w:hint="default" w:ascii="Times New Roman" w:hAnsi="Times New Roman" w:eastAsia="Times New Roman" w:cs="Times New Roman"/>
          <w:spacing w:val="-3"/>
          <w:sz w:val="24"/>
          <w:szCs w:val="24"/>
        </w:rPr>
        <w:t>169-2018</w:t>
      </w:r>
      <w:r>
        <w:rPr>
          <w:rFonts w:hint="default" w:ascii="Times New Roman" w:hAnsi="Times New Roman" w:eastAsia="宋体" w:cs="Times New Roman"/>
          <w:spacing w:val="-3"/>
          <w:sz w:val="24"/>
          <w:szCs w:val="24"/>
        </w:rPr>
        <w:t>）附录</w:t>
      </w:r>
      <w:r>
        <w:rPr>
          <w:rFonts w:hint="default" w:ascii="Times New Roman" w:hAnsi="Times New Roman" w:eastAsia="宋体" w:cs="Times New Roman"/>
          <w:spacing w:val="-52"/>
          <w:sz w:val="24"/>
          <w:szCs w:val="24"/>
        </w:rPr>
        <w:t xml:space="preserve"> </w:t>
      </w:r>
      <w:r>
        <w:rPr>
          <w:rFonts w:hint="default" w:ascii="Times New Roman" w:hAnsi="Times New Roman" w:eastAsia="Times New Roman" w:cs="Times New Roman"/>
          <w:spacing w:val="-3"/>
          <w:sz w:val="24"/>
          <w:szCs w:val="24"/>
        </w:rPr>
        <w:t>C</w:t>
      </w:r>
      <w:r>
        <w:rPr>
          <w:rFonts w:hint="default" w:ascii="Times New Roman" w:hAnsi="Times New Roman" w:eastAsia="Times New Roman" w:cs="Times New Roman"/>
          <w:spacing w:val="-32"/>
          <w:sz w:val="24"/>
          <w:szCs w:val="24"/>
        </w:rPr>
        <w:t xml:space="preserve"> </w:t>
      </w:r>
      <w:r>
        <w:rPr>
          <w:rFonts w:hint="default" w:ascii="Times New Roman" w:hAnsi="Times New Roman" w:eastAsia="宋体" w:cs="Times New Roman"/>
          <w:spacing w:val="-3"/>
          <w:sz w:val="24"/>
          <w:szCs w:val="24"/>
        </w:rPr>
        <w:t>，属于涉及危险物质使用、贮存的项目。</w:t>
      </w:r>
    </w:p>
    <w:p>
      <w:pPr>
        <w:pStyle w:val="45"/>
        <w:keepNext w:val="0"/>
        <w:keepLines w:val="0"/>
        <w:pageBreakBefore w:val="0"/>
        <w:widowControl/>
        <w:kinsoku w:val="0"/>
        <w:wordWrap/>
        <w:overflowPunct/>
        <w:topLinePunct w:val="0"/>
        <w:autoSpaceDE w:val="0"/>
        <w:autoSpaceDN w:val="0"/>
        <w:bidi w:val="0"/>
        <w:adjustRightInd/>
        <w:snapToGrid/>
        <w:spacing w:line="360" w:lineRule="auto"/>
        <w:ind w:left="0" w:right="0"/>
        <w:jc w:val="both"/>
        <w:textAlignment w:val="baseline"/>
        <w:outlineLvl w:val="1"/>
        <w:rPr>
          <w:rFonts w:hint="default" w:ascii="Times New Roman" w:hAnsi="Times New Roman" w:eastAsia="宋体" w:cs="Times New Roman"/>
          <w:snapToGrid w:val="0"/>
          <w:color w:val="auto"/>
          <w:kern w:val="0"/>
          <w:highlight w:val="none"/>
        </w:rPr>
      </w:pPr>
      <w:bookmarkStart w:id="354" w:name="_Toc6750"/>
      <w:bookmarkStart w:id="355" w:name="_Toc31928"/>
      <w:r>
        <w:rPr>
          <w:rFonts w:hint="default" w:ascii="Times New Roman" w:hAnsi="Times New Roman" w:eastAsia="宋体" w:cs="Times New Roman"/>
          <w:snapToGrid w:val="0"/>
          <w:color w:val="auto"/>
          <w:kern w:val="0"/>
          <w:highlight w:val="none"/>
        </w:rPr>
        <w:t>（2）风险潜势初判</w:t>
      </w:r>
      <w:bookmarkEnd w:id="354"/>
      <w:bookmarkEnd w:id="355"/>
    </w:p>
    <w:p>
      <w:pPr>
        <w:keepNext w:val="0"/>
        <w:keepLines w:val="0"/>
        <w:pageBreakBefore w:val="0"/>
        <w:widowControl/>
        <w:kinsoku w:val="0"/>
        <w:wordWrap/>
        <w:overflowPunct/>
        <w:topLinePunct w:val="0"/>
        <w:autoSpaceDE w:val="0"/>
        <w:autoSpaceDN w:val="0"/>
        <w:bidi w:val="0"/>
        <w:spacing w:line="360" w:lineRule="auto"/>
        <w:ind w:left="0" w:right="0" w:firstLine="479"/>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计算所涉及的每种危险物质在厂界内的最大存在总量与其在《建设项目环境风险评</w:t>
      </w:r>
      <w:r>
        <w:rPr>
          <w:rFonts w:hint="default" w:ascii="Times New Roman" w:hAnsi="Times New Roman" w:eastAsia="宋体" w:cs="Times New Roman"/>
          <w:spacing w:val="18"/>
          <w:sz w:val="24"/>
          <w:szCs w:val="24"/>
        </w:rPr>
        <w:t xml:space="preserve"> </w:t>
      </w:r>
      <w:r>
        <w:rPr>
          <w:rFonts w:hint="default" w:ascii="Times New Roman" w:hAnsi="Times New Roman" w:eastAsia="宋体" w:cs="Times New Roman"/>
          <w:sz w:val="24"/>
          <w:szCs w:val="24"/>
        </w:rPr>
        <w:t>价技术导则》（</w:t>
      </w:r>
      <w:r>
        <w:rPr>
          <w:rFonts w:hint="default" w:ascii="Times New Roman" w:hAnsi="Times New Roman" w:eastAsia="Times New Roman" w:cs="Times New Roman"/>
          <w:sz w:val="24"/>
          <w:szCs w:val="24"/>
        </w:rPr>
        <w:t>HJ</w:t>
      </w:r>
      <w:r>
        <w:rPr>
          <w:rFonts w:hint="default" w:ascii="Times New Roman" w:hAnsi="Times New Roman" w:eastAsia="Times New Roman" w:cs="Times New Roman"/>
          <w:spacing w:val="33"/>
          <w:sz w:val="24"/>
          <w:szCs w:val="24"/>
        </w:rPr>
        <w:t xml:space="preserve"> </w:t>
      </w:r>
      <w:r>
        <w:rPr>
          <w:rFonts w:hint="default" w:ascii="Times New Roman" w:hAnsi="Times New Roman" w:eastAsia="Times New Roman" w:cs="Times New Roman"/>
          <w:sz w:val="24"/>
          <w:szCs w:val="24"/>
        </w:rPr>
        <w:t>169-2018</w:t>
      </w:r>
      <w:r>
        <w:rPr>
          <w:rFonts w:hint="default" w:ascii="Times New Roman" w:hAnsi="Times New Roman" w:eastAsia="宋体" w:cs="Times New Roman"/>
          <w:sz w:val="24"/>
          <w:szCs w:val="24"/>
        </w:rPr>
        <w:t>）附录</w:t>
      </w:r>
      <w:r>
        <w:rPr>
          <w:rFonts w:hint="default" w:ascii="Times New Roman" w:hAnsi="Times New Roman" w:eastAsia="宋体" w:cs="Times New Roman"/>
          <w:spacing w:val="-53"/>
          <w:sz w:val="24"/>
          <w:szCs w:val="24"/>
        </w:rPr>
        <w:t xml:space="preserve"> </w:t>
      </w:r>
      <w:r>
        <w:rPr>
          <w:rFonts w:hint="default" w:ascii="Times New Roman" w:hAnsi="Times New Roman" w:eastAsia="Times New Roman" w:cs="Times New Roman"/>
          <w:sz w:val="24"/>
          <w:szCs w:val="24"/>
        </w:rPr>
        <w:t>B</w:t>
      </w:r>
      <w:r>
        <w:rPr>
          <w:rFonts w:hint="default" w:ascii="Times New Roman" w:hAnsi="Times New Roman" w:eastAsia="Times New Roman" w:cs="Times New Roman"/>
          <w:spacing w:val="35"/>
          <w:sz w:val="24"/>
          <w:szCs w:val="24"/>
        </w:rPr>
        <w:t xml:space="preserve"> </w:t>
      </w:r>
      <w:r>
        <w:rPr>
          <w:rFonts w:hint="default" w:ascii="Times New Roman" w:hAnsi="Times New Roman" w:eastAsia="宋体" w:cs="Times New Roman"/>
          <w:sz w:val="24"/>
          <w:szCs w:val="24"/>
        </w:rPr>
        <w:t>中对应</w:t>
      </w:r>
      <w:r>
        <w:rPr>
          <w:rFonts w:hint="default" w:ascii="Times New Roman" w:hAnsi="Times New Roman" w:eastAsia="宋体" w:cs="Times New Roman"/>
          <w:spacing w:val="-1"/>
          <w:sz w:val="24"/>
          <w:szCs w:val="24"/>
        </w:rPr>
        <w:t>临界量的比值</w:t>
      </w:r>
      <w:r>
        <w:rPr>
          <w:rFonts w:hint="default" w:ascii="Times New Roman" w:hAnsi="Times New Roman" w:eastAsia="宋体" w:cs="Times New Roman"/>
          <w:spacing w:val="-49"/>
          <w:sz w:val="24"/>
          <w:szCs w:val="24"/>
        </w:rPr>
        <w:t xml:space="preserve"> </w:t>
      </w:r>
      <w:r>
        <w:rPr>
          <w:rFonts w:hint="default" w:ascii="Times New Roman" w:hAnsi="Times New Roman" w:eastAsia="Times New Roman" w:cs="Times New Roman"/>
          <w:spacing w:val="-1"/>
          <w:sz w:val="24"/>
          <w:szCs w:val="24"/>
        </w:rPr>
        <w:t>Q</w:t>
      </w:r>
      <w:r>
        <w:rPr>
          <w:rFonts w:hint="default" w:ascii="Times New Roman" w:hAnsi="Times New Roman" w:eastAsia="Times New Roman" w:cs="Times New Roman"/>
          <w:spacing w:val="-23"/>
          <w:sz w:val="24"/>
          <w:szCs w:val="24"/>
        </w:rPr>
        <w:t xml:space="preserve"> </w:t>
      </w:r>
      <w:r>
        <w:rPr>
          <w:rFonts w:hint="default" w:ascii="Times New Roman" w:hAnsi="Times New Roman" w:eastAsia="宋体" w:cs="Times New Roman"/>
          <w:spacing w:val="-1"/>
          <w:sz w:val="24"/>
          <w:szCs w:val="24"/>
        </w:rPr>
        <w:t>。在不同厂区的同一种物</w:t>
      </w:r>
    </w:p>
    <w:p>
      <w:pPr>
        <w:keepNext w:val="0"/>
        <w:keepLines w:val="0"/>
        <w:pageBreakBefore w:val="0"/>
        <w:widowControl/>
        <w:kinsoku w:val="0"/>
        <w:wordWrap/>
        <w:overflowPunct/>
        <w:topLinePunct w:val="0"/>
        <w:autoSpaceDE w:val="0"/>
        <w:autoSpaceDN w:val="0"/>
        <w:bidi w:val="0"/>
        <w:spacing w:line="360" w:lineRule="auto"/>
        <w:ind w:left="0" w:right="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质，按其在厂界内的最大存在总量计算。</w:t>
      </w:r>
    </w:p>
    <w:p>
      <w:pPr>
        <w:keepNext w:val="0"/>
        <w:keepLines w:val="0"/>
        <w:pageBreakBefore w:val="0"/>
        <w:widowControl/>
        <w:kinsoku w:val="0"/>
        <w:wordWrap/>
        <w:overflowPunct/>
        <w:topLinePunct w:val="0"/>
        <w:autoSpaceDE w:val="0"/>
        <w:autoSpaceDN w:val="0"/>
        <w:bidi w:val="0"/>
        <w:spacing w:line="360" w:lineRule="auto"/>
        <w:ind w:left="0" w:right="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position w:val="17"/>
          <w:sz w:val="24"/>
          <w:szCs w:val="24"/>
        </w:rPr>
        <w:t>当只涉及一种危险物质时，计算该物质的总量与其临界量比值，即为</w:t>
      </w:r>
      <w:r>
        <w:rPr>
          <w:rFonts w:hint="default" w:ascii="Times New Roman" w:hAnsi="Times New Roman" w:eastAsia="宋体" w:cs="Times New Roman"/>
          <w:spacing w:val="-52"/>
          <w:position w:val="17"/>
          <w:sz w:val="24"/>
          <w:szCs w:val="24"/>
        </w:rPr>
        <w:t xml:space="preserve"> </w:t>
      </w:r>
      <w:r>
        <w:rPr>
          <w:rFonts w:hint="default" w:ascii="Times New Roman" w:hAnsi="Times New Roman" w:eastAsia="Times New Roman" w:cs="Times New Roman"/>
          <w:spacing w:val="-2"/>
          <w:position w:val="17"/>
          <w:sz w:val="24"/>
          <w:szCs w:val="24"/>
        </w:rPr>
        <w:t>Q</w:t>
      </w:r>
      <w:r>
        <w:rPr>
          <w:rFonts w:hint="default" w:ascii="Times New Roman" w:hAnsi="Times New Roman" w:eastAsia="宋体" w:cs="Times New Roman"/>
          <w:spacing w:val="-2"/>
          <w:position w:val="17"/>
          <w:sz w:val="24"/>
          <w:szCs w:val="24"/>
        </w:rPr>
        <w:t>；</w:t>
      </w:r>
    </w:p>
    <w:p>
      <w:pPr>
        <w:keepNext w:val="0"/>
        <w:keepLines w:val="0"/>
        <w:pageBreakBefore w:val="0"/>
        <w:widowControl/>
        <w:kinsoku w:val="0"/>
        <w:wordWrap/>
        <w:overflowPunct/>
        <w:topLinePunct w:val="0"/>
        <w:autoSpaceDE w:val="0"/>
        <w:autoSpaceDN w:val="0"/>
        <w:bidi w:val="0"/>
        <w:spacing w:line="360" w:lineRule="auto"/>
        <w:ind w:left="0" w:right="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当存在多种危险物质时，则按下式计算物质总量与其临界量</w:t>
      </w:r>
      <w:r>
        <w:rPr>
          <w:rFonts w:hint="default" w:ascii="Times New Roman" w:hAnsi="Times New Roman" w:eastAsia="宋体" w:cs="Times New Roman"/>
          <w:spacing w:val="-2"/>
          <w:sz w:val="24"/>
          <w:szCs w:val="24"/>
        </w:rPr>
        <w:t>比值</w:t>
      </w:r>
      <w:r>
        <w:rPr>
          <w:rFonts w:hint="default" w:ascii="Times New Roman" w:hAnsi="Times New Roman" w:eastAsia="宋体" w:cs="Times New Roman"/>
          <w:spacing w:val="-52"/>
          <w:sz w:val="24"/>
          <w:szCs w:val="24"/>
        </w:rPr>
        <w:t xml:space="preserve"> </w:t>
      </w:r>
      <w:r>
        <w:rPr>
          <w:rFonts w:hint="default" w:ascii="Times New Roman" w:hAnsi="Times New Roman" w:eastAsia="Times New Roman" w:cs="Times New Roman"/>
          <w:spacing w:val="-2"/>
          <w:sz w:val="24"/>
          <w:szCs w:val="24"/>
        </w:rPr>
        <w:t>Q</w:t>
      </w:r>
      <w:r>
        <w:rPr>
          <w:rFonts w:hint="default" w:ascii="Times New Roman" w:hAnsi="Times New Roman" w:eastAsia="宋体" w:cs="Times New Roman"/>
          <w:spacing w:val="-2"/>
          <w:sz w:val="24"/>
          <w:szCs w:val="24"/>
        </w:rPr>
        <w:t>；</w:t>
      </w:r>
    </w:p>
    <w:p>
      <w:pPr>
        <w:keepNext w:val="0"/>
        <w:keepLines w:val="0"/>
        <w:pageBreakBefore w:val="0"/>
        <w:widowControl/>
        <w:kinsoku w:val="0"/>
        <w:wordWrap/>
        <w:overflowPunct/>
        <w:topLinePunct w:val="0"/>
        <w:autoSpaceDE w:val="0"/>
        <w:autoSpaceDN w:val="0"/>
        <w:bidi w:val="0"/>
        <w:spacing w:line="360" w:lineRule="auto"/>
        <w:ind w:left="0" w:right="0" w:firstLine="3330"/>
        <w:jc w:val="both"/>
        <w:textAlignment w:val="baseline"/>
        <w:rPr>
          <w:rFonts w:hint="default" w:ascii="Times New Roman" w:hAnsi="Times New Roman" w:cs="Times New Roman"/>
        </w:rPr>
      </w:pPr>
      <w:r>
        <w:rPr>
          <w:rFonts w:hint="default" w:ascii="Times New Roman" w:hAnsi="Times New Roman" w:cs="Times New Roman"/>
          <w:position w:val="-14"/>
        </w:rPr>
        <w:drawing>
          <wp:inline distT="0" distB="0" distL="0" distR="0">
            <wp:extent cx="1676400" cy="457200"/>
            <wp:effectExtent l="0" t="0" r="0" b="0"/>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29"/>
                    <a:stretch>
                      <a:fillRect/>
                    </a:stretch>
                  </pic:blipFill>
                  <pic:spPr>
                    <a:xfrm>
                      <a:off x="0" y="0"/>
                      <a:ext cx="1676400" cy="45720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spacing w:line="360" w:lineRule="auto"/>
        <w:ind w:left="0" w:right="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式中：</w:t>
      </w:r>
      <w:r>
        <w:rPr>
          <w:rFonts w:hint="default" w:ascii="Times New Roman" w:hAnsi="Times New Roman" w:eastAsia="Times New Roman" w:cs="Times New Roman"/>
          <w:sz w:val="24"/>
          <w:szCs w:val="24"/>
        </w:rPr>
        <w:t>q</w:t>
      </w:r>
      <w:r>
        <w:rPr>
          <w:rFonts w:hint="default" w:ascii="Times New Roman" w:hAnsi="Times New Roman" w:eastAsia="Times New Roman" w:cs="Times New Roman"/>
          <w:position w:val="-1"/>
          <w:sz w:val="15"/>
          <w:szCs w:val="15"/>
        </w:rPr>
        <w:t>1</w:t>
      </w:r>
      <w:r>
        <w:rPr>
          <w:rFonts w:hint="default" w:ascii="Times New Roman" w:hAnsi="Times New Roman" w:eastAsia="Times New Roman" w:cs="Times New Roman"/>
          <w:sz w:val="24"/>
          <w:szCs w:val="24"/>
        </w:rPr>
        <w:t>,q</w:t>
      </w:r>
      <w:r>
        <w:rPr>
          <w:rFonts w:hint="default" w:ascii="Times New Roman" w:hAnsi="Times New Roman" w:eastAsia="Times New Roman" w:cs="Times New Roman"/>
          <w:position w:val="-1"/>
          <w:sz w:val="15"/>
          <w:szCs w:val="15"/>
        </w:rPr>
        <w:t>2</w:t>
      </w:r>
      <w:r>
        <w:rPr>
          <w:rFonts w:hint="default" w:ascii="Times New Roman" w:hAnsi="Times New Roman" w:eastAsia="Times New Roman" w:cs="Times New Roman"/>
          <w:sz w:val="24"/>
          <w:szCs w:val="24"/>
        </w:rPr>
        <w:t>...q</w:t>
      </w:r>
      <w:r>
        <w:rPr>
          <w:rFonts w:hint="default" w:ascii="Times New Roman" w:hAnsi="Times New Roman" w:eastAsia="Times New Roman" w:cs="Times New Roman"/>
          <w:position w:val="-1"/>
          <w:sz w:val="15"/>
          <w:szCs w:val="15"/>
        </w:rPr>
        <w:t>n</w:t>
      </w:r>
      <w:r>
        <w:rPr>
          <w:rFonts w:hint="default" w:ascii="Times New Roman" w:hAnsi="Times New Roman" w:eastAsia="Times New Roman" w:cs="Times New Roman"/>
          <w:sz w:val="24"/>
          <w:szCs w:val="24"/>
        </w:rPr>
        <w:t>——</w:t>
      </w:r>
      <w:r>
        <w:rPr>
          <w:rFonts w:hint="default" w:ascii="Times New Roman" w:hAnsi="Times New Roman" w:eastAsia="宋体" w:cs="Times New Roman"/>
          <w:sz w:val="24"/>
          <w:szCs w:val="24"/>
        </w:rPr>
        <w:t>每种危险物质</w:t>
      </w:r>
      <w:r>
        <w:rPr>
          <w:rFonts w:hint="default" w:ascii="Times New Roman" w:hAnsi="Times New Roman" w:eastAsia="宋体" w:cs="Times New Roman"/>
          <w:spacing w:val="-1"/>
          <w:sz w:val="24"/>
          <w:szCs w:val="24"/>
        </w:rPr>
        <w:t>实际存在量，</w:t>
      </w:r>
      <w:r>
        <w:rPr>
          <w:rFonts w:hint="default" w:ascii="Times New Roman" w:hAnsi="Times New Roman" w:eastAsia="Times New Roman" w:cs="Times New Roman"/>
          <w:spacing w:val="-1"/>
          <w:sz w:val="24"/>
          <w:szCs w:val="24"/>
        </w:rPr>
        <w:t>t</w:t>
      </w:r>
      <w:r>
        <w:rPr>
          <w:rFonts w:hint="default" w:ascii="Times New Roman" w:hAnsi="Times New Roman" w:eastAsia="宋体" w:cs="Times New Roman"/>
          <w:spacing w:val="-1"/>
          <w:sz w:val="24"/>
          <w:szCs w:val="24"/>
        </w:rPr>
        <w:t>。</w:t>
      </w:r>
    </w:p>
    <w:p>
      <w:pPr>
        <w:keepNext w:val="0"/>
        <w:keepLines w:val="0"/>
        <w:pageBreakBefore w:val="0"/>
        <w:widowControl/>
        <w:kinsoku w:val="0"/>
        <w:wordWrap/>
        <w:overflowPunct/>
        <w:topLinePunct w:val="0"/>
        <w:autoSpaceDE w:val="0"/>
        <w:autoSpaceDN w:val="0"/>
        <w:bidi w:val="0"/>
        <w:spacing w:line="360" w:lineRule="auto"/>
        <w:ind w:left="0" w:right="0"/>
        <w:jc w:val="both"/>
        <w:textAlignment w:val="baseline"/>
        <w:rPr>
          <w:rFonts w:hint="default" w:ascii="Times New Roman" w:hAnsi="Times New Roman" w:eastAsia="宋体" w:cs="Times New Roman"/>
          <w:sz w:val="24"/>
          <w:szCs w:val="24"/>
        </w:rPr>
      </w:pPr>
      <w:r>
        <w:rPr>
          <w:rFonts w:hint="default" w:ascii="Times New Roman" w:hAnsi="Times New Roman" w:eastAsia="Times New Roman" w:cs="Times New Roman"/>
          <w:position w:val="17"/>
          <w:sz w:val="24"/>
          <w:szCs w:val="24"/>
        </w:rPr>
        <w:t>Q</w:t>
      </w:r>
      <w:r>
        <w:rPr>
          <w:rFonts w:hint="default" w:ascii="Times New Roman" w:hAnsi="Times New Roman" w:eastAsia="Times New Roman" w:cs="Times New Roman"/>
          <w:position w:val="16"/>
          <w:sz w:val="15"/>
          <w:szCs w:val="15"/>
        </w:rPr>
        <w:t>1</w:t>
      </w:r>
      <w:r>
        <w:rPr>
          <w:rFonts w:hint="default" w:ascii="Times New Roman" w:hAnsi="Times New Roman" w:eastAsia="Times New Roman" w:cs="Times New Roman"/>
          <w:position w:val="17"/>
          <w:sz w:val="24"/>
          <w:szCs w:val="24"/>
        </w:rPr>
        <w:t>,Q</w:t>
      </w:r>
      <w:r>
        <w:rPr>
          <w:rFonts w:hint="default" w:ascii="Times New Roman" w:hAnsi="Times New Roman" w:eastAsia="Times New Roman" w:cs="Times New Roman"/>
          <w:position w:val="16"/>
          <w:sz w:val="15"/>
          <w:szCs w:val="15"/>
        </w:rPr>
        <w:t>2</w:t>
      </w:r>
      <w:r>
        <w:rPr>
          <w:rFonts w:hint="default" w:ascii="Times New Roman" w:hAnsi="Times New Roman" w:eastAsia="Times New Roman" w:cs="Times New Roman"/>
          <w:position w:val="17"/>
          <w:sz w:val="24"/>
          <w:szCs w:val="24"/>
        </w:rPr>
        <w:t>...Q</w:t>
      </w:r>
      <w:r>
        <w:rPr>
          <w:rFonts w:hint="default" w:ascii="Times New Roman" w:hAnsi="Times New Roman" w:eastAsia="Times New Roman" w:cs="Times New Roman"/>
          <w:position w:val="16"/>
          <w:sz w:val="15"/>
          <w:szCs w:val="15"/>
        </w:rPr>
        <w:t>n</w:t>
      </w:r>
      <w:r>
        <w:rPr>
          <w:rFonts w:hint="default" w:ascii="Times New Roman" w:hAnsi="Times New Roman" w:eastAsia="Times New Roman" w:cs="Times New Roman"/>
          <w:position w:val="17"/>
          <w:sz w:val="24"/>
          <w:szCs w:val="24"/>
        </w:rPr>
        <w:t>——</w:t>
      </w:r>
      <w:r>
        <w:rPr>
          <w:rFonts w:hint="default" w:ascii="Times New Roman" w:hAnsi="Times New Roman" w:eastAsia="宋体" w:cs="Times New Roman"/>
          <w:position w:val="17"/>
          <w:sz w:val="24"/>
          <w:szCs w:val="24"/>
        </w:rPr>
        <w:t>与各危险物质相对应的生产场所或贮存区的临界量，</w:t>
      </w:r>
      <w:r>
        <w:rPr>
          <w:rFonts w:hint="default" w:ascii="Times New Roman" w:hAnsi="Times New Roman" w:eastAsia="Times New Roman" w:cs="Times New Roman"/>
          <w:position w:val="17"/>
          <w:sz w:val="24"/>
          <w:szCs w:val="24"/>
        </w:rPr>
        <w:t>t</w:t>
      </w:r>
      <w:r>
        <w:rPr>
          <w:rFonts w:hint="default" w:ascii="Times New Roman" w:hAnsi="Times New Roman" w:eastAsia="宋体" w:cs="Times New Roman"/>
          <w:position w:val="17"/>
          <w:sz w:val="24"/>
          <w:szCs w:val="24"/>
        </w:rPr>
        <w:t>。</w:t>
      </w:r>
    </w:p>
    <w:p>
      <w:pPr>
        <w:spacing w:before="180" w:line="222" w:lineRule="auto"/>
        <w:ind w:left="2831"/>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29"/>
          <w:sz w:val="20"/>
          <w:szCs w:val="20"/>
          <w:highlight w:val="none"/>
        </w:rPr>
        <w:t xml:space="preserve"> </w:t>
      </w:r>
      <w:r>
        <w:rPr>
          <w:rFonts w:hint="default" w:ascii="Times New Roman" w:hAnsi="Times New Roman" w:eastAsia="Times New Roman" w:cs="Times New Roman"/>
          <w:b/>
          <w:bCs/>
          <w:spacing w:val="7"/>
          <w:sz w:val="20"/>
          <w:szCs w:val="20"/>
          <w:highlight w:val="none"/>
        </w:rPr>
        <w:t>5.2-</w:t>
      </w:r>
      <w:r>
        <w:rPr>
          <w:rFonts w:hint="eastAsia" w:ascii="Times New Roman" w:hAnsi="Times New Roman" w:eastAsia="宋体" w:cs="Times New Roman"/>
          <w:b/>
          <w:bCs/>
          <w:spacing w:val="7"/>
          <w:sz w:val="20"/>
          <w:szCs w:val="20"/>
          <w:highlight w:val="none"/>
          <w:lang w:val="en-US" w:eastAsia="zh-CN"/>
        </w:rPr>
        <w:t>22</w:t>
      </w:r>
      <w:r>
        <w:rPr>
          <w:rFonts w:hint="default" w:ascii="Times New Roman" w:hAnsi="Times New Roman" w:eastAsia="Times New Roman" w:cs="Times New Roman"/>
          <w:b/>
          <w:bCs/>
          <w:spacing w:val="7"/>
          <w:sz w:val="20"/>
          <w:szCs w:val="20"/>
          <w:highlight w:val="none"/>
        </w:rPr>
        <w:t xml:space="preserve">  </w:t>
      </w:r>
      <w:r>
        <w:rPr>
          <w:rFonts w:hint="default" w:ascii="Times New Roman" w:hAnsi="Times New Roman" w:eastAsia="宋体" w:cs="Times New Roman"/>
          <w:spacing w:val="7"/>
          <w:sz w:val="20"/>
          <w:szCs w:val="20"/>
          <w:highlight w:val="none"/>
          <w14:textOutline w14:w="3795" w14:cap="sq" w14:cmpd="sng">
            <w14:solidFill>
              <w14:srgbClr w14:val="000000"/>
            </w14:solidFill>
            <w14:prstDash w14:val="solid"/>
            <w14:bevel/>
          </w14:textOutline>
        </w:rPr>
        <w:t>危险物质最大储存量及临界量</w:t>
      </w:r>
    </w:p>
    <w:tbl>
      <w:tblPr>
        <w:tblStyle w:val="34"/>
        <w:tblW w:w="929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86"/>
        <w:gridCol w:w="1699"/>
        <w:gridCol w:w="1436"/>
        <w:gridCol w:w="3658"/>
        <w:gridCol w:w="121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1286" w:type="dxa"/>
            <w:vAlign w:val="top"/>
          </w:tcPr>
          <w:p>
            <w:pPr>
              <w:spacing w:before="77" w:line="228" w:lineRule="auto"/>
              <w:ind w:left="232"/>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原料名称</w:t>
            </w:r>
          </w:p>
        </w:tc>
        <w:tc>
          <w:tcPr>
            <w:tcW w:w="1699" w:type="dxa"/>
            <w:vAlign w:val="top"/>
          </w:tcPr>
          <w:p>
            <w:pPr>
              <w:spacing w:before="76" w:line="228" w:lineRule="auto"/>
              <w:ind w:left="276"/>
              <w:rPr>
                <w:rFonts w:hint="default" w:ascii="Times New Roman" w:hAnsi="Times New Roman" w:eastAsia="Times New Roman" w:cs="Times New Roman"/>
                <w:sz w:val="20"/>
                <w:szCs w:val="20"/>
                <w:highlight w:val="none"/>
              </w:rPr>
            </w:pPr>
            <w:r>
              <w:rPr>
                <w:rFonts w:hint="default" w:ascii="Times New Roman" w:hAnsi="Times New Roman" w:eastAsia="宋体" w:cs="Times New Roman"/>
                <w:spacing w:val="6"/>
                <w:sz w:val="20"/>
                <w:szCs w:val="20"/>
                <w:highlight w:val="none"/>
              </w:rPr>
              <w:t>最大储存量</w:t>
            </w:r>
            <w:r>
              <w:rPr>
                <w:rFonts w:hint="default" w:ascii="Times New Roman" w:hAnsi="Times New Roman" w:eastAsia="宋体" w:cs="Times New Roman"/>
                <w:spacing w:val="-44"/>
                <w:sz w:val="20"/>
                <w:szCs w:val="20"/>
                <w:highlight w:val="none"/>
              </w:rPr>
              <w:t xml:space="preserve"> </w:t>
            </w:r>
            <w:r>
              <w:rPr>
                <w:rFonts w:hint="default" w:ascii="Times New Roman" w:hAnsi="Times New Roman" w:eastAsia="Times New Roman" w:cs="Times New Roman"/>
                <w:spacing w:val="6"/>
                <w:sz w:val="20"/>
                <w:szCs w:val="20"/>
                <w:highlight w:val="none"/>
              </w:rPr>
              <w:t>t</w:t>
            </w:r>
          </w:p>
        </w:tc>
        <w:tc>
          <w:tcPr>
            <w:tcW w:w="1436" w:type="dxa"/>
            <w:vAlign w:val="top"/>
          </w:tcPr>
          <w:p>
            <w:pPr>
              <w:spacing w:before="76" w:line="228" w:lineRule="auto"/>
              <w:ind w:left="364"/>
              <w:rPr>
                <w:rFonts w:hint="default" w:ascii="Times New Roman" w:hAnsi="Times New Roman" w:eastAsia="Times New Roman" w:cs="Times New Roman"/>
                <w:sz w:val="20"/>
                <w:szCs w:val="20"/>
                <w:highlight w:val="none"/>
              </w:rPr>
            </w:pPr>
            <w:r>
              <w:rPr>
                <w:rFonts w:hint="default" w:ascii="Times New Roman" w:hAnsi="Times New Roman" w:eastAsia="宋体" w:cs="Times New Roman"/>
                <w:spacing w:val="2"/>
                <w:sz w:val="20"/>
                <w:szCs w:val="20"/>
                <w:highlight w:val="none"/>
              </w:rPr>
              <w:t>临界量</w:t>
            </w:r>
            <w:r>
              <w:rPr>
                <w:rFonts w:hint="default" w:ascii="Times New Roman" w:hAnsi="Times New Roman" w:eastAsia="宋体" w:cs="Times New Roman"/>
                <w:spacing w:val="-45"/>
                <w:sz w:val="20"/>
                <w:szCs w:val="20"/>
                <w:highlight w:val="none"/>
              </w:rPr>
              <w:t xml:space="preserve"> </w:t>
            </w:r>
            <w:r>
              <w:rPr>
                <w:rFonts w:hint="default" w:ascii="Times New Roman" w:hAnsi="Times New Roman" w:eastAsia="Times New Roman" w:cs="Times New Roman"/>
                <w:spacing w:val="2"/>
                <w:sz w:val="20"/>
                <w:szCs w:val="20"/>
                <w:highlight w:val="none"/>
              </w:rPr>
              <w:t>t</w:t>
            </w:r>
          </w:p>
        </w:tc>
        <w:tc>
          <w:tcPr>
            <w:tcW w:w="3658" w:type="dxa"/>
            <w:vAlign w:val="top"/>
          </w:tcPr>
          <w:p>
            <w:pPr>
              <w:spacing w:before="76" w:line="227" w:lineRule="auto"/>
              <w:ind w:left="1321"/>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临界量依据</w:t>
            </w:r>
          </w:p>
        </w:tc>
        <w:tc>
          <w:tcPr>
            <w:tcW w:w="1213" w:type="dxa"/>
            <w:vAlign w:val="top"/>
          </w:tcPr>
          <w:p>
            <w:pPr>
              <w:spacing w:before="108" w:line="201" w:lineRule="auto"/>
              <w:ind w:left="453"/>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q/Q</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8" w:hRule="atLeast"/>
        </w:trPr>
        <w:tc>
          <w:tcPr>
            <w:tcW w:w="1286" w:type="dxa"/>
            <w:vAlign w:val="top"/>
          </w:tcPr>
          <w:p>
            <w:pPr>
              <w:pStyle w:val="35"/>
              <w:spacing w:line="296" w:lineRule="auto"/>
              <w:rPr>
                <w:rFonts w:hint="default" w:ascii="Times New Roman" w:hAnsi="Times New Roman" w:cs="Times New Roman"/>
                <w:highlight w:val="none"/>
              </w:rPr>
            </w:pPr>
          </w:p>
          <w:p>
            <w:pPr>
              <w:spacing w:before="65" w:line="228" w:lineRule="auto"/>
              <w:ind w:left="233"/>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次氯酸钠</w:t>
            </w:r>
          </w:p>
        </w:tc>
        <w:tc>
          <w:tcPr>
            <w:tcW w:w="1699" w:type="dxa"/>
            <w:vAlign w:val="top"/>
          </w:tcPr>
          <w:p>
            <w:pPr>
              <w:pStyle w:val="35"/>
              <w:spacing w:line="339" w:lineRule="auto"/>
              <w:rPr>
                <w:rFonts w:hint="default" w:ascii="Times New Roman" w:hAnsi="Times New Roman" w:cs="Times New Roman"/>
                <w:highlight w:val="none"/>
              </w:rPr>
            </w:pPr>
          </w:p>
          <w:p>
            <w:pPr>
              <w:spacing w:before="58" w:line="195" w:lineRule="auto"/>
              <w:ind w:left="669"/>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0.5</w:t>
            </w:r>
          </w:p>
        </w:tc>
        <w:tc>
          <w:tcPr>
            <w:tcW w:w="1436" w:type="dxa"/>
            <w:vAlign w:val="top"/>
          </w:tcPr>
          <w:p>
            <w:pPr>
              <w:pStyle w:val="35"/>
              <w:spacing w:line="342" w:lineRule="auto"/>
              <w:rPr>
                <w:rFonts w:hint="default" w:ascii="Times New Roman" w:hAnsi="Times New Roman" w:cs="Times New Roman"/>
                <w:highlight w:val="none"/>
              </w:rPr>
            </w:pPr>
          </w:p>
          <w:p>
            <w:pPr>
              <w:spacing w:before="57" w:line="192" w:lineRule="auto"/>
              <w:ind w:left="671"/>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5</w:t>
            </w:r>
          </w:p>
        </w:tc>
        <w:tc>
          <w:tcPr>
            <w:tcW w:w="3658" w:type="dxa"/>
            <w:vMerge w:val="restart"/>
            <w:vAlign w:val="top"/>
          </w:tcPr>
          <w:p>
            <w:pPr>
              <w:spacing w:before="50" w:line="268" w:lineRule="auto"/>
              <w:ind w:right="99"/>
              <w:jc w:val="center"/>
              <w:rPr>
                <w:rFonts w:hint="default" w:ascii="Times New Roman" w:hAnsi="Times New Roman" w:eastAsia="宋体" w:cs="Times New Roman"/>
                <w:spacing w:val="5"/>
                <w:sz w:val="20"/>
                <w:szCs w:val="20"/>
                <w:highlight w:val="none"/>
              </w:rPr>
            </w:pPr>
          </w:p>
          <w:p>
            <w:pPr>
              <w:spacing w:before="50" w:line="268" w:lineRule="auto"/>
              <w:ind w:right="99"/>
              <w:jc w:val="center"/>
              <w:rPr>
                <w:rFonts w:hint="default" w:ascii="Times New Roman" w:hAnsi="Times New Roman" w:eastAsia="宋体" w:cs="Times New Roman"/>
                <w:spacing w:val="5"/>
                <w:sz w:val="20"/>
                <w:szCs w:val="20"/>
                <w:highlight w:val="none"/>
              </w:rPr>
            </w:pPr>
          </w:p>
          <w:p>
            <w:pPr>
              <w:spacing w:before="50" w:line="268" w:lineRule="auto"/>
              <w:ind w:right="99"/>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 xml:space="preserve">《建设项目环境风险评价技术导则》 </w:t>
            </w:r>
            <w:r>
              <w:rPr>
                <w:rFonts w:hint="default" w:ascii="Times New Roman" w:hAnsi="Times New Roman" w:eastAsia="宋体" w:cs="Times New Roman"/>
                <w:spacing w:val="1"/>
                <w:sz w:val="20"/>
                <w:szCs w:val="20"/>
                <w:highlight w:val="none"/>
              </w:rPr>
              <w:t>（</w:t>
            </w:r>
            <w:r>
              <w:rPr>
                <w:rFonts w:hint="default" w:ascii="Times New Roman" w:hAnsi="Times New Roman" w:eastAsia="Times New Roman" w:cs="Times New Roman"/>
                <w:sz w:val="20"/>
                <w:szCs w:val="20"/>
                <w:highlight w:val="none"/>
              </w:rPr>
              <w:t>HJ</w:t>
            </w:r>
            <w:r>
              <w:rPr>
                <w:rFonts w:hint="default" w:ascii="Times New Roman" w:hAnsi="Times New Roman" w:eastAsia="Times New Roman" w:cs="Times New Roman"/>
                <w:spacing w:val="1"/>
                <w:sz w:val="20"/>
                <w:szCs w:val="20"/>
                <w:highlight w:val="none"/>
              </w:rPr>
              <w:t>169-2018</w:t>
            </w:r>
            <w:r>
              <w:rPr>
                <w:rFonts w:hint="default" w:ascii="Times New Roman" w:hAnsi="Times New Roman" w:eastAsia="宋体" w:cs="Times New Roman"/>
                <w:spacing w:val="1"/>
                <w:sz w:val="20"/>
                <w:szCs w:val="20"/>
                <w:highlight w:val="none"/>
              </w:rPr>
              <w:t>）附录</w:t>
            </w:r>
            <w:r>
              <w:rPr>
                <w:rFonts w:hint="default" w:ascii="Times New Roman" w:hAnsi="Times New Roman" w:eastAsia="宋体" w:cs="Times New Roman"/>
                <w:spacing w:val="-38"/>
                <w:sz w:val="20"/>
                <w:szCs w:val="20"/>
                <w:highlight w:val="none"/>
              </w:rPr>
              <w:t xml:space="preserve"> </w:t>
            </w:r>
            <w:r>
              <w:rPr>
                <w:rFonts w:hint="default" w:ascii="Times New Roman" w:hAnsi="Times New Roman" w:eastAsia="Times New Roman" w:cs="Times New Roman"/>
                <w:spacing w:val="1"/>
                <w:sz w:val="20"/>
                <w:szCs w:val="20"/>
                <w:highlight w:val="none"/>
              </w:rPr>
              <w:t>B</w:t>
            </w:r>
            <w:r>
              <w:rPr>
                <w:rFonts w:hint="default" w:ascii="Times New Roman" w:hAnsi="Times New Roman" w:eastAsia="Times New Roman" w:cs="Times New Roman"/>
                <w:spacing w:val="-27"/>
                <w:sz w:val="20"/>
                <w:szCs w:val="20"/>
                <w:highlight w:val="none"/>
              </w:rPr>
              <w:t xml:space="preserve"> </w:t>
            </w:r>
            <w:r>
              <w:rPr>
                <w:rFonts w:hint="default" w:ascii="Times New Roman" w:hAnsi="Times New Roman" w:eastAsia="宋体" w:cs="Times New Roman"/>
                <w:spacing w:val="1"/>
                <w:sz w:val="20"/>
                <w:szCs w:val="20"/>
                <w:highlight w:val="none"/>
              </w:rPr>
              <w:t>、危险化学品重</w:t>
            </w:r>
            <w:r>
              <w:rPr>
                <w:rFonts w:hint="default" w:ascii="Times New Roman" w:hAnsi="Times New Roman" w:eastAsia="宋体" w:cs="Times New Roman"/>
                <w:sz w:val="20"/>
                <w:szCs w:val="20"/>
                <w:highlight w:val="none"/>
              </w:rPr>
              <w:t xml:space="preserve"> </w:t>
            </w:r>
            <w:r>
              <w:rPr>
                <w:rFonts w:hint="default" w:ascii="Times New Roman" w:hAnsi="Times New Roman" w:eastAsia="宋体" w:cs="Times New Roman"/>
                <w:spacing w:val="11"/>
                <w:sz w:val="20"/>
                <w:szCs w:val="20"/>
                <w:highlight w:val="none"/>
              </w:rPr>
              <w:t>大危险源辨识》（</w:t>
            </w:r>
            <w:r>
              <w:rPr>
                <w:rFonts w:hint="default" w:ascii="Times New Roman" w:hAnsi="Times New Roman" w:eastAsia="Times New Roman" w:cs="Times New Roman"/>
                <w:sz w:val="20"/>
                <w:szCs w:val="20"/>
                <w:highlight w:val="none"/>
              </w:rPr>
              <w:t>GB</w:t>
            </w:r>
            <w:r>
              <w:rPr>
                <w:rFonts w:hint="default" w:ascii="Times New Roman" w:hAnsi="Times New Roman" w:eastAsia="Times New Roman" w:cs="Times New Roman"/>
                <w:spacing w:val="11"/>
                <w:sz w:val="20"/>
                <w:szCs w:val="20"/>
                <w:highlight w:val="none"/>
              </w:rPr>
              <w:t>18218-2018</w:t>
            </w:r>
            <w:r>
              <w:rPr>
                <w:rFonts w:hint="default" w:ascii="Times New Roman" w:hAnsi="Times New Roman" w:eastAsia="宋体" w:cs="Times New Roman"/>
                <w:spacing w:val="11"/>
                <w:sz w:val="20"/>
                <w:szCs w:val="20"/>
                <w:highlight w:val="none"/>
              </w:rPr>
              <w:t>）</w:t>
            </w:r>
          </w:p>
        </w:tc>
        <w:tc>
          <w:tcPr>
            <w:tcW w:w="1213" w:type="dxa"/>
            <w:vAlign w:val="top"/>
          </w:tcPr>
          <w:p>
            <w:pPr>
              <w:pStyle w:val="35"/>
              <w:spacing w:line="339" w:lineRule="auto"/>
              <w:jc w:val="center"/>
              <w:rPr>
                <w:rFonts w:hint="default" w:ascii="Times New Roman" w:hAnsi="Times New Roman" w:cs="Times New Roman"/>
                <w:highlight w:val="none"/>
              </w:rPr>
            </w:pPr>
          </w:p>
          <w:p>
            <w:pPr>
              <w:spacing w:before="5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0.</w:t>
            </w:r>
            <w:r>
              <w:rPr>
                <w:rFonts w:hint="default" w:ascii="Times New Roman" w:hAnsi="Times New Roman" w:eastAsia="Times New Roman" w:cs="Times New Roman"/>
                <w:spacing w:val="-25"/>
                <w:sz w:val="20"/>
                <w:szCs w:val="20"/>
                <w:highlight w:val="none"/>
              </w:rPr>
              <w:t xml:space="preserve"> </w:t>
            </w:r>
            <w:r>
              <w:rPr>
                <w:rFonts w:hint="default" w:ascii="Times New Roman" w:hAnsi="Times New Roman" w:eastAsia="Times New Roman" w:cs="Times New Roman"/>
                <w:spacing w:val="-4"/>
                <w:sz w:val="20"/>
                <w:szCs w:val="20"/>
                <w:highlight w:val="none"/>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8" w:hRule="atLeast"/>
        </w:trPr>
        <w:tc>
          <w:tcPr>
            <w:tcW w:w="1286" w:type="dxa"/>
            <w:vAlign w:val="top"/>
          </w:tcPr>
          <w:p>
            <w:pPr>
              <w:pStyle w:val="35"/>
              <w:spacing w:line="296" w:lineRule="auto"/>
              <w:rPr>
                <w:rFonts w:hint="default" w:ascii="Times New Roman" w:hAnsi="Times New Roman" w:cs="Times New Roman"/>
                <w:highlight w:val="none"/>
              </w:rPr>
            </w:pPr>
          </w:p>
          <w:p>
            <w:pPr>
              <w:spacing w:before="65" w:line="228" w:lineRule="auto"/>
              <w:ind w:left="233" w:leftChars="0"/>
              <w:rPr>
                <w:rFonts w:hint="eastAsia" w:ascii="Times New Roman" w:hAnsi="Times New Roman" w:eastAsia="宋体" w:cs="Times New Roman"/>
                <w:snapToGrid w:val="0"/>
                <w:color w:val="000000"/>
                <w:kern w:val="0"/>
                <w:sz w:val="20"/>
                <w:szCs w:val="20"/>
                <w:highlight w:val="none"/>
                <w:lang w:val="en-US" w:eastAsia="zh-CN" w:bidi="ar-SA"/>
              </w:rPr>
            </w:pPr>
            <w:r>
              <w:rPr>
                <w:rFonts w:hint="eastAsia" w:ascii="Times New Roman" w:hAnsi="Times New Roman" w:eastAsia="宋体" w:cs="Times New Roman"/>
                <w:spacing w:val="5"/>
                <w:sz w:val="20"/>
                <w:szCs w:val="20"/>
                <w:highlight w:val="none"/>
                <w:lang w:val="en-US" w:eastAsia="zh-CN"/>
              </w:rPr>
              <w:t>柴油</w:t>
            </w:r>
          </w:p>
        </w:tc>
        <w:tc>
          <w:tcPr>
            <w:tcW w:w="1699" w:type="dxa"/>
            <w:vAlign w:val="top"/>
          </w:tcPr>
          <w:p>
            <w:pPr>
              <w:pStyle w:val="35"/>
              <w:spacing w:line="339" w:lineRule="auto"/>
              <w:rPr>
                <w:rFonts w:hint="default" w:ascii="Times New Roman" w:hAnsi="Times New Roman" w:cs="Times New Roman"/>
                <w:highlight w:val="none"/>
              </w:rPr>
            </w:pPr>
          </w:p>
          <w:p>
            <w:pPr>
              <w:spacing w:before="58" w:line="195" w:lineRule="auto"/>
              <w:jc w:val="center"/>
              <w:rPr>
                <w:rFonts w:hint="default" w:ascii="Times New Roman" w:hAnsi="Times New Roman" w:eastAsia="宋体" w:cs="Times New Roman"/>
                <w:snapToGrid w:val="0"/>
                <w:color w:val="000000"/>
                <w:kern w:val="0"/>
                <w:sz w:val="20"/>
                <w:szCs w:val="20"/>
                <w:highlight w:val="none"/>
                <w:lang w:val="en-US" w:eastAsia="zh-CN" w:bidi="ar-SA"/>
              </w:rPr>
            </w:pPr>
            <w:r>
              <w:rPr>
                <w:rFonts w:hint="eastAsia" w:ascii="Times New Roman" w:hAnsi="Times New Roman" w:eastAsia="宋体" w:cs="Times New Roman"/>
                <w:snapToGrid w:val="0"/>
                <w:color w:val="000000"/>
                <w:kern w:val="0"/>
                <w:sz w:val="20"/>
                <w:szCs w:val="20"/>
                <w:highlight w:val="none"/>
                <w:lang w:val="en-US" w:eastAsia="zh-CN" w:bidi="ar-SA"/>
              </w:rPr>
              <w:t>1</w:t>
            </w:r>
          </w:p>
        </w:tc>
        <w:tc>
          <w:tcPr>
            <w:tcW w:w="1436" w:type="dxa"/>
            <w:vAlign w:val="top"/>
          </w:tcPr>
          <w:p>
            <w:pPr>
              <w:pStyle w:val="35"/>
              <w:spacing w:line="339" w:lineRule="auto"/>
              <w:rPr>
                <w:rFonts w:hint="default" w:ascii="Times New Roman" w:hAnsi="Times New Roman" w:cs="Times New Roman"/>
                <w:highlight w:val="none"/>
              </w:rPr>
            </w:pPr>
          </w:p>
          <w:p>
            <w:pPr>
              <w:spacing w:before="58" w:line="195" w:lineRule="auto"/>
              <w:jc w:val="center"/>
              <w:rPr>
                <w:rFonts w:hint="default" w:ascii="Times New Roman" w:hAnsi="Times New Roman" w:eastAsia="宋体" w:cs="Times New Roman"/>
                <w:snapToGrid w:val="0"/>
                <w:color w:val="000000"/>
                <w:kern w:val="0"/>
                <w:sz w:val="20"/>
                <w:szCs w:val="20"/>
                <w:highlight w:val="none"/>
                <w:lang w:val="en-US" w:eastAsia="zh-CN" w:bidi="ar-SA"/>
              </w:rPr>
            </w:pPr>
            <w:r>
              <w:rPr>
                <w:rFonts w:hint="eastAsia" w:ascii="Times New Roman" w:hAnsi="Times New Roman" w:eastAsia="宋体" w:cs="Times New Roman"/>
                <w:spacing w:val="2"/>
                <w:sz w:val="20"/>
                <w:szCs w:val="20"/>
                <w:highlight w:val="none"/>
                <w:lang w:val="en-US" w:eastAsia="zh-CN"/>
              </w:rPr>
              <w:t>2500</w:t>
            </w:r>
          </w:p>
        </w:tc>
        <w:tc>
          <w:tcPr>
            <w:tcW w:w="3658" w:type="dxa"/>
            <w:vMerge w:val="continue"/>
            <w:vAlign w:val="top"/>
          </w:tcPr>
          <w:p>
            <w:pPr>
              <w:spacing w:before="50" w:line="268" w:lineRule="auto"/>
              <w:ind w:left="124" w:right="99" w:firstLine="59"/>
              <w:jc w:val="both"/>
              <w:rPr>
                <w:rFonts w:hint="default" w:ascii="Times New Roman" w:hAnsi="Times New Roman" w:eastAsia="宋体" w:cs="Times New Roman"/>
                <w:spacing w:val="5"/>
                <w:sz w:val="20"/>
                <w:szCs w:val="20"/>
                <w:highlight w:val="none"/>
              </w:rPr>
            </w:pPr>
          </w:p>
        </w:tc>
        <w:tc>
          <w:tcPr>
            <w:tcW w:w="1213" w:type="dxa"/>
            <w:vAlign w:val="top"/>
          </w:tcPr>
          <w:p>
            <w:pPr>
              <w:pStyle w:val="35"/>
              <w:spacing w:line="339" w:lineRule="auto"/>
              <w:jc w:val="center"/>
              <w:rPr>
                <w:rFonts w:hint="default" w:ascii="Times New Roman" w:hAnsi="Times New Roman" w:cs="Times New Roman"/>
                <w:highlight w:val="none"/>
              </w:rPr>
            </w:pPr>
          </w:p>
          <w:p>
            <w:pPr>
              <w:spacing w:before="58" w:line="195" w:lineRule="auto"/>
              <w:jc w:val="center"/>
              <w:rPr>
                <w:rFonts w:hint="default" w:ascii="Times New Roman" w:hAnsi="Times New Roman" w:eastAsia="宋体" w:cs="Times New Roman"/>
                <w:snapToGrid w:val="0"/>
                <w:color w:val="000000"/>
                <w:kern w:val="0"/>
                <w:sz w:val="20"/>
                <w:szCs w:val="20"/>
                <w:highlight w:val="none"/>
                <w:lang w:val="en-US" w:eastAsia="zh-CN" w:bidi="ar-SA"/>
              </w:rPr>
            </w:pPr>
            <w:r>
              <w:rPr>
                <w:rFonts w:hint="eastAsia" w:ascii="Times New Roman" w:hAnsi="Times New Roman" w:eastAsia="宋体" w:cs="Times New Roman"/>
                <w:spacing w:val="-4"/>
                <w:sz w:val="20"/>
                <w:szCs w:val="20"/>
                <w:highlight w:val="none"/>
                <w:lang w:val="en-US" w:eastAsia="zh-CN"/>
              </w:rPr>
              <w:t>0.0004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trPr>
        <w:tc>
          <w:tcPr>
            <w:tcW w:w="8079" w:type="dxa"/>
            <w:gridSpan w:val="4"/>
            <w:vAlign w:val="top"/>
          </w:tcPr>
          <w:p>
            <w:pPr>
              <w:spacing w:before="149" w:line="229" w:lineRule="auto"/>
              <w:ind w:left="3840"/>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合计</w:t>
            </w:r>
          </w:p>
        </w:tc>
        <w:tc>
          <w:tcPr>
            <w:tcW w:w="1213" w:type="dxa"/>
            <w:vAlign w:val="top"/>
          </w:tcPr>
          <w:p>
            <w:pPr>
              <w:spacing w:before="185" w:line="195"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z w:val="20"/>
                <w:szCs w:val="20"/>
                <w:highlight w:val="none"/>
                <w:lang w:val="en-US" w:eastAsia="zh-CN"/>
              </w:rPr>
              <w:t>0.1004</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jc w:val="both"/>
        <w:textAlignment w:val="baseline"/>
        <w:rPr>
          <w:rFonts w:hint="default" w:ascii="Times New Roman" w:hAnsi="Times New Roman" w:eastAsia="宋体" w:cs="Times New Roman"/>
          <w:spacing w:val="-4"/>
          <w:position w:val="17"/>
          <w:sz w:val="24"/>
          <w:szCs w:val="24"/>
        </w:rPr>
      </w:pPr>
      <w:r>
        <w:rPr>
          <w:rFonts w:hint="default" w:ascii="Times New Roman" w:hAnsi="Times New Roman" w:eastAsia="宋体" w:cs="Times New Roman"/>
          <w:spacing w:val="-4"/>
          <w:position w:val="17"/>
          <w:sz w:val="24"/>
          <w:szCs w:val="24"/>
        </w:rPr>
        <w:t>经计算</w:t>
      </w:r>
      <w:r>
        <w:rPr>
          <w:rFonts w:hint="default" w:ascii="Times New Roman" w:hAnsi="Times New Roman" w:eastAsia="宋体" w:cs="Times New Roman"/>
          <w:spacing w:val="-51"/>
          <w:position w:val="17"/>
          <w:sz w:val="24"/>
          <w:szCs w:val="24"/>
        </w:rPr>
        <w:t xml:space="preserve"> </w:t>
      </w:r>
      <w:r>
        <w:rPr>
          <w:rFonts w:hint="default" w:ascii="Times New Roman" w:hAnsi="Times New Roman" w:eastAsia="Times New Roman" w:cs="Times New Roman"/>
          <w:spacing w:val="-4"/>
          <w:position w:val="17"/>
          <w:sz w:val="24"/>
          <w:szCs w:val="24"/>
        </w:rPr>
        <w:t>Q=0.</w:t>
      </w:r>
      <w:r>
        <w:rPr>
          <w:rFonts w:hint="default" w:ascii="Times New Roman" w:hAnsi="Times New Roman" w:eastAsia="Times New Roman" w:cs="Times New Roman"/>
          <w:spacing w:val="-29"/>
          <w:position w:val="17"/>
          <w:sz w:val="24"/>
          <w:szCs w:val="24"/>
        </w:rPr>
        <w:t xml:space="preserve"> </w:t>
      </w:r>
      <w:r>
        <w:rPr>
          <w:rFonts w:hint="default" w:ascii="Times New Roman" w:hAnsi="Times New Roman" w:eastAsia="Times New Roman" w:cs="Times New Roman"/>
          <w:spacing w:val="-4"/>
          <w:position w:val="17"/>
          <w:sz w:val="24"/>
          <w:szCs w:val="24"/>
        </w:rPr>
        <w:t>1</w:t>
      </w:r>
      <w:r>
        <w:rPr>
          <w:rFonts w:hint="default" w:ascii="Times New Roman" w:hAnsi="Times New Roman" w:eastAsia="Times New Roman" w:cs="Times New Roman"/>
          <w:spacing w:val="-31"/>
          <w:position w:val="17"/>
          <w:sz w:val="24"/>
          <w:szCs w:val="24"/>
        </w:rPr>
        <w:t xml:space="preserve"> </w:t>
      </w:r>
      <w:r>
        <w:rPr>
          <w:rFonts w:hint="eastAsia" w:ascii="Times New Roman" w:hAnsi="Times New Roman" w:eastAsia="宋体" w:cs="Times New Roman"/>
          <w:spacing w:val="-31"/>
          <w:position w:val="17"/>
          <w:sz w:val="24"/>
          <w:szCs w:val="24"/>
          <w:lang w:val="en-US" w:eastAsia="zh-CN"/>
        </w:rPr>
        <w:t>004</w:t>
      </w:r>
      <w:r>
        <w:rPr>
          <w:rFonts w:hint="default" w:ascii="Times New Roman" w:hAnsi="Times New Roman" w:eastAsia="宋体" w:cs="Times New Roman"/>
          <w:spacing w:val="-4"/>
          <w:position w:val="17"/>
          <w:sz w:val="24"/>
          <w:szCs w:val="24"/>
        </w:rPr>
        <w:t>，根据《建设项目环境风险评价技术导则》（HJ 169-2018），当 Q＜1 时，该项目风险潜势为Ⅰ。</w:t>
      </w:r>
    </w:p>
    <w:p>
      <w:pPr>
        <w:pStyle w:val="45"/>
        <w:keepNext w:val="0"/>
        <w:keepLines w:val="0"/>
        <w:pageBreakBefore w:val="0"/>
        <w:widowControl/>
        <w:kinsoku w:val="0"/>
        <w:wordWrap/>
        <w:overflowPunct/>
        <w:topLinePunct w:val="0"/>
        <w:autoSpaceDE w:val="0"/>
        <w:autoSpaceDN w:val="0"/>
        <w:bidi w:val="0"/>
        <w:adjustRightInd/>
        <w:snapToGrid/>
        <w:spacing w:line="360" w:lineRule="auto"/>
        <w:ind w:left="0" w:right="0" w:firstLine="480" w:firstLineChars="200"/>
        <w:jc w:val="both"/>
        <w:textAlignment w:val="baseline"/>
        <w:outlineLvl w:val="1"/>
        <w:rPr>
          <w:rFonts w:hint="default" w:ascii="Times New Roman" w:hAnsi="Times New Roman" w:eastAsia="宋体" w:cs="Times New Roman"/>
          <w:snapToGrid w:val="0"/>
          <w:color w:val="auto"/>
          <w:kern w:val="0"/>
          <w:highlight w:val="none"/>
        </w:rPr>
      </w:pPr>
      <w:bookmarkStart w:id="356" w:name="_Toc21535"/>
      <w:bookmarkStart w:id="357" w:name="_Toc10547"/>
      <w:r>
        <w:rPr>
          <w:rFonts w:hint="default" w:ascii="Times New Roman" w:hAnsi="Times New Roman" w:eastAsia="宋体" w:cs="Times New Roman"/>
          <w:snapToGrid w:val="0"/>
          <w:color w:val="auto"/>
          <w:kern w:val="0"/>
          <w:highlight w:val="none"/>
        </w:rPr>
        <w:t>（3）环境风险评价等级及评价范围</w:t>
      </w:r>
      <w:bookmarkEnd w:id="356"/>
      <w:bookmarkEnd w:id="357"/>
    </w:p>
    <w:p>
      <w:pPr>
        <w:keepNext w:val="0"/>
        <w:keepLines w:val="0"/>
        <w:pageBreakBefore w:val="0"/>
        <w:widowControl/>
        <w:kinsoku w:val="0"/>
        <w:wordWrap/>
        <w:overflowPunct/>
        <w:topLinePunct w:val="0"/>
        <w:autoSpaceDE w:val="0"/>
        <w:autoSpaceDN w:val="0"/>
        <w:bidi w:val="0"/>
        <w:spacing w:line="360" w:lineRule="auto"/>
        <w:ind w:left="0" w:right="0" w:firstLine="460"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Times New Roman" w:cs="Times New Roman"/>
          <w:spacing w:val="-5"/>
          <w:sz w:val="24"/>
          <w:szCs w:val="24"/>
        </w:rPr>
        <w:t>1</w:t>
      </w:r>
      <w:r>
        <w:rPr>
          <w:rFonts w:hint="default" w:ascii="Times New Roman" w:hAnsi="Times New Roman" w:eastAsia="宋体" w:cs="Times New Roman"/>
          <w:spacing w:val="-5"/>
          <w:sz w:val="24"/>
          <w:szCs w:val="24"/>
        </w:rPr>
        <w:t>）评价等级</w:t>
      </w:r>
    </w:p>
    <w:p>
      <w:pPr>
        <w:keepNext w:val="0"/>
        <w:keepLines w:val="0"/>
        <w:pageBreakBefore w:val="0"/>
        <w:widowControl/>
        <w:kinsoku w:val="0"/>
        <w:wordWrap/>
        <w:overflowPunct/>
        <w:topLinePunct w:val="0"/>
        <w:autoSpaceDE w:val="0"/>
        <w:autoSpaceDN w:val="0"/>
        <w:bidi w:val="0"/>
        <w:spacing w:line="360" w:lineRule="auto"/>
        <w:ind w:left="0" w:right="0" w:firstLine="468" w:firstLineChars="200"/>
        <w:jc w:val="both"/>
        <w:textAlignment w:val="baseline"/>
        <w:rPr>
          <w:rFonts w:hint="default" w:ascii="Times New Roman" w:hAnsi="Times New Roman" w:eastAsia="宋体" w:cs="Times New Roman"/>
          <w:spacing w:val="-3"/>
          <w:sz w:val="24"/>
          <w:szCs w:val="24"/>
        </w:rPr>
      </w:pPr>
      <w:r>
        <w:rPr>
          <w:rFonts w:hint="default" w:ascii="Times New Roman" w:hAnsi="Times New Roman" w:eastAsia="宋体" w:cs="Times New Roman"/>
          <w:spacing w:val="-3"/>
          <w:sz w:val="24"/>
          <w:szCs w:val="24"/>
        </w:rPr>
        <w:t>根据《建设项目环境风险评价技术导则》（HJ 169-2018）规定，风险评价的等级划 分是基于项目涉及的物质和工艺系统的危险性及其所在地的环境敏感性确定环境风险潜势，按下表确定评价工作等级。</w:t>
      </w:r>
    </w:p>
    <w:p>
      <w:pPr>
        <w:spacing w:before="181" w:line="222" w:lineRule="auto"/>
        <w:ind w:left="2883"/>
        <w:rPr>
          <w:rFonts w:hint="default" w:ascii="Times New Roman" w:hAnsi="Times New Roman" w:eastAsia="宋体" w:cs="Times New Roman"/>
          <w:sz w:val="20"/>
          <w:szCs w:val="20"/>
        </w:rPr>
      </w:pP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21"/>
          <w:sz w:val="20"/>
          <w:szCs w:val="20"/>
        </w:rPr>
        <w:t xml:space="preserve"> </w:t>
      </w:r>
      <w:r>
        <w:rPr>
          <w:rFonts w:hint="default" w:ascii="Times New Roman" w:hAnsi="Times New Roman" w:eastAsia="Times New Roman" w:cs="Times New Roman"/>
          <w:b/>
          <w:bCs/>
          <w:spacing w:val="6"/>
          <w:sz w:val="20"/>
          <w:szCs w:val="20"/>
        </w:rPr>
        <w:t>5.2-</w:t>
      </w:r>
      <w:r>
        <w:rPr>
          <w:rFonts w:hint="eastAsia" w:ascii="Times New Roman" w:hAnsi="Times New Roman" w:eastAsia="宋体" w:cs="Times New Roman"/>
          <w:b/>
          <w:bCs/>
          <w:spacing w:val="6"/>
          <w:sz w:val="20"/>
          <w:szCs w:val="20"/>
          <w:lang w:val="en-US" w:eastAsia="zh-CN"/>
        </w:rPr>
        <w:t>23</w:t>
      </w:r>
      <w:r>
        <w:rPr>
          <w:rFonts w:hint="default" w:ascii="Times New Roman" w:hAnsi="Times New Roman" w:eastAsia="Times New Roman" w:cs="Times New Roman"/>
          <w:b/>
          <w:bCs/>
          <w:spacing w:val="6"/>
          <w:sz w:val="20"/>
          <w:szCs w:val="20"/>
        </w:rPr>
        <w:t xml:space="preserve">    </w:t>
      </w:r>
      <w:r>
        <w:rPr>
          <w:rFonts w:hint="default" w:ascii="Times New Roman" w:hAnsi="Times New Roman" w:eastAsia="宋体" w:cs="Times New Roman"/>
          <w:spacing w:val="6"/>
          <w:sz w:val="20"/>
          <w:szCs w:val="20"/>
          <w14:textOutline w14:w="3795" w14:cap="sq" w14:cmpd="sng">
            <w14:solidFill>
              <w14:srgbClr w14:val="000000"/>
            </w14:solidFill>
            <w14:prstDash w14:val="solid"/>
            <w14:bevel/>
          </w14:textOutline>
        </w:rPr>
        <w:t>环境风险评价工作等级划分</w:t>
      </w:r>
    </w:p>
    <w:tbl>
      <w:tblPr>
        <w:tblStyle w:val="34"/>
        <w:tblW w:w="929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368"/>
        <w:gridCol w:w="1445"/>
        <w:gridCol w:w="1839"/>
        <w:gridCol w:w="1909"/>
        <w:gridCol w:w="173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2368" w:type="dxa"/>
            <w:vAlign w:val="top"/>
          </w:tcPr>
          <w:p>
            <w:pPr>
              <w:spacing w:before="68" w:line="228" w:lineRule="auto"/>
              <w:ind w:left="558"/>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rPr>
              <w:t>环境风险潜势</w:t>
            </w:r>
          </w:p>
        </w:tc>
        <w:tc>
          <w:tcPr>
            <w:tcW w:w="1445" w:type="dxa"/>
            <w:vAlign w:val="top"/>
          </w:tcPr>
          <w:p>
            <w:pPr>
              <w:spacing w:before="81" w:line="206" w:lineRule="auto"/>
              <w:ind w:left="355"/>
              <w:rPr>
                <w:rFonts w:hint="default" w:ascii="Times New Roman" w:hAnsi="Times New Roman" w:eastAsia="Times New Roman" w:cs="Times New Roman"/>
                <w:sz w:val="15"/>
                <w:szCs w:val="15"/>
              </w:rPr>
            </w:pPr>
            <w:r>
              <w:rPr>
                <w:rFonts w:hint="default" w:ascii="Times New Roman" w:hAnsi="Times New Roman" w:eastAsia="Times New Roman" w:cs="Times New Roman"/>
                <w:position w:val="-1"/>
                <w:sz w:val="20"/>
                <w:szCs w:val="20"/>
              </w:rPr>
              <w:t>Ⅳ</w:t>
            </w:r>
            <w:r>
              <w:rPr>
                <w:rFonts w:hint="default" w:ascii="Times New Roman" w:hAnsi="Times New Roman" w:eastAsia="Times New Roman" w:cs="Times New Roman"/>
                <w:spacing w:val="-24"/>
                <w:position w:val="-1"/>
                <w:sz w:val="20"/>
                <w:szCs w:val="20"/>
              </w:rPr>
              <w:t xml:space="preserve"> </w:t>
            </w:r>
            <w:r>
              <w:rPr>
                <w:rFonts w:hint="default" w:ascii="Times New Roman" w:hAnsi="Times New Roman" w:eastAsia="宋体" w:cs="Times New Roman"/>
                <w:position w:val="-1"/>
                <w:sz w:val="20"/>
                <w:szCs w:val="20"/>
              </w:rPr>
              <w:t>、</w:t>
            </w:r>
            <w:r>
              <w:rPr>
                <w:rFonts w:hint="default" w:ascii="Times New Roman" w:hAnsi="Times New Roman" w:eastAsia="Times New Roman" w:cs="Times New Roman"/>
                <w:position w:val="-1"/>
                <w:sz w:val="20"/>
                <w:szCs w:val="20"/>
              </w:rPr>
              <w:t>Ⅳ</w:t>
            </w:r>
            <w:r>
              <w:rPr>
                <w:rFonts w:hint="default" w:ascii="Times New Roman" w:hAnsi="Times New Roman" w:eastAsia="Times New Roman" w:cs="Times New Roman"/>
                <w:position w:val="6"/>
                <w:sz w:val="15"/>
                <w:szCs w:val="15"/>
              </w:rPr>
              <w:t>+</w:t>
            </w:r>
          </w:p>
        </w:tc>
        <w:tc>
          <w:tcPr>
            <w:tcW w:w="1839" w:type="dxa"/>
            <w:vAlign w:val="top"/>
          </w:tcPr>
          <w:p>
            <w:pPr>
              <w:spacing w:before="109" w:line="192" w:lineRule="auto"/>
              <w:ind w:left="823"/>
              <w:rPr>
                <w:rFonts w:hint="default" w:ascii="Times New Roman" w:hAnsi="Times New Roman" w:eastAsia="Times New Roman" w:cs="Times New Roman"/>
                <w:sz w:val="20"/>
                <w:szCs w:val="20"/>
              </w:rPr>
            </w:pPr>
            <w:r>
              <w:rPr>
                <w:rFonts w:hint="default" w:ascii="Times New Roman" w:hAnsi="Times New Roman" w:eastAsia="Times New Roman" w:cs="Times New Roman"/>
                <w:spacing w:val="3"/>
                <w:sz w:val="20"/>
                <w:szCs w:val="20"/>
              </w:rPr>
              <w:t>Ⅲ</w:t>
            </w:r>
          </w:p>
        </w:tc>
        <w:tc>
          <w:tcPr>
            <w:tcW w:w="1909" w:type="dxa"/>
            <w:vAlign w:val="top"/>
          </w:tcPr>
          <w:p>
            <w:pPr>
              <w:spacing w:before="109" w:line="192" w:lineRule="auto"/>
              <w:ind w:left="892"/>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Ⅱ</w:t>
            </w:r>
          </w:p>
        </w:tc>
        <w:tc>
          <w:tcPr>
            <w:tcW w:w="1734" w:type="dxa"/>
            <w:vAlign w:val="top"/>
          </w:tcPr>
          <w:p>
            <w:pPr>
              <w:spacing w:before="109" w:line="192" w:lineRule="auto"/>
              <w:ind w:left="835"/>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2368" w:type="dxa"/>
            <w:vAlign w:val="top"/>
          </w:tcPr>
          <w:p>
            <w:pPr>
              <w:spacing w:before="66" w:line="226" w:lineRule="auto"/>
              <w:ind w:left="558"/>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rPr>
              <w:t>评价工作等级</w:t>
            </w:r>
          </w:p>
        </w:tc>
        <w:tc>
          <w:tcPr>
            <w:tcW w:w="1445" w:type="dxa"/>
            <w:vAlign w:val="top"/>
          </w:tcPr>
          <w:p>
            <w:pPr>
              <w:spacing w:before="144" w:line="156" w:lineRule="exact"/>
              <w:ind w:left="625"/>
              <w:rPr>
                <w:rFonts w:hint="default" w:ascii="Times New Roman" w:hAnsi="Times New Roman" w:eastAsia="宋体" w:cs="Times New Roman"/>
                <w:sz w:val="20"/>
                <w:szCs w:val="20"/>
              </w:rPr>
            </w:pPr>
            <w:r>
              <w:rPr>
                <w:rFonts w:hint="default" w:ascii="Times New Roman" w:hAnsi="Times New Roman" w:eastAsia="宋体" w:cs="Times New Roman"/>
                <w:position w:val="-4"/>
                <w:sz w:val="20"/>
                <w:szCs w:val="20"/>
              </w:rPr>
              <w:t>一</w:t>
            </w:r>
          </w:p>
        </w:tc>
        <w:tc>
          <w:tcPr>
            <w:tcW w:w="1839" w:type="dxa"/>
            <w:vAlign w:val="top"/>
          </w:tcPr>
          <w:p>
            <w:pPr>
              <w:spacing w:before="105" w:line="183" w:lineRule="auto"/>
              <w:ind w:left="824"/>
              <w:rPr>
                <w:rFonts w:hint="default" w:ascii="Times New Roman" w:hAnsi="Times New Roman" w:eastAsia="宋体" w:cs="Times New Roman"/>
                <w:sz w:val="20"/>
                <w:szCs w:val="20"/>
              </w:rPr>
            </w:pPr>
            <w:r>
              <w:rPr>
                <w:rFonts w:hint="default" w:ascii="Times New Roman" w:hAnsi="Times New Roman" w:eastAsia="宋体" w:cs="Times New Roman"/>
                <w:sz w:val="20"/>
                <w:szCs w:val="20"/>
              </w:rPr>
              <w:t>二</w:t>
            </w:r>
          </w:p>
        </w:tc>
        <w:tc>
          <w:tcPr>
            <w:tcW w:w="1909" w:type="dxa"/>
            <w:vAlign w:val="top"/>
          </w:tcPr>
          <w:p>
            <w:pPr>
              <w:spacing w:before="65" w:line="266" w:lineRule="exact"/>
              <w:ind w:left="856"/>
              <w:rPr>
                <w:rFonts w:hint="default" w:ascii="Times New Roman" w:hAnsi="Times New Roman" w:eastAsia="宋体" w:cs="Times New Roman"/>
                <w:sz w:val="20"/>
                <w:szCs w:val="20"/>
              </w:rPr>
            </w:pPr>
            <w:r>
              <w:rPr>
                <w:rFonts w:hint="default" w:ascii="Times New Roman" w:hAnsi="Times New Roman" w:eastAsia="宋体" w:cs="Times New Roman"/>
                <w:position w:val="1"/>
                <w:sz w:val="20"/>
                <w:szCs w:val="20"/>
              </w:rPr>
              <w:t>三</w:t>
            </w:r>
          </w:p>
        </w:tc>
        <w:tc>
          <w:tcPr>
            <w:tcW w:w="1734" w:type="dxa"/>
            <w:vAlign w:val="top"/>
          </w:tcPr>
          <w:p>
            <w:pPr>
              <w:spacing w:before="65" w:line="227" w:lineRule="auto"/>
              <w:ind w:left="398"/>
              <w:rPr>
                <w:rFonts w:hint="default" w:ascii="Times New Roman" w:hAnsi="Times New Roman" w:eastAsia="Times New Roman" w:cs="Times New Roman"/>
                <w:sz w:val="13"/>
                <w:szCs w:val="13"/>
              </w:rPr>
            </w:pPr>
            <w:r>
              <w:rPr>
                <w:rFonts w:hint="default" w:ascii="Times New Roman" w:hAnsi="Times New Roman" w:eastAsia="宋体" w:cs="Times New Roman"/>
                <w:spacing w:val="5"/>
                <w:sz w:val="20"/>
                <w:szCs w:val="20"/>
              </w:rPr>
              <w:t>简单分析</w:t>
            </w:r>
            <w:r>
              <w:rPr>
                <w:rFonts w:hint="default" w:ascii="Times New Roman" w:hAnsi="Times New Roman" w:eastAsia="宋体" w:cs="Times New Roman"/>
                <w:spacing w:val="-41"/>
                <w:sz w:val="20"/>
                <w:szCs w:val="20"/>
              </w:rPr>
              <w:t xml:space="preserve"> </w:t>
            </w:r>
            <w:r>
              <w:rPr>
                <w:rFonts w:hint="default" w:ascii="Times New Roman" w:hAnsi="Times New Roman" w:eastAsia="Times New Roman" w:cs="Times New Roman"/>
                <w:spacing w:val="5"/>
                <w:position w:val="6"/>
                <w:sz w:val="13"/>
                <w:szCs w:val="13"/>
              </w:rPr>
              <w:t>a</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9295" w:type="dxa"/>
            <w:gridSpan w:val="5"/>
            <w:vAlign w:val="top"/>
          </w:tcPr>
          <w:p>
            <w:pPr>
              <w:spacing w:before="32" w:line="235" w:lineRule="auto"/>
              <w:ind w:left="3500" w:right="108" w:hanging="3386"/>
              <w:rPr>
                <w:rFonts w:hint="default" w:ascii="Times New Roman" w:hAnsi="Times New Roman" w:eastAsia="宋体" w:cs="Times New Roman"/>
                <w:sz w:val="20"/>
                <w:szCs w:val="20"/>
              </w:rPr>
            </w:pPr>
            <w:r>
              <w:rPr>
                <w:rFonts w:hint="default" w:ascii="Times New Roman" w:hAnsi="Times New Roman" w:eastAsia="Times New Roman" w:cs="Times New Roman"/>
                <w:spacing w:val="7"/>
                <w:sz w:val="20"/>
                <w:szCs w:val="20"/>
              </w:rPr>
              <w:t>a</w:t>
            </w:r>
            <w:r>
              <w:rPr>
                <w:rFonts w:hint="default" w:ascii="Times New Roman" w:hAnsi="Times New Roman" w:eastAsia="Times New Roman" w:cs="Times New Roman"/>
                <w:spacing w:val="19"/>
                <w:sz w:val="20"/>
                <w:szCs w:val="20"/>
              </w:rPr>
              <w:t xml:space="preserve"> </w:t>
            </w:r>
            <w:r>
              <w:rPr>
                <w:rFonts w:hint="default" w:ascii="Times New Roman" w:hAnsi="Times New Roman" w:eastAsia="宋体" w:cs="Times New Roman"/>
                <w:spacing w:val="7"/>
                <w:sz w:val="20"/>
                <w:szCs w:val="20"/>
              </w:rPr>
              <w:t>是相对于详细评价工作内容而言，在描述风险物质、环境影响途径、环境危害后果、风险防范措施</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7"/>
                <w:sz w:val="20"/>
                <w:szCs w:val="20"/>
              </w:rPr>
              <w:t>等方面给出定性的说明。</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4"/>
          <w:sz w:val="24"/>
          <w:szCs w:val="24"/>
        </w:rPr>
        <w:t>本项目厂区内风险物质数量与临界量比值</w:t>
      </w:r>
      <w:r>
        <w:rPr>
          <w:rFonts w:hint="default" w:ascii="Times New Roman" w:hAnsi="Times New Roman" w:eastAsia="宋体" w:cs="Times New Roman"/>
          <w:spacing w:val="-47"/>
          <w:sz w:val="24"/>
          <w:szCs w:val="24"/>
        </w:rPr>
        <w:t xml:space="preserve"> </w:t>
      </w:r>
      <w:r>
        <w:rPr>
          <w:rFonts w:hint="default" w:ascii="Times New Roman" w:hAnsi="Times New Roman" w:eastAsia="Times New Roman" w:cs="Times New Roman"/>
          <w:spacing w:val="-4"/>
          <w:sz w:val="24"/>
          <w:szCs w:val="24"/>
        </w:rPr>
        <w:t>Q</w:t>
      </w:r>
      <w:r>
        <w:rPr>
          <w:rFonts w:hint="default" w:ascii="Times New Roman" w:hAnsi="Times New Roman" w:eastAsia="宋体" w:cs="Times New Roman"/>
          <w:spacing w:val="-4"/>
          <w:sz w:val="24"/>
          <w:szCs w:val="24"/>
        </w:rPr>
        <w:t>＜</w:t>
      </w:r>
      <w:r>
        <w:rPr>
          <w:rFonts w:hint="default" w:ascii="Times New Roman" w:hAnsi="Times New Roman" w:eastAsia="Times New Roman" w:cs="Times New Roman"/>
          <w:spacing w:val="-4"/>
          <w:sz w:val="24"/>
          <w:szCs w:val="24"/>
        </w:rPr>
        <w:t>1</w:t>
      </w:r>
      <w:r>
        <w:rPr>
          <w:rFonts w:hint="default" w:ascii="Times New Roman" w:hAnsi="Times New Roman" w:eastAsia="Times New Roman" w:cs="Times New Roman"/>
          <w:spacing w:val="-31"/>
          <w:sz w:val="24"/>
          <w:szCs w:val="24"/>
        </w:rPr>
        <w:t xml:space="preserve"> </w:t>
      </w:r>
      <w:r>
        <w:rPr>
          <w:rFonts w:hint="default" w:ascii="Times New Roman" w:hAnsi="Times New Roman" w:eastAsia="宋体" w:cs="Times New Roman"/>
          <w:spacing w:val="-4"/>
          <w:sz w:val="24"/>
          <w:szCs w:val="24"/>
        </w:rPr>
        <w:t>，风险潜势为</w:t>
      </w:r>
      <w:r>
        <w:rPr>
          <w:rFonts w:hint="default" w:ascii="Times New Roman" w:hAnsi="Times New Roman" w:eastAsia="Times New Roman" w:cs="Times New Roman"/>
          <w:spacing w:val="-4"/>
          <w:sz w:val="24"/>
          <w:szCs w:val="24"/>
        </w:rPr>
        <w:t>Ⅰ</w:t>
      </w:r>
      <w:r>
        <w:rPr>
          <w:rFonts w:hint="default" w:ascii="Times New Roman" w:hAnsi="Times New Roman" w:eastAsia="Times New Roman" w:cs="Times New Roman"/>
          <w:spacing w:val="-29"/>
          <w:sz w:val="24"/>
          <w:szCs w:val="24"/>
        </w:rPr>
        <w:t xml:space="preserve"> </w:t>
      </w:r>
      <w:r>
        <w:rPr>
          <w:rFonts w:hint="default" w:ascii="Times New Roman" w:hAnsi="Times New Roman" w:eastAsia="宋体" w:cs="Times New Roman"/>
          <w:spacing w:val="-4"/>
          <w:sz w:val="24"/>
          <w:szCs w:val="24"/>
        </w:rPr>
        <w:t>,</w:t>
      </w:r>
      <w:r>
        <w:rPr>
          <w:rFonts w:hint="default" w:ascii="Times New Roman" w:hAnsi="Times New Roman" w:eastAsia="宋体" w:cs="Times New Roman"/>
          <w:spacing w:val="64"/>
          <w:sz w:val="24"/>
          <w:szCs w:val="24"/>
        </w:rPr>
        <w:t xml:space="preserve"> </w:t>
      </w:r>
      <w:r>
        <w:rPr>
          <w:rFonts w:hint="default" w:ascii="Times New Roman" w:hAnsi="Times New Roman" w:eastAsia="宋体" w:cs="Times New Roman"/>
          <w:spacing w:val="-4"/>
          <w:sz w:val="24"/>
          <w:szCs w:val="24"/>
        </w:rPr>
        <w:t>可开展简单分析。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Times New Roman" w:cs="Times New Roman"/>
          <w:spacing w:val="-1"/>
          <w:sz w:val="24"/>
          <w:szCs w:val="24"/>
        </w:rPr>
        <w:t>2</w:t>
      </w:r>
      <w:r>
        <w:rPr>
          <w:rFonts w:hint="default" w:ascii="Times New Roman" w:hAnsi="Times New Roman" w:eastAsia="宋体" w:cs="Times New Roman"/>
          <w:spacing w:val="-1"/>
          <w:sz w:val="24"/>
          <w:szCs w:val="24"/>
        </w:rPr>
        <w:t>）评价范围</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根据《建设项目环境风险评价技术导则》（</w:t>
      </w:r>
      <w:r>
        <w:rPr>
          <w:rFonts w:hint="default" w:ascii="Times New Roman" w:hAnsi="Times New Roman" w:eastAsia="Times New Roman" w:cs="Times New Roman"/>
          <w:spacing w:val="-3"/>
          <w:sz w:val="24"/>
          <w:szCs w:val="24"/>
        </w:rPr>
        <w:t>HJ</w:t>
      </w:r>
      <w:r>
        <w:rPr>
          <w:rFonts w:hint="default" w:ascii="Times New Roman" w:hAnsi="Times New Roman" w:eastAsia="Times New Roman" w:cs="Times New Roman"/>
          <w:spacing w:val="28"/>
          <w:w w:val="101"/>
          <w:sz w:val="24"/>
          <w:szCs w:val="24"/>
        </w:rPr>
        <w:t xml:space="preserve"> </w:t>
      </w:r>
      <w:r>
        <w:rPr>
          <w:rFonts w:hint="default" w:ascii="Times New Roman" w:hAnsi="Times New Roman" w:eastAsia="Times New Roman" w:cs="Times New Roman"/>
          <w:spacing w:val="-3"/>
          <w:sz w:val="24"/>
          <w:szCs w:val="24"/>
        </w:rPr>
        <w:t>169-2018</w:t>
      </w:r>
      <w:r>
        <w:rPr>
          <w:rFonts w:hint="default" w:ascii="Times New Roman" w:hAnsi="Times New Roman" w:eastAsia="宋体" w:cs="Times New Roman"/>
          <w:spacing w:val="-3"/>
          <w:sz w:val="24"/>
          <w:szCs w:val="24"/>
        </w:rPr>
        <w:t>）规定，本项</w:t>
      </w:r>
      <w:r>
        <w:rPr>
          <w:rFonts w:hint="default" w:ascii="Times New Roman" w:hAnsi="Times New Roman" w:eastAsia="宋体" w:cs="Times New Roman"/>
          <w:spacing w:val="-4"/>
          <w:sz w:val="24"/>
          <w:szCs w:val="24"/>
        </w:rPr>
        <w:t>目环境风险评</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1"/>
          <w:sz w:val="24"/>
          <w:szCs w:val="24"/>
        </w:rPr>
        <w:t>价，仅做简单分析即可，即在描述危险物质、环</w:t>
      </w:r>
      <w:r>
        <w:rPr>
          <w:rFonts w:hint="default" w:ascii="Times New Roman" w:hAnsi="Times New Roman" w:eastAsia="宋体" w:cs="Times New Roman"/>
          <w:spacing w:val="-2"/>
          <w:sz w:val="24"/>
          <w:szCs w:val="24"/>
        </w:rPr>
        <w:t>境影响途径、环境危害后果、风险防范</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措施等方面给出定性的说明。</w:t>
      </w:r>
    </w:p>
    <w:p>
      <w:pPr>
        <w:spacing w:before="183" w:line="219" w:lineRule="auto"/>
        <w:ind w:left="24"/>
        <w:outlineLvl w:val="3"/>
        <w:rPr>
          <w:rFonts w:hint="default" w:ascii="Times New Roman" w:hAnsi="Times New Roman" w:eastAsia="宋体" w:cs="Times New Roman"/>
          <w:sz w:val="24"/>
          <w:szCs w:val="24"/>
        </w:rPr>
      </w:pPr>
      <w:r>
        <w:rPr>
          <w:rFonts w:hint="default" w:ascii="Times New Roman" w:hAnsi="Times New Roman" w:eastAsia="宋体" w:cs="Times New Roman"/>
          <w:b/>
          <w:snapToGrid w:val="0"/>
          <w:color w:val="auto"/>
          <w:kern w:val="0"/>
          <w:sz w:val="24"/>
          <w:szCs w:val="24"/>
          <w:lang w:eastAsia="zh-CN"/>
        </w:rPr>
        <w:fldChar w:fldCharType="begin"/>
      </w:r>
      <w:r>
        <w:rPr>
          <w:rFonts w:hint="default" w:ascii="Times New Roman" w:hAnsi="Times New Roman" w:eastAsia="宋体" w:cs="Times New Roman"/>
          <w:b/>
          <w:snapToGrid w:val="0"/>
          <w:color w:val="auto"/>
          <w:kern w:val="0"/>
          <w:sz w:val="24"/>
          <w:szCs w:val="24"/>
          <w:lang w:eastAsia="zh-CN"/>
        </w:rPr>
        <w:instrText xml:space="preserve"> HYPERLINK "5.2.6.2" </w:instrText>
      </w:r>
      <w:r>
        <w:rPr>
          <w:rFonts w:hint="default" w:ascii="Times New Roman" w:hAnsi="Times New Roman" w:eastAsia="宋体" w:cs="Times New Roman"/>
          <w:b/>
          <w:snapToGrid w:val="0"/>
          <w:color w:val="auto"/>
          <w:kern w:val="0"/>
          <w:sz w:val="24"/>
          <w:szCs w:val="24"/>
          <w:lang w:eastAsia="zh-CN"/>
        </w:rPr>
        <w:fldChar w:fldCharType="separate"/>
      </w:r>
      <w:r>
        <w:rPr>
          <w:rFonts w:hint="default" w:ascii="Times New Roman" w:hAnsi="Times New Roman" w:eastAsia="宋体" w:cs="Times New Roman"/>
          <w:b/>
          <w:snapToGrid w:val="0"/>
          <w:color w:val="auto"/>
          <w:kern w:val="0"/>
          <w:sz w:val="24"/>
          <w:szCs w:val="24"/>
          <w:lang w:eastAsia="zh-CN"/>
        </w:rPr>
        <w:t>5.2.</w:t>
      </w:r>
      <w:r>
        <w:rPr>
          <w:rFonts w:hint="eastAsia" w:ascii="Times New Roman" w:hAnsi="Times New Roman" w:eastAsia="宋体" w:cs="Times New Roman"/>
          <w:b/>
          <w:snapToGrid w:val="0"/>
          <w:color w:val="auto"/>
          <w:kern w:val="0"/>
          <w:sz w:val="24"/>
          <w:szCs w:val="24"/>
          <w:lang w:val="en-US" w:eastAsia="zh-CN"/>
        </w:rPr>
        <w:t>5</w:t>
      </w:r>
      <w:r>
        <w:rPr>
          <w:rFonts w:hint="default" w:ascii="Times New Roman" w:hAnsi="Times New Roman" w:eastAsia="宋体" w:cs="Times New Roman"/>
          <w:b/>
          <w:snapToGrid w:val="0"/>
          <w:color w:val="auto"/>
          <w:kern w:val="0"/>
          <w:sz w:val="24"/>
          <w:szCs w:val="24"/>
          <w:lang w:eastAsia="zh-CN"/>
        </w:rPr>
        <w:t>.2</w:t>
      </w:r>
      <w:r>
        <w:rPr>
          <w:rFonts w:hint="default" w:ascii="Times New Roman" w:hAnsi="Times New Roman" w:eastAsia="宋体" w:cs="Times New Roman"/>
          <w:b/>
          <w:snapToGrid w:val="0"/>
          <w:color w:val="auto"/>
          <w:kern w:val="0"/>
          <w:sz w:val="24"/>
          <w:szCs w:val="24"/>
          <w:lang w:eastAsia="zh-CN"/>
        </w:rPr>
        <w:fldChar w:fldCharType="end"/>
      </w:r>
      <w:r>
        <w:rPr>
          <w:rFonts w:hint="default" w:ascii="Times New Roman" w:hAnsi="Times New Roman" w:eastAsia="宋体" w:cs="Times New Roman"/>
          <w:b/>
          <w:snapToGrid w:val="0"/>
          <w:color w:val="auto"/>
          <w:kern w:val="0"/>
          <w:sz w:val="24"/>
          <w:szCs w:val="24"/>
          <w:lang w:eastAsia="zh-CN"/>
        </w:rPr>
        <w:t xml:space="preserve"> 环境敏感目标概况</w:t>
      </w:r>
    </w:p>
    <w:p>
      <w:pPr>
        <w:spacing w:before="180" w:line="359" w:lineRule="auto"/>
        <w:ind w:left="25" w:right="17" w:firstLine="481"/>
        <w:jc w:val="both"/>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本项目环境风险评价等级为简单分析，主要关注项目周围环境敏感目标。项目风险</w:t>
      </w:r>
      <w:r>
        <w:rPr>
          <w:rFonts w:hint="default" w:ascii="Times New Roman" w:hAnsi="Times New Roman" w:eastAsia="宋体" w:cs="Times New Roman"/>
          <w:spacing w:val="17"/>
          <w:sz w:val="24"/>
          <w:szCs w:val="24"/>
        </w:rPr>
        <w:t xml:space="preserve"> </w:t>
      </w:r>
      <w:r>
        <w:rPr>
          <w:rFonts w:hint="default" w:ascii="Times New Roman" w:hAnsi="Times New Roman" w:eastAsia="宋体" w:cs="Times New Roman"/>
          <w:spacing w:val="-2"/>
          <w:sz w:val="24"/>
          <w:szCs w:val="24"/>
        </w:rPr>
        <w:t>评价为简单分析，不单独设置环境风险评价范围，本次参照大气环境评价范围</w:t>
      </w:r>
      <w:r>
        <w:rPr>
          <w:rFonts w:hint="default" w:ascii="Times New Roman" w:hAnsi="Times New Roman" w:eastAsia="宋体" w:cs="Times New Roman"/>
          <w:spacing w:val="-38"/>
          <w:sz w:val="24"/>
          <w:szCs w:val="24"/>
        </w:rPr>
        <w:t xml:space="preserve"> </w:t>
      </w:r>
      <w:r>
        <w:rPr>
          <w:rFonts w:hint="default" w:ascii="Times New Roman" w:hAnsi="Times New Roman" w:eastAsia="Times New Roman" w:cs="Times New Roman"/>
          <w:spacing w:val="-2"/>
          <w:sz w:val="24"/>
          <w:szCs w:val="24"/>
        </w:rPr>
        <w:t xml:space="preserve">2.5km </w:t>
      </w:r>
      <w:r>
        <w:rPr>
          <w:rFonts w:hint="default" w:ascii="Times New Roman" w:hAnsi="Times New Roman" w:eastAsia="宋体" w:cs="Times New Roman"/>
          <w:spacing w:val="-2"/>
          <w:sz w:val="24"/>
          <w:szCs w:val="24"/>
        </w:rPr>
        <w:t>确</w:t>
      </w:r>
    </w:p>
    <w:p>
      <w:pPr>
        <w:spacing w:before="1" w:line="219" w:lineRule="auto"/>
        <w:ind w:left="31"/>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定周边主要环境敏感目标见下表。</w:t>
      </w:r>
    </w:p>
    <w:p>
      <w:pPr>
        <w:spacing w:before="178" w:line="222" w:lineRule="auto"/>
        <w:ind w:left="2685"/>
        <w:rPr>
          <w:rFonts w:hint="eastAsia" w:ascii="Times New Roman" w:hAnsi="Times New Roman" w:eastAsia="宋体" w:cs="Times New Roman"/>
          <w:sz w:val="20"/>
          <w:szCs w:val="20"/>
          <w:highlight w:val="magenta"/>
          <w:lang w:eastAsia="zh-CN"/>
        </w:rPr>
      </w:pP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26"/>
          <w:sz w:val="20"/>
          <w:szCs w:val="20"/>
          <w:highlight w:val="none"/>
        </w:rPr>
        <w:t xml:space="preserve"> </w:t>
      </w:r>
      <w:r>
        <w:rPr>
          <w:rFonts w:hint="default" w:ascii="Times New Roman" w:hAnsi="Times New Roman" w:eastAsia="Times New Roman" w:cs="Times New Roman"/>
          <w:b/>
          <w:bCs/>
          <w:spacing w:val="6"/>
          <w:sz w:val="20"/>
          <w:szCs w:val="20"/>
          <w:highlight w:val="none"/>
        </w:rPr>
        <w:t>5</w:t>
      </w:r>
      <w:r>
        <w:rPr>
          <w:rFonts w:hint="eastAsia" w:ascii="Times New Roman" w:hAnsi="Times New Roman" w:eastAsia="宋体" w:cs="Times New Roman"/>
          <w:b/>
          <w:bCs/>
          <w:spacing w:val="6"/>
          <w:sz w:val="20"/>
          <w:szCs w:val="20"/>
          <w:highlight w:val="none"/>
          <w:lang w:val="en-US" w:eastAsia="zh-CN"/>
        </w:rPr>
        <w:t>-</w:t>
      </w:r>
      <w:r>
        <w:rPr>
          <w:rFonts w:hint="default" w:ascii="Times New Roman" w:hAnsi="Times New Roman" w:eastAsia="Times New Roman" w:cs="Times New Roman"/>
          <w:b/>
          <w:bCs/>
          <w:spacing w:val="6"/>
          <w:sz w:val="20"/>
          <w:szCs w:val="20"/>
          <w:highlight w:val="none"/>
        </w:rPr>
        <w:t>2-</w:t>
      </w:r>
      <w:r>
        <w:rPr>
          <w:rFonts w:hint="eastAsia" w:ascii="Times New Roman" w:hAnsi="Times New Roman" w:eastAsia="宋体" w:cs="Times New Roman"/>
          <w:b/>
          <w:bCs/>
          <w:spacing w:val="6"/>
          <w:sz w:val="20"/>
          <w:szCs w:val="20"/>
          <w:highlight w:val="none"/>
          <w:lang w:val="en-US" w:eastAsia="zh-CN"/>
        </w:rPr>
        <w:t>24</w:t>
      </w:r>
      <w:r>
        <w:rPr>
          <w:rFonts w:hint="default" w:ascii="Times New Roman" w:hAnsi="Times New Roman" w:eastAsia="Times New Roman" w:cs="Times New Roman"/>
          <w:b/>
          <w:bCs/>
          <w:spacing w:val="6"/>
          <w:sz w:val="20"/>
          <w:szCs w:val="20"/>
          <w:highlight w:val="none"/>
        </w:rPr>
        <w:t xml:space="preserve">    </w:t>
      </w: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建设项目环境敏感特征表</w:t>
      </w:r>
    </w:p>
    <w:tbl>
      <w:tblPr>
        <w:tblStyle w:val="34"/>
        <w:tblW w:w="499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43"/>
        <w:gridCol w:w="321"/>
        <w:gridCol w:w="988"/>
        <w:gridCol w:w="1204"/>
        <w:gridCol w:w="1101"/>
        <w:gridCol w:w="580"/>
        <w:gridCol w:w="802"/>
        <w:gridCol w:w="1503"/>
        <w:gridCol w:w="177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jc w:val="center"/>
        </w:trPr>
        <w:tc>
          <w:tcPr>
            <w:tcW w:w="463" w:type="pct"/>
            <w:vMerge w:val="restart"/>
            <w:tcBorders>
              <w:tl2br w:val="nil"/>
              <w:tr2bl w:val="nil"/>
            </w:tcBorders>
            <w:vAlign w:val="top"/>
          </w:tcPr>
          <w:p>
            <w:pPr>
              <w:spacing w:before="161" w:line="239" w:lineRule="auto"/>
              <w:ind w:right="166"/>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环境要</w:t>
            </w:r>
            <w:r>
              <w:rPr>
                <w:rFonts w:hint="default" w:ascii="Times New Roman" w:hAnsi="Times New Roman" w:eastAsia="宋体" w:cs="Times New Roman"/>
                <w:spacing w:val="1"/>
                <w:sz w:val="20"/>
                <w:szCs w:val="20"/>
                <w:highlight w:val="none"/>
              </w:rPr>
              <w:t xml:space="preserve"> </w:t>
            </w:r>
            <w:r>
              <w:rPr>
                <w:rFonts w:hint="default" w:ascii="Times New Roman" w:hAnsi="Times New Roman" w:eastAsia="宋体" w:cs="Times New Roman"/>
                <w:sz w:val="20"/>
                <w:szCs w:val="20"/>
                <w:highlight w:val="none"/>
              </w:rPr>
              <w:t>素</w:t>
            </w:r>
          </w:p>
        </w:tc>
        <w:tc>
          <w:tcPr>
            <w:tcW w:w="176" w:type="pct"/>
            <w:vMerge w:val="restart"/>
            <w:tcBorders>
              <w:tl2br w:val="nil"/>
              <w:tr2bl w:val="nil"/>
            </w:tcBorders>
            <w:textDirection w:val="tbRlV"/>
            <w:vAlign w:val="top"/>
          </w:tcPr>
          <w:p>
            <w:pPr>
              <w:spacing w:before="111" w:line="21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序</w:t>
            </w:r>
            <w:r>
              <w:rPr>
                <w:rFonts w:hint="default" w:ascii="Times New Roman" w:hAnsi="Times New Roman" w:eastAsia="宋体" w:cs="Times New Roman"/>
                <w:spacing w:val="-38"/>
                <w:sz w:val="20"/>
                <w:szCs w:val="20"/>
                <w:highlight w:val="none"/>
              </w:rPr>
              <w:t xml:space="preserve"> </w:t>
            </w:r>
            <w:r>
              <w:rPr>
                <w:rFonts w:hint="default" w:ascii="Times New Roman" w:hAnsi="Times New Roman" w:eastAsia="宋体" w:cs="Times New Roman"/>
                <w:spacing w:val="8"/>
                <w:sz w:val="20"/>
                <w:szCs w:val="20"/>
                <w:highlight w:val="none"/>
              </w:rPr>
              <w:t>号</w:t>
            </w:r>
          </w:p>
        </w:tc>
        <w:tc>
          <w:tcPr>
            <w:tcW w:w="542" w:type="pct"/>
            <w:vMerge w:val="restart"/>
            <w:tcBorders>
              <w:tl2br w:val="nil"/>
              <w:tr2bl w:val="nil"/>
            </w:tcBorders>
            <w:vAlign w:val="top"/>
          </w:tcPr>
          <w:p>
            <w:pPr>
              <w:spacing w:before="161" w:line="239" w:lineRule="auto"/>
              <w:ind w:right="136"/>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环境保护</w:t>
            </w:r>
            <w:r>
              <w:rPr>
                <w:rFonts w:hint="default" w:ascii="Times New Roman" w:hAnsi="Times New Roman" w:eastAsia="宋体" w:cs="Times New Roman"/>
                <w:sz w:val="20"/>
                <w:szCs w:val="20"/>
                <w:highlight w:val="none"/>
              </w:rPr>
              <w:t xml:space="preserve"> </w:t>
            </w:r>
            <w:r>
              <w:rPr>
                <w:rFonts w:hint="default" w:ascii="Times New Roman" w:hAnsi="Times New Roman" w:eastAsia="宋体" w:cs="Times New Roman"/>
                <w:spacing w:val="-3"/>
                <w:sz w:val="20"/>
                <w:szCs w:val="20"/>
                <w:highlight w:val="none"/>
              </w:rPr>
              <w:t>目标名称</w:t>
            </w:r>
          </w:p>
        </w:tc>
        <w:tc>
          <w:tcPr>
            <w:tcW w:w="1261" w:type="pct"/>
            <w:gridSpan w:val="2"/>
            <w:tcBorders>
              <w:tl2br w:val="nil"/>
              <w:tr2bl w:val="nil"/>
            </w:tcBorders>
            <w:vAlign w:val="top"/>
          </w:tcPr>
          <w:p>
            <w:pPr>
              <w:spacing w:before="170" w:line="228" w:lineRule="auto"/>
              <w:jc w:val="center"/>
              <w:rPr>
                <w:rFonts w:hint="default" w:ascii="Times New Roman" w:hAnsi="Times New Roman" w:eastAsia="宋体" w:cs="Times New Roman"/>
                <w:snapToGrid w:val="0"/>
                <w:color w:val="000000"/>
                <w:kern w:val="0"/>
                <w:sz w:val="20"/>
                <w:szCs w:val="20"/>
                <w:highlight w:val="none"/>
                <w:lang w:val="en-US" w:eastAsia="zh-CN" w:bidi="ar-SA"/>
              </w:rPr>
            </w:pPr>
            <w:r>
              <w:rPr>
                <w:rFonts w:hint="default" w:ascii="Times New Roman" w:hAnsi="Times New Roman" w:eastAsia="宋体" w:cs="Times New Roman"/>
                <w:spacing w:val="3"/>
                <w:sz w:val="20"/>
                <w:szCs w:val="20"/>
                <w:highlight w:val="none"/>
                <w:lang w:val="en-US" w:eastAsia="zh-CN"/>
              </w:rPr>
              <w:t>坐标</w:t>
            </w:r>
          </w:p>
        </w:tc>
        <w:tc>
          <w:tcPr>
            <w:tcW w:w="318" w:type="pct"/>
            <w:vMerge w:val="restart"/>
            <w:tcBorders>
              <w:tl2br w:val="nil"/>
              <w:tr2bl w:val="nil"/>
            </w:tcBorders>
            <w:vAlign w:val="top"/>
          </w:tcPr>
          <w:p>
            <w:pPr>
              <w:spacing w:before="297" w:line="229"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方位</w:t>
            </w:r>
          </w:p>
        </w:tc>
        <w:tc>
          <w:tcPr>
            <w:tcW w:w="440" w:type="pct"/>
            <w:vMerge w:val="restart"/>
            <w:tcBorders>
              <w:tl2br w:val="nil"/>
              <w:tr2bl w:val="nil"/>
            </w:tcBorders>
            <w:vAlign w:val="top"/>
          </w:tcPr>
          <w:p>
            <w:pPr>
              <w:spacing w:before="161" w:line="245" w:lineRule="auto"/>
              <w:ind w:right="180"/>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距离</w:t>
            </w:r>
            <w:r>
              <w:rPr>
                <w:rFonts w:hint="default" w:ascii="Times New Roman" w:hAnsi="Times New Roman" w:eastAsia="宋体" w:cs="Times New Roman"/>
                <w:spacing w:val="-4"/>
                <w:sz w:val="20"/>
                <w:szCs w:val="20"/>
                <w:highlight w:val="none"/>
              </w:rPr>
              <w:t>（</w:t>
            </w:r>
            <w:r>
              <w:rPr>
                <w:rFonts w:hint="default" w:ascii="Times New Roman" w:hAnsi="Times New Roman" w:eastAsia="Times New Roman" w:cs="Times New Roman"/>
                <w:spacing w:val="-4"/>
                <w:sz w:val="20"/>
                <w:szCs w:val="20"/>
                <w:highlight w:val="none"/>
              </w:rPr>
              <w:t>m</w:t>
            </w:r>
            <w:r>
              <w:rPr>
                <w:rFonts w:hint="default" w:ascii="Times New Roman" w:hAnsi="Times New Roman" w:eastAsia="宋体" w:cs="Times New Roman"/>
                <w:spacing w:val="-4"/>
                <w:sz w:val="20"/>
                <w:szCs w:val="20"/>
                <w:highlight w:val="none"/>
              </w:rPr>
              <w:t>）</w:t>
            </w:r>
          </w:p>
        </w:tc>
        <w:tc>
          <w:tcPr>
            <w:tcW w:w="824" w:type="pct"/>
            <w:vMerge w:val="restart"/>
            <w:tcBorders>
              <w:tl2br w:val="nil"/>
              <w:tr2bl w:val="nil"/>
            </w:tcBorders>
            <w:vAlign w:val="top"/>
          </w:tcPr>
          <w:p>
            <w:pPr>
              <w:spacing w:before="297"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规模</w:t>
            </w:r>
          </w:p>
        </w:tc>
        <w:tc>
          <w:tcPr>
            <w:tcW w:w="971" w:type="pct"/>
            <w:vMerge w:val="restart"/>
            <w:tcBorders>
              <w:tl2br w:val="nil"/>
              <w:tr2bl w:val="nil"/>
            </w:tcBorders>
            <w:vAlign w:val="top"/>
          </w:tcPr>
          <w:p>
            <w:pPr>
              <w:spacing w:before="161"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8"/>
                <w:sz w:val="20"/>
                <w:szCs w:val="20"/>
                <w:highlight w:val="none"/>
              </w:rPr>
              <w:t>环境功能及</w:t>
            </w:r>
            <w:r>
              <w:rPr>
                <w:rFonts w:hint="default" w:ascii="Times New Roman" w:hAnsi="Times New Roman" w:eastAsia="宋体" w:cs="Times New Roman"/>
                <w:spacing w:val="7"/>
                <w:sz w:val="20"/>
                <w:szCs w:val="20"/>
                <w:highlight w:val="none"/>
              </w:rPr>
              <w:t>保护级别</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vMerge w:val="continue"/>
            <w:tcBorders>
              <w:tl2br w:val="nil"/>
              <w:tr2bl w:val="nil"/>
            </w:tcBorders>
            <w:textDirection w:val="tbRlV"/>
            <w:vAlign w:val="top"/>
          </w:tcPr>
          <w:p>
            <w:pPr>
              <w:pStyle w:val="35"/>
              <w:jc w:val="center"/>
              <w:rPr>
                <w:rFonts w:hint="default" w:ascii="Times New Roman" w:hAnsi="Times New Roman" w:cs="Times New Roman"/>
                <w:highlight w:val="none"/>
              </w:rPr>
            </w:pPr>
          </w:p>
        </w:tc>
        <w:tc>
          <w:tcPr>
            <w:tcW w:w="542"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659" w:type="pct"/>
            <w:tcBorders>
              <w:tl2br w:val="nil"/>
              <w:tr2bl w:val="nil"/>
            </w:tcBorders>
            <w:vAlign w:val="top"/>
          </w:tcPr>
          <w:p>
            <w:pPr>
              <w:spacing w:before="56" w:line="187"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z w:val="20"/>
                <w:szCs w:val="20"/>
                <w:highlight w:val="none"/>
                <w:lang w:val="en-US" w:eastAsia="zh-CN"/>
              </w:rPr>
              <w:t>经度</w:t>
            </w:r>
          </w:p>
        </w:tc>
        <w:tc>
          <w:tcPr>
            <w:tcW w:w="602" w:type="pct"/>
            <w:tcBorders>
              <w:tl2br w:val="nil"/>
              <w:tr2bl w:val="nil"/>
            </w:tcBorders>
            <w:vAlign w:val="top"/>
          </w:tcPr>
          <w:p>
            <w:pPr>
              <w:spacing w:before="56" w:line="187"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z w:val="20"/>
                <w:szCs w:val="20"/>
                <w:highlight w:val="none"/>
                <w:lang w:val="en-US" w:eastAsia="zh-CN"/>
              </w:rPr>
              <w:t>纬度</w:t>
            </w:r>
          </w:p>
        </w:tc>
        <w:tc>
          <w:tcPr>
            <w:tcW w:w="318"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440"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824"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jc w:val="center"/>
        </w:trPr>
        <w:tc>
          <w:tcPr>
            <w:tcW w:w="463" w:type="pct"/>
            <w:vMerge w:val="restart"/>
            <w:tcBorders>
              <w:tl2br w:val="nil"/>
              <w:tr2bl w:val="nil"/>
            </w:tcBorders>
            <w:vAlign w:val="top"/>
          </w:tcPr>
          <w:p>
            <w:pPr>
              <w:pStyle w:val="35"/>
              <w:jc w:val="center"/>
              <w:rPr>
                <w:rFonts w:hint="default" w:ascii="Times New Roman" w:hAnsi="Times New Roman" w:cs="Times New Roman"/>
                <w:highlight w:val="none"/>
              </w:rPr>
            </w:pPr>
          </w:p>
          <w:p>
            <w:pPr>
              <w:pStyle w:val="35"/>
              <w:jc w:val="center"/>
              <w:rPr>
                <w:rFonts w:hint="default" w:ascii="Times New Roman" w:hAnsi="Times New Roman" w:cs="Times New Roman"/>
                <w:highlight w:val="none"/>
              </w:rPr>
            </w:pPr>
          </w:p>
          <w:p>
            <w:pPr>
              <w:pStyle w:val="35"/>
              <w:jc w:val="center"/>
              <w:rPr>
                <w:rFonts w:hint="default" w:ascii="Times New Roman" w:hAnsi="Times New Roman" w:cs="Times New Roman"/>
                <w:highlight w:val="none"/>
              </w:rPr>
            </w:pPr>
          </w:p>
          <w:p>
            <w:pPr>
              <w:pStyle w:val="35"/>
              <w:jc w:val="center"/>
              <w:rPr>
                <w:rFonts w:hint="default" w:ascii="Times New Roman" w:hAnsi="Times New Roman" w:cs="Times New Roman"/>
                <w:highlight w:val="none"/>
              </w:rPr>
            </w:pPr>
          </w:p>
          <w:p>
            <w:pPr>
              <w:pStyle w:val="35"/>
              <w:spacing w:line="241" w:lineRule="auto"/>
              <w:jc w:val="center"/>
              <w:rPr>
                <w:rFonts w:hint="default" w:ascii="Times New Roman" w:hAnsi="Times New Roman" w:cs="Times New Roman"/>
                <w:highlight w:val="none"/>
              </w:rPr>
            </w:pPr>
          </w:p>
          <w:p>
            <w:pPr>
              <w:pStyle w:val="35"/>
              <w:spacing w:line="241" w:lineRule="auto"/>
              <w:jc w:val="center"/>
              <w:rPr>
                <w:rFonts w:hint="default" w:ascii="Times New Roman" w:hAnsi="Times New Roman" w:cs="Times New Roman"/>
                <w:highlight w:val="none"/>
              </w:rPr>
            </w:pPr>
          </w:p>
          <w:p>
            <w:pPr>
              <w:pStyle w:val="35"/>
              <w:spacing w:line="241" w:lineRule="auto"/>
              <w:jc w:val="center"/>
              <w:rPr>
                <w:rFonts w:hint="default" w:ascii="Times New Roman" w:hAnsi="Times New Roman" w:cs="Times New Roman"/>
                <w:highlight w:val="none"/>
              </w:rPr>
            </w:pPr>
          </w:p>
          <w:p>
            <w:pPr>
              <w:pStyle w:val="35"/>
              <w:spacing w:line="241" w:lineRule="auto"/>
              <w:jc w:val="center"/>
              <w:rPr>
                <w:rFonts w:hint="default" w:ascii="Times New Roman" w:hAnsi="Times New Roman" w:cs="Times New Roman"/>
                <w:highlight w:val="none"/>
              </w:rPr>
            </w:pPr>
          </w:p>
          <w:p>
            <w:pPr>
              <w:pStyle w:val="35"/>
              <w:spacing w:line="241" w:lineRule="auto"/>
              <w:jc w:val="center"/>
              <w:rPr>
                <w:rFonts w:hint="default" w:ascii="Times New Roman" w:hAnsi="Times New Roman" w:cs="Times New Roman"/>
                <w:highlight w:val="none"/>
              </w:rPr>
            </w:pPr>
          </w:p>
          <w:p>
            <w:pPr>
              <w:pStyle w:val="35"/>
              <w:spacing w:line="241" w:lineRule="auto"/>
              <w:jc w:val="center"/>
              <w:rPr>
                <w:rFonts w:hint="default" w:ascii="Times New Roman" w:hAnsi="Times New Roman" w:cs="Times New Roman"/>
                <w:highlight w:val="none"/>
              </w:rPr>
            </w:pPr>
          </w:p>
          <w:p>
            <w:pPr>
              <w:pStyle w:val="35"/>
              <w:spacing w:line="241" w:lineRule="auto"/>
              <w:jc w:val="center"/>
              <w:rPr>
                <w:rFonts w:hint="default" w:ascii="Times New Roman" w:hAnsi="Times New Roman" w:cs="Times New Roman"/>
                <w:highlight w:val="none"/>
              </w:rPr>
            </w:pPr>
          </w:p>
          <w:p>
            <w:pPr>
              <w:pStyle w:val="35"/>
              <w:spacing w:line="241" w:lineRule="auto"/>
              <w:jc w:val="center"/>
              <w:rPr>
                <w:rFonts w:hint="default" w:ascii="Times New Roman" w:hAnsi="Times New Roman" w:cs="Times New Roman"/>
                <w:highlight w:val="none"/>
              </w:rPr>
            </w:pPr>
          </w:p>
          <w:p>
            <w:pPr>
              <w:pStyle w:val="35"/>
              <w:spacing w:line="241" w:lineRule="auto"/>
              <w:jc w:val="center"/>
              <w:rPr>
                <w:rFonts w:hint="default" w:ascii="Times New Roman" w:hAnsi="Times New Roman" w:cs="Times New Roman"/>
                <w:highlight w:val="none"/>
              </w:rPr>
            </w:pPr>
          </w:p>
          <w:p>
            <w:pPr>
              <w:pStyle w:val="35"/>
              <w:spacing w:line="241" w:lineRule="auto"/>
              <w:jc w:val="center"/>
              <w:rPr>
                <w:rFonts w:hint="default" w:ascii="Times New Roman" w:hAnsi="Times New Roman" w:cs="Times New Roman"/>
                <w:highlight w:val="none"/>
              </w:rPr>
            </w:pPr>
          </w:p>
          <w:p>
            <w:pPr>
              <w:pStyle w:val="35"/>
              <w:spacing w:line="241" w:lineRule="auto"/>
              <w:jc w:val="center"/>
              <w:rPr>
                <w:rFonts w:hint="default" w:ascii="Times New Roman" w:hAnsi="Times New Roman" w:cs="Times New Roman"/>
                <w:highlight w:val="none"/>
              </w:rPr>
            </w:pPr>
          </w:p>
          <w:p>
            <w:pPr>
              <w:pStyle w:val="35"/>
              <w:spacing w:line="241" w:lineRule="auto"/>
              <w:jc w:val="center"/>
              <w:rPr>
                <w:rFonts w:hint="default" w:ascii="Times New Roman" w:hAnsi="Times New Roman" w:cs="Times New Roman"/>
                <w:highlight w:val="none"/>
              </w:rPr>
            </w:pPr>
          </w:p>
          <w:p>
            <w:pPr>
              <w:pStyle w:val="35"/>
              <w:spacing w:line="241" w:lineRule="auto"/>
              <w:jc w:val="center"/>
              <w:rPr>
                <w:rFonts w:hint="default" w:ascii="Times New Roman" w:hAnsi="Times New Roman" w:cs="Times New Roman"/>
                <w:highlight w:val="none"/>
              </w:rPr>
            </w:pPr>
          </w:p>
          <w:p>
            <w:pPr>
              <w:spacing w:before="65"/>
              <w:ind w:left="383" w:right="166" w:hanging="209"/>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环境空</w:t>
            </w:r>
            <w:r>
              <w:rPr>
                <w:rFonts w:hint="default" w:ascii="Times New Roman" w:hAnsi="Times New Roman" w:eastAsia="宋体" w:cs="Times New Roman"/>
                <w:spacing w:val="1"/>
                <w:sz w:val="20"/>
                <w:szCs w:val="20"/>
                <w:highlight w:val="none"/>
              </w:rPr>
              <w:t xml:space="preserve"> </w:t>
            </w:r>
            <w:r>
              <w:rPr>
                <w:rFonts w:hint="default" w:ascii="Times New Roman" w:hAnsi="Times New Roman" w:eastAsia="宋体" w:cs="Times New Roman"/>
                <w:sz w:val="20"/>
                <w:szCs w:val="20"/>
                <w:highlight w:val="none"/>
              </w:rPr>
              <w:t>气</w:t>
            </w:r>
          </w:p>
        </w:tc>
        <w:tc>
          <w:tcPr>
            <w:tcW w:w="176" w:type="pct"/>
            <w:tcBorders>
              <w:tl2br w:val="nil"/>
              <w:tr2bl w:val="nil"/>
            </w:tcBorders>
            <w:vAlign w:val="top"/>
          </w:tcPr>
          <w:p>
            <w:pPr>
              <w:spacing w:before="6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1</w:t>
            </w:r>
          </w:p>
        </w:tc>
        <w:tc>
          <w:tcPr>
            <w:tcW w:w="542" w:type="pct"/>
            <w:tcBorders>
              <w:tl2br w:val="nil"/>
              <w:tr2bl w:val="nil"/>
            </w:tcBorders>
            <w:vAlign w:val="top"/>
          </w:tcPr>
          <w:p>
            <w:pPr>
              <w:spacing w:before="32" w:line="217"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中兴村</w:t>
            </w:r>
          </w:p>
        </w:tc>
        <w:tc>
          <w:tcPr>
            <w:tcW w:w="659" w:type="pct"/>
            <w:tcBorders>
              <w:tl2br w:val="nil"/>
              <w:tr2bl w:val="nil"/>
            </w:tcBorders>
            <w:vAlign w:val="top"/>
          </w:tcPr>
          <w:p>
            <w:pPr>
              <w:spacing w:before="66" w:line="195" w:lineRule="auto"/>
              <w:jc w:val="center"/>
              <w:rPr>
                <w:rFonts w:hint="default" w:ascii="Times New Roman" w:hAnsi="Times New Roman" w:eastAsia="Times New Roman" w:cs="Times New Roman"/>
                <w:spacing w:val="-2"/>
                <w:sz w:val="20"/>
                <w:szCs w:val="20"/>
                <w:highlight w:val="none"/>
              </w:rPr>
            </w:pPr>
            <w:r>
              <w:rPr>
                <w:rFonts w:hint="default" w:ascii="Times New Roman" w:hAnsi="Times New Roman" w:eastAsia="Times New Roman" w:cs="Times New Roman"/>
                <w:spacing w:val="-2"/>
                <w:sz w:val="20"/>
                <w:szCs w:val="20"/>
                <w:highlight w:val="none"/>
              </w:rPr>
              <w:t>127.08647490</w:t>
            </w:r>
          </w:p>
        </w:tc>
        <w:tc>
          <w:tcPr>
            <w:tcW w:w="602" w:type="pct"/>
            <w:tcBorders>
              <w:tl2br w:val="nil"/>
              <w:tr2bl w:val="nil"/>
            </w:tcBorders>
            <w:vAlign w:val="top"/>
          </w:tcPr>
          <w:p>
            <w:pPr>
              <w:spacing w:before="66" w:line="195" w:lineRule="auto"/>
              <w:jc w:val="center"/>
              <w:rPr>
                <w:rFonts w:hint="default" w:ascii="Times New Roman" w:hAnsi="Times New Roman" w:eastAsia="Times New Roman" w:cs="Times New Roman"/>
                <w:spacing w:val="-2"/>
                <w:sz w:val="20"/>
                <w:szCs w:val="20"/>
                <w:highlight w:val="none"/>
              </w:rPr>
            </w:pPr>
            <w:r>
              <w:rPr>
                <w:rFonts w:hint="default" w:ascii="Times New Roman" w:hAnsi="Times New Roman" w:eastAsia="Times New Roman" w:cs="Times New Roman"/>
                <w:spacing w:val="-2"/>
                <w:sz w:val="20"/>
                <w:szCs w:val="20"/>
                <w:highlight w:val="none"/>
              </w:rPr>
              <w:t>46.41695835</w:t>
            </w:r>
          </w:p>
        </w:tc>
        <w:tc>
          <w:tcPr>
            <w:tcW w:w="318" w:type="pct"/>
            <w:tcBorders>
              <w:tl2br w:val="nil"/>
              <w:tr2bl w:val="nil"/>
            </w:tcBorders>
            <w:vAlign w:val="top"/>
          </w:tcPr>
          <w:p>
            <w:pPr>
              <w:spacing w:before="71" w:line="192" w:lineRule="auto"/>
              <w:jc w:val="center"/>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spacing w:val="8"/>
                <w:sz w:val="20"/>
                <w:szCs w:val="20"/>
                <w:highlight w:val="none"/>
                <w:lang w:val="en-US" w:eastAsia="zh-CN"/>
              </w:rPr>
              <w:t>S</w:t>
            </w:r>
          </w:p>
        </w:tc>
        <w:tc>
          <w:tcPr>
            <w:tcW w:w="440" w:type="pct"/>
            <w:tcBorders>
              <w:tl2br w:val="nil"/>
              <w:tr2bl w:val="nil"/>
            </w:tcBorders>
            <w:vAlign w:val="top"/>
          </w:tcPr>
          <w:p>
            <w:pPr>
              <w:spacing w:before="68"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3"/>
                <w:sz w:val="20"/>
                <w:szCs w:val="20"/>
                <w:highlight w:val="none"/>
                <w:lang w:val="en-US" w:eastAsia="zh-CN"/>
              </w:rPr>
              <w:t>1000</w:t>
            </w:r>
          </w:p>
        </w:tc>
        <w:tc>
          <w:tcPr>
            <w:tcW w:w="824" w:type="pct"/>
            <w:tcBorders>
              <w:tl2br w:val="nil"/>
              <w:tr2bl w:val="nil"/>
            </w:tcBorders>
            <w:vAlign w:val="top"/>
          </w:tcPr>
          <w:p>
            <w:pPr>
              <w:spacing w:before="32" w:line="217" w:lineRule="auto"/>
              <w:jc w:val="center"/>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2"/>
                <w:sz w:val="20"/>
                <w:szCs w:val="20"/>
                <w:highlight w:val="none"/>
              </w:rPr>
              <w:t xml:space="preserve">100 </w:t>
            </w:r>
            <w:r>
              <w:rPr>
                <w:rFonts w:hint="default" w:ascii="Times New Roman" w:hAnsi="Times New Roman" w:eastAsia="宋体" w:cs="Times New Roman"/>
                <w:spacing w:val="2"/>
                <w:sz w:val="20"/>
                <w:szCs w:val="20"/>
                <w:highlight w:val="none"/>
              </w:rPr>
              <w:t>户，</w:t>
            </w:r>
            <w:r>
              <w:rPr>
                <w:rFonts w:hint="default" w:ascii="Times New Roman" w:hAnsi="Times New Roman" w:eastAsia="Times New Roman" w:cs="Times New Roman"/>
                <w:spacing w:val="2"/>
                <w:sz w:val="20"/>
                <w:szCs w:val="20"/>
                <w:highlight w:val="none"/>
              </w:rPr>
              <w:t>300</w:t>
            </w:r>
            <w:r>
              <w:rPr>
                <w:rFonts w:hint="default" w:ascii="Times New Roman" w:hAnsi="Times New Roman" w:eastAsia="Times New Roman" w:cs="Times New Roman"/>
                <w:spacing w:val="18"/>
                <w:w w:val="101"/>
                <w:sz w:val="20"/>
                <w:szCs w:val="20"/>
                <w:highlight w:val="none"/>
              </w:rPr>
              <w:t xml:space="preserve"> </w:t>
            </w:r>
            <w:r>
              <w:rPr>
                <w:rFonts w:hint="default" w:ascii="Times New Roman" w:hAnsi="Times New Roman" w:eastAsia="宋体" w:cs="Times New Roman"/>
                <w:spacing w:val="2"/>
                <w:sz w:val="20"/>
                <w:szCs w:val="20"/>
                <w:highlight w:val="none"/>
              </w:rPr>
              <w:t>人</w:t>
            </w:r>
          </w:p>
        </w:tc>
        <w:tc>
          <w:tcPr>
            <w:tcW w:w="971" w:type="pct"/>
            <w:vMerge w:val="restart"/>
            <w:tcBorders>
              <w:tl2br w:val="nil"/>
              <w:tr2bl w:val="nil"/>
            </w:tcBorders>
            <w:vAlign w:val="top"/>
          </w:tcPr>
          <w:p>
            <w:pPr>
              <w:pStyle w:val="35"/>
              <w:spacing w:line="253" w:lineRule="auto"/>
              <w:jc w:val="center"/>
              <w:rPr>
                <w:rFonts w:hint="default" w:ascii="Times New Roman" w:hAnsi="Times New Roman" w:cs="Times New Roman"/>
                <w:highlight w:val="none"/>
              </w:rPr>
            </w:pPr>
          </w:p>
          <w:p>
            <w:pPr>
              <w:pStyle w:val="35"/>
              <w:spacing w:line="254" w:lineRule="auto"/>
              <w:jc w:val="center"/>
              <w:rPr>
                <w:rFonts w:hint="default" w:ascii="Times New Roman" w:hAnsi="Times New Roman" w:cs="Times New Roman"/>
                <w:highlight w:val="none"/>
              </w:rPr>
            </w:pPr>
          </w:p>
          <w:p>
            <w:pPr>
              <w:pStyle w:val="35"/>
              <w:spacing w:line="254" w:lineRule="auto"/>
              <w:jc w:val="center"/>
              <w:rPr>
                <w:rFonts w:hint="default" w:ascii="Times New Roman" w:hAnsi="Times New Roman" w:cs="Times New Roman"/>
                <w:highlight w:val="none"/>
              </w:rPr>
            </w:pPr>
          </w:p>
          <w:p>
            <w:pPr>
              <w:pStyle w:val="35"/>
              <w:spacing w:line="254" w:lineRule="auto"/>
              <w:jc w:val="center"/>
              <w:rPr>
                <w:rFonts w:hint="default" w:ascii="Times New Roman" w:hAnsi="Times New Roman" w:cs="Times New Roman"/>
                <w:highlight w:val="none"/>
              </w:rPr>
            </w:pPr>
          </w:p>
          <w:p>
            <w:pPr>
              <w:pStyle w:val="35"/>
              <w:spacing w:line="254" w:lineRule="auto"/>
              <w:jc w:val="center"/>
              <w:rPr>
                <w:rFonts w:hint="default" w:ascii="Times New Roman" w:hAnsi="Times New Roman" w:cs="Times New Roman"/>
                <w:highlight w:val="none"/>
              </w:rPr>
            </w:pPr>
          </w:p>
          <w:p>
            <w:pPr>
              <w:pStyle w:val="35"/>
              <w:spacing w:line="254" w:lineRule="auto"/>
              <w:jc w:val="center"/>
              <w:rPr>
                <w:rFonts w:hint="default" w:ascii="Times New Roman" w:hAnsi="Times New Roman" w:cs="Times New Roman"/>
                <w:highlight w:val="none"/>
              </w:rPr>
            </w:pPr>
          </w:p>
          <w:p>
            <w:pPr>
              <w:pStyle w:val="35"/>
              <w:spacing w:line="254" w:lineRule="auto"/>
              <w:jc w:val="center"/>
              <w:rPr>
                <w:rFonts w:hint="default" w:ascii="Times New Roman" w:hAnsi="Times New Roman" w:cs="Times New Roman"/>
                <w:highlight w:val="none"/>
              </w:rPr>
            </w:pPr>
          </w:p>
          <w:p>
            <w:pPr>
              <w:pStyle w:val="35"/>
              <w:spacing w:line="254" w:lineRule="auto"/>
              <w:jc w:val="center"/>
              <w:rPr>
                <w:rFonts w:hint="default" w:ascii="Times New Roman" w:hAnsi="Times New Roman" w:cs="Times New Roman"/>
                <w:highlight w:val="none"/>
              </w:rPr>
            </w:pPr>
          </w:p>
          <w:p>
            <w:pPr>
              <w:pStyle w:val="35"/>
              <w:spacing w:line="254" w:lineRule="auto"/>
              <w:jc w:val="center"/>
              <w:rPr>
                <w:rFonts w:hint="default" w:ascii="Times New Roman" w:hAnsi="Times New Roman" w:cs="Times New Roman"/>
                <w:highlight w:val="none"/>
              </w:rPr>
            </w:pPr>
          </w:p>
          <w:p>
            <w:pPr>
              <w:pStyle w:val="35"/>
              <w:spacing w:line="254" w:lineRule="auto"/>
              <w:jc w:val="center"/>
              <w:rPr>
                <w:rFonts w:hint="default" w:ascii="Times New Roman" w:hAnsi="Times New Roman" w:cs="Times New Roman"/>
                <w:highlight w:val="none"/>
              </w:rPr>
            </w:pPr>
          </w:p>
          <w:p>
            <w:pPr>
              <w:pStyle w:val="35"/>
              <w:spacing w:line="254" w:lineRule="auto"/>
              <w:jc w:val="center"/>
              <w:rPr>
                <w:rFonts w:hint="default" w:ascii="Times New Roman" w:hAnsi="Times New Roman" w:cs="Times New Roman"/>
                <w:highlight w:val="none"/>
              </w:rPr>
            </w:pPr>
          </w:p>
          <w:p>
            <w:pPr>
              <w:pStyle w:val="35"/>
              <w:spacing w:line="254" w:lineRule="auto"/>
              <w:jc w:val="center"/>
              <w:rPr>
                <w:rFonts w:hint="default" w:ascii="Times New Roman" w:hAnsi="Times New Roman" w:cs="Times New Roman"/>
                <w:highlight w:val="none"/>
              </w:rPr>
            </w:pPr>
          </w:p>
          <w:p>
            <w:pPr>
              <w:pStyle w:val="35"/>
              <w:spacing w:line="254" w:lineRule="auto"/>
              <w:jc w:val="center"/>
              <w:rPr>
                <w:rFonts w:hint="default" w:ascii="Times New Roman" w:hAnsi="Times New Roman" w:cs="Times New Roman"/>
                <w:highlight w:val="none"/>
              </w:rPr>
            </w:pPr>
          </w:p>
          <w:p>
            <w:pPr>
              <w:pStyle w:val="35"/>
              <w:spacing w:line="254" w:lineRule="auto"/>
              <w:jc w:val="center"/>
              <w:rPr>
                <w:rFonts w:hint="default" w:ascii="Times New Roman" w:hAnsi="Times New Roman" w:cs="Times New Roman"/>
                <w:highlight w:val="none"/>
              </w:rPr>
            </w:pPr>
          </w:p>
          <w:p>
            <w:pPr>
              <w:pStyle w:val="35"/>
              <w:spacing w:line="254" w:lineRule="auto"/>
              <w:jc w:val="center"/>
              <w:rPr>
                <w:rFonts w:hint="default" w:ascii="Times New Roman" w:hAnsi="Times New Roman" w:cs="Times New Roman"/>
                <w:highlight w:val="none"/>
              </w:rPr>
            </w:pPr>
          </w:p>
          <w:p>
            <w:pPr>
              <w:pStyle w:val="35"/>
              <w:spacing w:line="254" w:lineRule="auto"/>
              <w:jc w:val="center"/>
              <w:rPr>
                <w:rFonts w:hint="default" w:ascii="Times New Roman" w:hAnsi="Times New Roman" w:cs="Times New Roman"/>
                <w:highlight w:val="none"/>
              </w:rPr>
            </w:pPr>
          </w:p>
          <w:p>
            <w:pPr>
              <w:pStyle w:val="35"/>
              <w:spacing w:line="254" w:lineRule="auto"/>
              <w:jc w:val="center"/>
              <w:rPr>
                <w:rFonts w:hint="default" w:ascii="Times New Roman" w:hAnsi="Times New Roman" w:cs="Times New Roman"/>
                <w:highlight w:val="none"/>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0"/>
                <w:szCs w:val="20"/>
                <w:highlight w:val="none"/>
                <w:lang w:val="en-US" w:eastAsia="zh-CN"/>
              </w:rPr>
            </w:pPr>
            <w:r>
              <w:rPr>
                <w:rFonts w:hint="default" w:ascii="Times New Roman" w:hAnsi="Times New Roman" w:eastAsia="宋体" w:cs="Times New Roman"/>
                <w:color w:val="auto"/>
                <w:sz w:val="21"/>
                <w:szCs w:val="21"/>
                <w:highlight w:val="none"/>
              </w:rPr>
              <w:t>《环境空气质量标准》</w:t>
            </w:r>
            <w:r>
              <w:rPr>
                <w:rFonts w:hint="default" w:ascii="Times New Roman" w:hAnsi="Times New Roman" w:eastAsia="宋体" w:cs="Times New Roman"/>
                <w:color w:val="auto"/>
                <w:sz w:val="21"/>
                <w:szCs w:val="21"/>
                <w:highlight w:val="none"/>
                <w:lang w:bidi="en-US"/>
              </w:rPr>
              <w:t>(GB3095-2012)</w:t>
            </w:r>
            <w:r>
              <w:rPr>
                <w:rFonts w:hint="eastAsia" w:ascii="Times New Roman" w:hAnsi="Times New Roman" w:eastAsia="宋体" w:cs="Times New Roman"/>
                <w:color w:val="auto"/>
                <w:sz w:val="21"/>
                <w:szCs w:val="21"/>
                <w:highlight w:val="none"/>
                <w:lang w:val="en-US" w:eastAsia="zh-CN" w:bidi="en-US"/>
              </w:rPr>
              <w:t>中</w:t>
            </w:r>
            <w:r>
              <w:rPr>
                <w:rFonts w:hint="default" w:ascii="Times New Roman" w:hAnsi="Times New Roman" w:eastAsia="宋体" w:cs="Times New Roman"/>
                <w:color w:val="auto"/>
                <w:sz w:val="21"/>
                <w:szCs w:val="21"/>
                <w:highlight w:val="none"/>
              </w:rPr>
              <w:t>二级</w:t>
            </w:r>
            <w:r>
              <w:rPr>
                <w:rFonts w:hint="eastAsia" w:ascii="Times New Roman" w:hAnsi="Times New Roman" w:eastAsia="宋体" w:cs="Times New Roman"/>
                <w:color w:val="auto"/>
                <w:sz w:val="21"/>
                <w:szCs w:val="21"/>
                <w:highlight w:val="none"/>
                <w:lang w:val="en-US" w:eastAsia="zh-CN"/>
              </w:rPr>
              <w:t>标准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6"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2</w:t>
            </w:r>
          </w:p>
        </w:tc>
        <w:tc>
          <w:tcPr>
            <w:tcW w:w="542" w:type="pct"/>
            <w:tcBorders>
              <w:tl2br w:val="nil"/>
              <w:tr2bl w:val="nil"/>
            </w:tcBorders>
            <w:vAlign w:val="top"/>
          </w:tcPr>
          <w:p>
            <w:pPr>
              <w:spacing w:before="30" w:line="21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陶家窝棚</w:t>
            </w:r>
          </w:p>
        </w:tc>
        <w:tc>
          <w:tcPr>
            <w:tcW w:w="659" w:type="pct"/>
            <w:tcBorders>
              <w:tl2br w:val="nil"/>
              <w:tr2bl w:val="nil"/>
            </w:tcBorders>
            <w:vAlign w:val="top"/>
          </w:tcPr>
          <w:p>
            <w:pPr>
              <w:spacing w:before="66" w:line="195" w:lineRule="auto"/>
              <w:jc w:val="center"/>
              <w:rPr>
                <w:rFonts w:hint="default" w:ascii="Times New Roman" w:hAnsi="Times New Roman" w:eastAsia="Times New Roman" w:cs="Times New Roman"/>
                <w:spacing w:val="-2"/>
                <w:sz w:val="20"/>
                <w:szCs w:val="20"/>
                <w:highlight w:val="none"/>
              </w:rPr>
            </w:pPr>
            <w:r>
              <w:rPr>
                <w:rFonts w:hint="default" w:ascii="Times New Roman" w:hAnsi="Times New Roman" w:eastAsia="Times New Roman" w:cs="Times New Roman"/>
                <w:spacing w:val="-2"/>
                <w:sz w:val="20"/>
                <w:szCs w:val="20"/>
                <w:highlight w:val="none"/>
              </w:rPr>
              <w:t>127.05911636</w:t>
            </w:r>
          </w:p>
        </w:tc>
        <w:tc>
          <w:tcPr>
            <w:tcW w:w="602" w:type="pct"/>
            <w:tcBorders>
              <w:tl2br w:val="nil"/>
              <w:tr2bl w:val="nil"/>
            </w:tcBorders>
            <w:vAlign w:val="top"/>
          </w:tcPr>
          <w:p>
            <w:pPr>
              <w:spacing w:before="66" w:line="195" w:lineRule="auto"/>
              <w:jc w:val="center"/>
              <w:rPr>
                <w:rFonts w:hint="default" w:ascii="Times New Roman" w:hAnsi="Times New Roman" w:eastAsia="Times New Roman" w:cs="Times New Roman"/>
                <w:spacing w:val="-2"/>
                <w:sz w:val="20"/>
                <w:szCs w:val="20"/>
                <w:highlight w:val="none"/>
              </w:rPr>
            </w:pPr>
            <w:r>
              <w:rPr>
                <w:rFonts w:hint="default" w:ascii="Times New Roman" w:hAnsi="Times New Roman" w:eastAsia="Times New Roman" w:cs="Times New Roman"/>
                <w:spacing w:val="-2"/>
                <w:sz w:val="20"/>
                <w:szCs w:val="20"/>
                <w:highlight w:val="none"/>
              </w:rPr>
              <w:t>46.41907371</w:t>
            </w:r>
          </w:p>
        </w:tc>
        <w:tc>
          <w:tcPr>
            <w:tcW w:w="318" w:type="pct"/>
            <w:tcBorders>
              <w:tl2br w:val="nil"/>
              <w:tr2bl w:val="nil"/>
            </w:tcBorders>
            <w:vAlign w:val="top"/>
          </w:tcPr>
          <w:p>
            <w:pPr>
              <w:spacing w:before="69" w:line="192"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z w:val="20"/>
                <w:szCs w:val="20"/>
                <w:highlight w:val="none"/>
                <w:lang w:val="en-US" w:eastAsia="zh-CN"/>
              </w:rPr>
              <w:t>SW</w:t>
            </w:r>
          </w:p>
        </w:tc>
        <w:tc>
          <w:tcPr>
            <w:tcW w:w="440" w:type="pct"/>
            <w:tcBorders>
              <w:tl2br w:val="nil"/>
              <w:tr2bl w:val="nil"/>
            </w:tcBorders>
            <w:vAlign w:val="top"/>
          </w:tcPr>
          <w:p>
            <w:pPr>
              <w:spacing w:before="66" w:line="195" w:lineRule="auto"/>
              <w:ind w:left="26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Times New Roman" w:cs="Times New Roman"/>
                <w:spacing w:val="-2"/>
                <w:sz w:val="20"/>
                <w:szCs w:val="20"/>
                <w:highlight w:val="none"/>
              </w:rPr>
              <w:t>1</w:t>
            </w:r>
            <w:r>
              <w:rPr>
                <w:rFonts w:hint="default" w:ascii="Times New Roman" w:hAnsi="Times New Roman" w:eastAsia="宋体" w:cs="Times New Roman"/>
                <w:spacing w:val="-2"/>
                <w:sz w:val="20"/>
                <w:szCs w:val="20"/>
                <w:highlight w:val="none"/>
                <w:lang w:val="en-US" w:eastAsia="zh-CN"/>
              </w:rPr>
              <w:t>860</w:t>
            </w:r>
          </w:p>
        </w:tc>
        <w:tc>
          <w:tcPr>
            <w:tcW w:w="824" w:type="pct"/>
            <w:tcBorders>
              <w:tl2br w:val="nil"/>
              <w:tr2bl w:val="nil"/>
            </w:tcBorders>
            <w:vAlign w:val="top"/>
          </w:tcPr>
          <w:p>
            <w:pPr>
              <w:spacing w:before="30" w:line="21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lang w:val="en-US" w:eastAsia="zh-CN"/>
              </w:rPr>
              <w:t>80</w:t>
            </w:r>
            <w:r>
              <w:rPr>
                <w:rFonts w:hint="default" w:ascii="Times New Roman" w:hAnsi="Times New Roman" w:eastAsia="Times New Roman" w:cs="Times New Roman"/>
                <w:spacing w:val="4"/>
                <w:sz w:val="20"/>
                <w:szCs w:val="20"/>
                <w:highlight w:val="none"/>
              </w:rPr>
              <w:t xml:space="preserve"> </w:t>
            </w:r>
            <w:r>
              <w:rPr>
                <w:rFonts w:hint="default" w:ascii="Times New Roman" w:hAnsi="Times New Roman" w:eastAsia="宋体" w:cs="Times New Roman"/>
                <w:spacing w:val="4"/>
                <w:sz w:val="20"/>
                <w:szCs w:val="20"/>
                <w:highlight w:val="none"/>
              </w:rPr>
              <w:t>户，</w:t>
            </w:r>
            <w:r>
              <w:rPr>
                <w:rFonts w:hint="default" w:ascii="Times New Roman" w:hAnsi="Times New Roman" w:eastAsia="宋体" w:cs="Times New Roman"/>
                <w:spacing w:val="4"/>
                <w:sz w:val="20"/>
                <w:szCs w:val="20"/>
                <w:highlight w:val="none"/>
                <w:lang w:val="en-US" w:eastAsia="zh-CN"/>
              </w:rPr>
              <w:t>200</w:t>
            </w:r>
            <w:r>
              <w:rPr>
                <w:rFonts w:hint="default" w:ascii="Times New Roman" w:hAnsi="Times New Roman" w:eastAsia="Times New Roman" w:cs="Times New Roman"/>
                <w:spacing w:val="11"/>
                <w:sz w:val="20"/>
                <w:szCs w:val="20"/>
                <w:highlight w:val="none"/>
              </w:rPr>
              <w:t xml:space="preserve"> </w:t>
            </w:r>
            <w:r>
              <w:rPr>
                <w:rFonts w:hint="default" w:ascii="Times New Roman" w:hAnsi="Times New Roman" w:eastAsia="宋体" w:cs="Times New Roman"/>
                <w:spacing w:val="4"/>
                <w:sz w:val="20"/>
                <w:szCs w:val="20"/>
                <w:highlight w:val="none"/>
              </w:rPr>
              <w:t>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3</w:t>
            </w:r>
          </w:p>
        </w:tc>
        <w:tc>
          <w:tcPr>
            <w:tcW w:w="542" w:type="pct"/>
            <w:tcBorders>
              <w:tl2br w:val="nil"/>
              <w:tr2bl w:val="nil"/>
            </w:tcBorders>
            <w:vAlign w:val="top"/>
          </w:tcPr>
          <w:p>
            <w:pPr>
              <w:spacing w:before="31" w:line="217" w:lineRule="auto"/>
              <w:ind w:left="141"/>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7"/>
                <w:sz w:val="20"/>
                <w:szCs w:val="20"/>
                <w:highlight w:val="none"/>
              </w:rPr>
              <w:t>兴乐村</w:t>
            </w:r>
          </w:p>
        </w:tc>
        <w:tc>
          <w:tcPr>
            <w:tcW w:w="659"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127.05621958</w:t>
            </w:r>
          </w:p>
        </w:tc>
        <w:tc>
          <w:tcPr>
            <w:tcW w:w="602"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1"/>
                <w:sz w:val="20"/>
                <w:szCs w:val="20"/>
                <w:highlight w:val="none"/>
              </w:rPr>
              <w:t>46.42036804</w:t>
            </w:r>
          </w:p>
        </w:tc>
        <w:tc>
          <w:tcPr>
            <w:tcW w:w="318" w:type="pct"/>
            <w:tcBorders>
              <w:tl2br w:val="nil"/>
              <w:tr2bl w:val="nil"/>
            </w:tcBorders>
            <w:vAlign w:val="top"/>
          </w:tcPr>
          <w:p>
            <w:pPr>
              <w:spacing w:before="70" w:line="192"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8"/>
                <w:sz w:val="20"/>
                <w:szCs w:val="20"/>
                <w:highlight w:val="none"/>
                <w:lang w:val="en-US" w:eastAsia="zh-CN"/>
              </w:rPr>
              <w:t>SW</w:t>
            </w:r>
          </w:p>
        </w:tc>
        <w:tc>
          <w:tcPr>
            <w:tcW w:w="440" w:type="pct"/>
            <w:tcBorders>
              <w:tl2br w:val="nil"/>
              <w:tr2bl w:val="nil"/>
            </w:tcBorders>
            <w:vAlign w:val="top"/>
          </w:tcPr>
          <w:p>
            <w:pPr>
              <w:spacing w:before="67" w:line="195" w:lineRule="auto"/>
              <w:ind w:left="24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3"/>
                <w:sz w:val="20"/>
                <w:szCs w:val="20"/>
                <w:highlight w:val="none"/>
                <w:lang w:val="en-US" w:eastAsia="zh-CN"/>
              </w:rPr>
              <w:t>2360</w:t>
            </w:r>
          </w:p>
        </w:tc>
        <w:tc>
          <w:tcPr>
            <w:tcW w:w="824" w:type="pct"/>
            <w:tcBorders>
              <w:tl2br w:val="nil"/>
              <w:tr2bl w:val="nil"/>
            </w:tcBorders>
            <w:vAlign w:val="top"/>
          </w:tcPr>
          <w:p>
            <w:pPr>
              <w:spacing w:before="31" w:line="217" w:lineRule="auto"/>
              <w:jc w:val="center"/>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4"/>
                <w:sz w:val="20"/>
                <w:szCs w:val="20"/>
                <w:highlight w:val="none"/>
              </w:rPr>
              <w:t xml:space="preserve">20 </w:t>
            </w:r>
            <w:r>
              <w:rPr>
                <w:rFonts w:hint="default" w:ascii="Times New Roman" w:hAnsi="Times New Roman" w:eastAsia="宋体" w:cs="Times New Roman"/>
                <w:spacing w:val="4"/>
                <w:sz w:val="20"/>
                <w:szCs w:val="20"/>
                <w:highlight w:val="none"/>
              </w:rPr>
              <w:t>户，</w:t>
            </w:r>
            <w:r>
              <w:rPr>
                <w:rFonts w:hint="default" w:ascii="Times New Roman" w:hAnsi="Times New Roman" w:eastAsia="Times New Roman" w:cs="Times New Roman"/>
                <w:spacing w:val="4"/>
                <w:sz w:val="20"/>
                <w:szCs w:val="20"/>
                <w:highlight w:val="none"/>
              </w:rPr>
              <w:t>60</w:t>
            </w:r>
            <w:r>
              <w:rPr>
                <w:rFonts w:hint="default" w:ascii="Times New Roman" w:hAnsi="Times New Roman" w:eastAsia="Times New Roman" w:cs="Times New Roman"/>
                <w:spacing w:val="15"/>
                <w:w w:val="101"/>
                <w:sz w:val="20"/>
                <w:szCs w:val="20"/>
                <w:highlight w:val="none"/>
              </w:rPr>
              <w:t xml:space="preserve"> </w:t>
            </w:r>
            <w:r>
              <w:rPr>
                <w:rFonts w:hint="default" w:ascii="Times New Roman" w:hAnsi="Times New Roman" w:eastAsia="宋体" w:cs="Times New Roman"/>
                <w:spacing w:val="4"/>
                <w:sz w:val="20"/>
                <w:szCs w:val="20"/>
                <w:highlight w:val="none"/>
              </w:rPr>
              <w:t>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1"/>
                <w:sz w:val="20"/>
                <w:szCs w:val="20"/>
                <w:highlight w:val="none"/>
              </w:rPr>
              <w:t>4</w:t>
            </w:r>
          </w:p>
        </w:tc>
        <w:tc>
          <w:tcPr>
            <w:tcW w:w="542" w:type="pct"/>
            <w:tcBorders>
              <w:tl2br w:val="nil"/>
              <w:tr2bl w:val="nil"/>
            </w:tcBorders>
            <w:vAlign w:val="top"/>
          </w:tcPr>
          <w:p>
            <w:pPr>
              <w:spacing w:before="32" w:line="217"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小四间房</w:t>
            </w:r>
          </w:p>
        </w:tc>
        <w:tc>
          <w:tcPr>
            <w:tcW w:w="659" w:type="pct"/>
            <w:tcBorders>
              <w:tl2br w:val="nil"/>
              <w:tr2bl w:val="nil"/>
            </w:tcBorders>
            <w:vAlign w:val="top"/>
          </w:tcPr>
          <w:p>
            <w:pPr>
              <w:spacing w:before="6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127.10748196</w:t>
            </w:r>
          </w:p>
        </w:tc>
        <w:tc>
          <w:tcPr>
            <w:tcW w:w="602" w:type="pct"/>
            <w:tcBorders>
              <w:tl2br w:val="nil"/>
              <w:tr2bl w:val="nil"/>
            </w:tcBorders>
            <w:vAlign w:val="top"/>
          </w:tcPr>
          <w:p>
            <w:pPr>
              <w:spacing w:before="6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46.41846722</w:t>
            </w:r>
          </w:p>
        </w:tc>
        <w:tc>
          <w:tcPr>
            <w:tcW w:w="318" w:type="pct"/>
            <w:tcBorders>
              <w:tl2br w:val="nil"/>
              <w:tr2bl w:val="nil"/>
            </w:tcBorders>
            <w:vAlign w:val="top"/>
          </w:tcPr>
          <w:p>
            <w:pPr>
              <w:spacing w:before="71" w:line="192"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8"/>
                <w:sz w:val="20"/>
                <w:szCs w:val="20"/>
                <w:highlight w:val="none"/>
                <w:lang w:val="en-US" w:eastAsia="zh-CN"/>
              </w:rPr>
              <w:t>SE</w:t>
            </w:r>
          </w:p>
        </w:tc>
        <w:tc>
          <w:tcPr>
            <w:tcW w:w="440" w:type="pct"/>
            <w:tcBorders>
              <w:tl2br w:val="nil"/>
              <w:tr2bl w:val="nil"/>
            </w:tcBorders>
            <w:vAlign w:val="top"/>
          </w:tcPr>
          <w:p>
            <w:pPr>
              <w:spacing w:before="68" w:line="195" w:lineRule="auto"/>
              <w:ind w:left="24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3"/>
                <w:sz w:val="20"/>
                <w:szCs w:val="20"/>
                <w:highlight w:val="none"/>
                <w:lang w:val="en-US" w:eastAsia="zh-CN"/>
              </w:rPr>
              <w:t>1650</w:t>
            </w:r>
          </w:p>
        </w:tc>
        <w:tc>
          <w:tcPr>
            <w:tcW w:w="824" w:type="pct"/>
            <w:tcBorders>
              <w:tl2br w:val="nil"/>
              <w:tr2bl w:val="nil"/>
            </w:tcBorders>
            <w:vAlign w:val="top"/>
          </w:tcPr>
          <w:p>
            <w:pPr>
              <w:spacing w:before="32" w:line="217" w:lineRule="auto"/>
              <w:jc w:val="center"/>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3"/>
                <w:sz w:val="20"/>
                <w:szCs w:val="20"/>
                <w:highlight w:val="none"/>
              </w:rPr>
              <w:t xml:space="preserve">80 </w:t>
            </w:r>
            <w:r>
              <w:rPr>
                <w:rFonts w:hint="default" w:ascii="Times New Roman" w:hAnsi="Times New Roman" w:eastAsia="宋体" w:cs="Times New Roman"/>
                <w:spacing w:val="3"/>
                <w:sz w:val="20"/>
                <w:szCs w:val="20"/>
                <w:highlight w:val="none"/>
              </w:rPr>
              <w:t>户，</w:t>
            </w:r>
            <w:r>
              <w:rPr>
                <w:rFonts w:hint="default" w:ascii="Times New Roman" w:hAnsi="Times New Roman" w:eastAsia="Times New Roman" w:cs="Times New Roman"/>
                <w:spacing w:val="3"/>
                <w:sz w:val="20"/>
                <w:szCs w:val="20"/>
                <w:highlight w:val="none"/>
              </w:rPr>
              <w:t>240</w:t>
            </w:r>
            <w:r>
              <w:rPr>
                <w:rFonts w:hint="default" w:ascii="Times New Roman" w:hAnsi="Times New Roman" w:eastAsia="Times New Roman" w:cs="Times New Roman"/>
                <w:spacing w:val="17"/>
                <w:w w:val="101"/>
                <w:sz w:val="20"/>
                <w:szCs w:val="20"/>
                <w:highlight w:val="none"/>
              </w:rPr>
              <w:t xml:space="preserve"> </w:t>
            </w:r>
            <w:r>
              <w:rPr>
                <w:rFonts w:hint="default" w:ascii="Times New Roman" w:hAnsi="Times New Roman" w:eastAsia="宋体" w:cs="Times New Roman"/>
                <w:spacing w:val="3"/>
                <w:sz w:val="20"/>
                <w:szCs w:val="20"/>
                <w:highlight w:val="none"/>
              </w:rPr>
              <w:t>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9" w:line="192"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5</w:t>
            </w:r>
          </w:p>
        </w:tc>
        <w:tc>
          <w:tcPr>
            <w:tcW w:w="542" w:type="pct"/>
            <w:tcBorders>
              <w:tl2br w:val="nil"/>
              <w:tr2bl w:val="nil"/>
            </w:tcBorders>
            <w:vAlign w:val="top"/>
          </w:tcPr>
          <w:p>
            <w:pPr>
              <w:spacing w:before="30" w:line="21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孙长发屯</w:t>
            </w:r>
          </w:p>
        </w:tc>
        <w:tc>
          <w:tcPr>
            <w:tcW w:w="659" w:type="pct"/>
            <w:tcBorders>
              <w:tl2br w:val="nil"/>
              <w:tr2bl w:val="nil"/>
            </w:tcBorders>
            <w:vAlign w:val="top"/>
          </w:tcPr>
          <w:p>
            <w:pPr>
              <w:spacing w:before="66"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127.11671948</w:t>
            </w:r>
          </w:p>
        </w:tc>
        <w:tc>
          <w:tcPr>
            <w:tcW w:w="602" w:type="pct"/>
            <w:tcBorders>
              <w:tl2br w:val="nil"/>
              <w:tr2bl w:val="nil"/>
            </w:tcBorders>
            <w:vAlign w:val="top"/>
          </w:tcPr>
          <w:p>
            <w:pPr>
              <w:spacing w:before="66"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46.40592903</w:t>
            </w:r>
          </w:p>
        </w:tc>
        <w:tc>
          <w:tcPr>
            <w:tcW w:w="318" w:type="pct"/>
            <w:tcBorders>
              <w:tl2br w:val="nil"/>
              <w:tr2bl w:val="nil"/>
            </w:tcBorders>
            <w:vAlign w:val="top"/>
          </w:tcPr>
          <w:p>
            <w:pPr>
              <w:spacing w:before="69" w:line="192"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8"/>
                <w:sz w:val="20"/>
                <w:szCs w:val="20"/>
                <w:highlight w:val="none"/>
                <w:lang w:val="en-US" w:eastAsia="zh-CN"/>
              </w:rPr>
              <w:t>SE</w:t>
            </w:r>
          </w:p>
        </w:tc>
        <w:tc>
          <w:tcPr>
            <w:tcW w:w="440" w:type="pct"/>
            <w:tcBorders>
              <w:tl2br w:val="nil"/>
              <w:tr2bl w:val="nil"/>
            </w:tcBorders>
            <w:vAlign w:val="top"/>
          </w:tcPr>
          <w:p>
            <w:pPr>
              <w:spacing w:before="66" w:line="195" w:lineRule="auto"/>
              <w:ind w:left="26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2"/>
                <w:sz w:val="20"/>
                <w:szCs w:val="20"/>
                <w:highlight w:val="none"/>
                <w:lang w:val="en-US" w:eastAsia="zh-CN"/>
              </w:rPr>
              <w:t>3000</w:t>
            </w:r>
          </w:p>
        </w:tc>
        <w:tc>
          <w:tcPr>
            <w:tcW w:w="824" w:type="pct"/>
            <w:tcBorders>
              <w:tl2br w:val="nil"/>
              <w:tr2bl w:val="nil"/>
            </w:tcBorders>
            <w:vAlign w:val="top"/>
          </w:tcPr>
          <w:p>
            <w:pPr>
              <w:spacing w:before="30" w:line="21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lang w:val="en-US" w:eastAsia="zh-CN"/>
              </w:rPr>
              <w:t>50</w:t>
            </w:r>
            <w:r>
              <w:rPr>
                <w:rFonts w:hint="default" w:ascii="Times New Roman" w:hAnsi="Times New Roman" w:eastAsia="Times New Roman" w:cs="Times New Roman"/>
                <w:spacing w:val="4"/>
                <w:sz w:val="20"/>
                <w:szCs w:val="20"/>
                <w:highlight w:val="none"/>
              </w:rPr>
              <w:t xml:space="preserve"> </w:t>
            </w:r>
            <w:r>
              <w:rPr>
                <w:rFonts w:hint="default" w:ascii="Times New Roman" w:hAnsi="Times New Roman" w:eastAsia="宋体" w:cs="Times New Roman"/>
                <w:spacing w:val="4"/>
                <w:sz w:val="20"/>
                <w:szCs w:val="20"/>
                <w:highlight w:val="none"/>
              </w:rPr>
              <w:t>户，</w:t>
            </w:r>
            <w:r>
              <w:rPr>
                <w:rFonts w:hint="default" w:ascii="Times New Roman" w:hAnsi="Times New Roman" w:eastAsia="Times New Roman" w:cs="Times New Roman"/>
                <w:spacing w:val="4"/>
                <w:sz w:val="20"/>
                <w:szCs w:val="20"/>
                <w:highlight w:val="none"/>
              </w:rPr>
              <w:t>105</w:t>
            </w:r>
            <w:r>
              <w:rPr>
                <w:rFonts w:hint="default" w:ascii="Times New Roman" w:hAnsi="Times New Roman" w:eastAsia="Times New Roman" w:cs="Times New Roman"/>
                <w:spacing w:val="13"/>
                <w:sz w:val="20"/>
                <w:szCs w:val="20"/>
                <w:highlight w:val="none"/>
              </w:rPr>
              <w:t xml:space="preserve"> </w:t>
            </w:r>
            <w:r>
              <w:rPr>
                <w:rFonts w:hint="default" w:ascii="Times New Roman" w:hAnsi="Times New Roman" w:eastAsia="宋体" w:cs="Times New Roman"/>
                <w:spacing w:val="4"/>
                <w:sz w:val="20"/>
                <w:szCs w:val="20"/>
                <w:highlight w:val="none"/>
              </w:rPr>
              <w:t>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5"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6</w:t>
            </w:r>
          </w:p>
        </w:tc>
        <w:tc>
          <w:tcPr>
            <w:tcW w:w="542" w:type="pct"/>
            <w:tcBorders>
              <w:tl2br w:val="nil"/>
              <w:tr2bl w:val="nil"/>
            </w:tcBorders>
            <w:vAlign w:val="top"/>
          </w:tcPr>
          <w:p>
            <w:pPr>
              <w:spacing w:before="31" w:line="217"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梁老奤</w:t>
            </w:r>
          </w:p>
        </w:tc>
        <w:tc>
          <w:tcPr>
            <w:tcW w:w="659"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127.10349083</w:t>
            </w:r>
          </w:p>
        </w:tc>
        <w:tc>
          <w:tcPr>
            <w:tcW w:w="602"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46.40750478</w:t>
            </w:r>
          </w:p>
        </w:tc>
        <w:tc>
          <w:tcPr>
            <w:tcW w:w="318" w:type="pct"/>
            <w:tcBorders>
              <w:tl2br w:val="nil"/>
              <w:tr2bl w:val="nil"/>
            </w:tcBorders>
            <w:vAlign w:val="top"/>
          </w:tcPr>
          <w:p>
            <w:pPr>
              <w:spacing w:before="67" w:line="195" w:lineRule="auto"/>
              <w:jc w:val="center"/>
              <w:rPr>
                <w:rFonts w:hint="default" w:ascii="Times New Roman" w:hAnsi="Times New Roman" w:eastAsia="宋体" w:cs="Times New Roman"/>
                <w:sz w:val="20"/>
                <w:szCs w:val="20"/>
                <w:highlight w:val="none"/>
                <w:lang w:eastAsia="zh-CN"/>
              </w:rPr>
            </w:pPr>
            <w:r>
              <w:rPr>
                <w:rFonts w:hint="default" w:ascii="Times New Roman" w:hAnsi="Times New Roman" w:eastAsia="Times New Roman" w:cs="Times New Roman"/>
                <w:spacing w:val="-1"/>
                <w:sz w:val="20"/>
                <w:szCs w:val="20"/>
                <w:highlight w:val="none"/>
              </w:rPr>
              <w:t>S</w:t>
            </w:r>
            <w:r>
              <w:rPr>
                <w:rFonts w:hint="default" w:ascii="Times New Roman" w:hAnsi="Times New Roman" w:eastAsia="宋体" w:cs="Times New Roman"/>
                <w:spacing w:val="-1"/>
                <w:sz w:val="20"/>
                <w:szCs w:val="20"/>
                <w:highlight w:val="none"/>
                <w:lang w:val="en-US" w:eastAsia="zh-CN"/>
              </w:rPr>
              <w:t>E</w:t>
            </w:r>
          </w:p>
        </w:tc>
        <w:tc>
          <w:tcPr>
            <w:tcW w:w="440" w:type="pct"/>
            <w:tcBorders>
              <w:tl2br w:val="nil"/>
              <w:tr2bl w:val="nil"/>
            </w:tcBorders>
            <w:vAlign w:val="top"/>
          </w:tcPr>
          <w:p>
            <w:pPr>
              <w:spacing w:before="67" w:line="195" w:lineRule="auto"/>
              <w:ind w:left="24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3"/>
                <w:sz w:val="20"/>
                <w:szCs w:val="20"/>
                <w:highlight w:val="none"/>
                <w:lang w:val="en-US" w:eastAsia="zh-CN"/>
              </w:rPr>
              <w:t>2340</w:t>
            </w:r>
          </w:p>
        </w:tc>
        <w:tc>
          <w:tcPr>
            <w:tcW w:w="824" w:type="pct"/>
            <w:tcBorders>
              <w:tl2br w:val="nil"/>
              <w:tr2bl w:val="nil"/>
            </w:tcBorders>
            <w:vAlign w:val="top"/>
          </w:tcPr>
          <w:p>
            <w:pPr>
              <w:spacing w:before="31" w:line="217"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lang w:val="en-US" w:eastAsia="zh-CN"/>
              </w:rPr>
              <w:t>20</w:t>
            </w:r>
            <w:r>
              <w:rPr>
                <w:rFonts w:hint="default" w:ascii="Times New Roman" w:hAnsi="Times New Roman" w:eastAsia="Times New Roman" w:cs="Times New Roman"/>
                <w:spacing w:val="4"/>
                <w:sz w:val="20"/>
                <w:szCs w:val="20"/>
                <w:highlight w:val="none"/>
              </w:rPr>
              <w:t xml:space="preserve"> </w:t>
            </w:r>
            <w:r>
              <w:rPr>
                <w:rFonts w:hint="default" w:ascii="Times New Roman" w:hAnsi="Times New Roman" w:eastAsia="宋体" w:cs="Times New Roman"/>
                <w:spacing w:val="4"/>
                <w:sz w:val="20"/>
                <w:szCs w:val="20"/>
                <w:highlight w:val="none"/>
              </w:rPr>
              <w:t>户，</w:t>
            </w:r>
            <w:r>
              <w:rPr>
                <w:rFonts w:hint="default" w:ascii="Times New Roman" w:hAnsi="Times New Roman" w:eastAsia="宋体" w:cs="Times New Roman"/>
                <w:spacing w:val="4"/>
                <w:sz w:val="20"/>
                <w:szCs w:val="20"/>
                <w:highlight w:val="none"/>
                <w:lang w:val="en-US" w:eastAsia="zh-CN"/>
              </w:rPr>
              <w:t>60</w:t>
            </w:r>
            <w:r>
              <w:rPr>
                <w:rFonts w:hint="default" w:ascii="Times New Roman" w:hAnsi="Times New Roman" w:eastAsia="宋体" w:cs="Times New Roman"/>
                <w:spacing w:val="4"/>
                <w:sz w:val="20"/>
                <w:szCs w:val="20"/>
                <w:highlight w:val="none"/>
              </w:rPr>
              <w:t>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71" w:line="192"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7</w:t>
            </w:r>
          </w:p>
        </w:tc>
        <w:tc>
          <w:tcPr>
            <w:tcW w:w="542" w:type="pct"/>
            <w:tcBorders>
              <w:tl2br w:val="nil"/>
              <w:tr2bl w:val="nil"/>
            </w:tcBorders>
            <w:vAlign w:val="top"/>
          </w:tcPr>
          <w:p>
            <w:pPr>
              <w:spacing w:before="32" w:line="217"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森林村</w:t>
            </w:r>
          </w:p>
        </w:tc>
        <w:tc>
          <w:tcPr>
            <w:tcW w:w="659" w:type="pct"/>
            <w:tcBorders>
              <w:tl2br w:val="nil"/>
              <w:tr2bl w:val="nil"/>
            </w:tcBorders>
            <w:vAlign w:val="top"/>
          </w:tcPr>
          <w:p>
            <w:pPr>
              <w:spacing w:before="6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127.05623031</w:t>
            </w:r>
          </w:p>
        </w:tc>
        <w:tc>
          <w:tcPr>
            <w:tcW w:w="602" w:type="pct"/>
            <w:tcBorders>
              <w:tl2br w:val="nil"/>
              <w:tr2bl w:val="nil"/>
            </w:tcBorders>
            <w:vAlign w:val="top"/>
          </w:tcPr>
          <w:p>
            <w:pPr>
              <w:spacing w:before="6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46.44127267</w:t>
            </w:r>
          </w:p>
        </w:tc>
        <w:tc>
          <w:tcPr>
            <w:tcW w:w="318" w:type="pct"/>
            <w:tcBorders>
              <w:tl2br w:val="nil"/>
              <w:tr2bl w:val="nil"/>
            </w:tcBorders>
            <w:vAlign w:val="top"/>
          </w:tcPr>
          <w:p>
            <w:pPr>
              <w:spacing w:before="68"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1"/>
                <w:sz w:val="20"/>
                <w:szCs w:val="20"/>
                <w:highlight w:val="none"/>
                <w:lang w:val="en-US" w:eastAsia="zh-CN"/>
              </w:rPr>
              <w:t>NW</w:t>
            </w:r>
          </w:p>
        </w:tc>
        <w:tc>
          <w:tcPr>
            <w:tcW w:w="440" w:type="pct"/>
            <w:tcBorders>
              <w:tl2br w:val="nil"/>
              <w:tr2bl w:val="nil"/>
            </w:tcBorders>
            <w:vAlign w:val="top"/>
          </w:tcPr>
          <w:p>
            <w:pPr>
              <w:spacing w:before="68" w:line="195" w:lineRule="auto"/>
              <w:ind w:left="24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3"/>
                <w:sz w:val="20"/>
                <w:szCs w:val="20"/>
                <w:highlight w:val="none"/>
                <w:lang w:val="en-US" w:eastAsia="zh-CN"/>
              </w:rPr>
              <w:t>2600</w:t>
            </w:r>
          </w:p>
        </w:tc>
        <w:tc>
          <w:tcPr>
            <w:tcW w:w="824" w:type="pct"/>
            <w:tcBorders>
              <w:tl2br w:val="nil"/>
              <w:tr2bl w:val="nil"/>
            </w:tcBorders>
            <w:vAlign w:val="top"/>
          </w:tcPr>
          <w:p>
            <w:pPr>
              <w:spacing w:before="32" w:line="217"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lang w:val="en-US" w:eastAsia="zh-CN"/>
              </w:rPr>
              <w:t>60</w:t>
            </w:r>
            <w:r>
              <w:rPr>
                <w:rFonts w:hint="default" w:ascii="Times New Roman" w:hAnsi="Times New Roman" w:eastAsia="宋体" w:cs="Times New Roman"/>
                <w:spacing w:val="3"/>
                <w:sz w:val="20"/>
                <w:szCs w:val="20"/>
                <w:highlight w:val="none"/>
              </w:rPr>
              <w:t>户，</w:t>
            </w:r>
            <w:r>
              <w:rPr>
                <w:rFonts w:hint="default" w:ascii="Times New Roman" w:hAnsi="Times New Roman" w:eastAsia="宋体" w:cs="Times New Roman"/>
                <w:spacing w:val="3"/>
                <w:sz w:val="20"/>
                <w:szCs w:val="20"/>
                <w:highlight w:val="none"/>
                <w:lang w:val="en-US" w:eastAsia="zh-CN"/>
              </w:rPr>
              <w:t>160</w:t>
            </w:r>
            <w:r>
              <w:rPr>
                <w:rFonts w:hint="default" w:ascii="Times New Roman" w:hAnsi="Times New Roman" w:eastAsia="Times New Roman" w:cs="Times New Roman"/>
                <w:spacing w:val="17"/>
                <w:w w:val="101"/>
                <w:sz w:val="20"/>
                <w:szCs w:val="20"/>
                <w:highlight w:val="none"/>
              </w:rPr>
              <w:t xml:space="preserve"> </w:t>
            </w:r>
            <w:r>
              <w:rPr>
                <w:rFonts w:hint="default" w:ascii="Times New Roman" w:hAnsi="Times New Roman" w:eastAsia="宋体" w:cs="Times New Roman"/>
                <w:spacing w:val="3"/>
                <w:sz w:val="20"/>
                <w:szCs w:val="20"/>
                <w:highlight w:val="none"/>
              </w:rPr>
              <w:t>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6"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8</w:t>
            </w:r>
          </w:p>
        </w:tc>
        <w:tc>
          <w:tcPr>
            <w:tcW w:w="542" w:type="pct"/>
            <w:tcBorders>
              <w:tl2br w:val="nil"/>
              <w:tr2bl w:val="nil"/>
            </w:tcBorders>
            <w:vAlign w:val="top"/>
          </w:tcPr>
          <w:p>
            <w:pPr>
              <w:spacing w:before="30" w:line="21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2"/>
                <w:sz w:val="20"/>
                <w:szCs w:val="20"/>
                <w:highlight w:val="none"/>
              </w:rPr>
              <w:t>永合村</w:t>
            </w:r>
          </w:p>
        </w:tc>
        <w:tc>
          <w:tcPr>
            <w:tcW w:w="659" w:type="pct"/>
            <w:tcBorders>
              <w:tl2br w:val="nil"/>
              <w:tr2bl w:val="nil"/>
            </w:tcBorders>
            <w:vAlign w:val="top"/>
          </w:tcPr>
          <w:p>
            <w:pPr>
              <w:spacing w:before="66"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127.07107902</w:t>
            </w:r>
          </w:p>
        </w:tc>
        <w:tc>
          <w:tcPr>
            <w:tcW w:w="602" w:type="pct"/>
            <w:tcBorders>
              <w:tl2br w:val="nil"/>
              <w:tr2bl w:val="nil"/>
            </w:tcBorders>
            <w:vAlign w:val="top"/>
          </w:tcPr>
          <w:p>
            <w:pPr>
              <w:spacing w:before="66"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46.43981618</w:t>
            </w:r>
          </w:p>
        </w:tc>
        <w:tc>
          <w:tcPr>
            <w:tcW w:w="318" w:type="pct"/>
            <w:tcBorders>
              <w:tl2br w:val="nil"/>
              <w:tr2bl w:val="nil"/>
            </w:tcBorders>
            <w:vAlign w:val="top"/>
          </w:tcPr>
          <w:p>
            <w:pPr>
              <w:spacing w:before="66"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1"/>
                <w:sz w:val="20"/>
                <w:szCs w:val="20"/>
                <w:highlight w:val="none"/>
                <w:lang w:val="en-US" w:eastAsia="zh-CN"/>
              </w:rPr>
              <w:t>NW</w:t>
            </w:r>
          </w:p>
        </w:tc>
        <w:tc>
          <w:tcPr>
            <w:tcW w:w="440" w:type="pct"/>
            <w:tcBorders>
              <w:tl2br w:val="nil"/>
              <w:tr2bl w:val="nil"/>
            </w:tcBorders>
            <w:vAlign w:val="top"/>
          </w:tcPr>
          <w:p>
            <w:pPr>
              <w:spacing w:before="66" w:line="195" w:lineRule="auto"/>
              <w:ind w:left="24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3"/>
                <w:sz w:val="20"/>
                <w:szCs w:val="20"/>
                <w:highlight w:val="none"/>
                <w:lang w:val="en-US" w:eastAsia="zh-CN"/>
              </w:rPr>
              <w:t>1100</w:t>
            </w:r>
          </w:p>
        </w:tc>
        <w:tc>
          <w:tcPr>
            <w:tcW w:w="824" w:type="pct"/>
            <w:tcBorders>
              <w:tl2br w:val="nil"/>
              <w:tr2bl w:val="nil"/>
            </w:tcBorders>
            <w:vAlign w:val="top"/>
          </w:tcPr>
          <w:p>
            <w:pPr>
              <w:spacing w:before="30" w:line="21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lang w:val="en-US" w:eastAsia="zh-CN"/>
              </w:rPr>
              <w:t>100</w:t>
            </w:r>
            <w:r>
              <w:rPr>
                <w:rFonts w:hint="default" w:ascii="Times New Roman" w:hAnsi="Times New Roman" w:eastAsia="Times New Roman" w:cs="Times New Roman"/>
                <w:spacing w:val="3"/>
                <w:sz w:val="20"/>
                <w:szCs w:val="20"/>
                <w:highlight w:val="none"/>
              </w:rPr>
              <w:t xml:space="preserve"> </w:t>
            </w:r>
            <w:r>
              <w:rPr>
                <w:rFonts w:hint="default" w:ascii="Times New Roman" w:hAnsi="Times New Roman" w:eastAsia="宋体" w:cs="Times New Roman"/>
                <w:spacing w:val="3"/>
                <w:sz w:val="20"/>
                <w:szCs w:val="20"/>
                <w:highlight w:val="none"/>
              </w:rPr>
              <w:t>户，</w:t>
            </w:r>
            <w:r>
              <w:rPr>
                <w:rFonts w:hint="default" w:ascii="Times New Roman" w:hAnsi="Times New Roman" w:eastAsia="宋体" w:cs="Times New Roman"/>
                <w:spacing w:val="3"/>
                <w:sz w:val="20"/>
                <w:szCs w:val="20"/>
                <w:highlight w:val="none"/>
                <w:lang w:val="en-US" w:eastAsia="zh-CN"/>
              </w:rPr>
              <w:t>300</w:t>
            </w:r>
            <w:r>
              <w:rPr>
                <w:rFonts w:hint="default" w:ascii="Times New Roman" w:hAnsi="Times New Roman" w:eastAsia="Times New Roman" w:cs="Times New Roman"/>
                <w:spacing w:val="17"/>
                <w:w w:val="101"/>
                <w:sz w:val="20"/>
                <w:szCs w:val="20"/>
                <w:highlight w:val="none"/>
              </w:rPr>
              <w:t xml:space="preserve"> </w:t>
            </w:r>
            <w:r>
              <w:rPr>
                <w:rFonts w:hint="default" w:ascii="Times New Roman" w:hAnsi="Times New Roman" w:eastAsia="宋体" w:cs="Times New Roman"/>
                <w:spacing w:val="3"/>
                <w:sz w:val="20"/>
                <w:szCs w:val="20"/>
                <w:highlight w:val="none"/>
              </w:rPr>
              <w:t>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z w:val="20"/>
                <w:szCs w:val="20"/>
                <w:highlight w:val="none"/>
              </w:rPr>
              <w:t>9</w:t>
            </w:r>
          </w:p>
        </w:tc>
        <w:tc>
          <w:tcPr>
            <w:tcW w:w="542" w:type="pct"/>
            <w:tcBorders>
              <w:tl2br w:val="nil"/>
              <w:tr2bl w:val="nil"/>
            </w:tcBorders>
            <w:vAlign w:val="top"/>
          </w:tcPr>
          <w:p>
            <w:pPr>
              <w:spacing w:before="31" w:line="217"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巴彦县兴隆文化小学</w:t>
            </w:r>
          </w:p>
        </w:tc>
        <w:tc>
          <w:tcPr>
            <w:tcW w:w="659"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127.08671093</w:t>
            </w:r>
          </w:p>
        </w:tc>
        <w:tc>
          <w:tcPr>
            <w:tcW w:w="602"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46.43738370</w:t>
            </w:r>
          </w:p>
        </w:tc>
        <w:tc>
          <w:tcPr>
            <w:tcW w:w="318" w:type="pct"/>
            <w:tcBorders>
              <w:tl2br w:val="nil"/>
              <w:tr2bl w:val="nil"/>
            </w:tcBorders>
            <w:vAlign w:val="top"/>
          </w:tcPr>
          <w:p>
            <w:pPr>
              <w:spacing w:before="67"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1"/>
                <w:sz w:val="20"/>
                <w:szCs w:val="20"/>
                <w:highlight w:val="none"/>
                <w:lang w:val="en-US" w:eastAsia="zh-CN"/>
              </w:rPr>
              <w:t>NW</w:t>
            </w:r>
          </w:p>
        </w:tc>
        <w:tc>
          <w:tcPr>
            <w:tcW w:w="440" w:type="pct"/>
            <w:tcBorders>
              <w:tl2br w:val="nil"/>
              <w:tr2bl w:val="nil"/>
            </w:tcBorders>
            <w:vAlign w:val="top"/>
          </w:tcPr>
          <w:p>
            <w:pPr>
              <w:spacing w:before="67" w:line="195" w:lineRule="auto"/>
              <w:ind w:left="24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3"/>
                <w:sz w:val="20"/>
                <w:szCs w:val="20"/>
                <w:highlight w:val="none"/>
                <w:lang w:val="en-US" w:eastAsia="zh-CN"/>
              </w:rPr>
              <w:t>1000</w:t>
            </w:r>
          </w:p>
        </w:tc>
        <w:tc>
          <w:tcPr>
            <w:tcW w:w="824" w:type="pct"/>
            <w:tcBorders>
              <w:tl2br w:val="nil"/>
              <w:tr2bl w:val="nil"/>
            </w:tcBorders>
            <w:vAlign w:val="top"/>
          </w:tcPr>
          <w:p>
            <w:pPr>
              <w:spacing w:before="31" w:line="217" w:lineRule="auto"/>
              <w:jc w:val="center"/>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4"/>
                <w:sz w:val="20"/>
                <w:szCs w:val="20"/>
                <w:highlight w:val="none"/>
              </w:rPr>
              <w:t>150</w:t>
            </w:r>
            <w:r>
              <w:rPr>
                <w:rFonts w:hint="default" w:ascii="Times New Roman" w:hAnsi="Times New Roman" w:eastAsia="Times New Roman" w:cs="Times New Roman"/>
                <w:spacing w:val="11"/>
                <w:sz w:val="20"/>
                <w:szCs w:val="20"/>
                <w:highlight w:val="none"/>
              </w:rPr>
              <w:t xml:space="preserve"> </w:t>
            </w:r>
            <w:r>
              <w:rPr>
                <w:rFonts w:hint="default" w:ascii="Times New Roman" w:hAnsi="Times New Roman" w:eastAsia="宋体" w:cs="Times New Roman"/>
                <w:spacing w:val="4"/>
                <w:sz w:val="20"/>
                <w:szCs w:val="20"/>
                <w:highlight w:val="none"/>
              </w:rPr>
              <w:t>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9"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8"/>
                <w:sz w:val="20"/>
                <w:szCs w:val="20"/>
                <w:highlight w:val="none"/>
              </w:rPr>
              <w:t>10</w:t>
            </w:r>
          </w:p>
        </w:tc>
        <w:tc>
          <w:tcPr>
            <w:tcW w:w="542" w:type="pct"/>
            <w:tcBorders>
              <w:tl2br w:val="nil"/>
              <w:tr2bl w:val="nil"/>
            </w:tcBorders>
            <w:vAlign w:val="top"/>
          </w:tcPr>
          <w:p>
            <w:pPr>
              <w:spacing w:before="32" w:line="217"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巴彦县兴隆红星小学</w:t>
            </w:r>
          </w:p>
        </w:tc>
        <w:tc>
          <w:tcPr>
            <w:tcW w:w="659" w:type="pct"/>
            <w:tcBorders>
              <w:tl2br w:val="nil"/>
              <w:tr2bl w:val="nil"/>
            </w:tcBorders>
            <w:vAlign w:val="top"/>
          </w:tcPr>
          <w:p>
            <w:pPr>
              <w:spacing w:before="69"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127.10304022</w:t>
            </w:r>
          </w:p>
        </w:tc>
        <w:tc>
          <w:tcPr>
            <w:tcW w:w="602" w:type="pct"/>
            <w:tcBorders>
              <w:tl2br w:val="nil"/>
              <w:tr2bl w:val="nil"/>
            </w:tcBorders>
            <w:vAlign w:val="top"/>
          </w:tcPr>
          <w:p>
            <w:pPr>
              <w:spacing w:before="69"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46.43308037</w:t>
            </w:r>
          </w:p>
        </w:tc>
        <w:tc>
          <w:tcPr>
            <w:tcW w:w="318" w:type="pct"/>
            <w:tcBorders>
              <w:tl2br w:val="nil"/>
              <w:tr2bl w:val="nil"/>
            </w:tcBorders>
            <w:vAlign w:val="top"/>
          </w:tcPr>
          <w:p>
            <w:pPr>
              <w:spacing w:before="69"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1"/>
                <w:sz w:val="20"/>
                <w:szCs w:val="20"/>
                <w:highlight w:val="none"/>
                <w:lang w:val="en-US" w:eastAsia="zh-CN"/>
              </w:rPr>
              <w:t>NE</w:t>
            </w:r>
          </w:p>
        </w:tc>
        <w:tc>
          <w:tcPr>
            <w:tcW w:w="440" w:type="pct"/>
            <w:tcBorders>
              <w:tl2br w:val="nil"/>
              <w:tr2bl w:val="nil"/>
            </w:tcBorders>
            <w:vAlign w:val="top"/>
          </w:tcPr>
          <w:p>
            <w:pPr>
              <w:spacing w:before="69" w:line="195" w:lineRule="auto"/>
              <w:ind w:left="26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2"/>
                <w:sz w:val="20"/>
                <w:szCs w:val="20"/>
                <w:highlight w:val="none"/>
                <w:lang w:val="en-US" w:eastAsia="zh-CN"/>
              </w:rPr>
              <w:t>1200</w:t>
            </w:r>
          </w:p>
        </w:tc>
        <w:tc>
          <w:tcPr>
            <w:tcW w:w="824" w:type="pct"/>
            <w:tcBorders>
              <w:tl2br w:val="nil"/>
              <w:tr2bl w:val="nil"/>
            </w:tcBorders>
            <w:vAlign w:val="top"/>
          </w:tcPr>
          <w:p>
            <w:pPr>
              <w:spacing w:before="32" w:line="217"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lang w:val="en-US" w:eastAsia="zh-CN"/>
              </w:rPr>
              <w:t>150</w:t>
            </w:r>
            <w:r>
              <w:rPr>
                <w:rFonts w:hint="default" w:ascii="Times New Roman" w:hAnsi="Times New Roman" w:eastAsia="Times New Roman" w:cs="Times New Roman"/>
                <w:spacing w:val="13"/>
                <w:w w:val="101"/>
                <w:sz w:val="20"/>
                <w:szCs w:val="20"/>
                <w:highlight w:val="none"/>
              </w:rPr>
              <w:t xml:space="preserve"> </w:t>
            </w:r>
            <w:r>
              <w:rPr>
                <w:rFonts w:hint="default" w:ascii="Times New Roman" w:hAnsi="Times New Roman" w:eastAsia="宋体" w:cs="Times New Roman"/>
                <w:spacing w:val="4"/>
                <w:sz w:val="20"/>
                <w:szCs w:val="20"/>
                <w:highlight w:val="none"/>
              </w:rPr>
              <w:t>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10"/>
                <w:sz w:val="20"/>
                <w:szCs w:val="20"/>
                <w:highlight w:val="none"/>
              </w:rPr>
              <w:t>11</w:t>
            </w:r>
          </w:p>
        </w:tc>
        <w:tc>
          <w:tcPr>
            <w:tcW w:w="542" w:type="pct"/>
            <w:tcBorders>
              <w:tl2br w:val="nil"/>
              <w:tr2bl w:val="nil"/>
            </w:tcBorders>
            <w:vAlign w:val="top"/>
          </w:tcPr>
          <w:p>
            <w:pPr>
              <w:spacing w:before="30" w:line="21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巴彦县兴隆中学</w:t>
            </w:r>
          </w:p>
        </w:tc>
        <w:tc>
          <w:tcPr>
            <w:tcW w:w="659" w:type="pct"/>
            <w:tcBorders>
              <w:tl2br w:val="nil"/>
              <w:tr2bl w:val="nil"/>
            </w:tcBorders>
            <w:vAlign w:val="top"/>
          </w:tcPr>
          <w:p>
            <w:pPr>
              <w:spacing w:before="66"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1"/>
                <w:sz w:val="20"/>
                <w:szCs w:val="20"/>
                <w:highlight w:val="none"/>
              </w:rPr>
              <w:t>127.10146844</w:t>
            </w:r>
          </w:p>
        </w:tc>
        <w:tc>
          <w:tcPr>
            <w:tcW w:w="602" w:type="pct"/>
            <w:tcBorders>
              <w:tl2br w:val="nil"/>
              <w:tr2bl w:val="nil"/>
            </w:tcBorders>
            <w:vAlign w:val="top"/>
          </w:tcPr>
          <w:p>
            <w:pPr>
              <w:spacing w:before="66"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46.44344623</w:t>
            </w:r>
          </w:p>
        </w:tc>
        <w:tc>
          <w:tcPr>
            <w:tcW w:w="318" w:type="pct"/>
            <w:tcBorders>
              <w:tl2br w:val="nil"/>
              <w:tr2bl w:val="nil"/>
            </w:tcBorders>
            <w:vAlign w:val="top"/>
          </w:tcPr>
          <w:p>
            <w:pPr>
              <w:spacing w:before="66"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1"/>
                <w:sz w:val="20"/>
                <w:szCs w:val="20"/>
                <w:highlight w:val="none"/>
                <w:lang w:val="en-US" w:eastAsia="zh-CN"/>
              </w:rPr>
              <w:t>NE</w:t>
            </w:r>
          </w:p>
        </w:tc>
        <w:tc>
          <w:tcPr>
            <w:tcW w:w="440" w:type="pct"/>
            <w:tcBorders>
              <w:tl2br w:val="nil"/>
              <w:tr2bl w:val="nil"/>
            </w:tcBorders>
            <w:vAlign w:val="top"/>
          </w:tcPr>
          <w:p>
            <w:pPr>
              <w:spacing w:before="66" w:line="195" w:lineRule="auto"/>
              <w:ind w:left="24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3"/>
                <w:sz w:val="20"/>
                <w:szCs w:val="20"/>
                <w:highlight w:val="none"/>
                <w:lang w:val="en-US" w:eastAsia="zh-CN"/>
              </w:rPr>
              <w:t>1890</w:t>
            </w:r>
          </w:p>
        </w:tc>
        <w:tc>
          <w:tcPr>
            <w:tcW w:w="824" w:type="pct"/>
            <w:tcBorders>
              <w:tl2br w:val="nil"/>
              <w:tr2bl w:val="nil"/>
            </w:tcBorders>
            <w:vAlign w:val="top"/>
          </w:tcPr>
          <w:p>
            <w:pPr>
              <w:spacing w:before="30" w:line="218" w:lineRule="auto"/>
              <w:jc w:val="center"/>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4"/>
                <w:sz w:val="20"/>
                <w:szCs w:val="20"/>
                <w:highlight w:val="none"/>
              </w:rPr>
              <w:t>210</w:t>
            </w:r>
            <w:r>
              <w:rPr>
                <w:rFonts w:hint="default" w:ascii="Times New Roman" w:hAnsi="Times New Roman" w:eastAsia="Times New Roman" w:cs="Times New Roman"/>
                <w:spacing w:val="13"/>
                <w:sz w:val="20"/>
                <w:szCs w:val="20"/>
                <w:highlight w:val="none"/>
              </w:rPr>
              <w:t xml:space="preserve"> </w:t>
            </w:r>
            <w:r>
              <w:rPr>
                <w:rFonts w:hint="default" w:ascii="Times New Roman" w:hAnsi="Times New Roman" w:eastAsia="宋体" w:cs="Times New Roman"/>
                <w:spacing w:val="4"/>
                <w:sz w:val="20"/>
                <w:szCs w:val="20"/>
                <w:highlight w:val="none"/>
              </w:rPr>
              <w:t>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8"/>
                <w:sz w:val="20"/>
                <w:szCs w:val="20"/>
                <w:highlight w:val="none"/>
              </w:rPr>
              <w:t>12</w:t>
            </w:r>
          </w:p>
        </w:tc>
        <w:tc>
          <w:tcPr>
            <w:tcW w:w="542" w:type="pct"/>
            <w:tcBorders>
              <w:tl2br w:val="nil"/>
              <w:tr2bl w:val="nil"/>
            </w:tcBorders>
            <w:vAlign w:val="top"/>
          </w:tcPr>
          <w:p>
            <w:pPr>
              <w:spacing w:before="31" w:line="217"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巴彦县第二人民医院</w:t>
            </w:r>
          </w:p>
        </w:tc>
        <w:tc>
          <w:tcPr>
            <w:tcW w:w="659" w:type="pct"/>
            <w:tcBorders>
              <w:tl2br w:val="nil"/>
              <w:tr2bl w:val="nil"/>
            </w:tcBorders>
            <w:vAlign w:val="top"/>
          </w:tcPr>
          <w:p>
            <w:pPr>
              <w:spacing w:before="6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127.10299730</w:t>
            </w:r>
          </w:p>
        </w:tc>
        <w:tc>
          <w:tcPr>
            <w:tcW w:w="602" w:type="pct"/>
            <w:tcBorders>
              <w:tl2br w:val="nil"/>
              <w:tr2bl w:val="nil"/>
            </w:tcBorders>
            <w:vAlign w:val="top"/>
          </w:tcPr>
          <w:p>
            <w:pPr>
              <w:spacing w:before="6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46.44743826</w:t>
            </w:r>
          </w:p>
        </w:tc>
        <w:tc>
          <w:tcPr>
            <w:tcW w:w="318" w:type="pct"/>
            <w:tcBorders>
              <w:tl2br w:val="nil"/>
              <w:tr2bl w:val="nil"/>
            </w:tcBorders>
            <w:vAlign w:val="top"/>
          </w:tcPr>
          <w:p>
            <w:pPr>
              <w:spacing w:before="68"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2"/>
                <w:sz w:val="20"/>
                <w:szCs w:val="20"/>
                <w:highlight w:val="none"/>
                <w:lang w:val="en-US" w:eastAsia="zh-CN"/>
              </w:rPr>
              <w:t>NE</w:t>
            </w:r>
          </w:p>
        </w:tc>
        <w:tc>
          <w:tcPr>
            <w:tcW w:w="440" w:type="pct"/>
            <w:tcBorders>
              <w:tl2br w:val="nil"/>
              <w:tr2bl w:val="nil"/>
            </w:tcBorders>
            <w:vAlign w:val="top"/>
          </w:tcPr>
          <w:p>
            <w:pPr>
              <w:spacing w:before="68" w:line="195" w:lineRule="auto"/>
              <w:ind w:left="24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3"/>
                <w:sz w:val="20"/>
                <w:szCs w:val="20"/>
                <w:highlight w:val="none"/>
                <w:lang w:val="en-US" w:eastAsia="zh-CN"/>
              </w:rPr>
              <w:t>2400</w:t>
            </w:r>
          </w:p>
        </w:tc>
        <w:tc>
          <w:tcPr>
            <w:tcW w:w="824" w:type="pct"/>
            <w:tcBorders>
              <w:tl2br w:val="nil"/>
              <w:tr2bl w:val="nil"/>
            </w:tcBorders>
            <w:vAlign w:val="top"/>
          </w:tcPr>
          <w:p>
            <w:pPr>
              <w:spacing w:before="31" w:line="217" w:lineRule="auto"/>
              <w:jc w:val="center"/>
              <w:rPr>
                <w:rFonts w:hint="eastAsia" w:ascii="Times New Roman" w:hAnsi="Times New Roman" w:eastAsia="宋体" w:cs="Times New Roman"/>
                <w:sz w:val="20"/>
                <w:szCs w:val="20"/>
                <w:highlight w:val="none"/>
                <w:lang w:eastAsia="zh-CN"/>
              </w:rPr>
            </w:pPr>
            <w:r>
              <w:rPr>
                <w:rFonts w:hint="default" w:ascii="Times New Roman" w:hAnsi="Times New Roman" w:eastAsia="Times New Roman" w:cs="Times New Roman"/>
                <w:sz w:val="20"/>
                <w:szCs w:val="20"/>
                <w:highlight w:val="none"/>
              </w:rPr>
              <w:t>30</w:t>
            </w:r>
            <w:r>
              <w:rPr>
                <w:rFonts w:hint="default" w:ascii="Times New Roman" w:hAnsi="Times New Roman" w:eastAsia="Times New Roman" w:cs="Times New Roman"/>
                <w:spacing w:val="11"/>
                <w:sz w:val="20"/>
                <w:szCs w:val="20"/>
                <w:highlight w:val="none"/>
              </w:rPr>
              <w:t xml:space="preserve"> </w:t>
            </w:r>
            <w:r>
              <w:rPr>
                <w:rFonts w:hint="eastAsia" w:ascii="Times New Roman" w:hAnsi="Times New Roman" w:eastAsia="宋体" w:cs="Times New Roman"/>
                <w:spacing w:val="11"/>
                <w:sz w:val="20"/>
                <w:szCs w:val="20"/>
                <w:highlight w:val="none"/>
                <w:lang w:val="en-US" w:eastAsia="zh-CN"/>
              </w:rPr>
              <w:t>0</w:t>
            </w:r>
            <w:r>
              <w:rPr>
                <w:rFonts w:hint="default" w:ascii="Times New Roman" w:hAnsi="Times New Roman" w:eastAsia="宋体" w:cs="Times New Roman"/>
                <w:sz w:val="20"/>
                <w:szCs w:val="20"/>
                <w:highlight w:val="none"/>
              </w:rPr>
              <w:t>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2"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9"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8"/>
                <w:sz w:val="20"/>
                <w:szCs w:val="20"/>
                <w:highlight w:val="none"/>
              </w:rPr>
              <w:t>13</w:t>
            </w:r>
          </w:p>
        </w:tc>
        <w:tc>
          <w:tcPr>
            <w:tcW w:w="542" w:type="pct"/>
            <w:tcBorders>
              <w:tl2br w:val="nil"/>
              <w:tr2bl w:val="nil"/>
            </w:tcBorders>
            <w:vAlign w:val="top"/>
          </w:tcPr>
          <w:p>
            <w:pPr>
              <w:spacing w:before="33" w:line="216"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1"/>
                <w:sz w:val="20"/>
                <w:szCs w:val="20"/>
                <w:highlight w:val="none"/>
              </w:rPr>
              <w:t>巴彦县兴隆镇中心学校</w:t>
            </w:r>
          </w:p>
        </w:tc>
        <w:tc>
          <w:tcPr>
            <w:tcW w:w="659" w:type="pct"/>
            <w:tcBorders>
              <w:tl2br w:val="nil"/>
              <w:tr2bl w:val="nil"/>
            </w:tcBorders>
            <w:vAlign w:val="top"/>
          </w:tcPr>
          <w:p>
            <w:pPr>
              <w:spacing w:before="69"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127.10466564</w:t>
            </w:r>
          </w:p>
        </w:tc>
        <w:tc>
          <w:tcPr>
            <w:tcW w:w="602" w:type="pct"/>
            <w:tcBorders>
              <w:tl2br w:val="nil"/>
              <w:tr2bl w:val="nil"/>
            </w:tcBorders>
            <w:vAlign w:val="top"/>
          </w:tcPr>
          <w:p>
            <w:pPr>
              <w:spacing w:before="69"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46.44166820</w:t>
            </w:r>
          </w:p>
        </w:tc>
        <w:tc>
          <w:tcPr>
            <w:tcW w:w="318" w:type="pct"/>
            <w:tcBorders>
              <w:tl2br w:val="nil"/>
              <w:tr2bl w:val="nil"/>
            </w:tcBorders>
            <w:vAlign w:val="top"/>
          </w:tcPr>
          <w:p>
            <w:pPr>
              <w:spacing w:before="69"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2"/>
                <w:sz w:val="20"/>
                <w:szCs w:val="20"/>
                <w:highlight w:val="none"/>
                <w:lang w:val="en-US" w:eastAsia="zh-CN"/>
              </w:rPr>
              <w:t>NE</w:t>
            </w:r>
          </w:p>
        </w:tc>
        <w:tc>
          <w:tcPr>
            <w:tcW w:w="440" w:type="pct"/>
            <w:tcBorders>
              <w:tl2br w:val="nil"/>
              <w:tr2bl w:val="nil"/>
            </w:tcBorders>
            <w:vAlign w:val="top"/>
          </w:tcPr>
          <w:p>
            <w:pPr>
              <w:spacing w:before="69" w:line="195" w:lineRule="auto"/>
              <w:ind w:left="26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2"/>
                <w:sz w:val="20"/>
                <w:szCs w:val="20"/>
                <w:highlight w:val="none"/>
                <w:lang w:val="en-US" w:eastAsia="zh-CN"/>
              </w:rPr>
              <w:t>1950</w:t>
            </w:r>
          </w:p>
        </w:tc>
        <w:tc>
          <w:tcPr>
            <w:tcW w:w="824" w:type="pct"/>
            <w:tcBorders>
              <w:tl2br w:val="nil"/>
              <w:tr2bl w:val="nil"/>
            </w:tcBorders>
            <w:vAlign w:val="top"/>
          </w:tcPr>
          <w:p>
            <w:pPr>
              <w:spacing w:before="33" w:line="216"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lang w:val="en-US" w:eastAsia="zh-CN"/>
              </w:rPr>
              <w:t>150</w:t>
            </w:r>
            <w:r>
              <w:rPr>
                <w:rFonts w:hint="default" w:ascii="Times New Roman" w:hAnsi="Times New Roman" w:eastAsia="宋体" w:cs="Times New Roman"/>
                <w:spacing w:val="4"/>
                <w:sz w:val="20"/>
                <w:szCs w:val="20"/>
                <w:highlight w:val="none"/>
              </w:rPr>
              <w:t>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8"/>
                <w:sz w:val="20"/>
                <w:szCs w:val="20"/>
                <w:highlight w:val="none"/>
              </w:rPr>
              <w:t>14</w:t>
            </w:r>
          </w:p>
        </w:tc>
        <w:tc>
          <w:tcPr>
            <w:tcW w:w="542" w:type="pct"/>
            <w:tcBorders>
              <w:tl2br w:val="nil"/>
              <w:tr2bl w:val="nil"/>
            </w:tcBorders>
            <w:vAlign w:val="top"/>
          </w:tcPr>
          <w:p>
            <w:pPr>
              <w:spacing w:before="30" w:line="21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rPr>
              <w:t>巴彦县兴隆镇人民政府</w:t>
            </w:r>
          </w:p>
        </w:tc>
        <w:tc>
          <w:tcPr>
            <w:tcW w:w="659"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127.10930049</w:t>
            </w:r>
          </w:p>
        </w:tc>
        <w:tc>
          <w:tcPr>
            <w:tcW w:w="602"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3"/>
                <w:sz w:val="20"/>
                <w:szCs w:val="20"/>
                <w:highlight w:val="none"/>
              </w:rPr>
              <w:t>46.43463685</w:t>
            </w:r>
          </w:p>
        </w:tc>
        <w:tc>
          <w:tcPr>
            <w:tcW w:w="318" w:type="pct"/>
            <w:tcBorders>
              <w:tl2br w:val="nil"/>
              <w:tr2bl w:val="nil"/>
            </w:tcBorders>
            <w:vAlign w:val="top"/>
          </w:tcPr>
          <w:p>
            <w:pPr>
              <w:spacing w:before="67"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2"/>
                <w:sz w:val="20"/>
                <w:szCs w:val="20"/>
                <w:highlight w:val="none"/>
                <w:lang w:val="en-US" w:eastAsia="zh-CN"/>
              </w:rPr>
              <w:t>NE</w:t>
            </w:r>
          </w:p>
        </w:tc>
        <w:tc>
          <w:tcPr>
            <w:tcW w:w="440" w:type="pct"/>
            <w:tcBorders>
              <w:tl2br w:val="nil"/>
              <w:tr2bl w:val="nil"/>
            </w:tcBorders>
            <w:vAlign w:val="top"/>
          </w:tcPr>
          <w:p>
            <w:pPr>
              <w:spacing w:before="67" w:line="195" w:lineRule="auto"/>
              <w:ind w:left="24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3"/>
                <w:sz w:val="20"/>
                <w:szCs w:val="20"/>
                <w:highlight w:val="none"/>
                <w:lang w:val="en-US" w:eastAsia="zh-CN"/>
              </w:rPr>
              <w:t>1700</w:t>
            </w:r>
          </w:p>
        </w:tc>
        <w:tc>
          <w:tcPr>
            <w:tcW w:w="824" w:type="pct"/>
            <w:tcBorders>
              <w:tl2br w:val="nil"/>
              <w:tr2bl w:val="nil"/>
            </w:tcBorders>
            <w:vAlign w:val="top"/>
          </w:tcPr>
          <w:p>
            <w:pPr>
              <w:spacing w:before="30" w:line="218" w:lineRule="auto"/>
              <w:jc w:val="center"/>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4"/>
                <w:sz w:val="20"/>
                <w:szCs w:val="20"/>
                <w:highlight w:val="none"/>
              </w:rPr>
              <w:t>60</w:t>
            </w:r>
            <w:r>
              <w:rPr>
                <w:rFonts w:hint="default" w:ascii="Times New Roman" w:hAnsi="Times New Roman" w:eastAsia="Times New Roman" w:cs="Times New Roman"/>
                <w:spacing w:val="15"/>
                <w:w w:val="101"/>
                <w:sz w:val="20"/>
                <w:szCs w:val="20"/>
                <w:highlight w:val="none"/>
              </w:rPr>
              <w:t xml:space="preserve"> </w:t>
            </w:r>
            <w:r>
              <w:rPr>
                <w:rFonts w:hint="default" w:ascii="Times New Roman" w:hAnsi="Times New Roman" w:eastAsia="宋体" w:cs="Times New Roman"/>
                <w:spacing w:val="4"/>
                <w:sz w:val="20"/>
                <w:szCs w:val="20"/>
                <w:highlight w:val="none"/>
              </w:rPr>
              <w:t>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8"/>
                <w:sz w:val="20"/>
                <w:szCs w:val="20"/>
                <w:highlight w:val="none"/>
              </w:rPr>
              <w:t>15</w:t>
            </w:r>
          </w:p>
        </w:tc>
        <w:tc>
          <w:tcPr>
            <w:tcW w:w="542" w:type="pct"/>
            <w:tcBorders>
              <w:tl2br w:val="nil"/>
              <w:tr2bl w:val="nil"/>
            </w:tcBorders>
            <w:vAlign w:val="top"/>
          </w:tcPr>
          <w:p>
            <w:pPr>
              <w:spacing w:before="33" w:line="216"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黑龙江省兴隆林业地区公安局</w:t>
            </w:r>
          </w:p>
        </w:tc>
        <w:tc>
          <w:tcPr>
            <w:tcW w:w="659" w:type="pct"/>
            <w:tcBorders>
              <w:tl2br w:val="nil"/>
              <w:tr2bl w:val="nil"/>
            </w:tcBorders>
            <w:vAlign w:val="top"/>
          </w:tcPr>
          <w:p>
            <w:pPr>
              <w:spacing w:before="6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1"/>
                <w:sz w:val="20"/>
                <w:szCs w:val="20"/>
                <w:highlight w:val="none"/>
              </w:rPr>
              <w:t>127.11559296</w:t>
            </w:r>
          </w:p>
        </w:tc>
        <w:tc>
          <w:tcPr>
            <w:tcW w:w="602" w:type="pct"/>
            <w:tcBorders>
              <w:tl2br w:val="nil"/>
              <w:tr2bl w:val="nil"/>
            </w:tcBorders>
            <w:vAlign w:val="top"/>
          </w:tcPr>
          <w:p>
            <w:pPr>
              <w:spacing w:before="6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46.43776817</w:t>
            </w:r>
          </w:p>
        </w:tc>
        <w:tc>
          <w:tcPr>
            <w:tcW w:w="318" w:type="pct"/>
            <w:tcBorders>
              <w:tl2br w:val="nil"/>
              <w:tr2bl w:val="nil"/>
            </w:tcBorders>
            <w:vAlign w:val="top"/>
          </w:tcPr>
          <w:p>
            <w:pPr>
              <w:spacing w:before="68"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2"/>
                <w:sz w:val="20"/>
                <w:szCs w:val="20"/>
                <w:highlight w:val="none"/>
                <w:lang w:val="en-US" w:eastAsia="zh-CN"/>
              </w:rPr>
              <w:t>NE</w:t>
            </w:r>
          </w:p>
        </w:tc>
        <w:tc>
          <w:tcPr>
            <w:tcW w:w="440" w:type="pct"/>
            <w:tcBorders>
              <w:tl2br w:val="nil"/>
              <w:tr2bl w:val="nil"/>
            </w:tcBorders>
            <w:vAlign w:val="top"/>
          </w:tcPr>
          <w:p>
            <w:pPr>
              <w:spacing w:before="68" w:line="195" w:lineRule="auto"/>
              <w:ind w:left="24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3"/>
                <w:sz w:val="20"/>
                <w:szCs w:val="20"/>
                <w:highlight w:val="none"/>
                <w:lang w:val="en-US" w:eastAsia="zh-CN"/>
              </w:rPr>
              <w:t>2300</w:t>
            </w:r>
          </w:p>
        </w:tc>
        <w:tc>
          <w:tcPr>
            <w:tcW w:w="824" w:type="pct"/>
            <w:tcBorders>
              <w:tl2br w:val="nil"/>
              <w:tr2bl w:val="nil"/>
            </w:tcBorders>
            <w:vAlign w:val="top"/>
          </w:tcPr>
          <w:p>
            <w:pPr>
              <w:spacing w:before="33" w:line="216" w:lineRule="auto"/>
              <w:jc w:val="center"/>
              <w:rPr>
                <w:rFonts w:hint="default" w:ascii="Times New Roman" w:hAnsi="Times New Roman" w:eastAsia="宋体" w:cs="Times New Roman"/>
                <w:sz w:val="20"/>
                <w:szCs w:val="20"/>
                <w:highlight w:val="none"/>
              </w:rPr>
            </w:pPr>
            <w:r>
              <w:rPr>
                <w:rFonts w:hint="default" w:ascii="Times New Roman" w:hAnsi="Times New Roman" w:eastAsia="Times New Roman" w:cs="Times New Roman"/>
                <w:spacing w:val="4"/>
                <w:sz w:val="20"/>
                <w:szCs w:val="20"/>
                <w:highlight w:val="none"/>
              </w:rPr>
              <w:t>50</w:t>
            </w:r>
            <w:r>
              <w:rPr>
                <w:rFonts w:hint="default" w:ascii="Times New Roman" w:hAnsi="Times New Roman" w:eastAsia="Times New Roman" w:cs="Times New Roman"/>
                <w:spacing w:val="11"/>
                <w:sz w:val="20"/>
                <w:szCs w:val="20"/>
                <w:highlight w:val="none"/>
              </w:rPr>
              <w:t xml:space="preserve"> </w:t>
            </w:r>
            <w:r>
              <w:rPr>
                <w:rFonts w:hint="default" w:ascii="Times New Roman" w:hAnsi="Times New Roman" w:eastAsia="宋体" w:cs="Times New Roman"/>
                <w:spacing w:val="4"/>
                <w:sz w:val="20"/>
                <w:szCs w:val="20"/>
                <w:highlight w:val="none"/>
              </w:rPr>
              <w:t>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8"/>
                <w:sz w:val="20"/>
                <w:szCs w:val="20"/>
                <w:highlight w:val="none"/>
              </w:rPr>
              <w:t>16</w:t>
            </w:r>
          </w:p>
        </w:tc>
        <w:tc>
          <w:tcPr>
            <w:tcW w:w="542" w:type="pct"/>
            <w:tcBorders>
              <w:tl2br w:val="nil"/>
              <w:tr2bl w:val="nil"/>
            </w:tcBorders>
            <w:vAlign w:val="top"/>
          </w:tcPr>
          <w:p>
            <w:pPr>
              <w:spacing w:before="30" w:line="219"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巴彦县人民法院兴隆人民法庭</w:t>
            </w:r>
          </w:p>
        </w:tc>
        <w:tc>
          <w:tcPr>
            <w:tcW w:w="659"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1"/>
                <w:sz w:val="20"/>
                <w:szCs w:val="20"/>
                <w:highlight w:val="none"/>
              </w:rPr>
              <w:t>127.11859703</w:t>
            </w:r>
          </w:p>
        </w:tc>
        <w:tc>
          <w:tcPr>
            <w:tcW w:w="602"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46.43782732</w:t>
            </w:r>
          </w:p>
        </w:tc>
        <w:tc>
          <w:tcPr>
            <w:tcW w:w="318" w:type="pct"/>
            <w:tcBorders>
              <w:tl2br w:val="nil"/>
              <w:tr2bl w:val="nil"/>
            </w:tcBorders>
            <w:vAlign w:val="top"/>
          </w:tcPr>
          <w:p>
            <w:pPr>
              <w:spacing w:before="67" w:line="195" w:lineRule="auto"/>
              <w:jc w:val="center"/>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spacing w:val="-2"/>
                <w:sz w:val="20"/>
                <w:szCs w:val="20"/>
                <w:highlight w:val="none"/>
                <w:lang w:val="en-US" w:eastAsia="zh-CN"/>
              </w:rPr>
              <w:t>N</w:t>
            </w:r>
          </w:p>
        </w:tc>
        <w:tc>
          <w:tcPr>
            <w:tcW w:w="440" w:type="pct"/>
            <w:tcBorders>
              <w:tl2br w:val="nil"/>
              <w:tr2bl w:val="nil"/>
            </w:tcBorders>
            <w:vAlign w:val="top"/>
          </w:tcPr>
          <w:p>
            <w:pPr>
              <w:spacing w:before="67" w:line="195" w:lineRule="auto"/>
              <w:ind w:left="26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Times New Roman" w:cs="Times New Roman"/>
                <w:spacing w:val="-2"/>
                <w:sz w:val="20"/>
                <w:szCs w:val="20"/>
                <w:highlight w:val="none"/>
              </w:rPr>
              <w:t>1</w:t>
            </w:r>
            <w:r>
              <w:rPr>
                <w:rFonts w:hint="default" w:ascii="Times New Roman" w:hAnsi="Times New Roman" w:eastAsia="宋体" w:cs="Times New Roman"/>
                <w:spacing w:val="-2"/>
                <w:sz w:val="20"/>
                <w:szCs w:val="20"/>
                <w:highlight w:val="none"/>
                <w:lang w:val="en-US" w:eastAsia="zh-CN"/>
              </w:rPr>
              <w:t>230</w:t>
            </w:r>
          </w:p>
        </w:tc>
        <w:tc>
          <w:tcPr>
            <w:tcW w:w="824" w:type="pct"/>
            <w:tcBorders>
              <w:tl2br w:val="nil"/>
              <w:tr2bl w:val="nil"/>
            </w:tcBorders>
            <w:vAlign w:val="top"/>
          </w:tcPr>
          <w:p>
            <w:pPr>
              <w:spacing w:before="30" w:line="219"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3"/>
                <w:sz w:val="20"/>
                <w:szCs w:val="20"/>
                <w:highlight w:val="none"/>
                <w:lang w:val="en-US" w:eastAsia="zh-CN"/>
              </w:rPr>
              <w:t>50</w:t>
            </w:r>
            <w:r>
              <w:rPr>
                <w:rFonts w:hint="default" w:ascii="Times New Roman" w:hAnsi="Times New Roman" w:eastAsia="Times New Roman" w:cs="Times New Roman"/>
                <w:spacing w:val="17"/>
                <w:w w:val="101"/>
                <w:sz w:val="20"/>
                <w:szCs w:val="20"/>
                <w:highlight w:val="none"/>
              </w:rPr>
              <w:t xml:space="preserve"> </w:t>
            </w:r>
            <w:r>
              <w:rPr>
                <w:rFonts w:hint="default" w:ascii="Times New Roman" w:hAnsi="Times New Roman" w:eastAsia="宋体" w:cs="Times New Roman"/>
                <w:spacing w:val="3"/>
                <w:sz w:val="20"/>
                <w:szCs w:val="20"/>
                <w:highlight w:val="none"/>
              </w:rPr>
              <w:t>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8"/>
                <w:sz w:val="20"/>
                <w:szCs w:val="20"/>
                <w:highlight w:val="none"/>
              </w:rPr>
              <w:t>17</w:t>
            </w:r>
          </w:p>
        </w:tc>
        <w:tc>
          <w:tcPr>
            <w:tcW w:w="542" w:type="pct"/>
            <w:tcBorders>
              <w:tl2br w:val="nil"/>
              <w:tr2bl w:val="nil"/>
            </w:tcBorders>
            <w:vAlign w:val="top"/>
          </w:tcPr>
          <w:p>
            <w:pPr>
              <w:spacing w:before="31" w:line="217"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2"/>
                <w:sz w:val="20"/>
                <w:szCs w:val="20"/>
                <w:highlight w:val="none"/>
              </w:rPr>
              <w:t>巴彦县兴乐村卫生室</w:t>
            </w:r>
          </w:p>
        </w:tc>
        <w:tc>
          <w:tcPr>
            <w:tcW w:w="659"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4"/>
                <w:sz w:val="20"/>
                <w:szCs w:val="20"/>
                <w:highlight w:val="none"/>
              </w:rPr>
              <w:t>127.09031582</w:t>
            </w:r>
          </w:p>
        </w:tc>
        <w:tc>
          <w:tcPr>
            <w:tcW w:w="602" w:type="pct"/>
            <w:tcBorders>
              <w:tl2br w:val="nil"/>
              <w:tr2bl w:val="nil"/>
            </w:tcBorders>
            <w:vAlign w:val="top"/>
          </w:tcPr>
          <w:p>
            <w:pPr>
              <w:spacing w:before="67"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46.43900290</w:t>
            </w:r>
          </w:p>
        </w:tc>
        <w:tc>
          <w:tcPr>
            <w:tcW w:w="318" w:type="pct"/>
            <w:tcBorders>
              <w:tl2br w:val="nil"/>
              <w:tr2bl w:val="nil"/>
            </w:tcBorders>
            <w:vAlign w:val="top"/>
          </w:tcPr>
          <w:p>
            <w:pPr>
              <w:spacing w:before="67" w:line="195" w:lineRule="auto"/>
              <w:jc w:val="center"/>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spacing w:val="-2"/>
                <w:sz w:val="20"/>
                <w:szCs w:val="20"/>
                <w:highlight w:val="none"/>
                <w:lang w:val="en-US" w:eastAsia="zh-CN"/>
              </w:rPr>
              <w:t>N</w:t>
            </w:r>
          </w:p>
        </w:tc>
        <w:tc>
          <w:tcPr>
            <w:tcW w:w="440" w:type="pct"/>
            <w:tcBorders>
              <w:tl2br w:val="nil"/>
              <w:tr2bl w:val="nil"/>
            </w:tcBorders>
            <w:vAlign w:val="top"/>
          </w:tcPr>
          <w:p>
            <w:pPr>
              <w:spacing w:before="67" w:line="195" w:lineRule="auto"/>
              <w:ind w:left="24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3"/>
                <w:sz w:val="20"/>
                <w:szCs w:val="20"/>
                <w:highlight w:val="none"/>
                <w:lang w:val="en-US" w:eastAsia="zh-CN"/>
              </w:rPr>
              <w:t>1280</w:t>
            </w:r>
          </w:p>
        </w:tc>
        <w:tc>
          <w:tcPr>
            <w:tcW w:w="824" w:type="pct"/>
            <w:tcBorders>
              <w:tl2br w:val="nil"/>
              <w:tr2bl w:val="nil"/>
            </w:tcBorders>
            <w:vAlign w:val="top"/>
          </w:tcPr>
          <w:p>
            <w:pPr>
              <w:spacing w:before="31" w:line="217"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pacing w:val="4"/>
                <w:sz w:val="20"/>
                <w:szCs w:val="20"/>
                <w:highlight w:val="none"/>
                <w:lang w:val="en-US" w:eastAsia="zh-CN"/>
              </w:rPr>
              <w:t>50</w:t>
            </w:r>
            <w:r>
              <w:rPr>
                <w:rFonts w:hint="default" w:ascii="Times New Roman" w:hAnsi="Times New Roman" w:eastAsia="宋体" w:cs="Times New Roman"/>
                <w:spacing w:val="4"/>
                <w:sz w:val="20"/>
                <w:szCs w:val="20"/>
                <w:highlight w:val="none"/>
              </w:rPr>
              <w:t>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8"/>
                <w:sz w:val="20"/>
                <w:szCs w:val="20"/>
                <w:highlight w:val="none"/>
              </w:rPr>
              <w:t>18</w:t>
            </w:r>
          </w:p>
        </w:tc>
        <w:tc>
          <w:tcPr>
            <w:tcW w:w="542" w:type="pct"/>
            <w:tcBorders>
              <w:tl2br w:val="nil"/>
              <w:tr2bl w:val="nil"/>
            </w:tcBorders>
            <w:vAlign w:val="top"/>
          </w:tcPr>
          <w:p>
            <w:pPr>
              <w:spacing w:before="33" w:line="216"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巴彦县兴隆二中</w:t>
            </w:r>
          </w:p>
        </w:tc>
        <w:tc>
          <w:tcPr>
            <w:tcW w:w="659" w:type="pct"/>
            <w:tcBorders>
              <w:tl2br w:val="nil"/>
              <w:tr2bl w:val="nil"/>
            </w:tcBorders>
            <w:vAlign w:val="top"/>
          </w:tcPr>
          <w:p>
            <w:pPr>
              <w:spacing w:before="6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1"/>
                <w:sz w:val="20"/>
                <w:szCs w:val="20"/>
                <w:highlight w:val="none"/>
              </w:rPr>
              <w:t>127.08895326</w:t>
            </w:r>
          </w:p>
        </w:tc>
        <w:tc>
          <w:tcPr>
            <w:tcW w:w="602" w:type="pct"/>
            <w:tcBorders>
              <w:tl2br w:val="nil"/>
              <w:tr2bl w:val="nil"/>
            </w:tcBorders>
            <w:vAlign w:val="top"/>
          </w:tcPr>
          <w:p>
            <w:pPr>
              <w:spacing w:before="68" w:line="195"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46.43683656</w:t>
            </w:r>
          </w:p>
        </w:tc>
        <w:tc>
          <w:tcPr>
            <w:tcW w:w="318" w:type="pct"/>
            <w:tcBorders>
              <w:tl2br w:val="nil"/>
              <w:tr2bl w:val="nil"/>
            </w:tcBorders>
            <w:vAlign w:val="top"/>
          </w:tcPr>
          <w:p>
            <w:pPr>
              <w:spacing w:before="71" w:line="192" w:lineRule="auto"/>
              <w:jc w:val="center"/>
              <w:rPr>
                <w:rFonts w:hint="default" w:ascii="Times New Roman" w:hAnsi="Times New Roman" w:eastAsia="宋体" w:cs="Times New Roman"/>
                <w:sz w:val="20"/>
                <w:szCs w:val="20"/>
                <w:highlight w:val="none"/>
                <w:lang w:eastAsia="zh-CN"/>
              </w:rPr>
            </w:pPr>
            <w:r>
              <w:rPr>
                <w:rFonts w:hint="default" w:ascii="Times New Roman" w:hAnsi="Times New Roman" w:eastAsia="宋体" w:cs="Times New Roman"/>
                <w:spacing w:val="7"/>
                <w:sz w:val="20"/>
                <w:szCs w:val="20"/>
                <w:highlight w:val="none"/>
                <w:lang w:val="en-US" w:eastAsia="zh-CN"/>
              </w:rPr>
              <w:t>N</w:t>
            </w:r>
          </w:p>
        </w:tc>
        <w:tc>
          <w:tcPr>
            <w:tcW w:w="440" w:type="pct"/>
            <w:tcBorders>
              <w:tl2br w:val="nil"/>
              <w:tr2bl w:val="nil"/>
            </w:tcBorders>
            <w:vAlign w:val="top"/>
          </w:tcPr>
          <w:p>
            <w:pPr>
              <w:spacing w:before="68" w:line="195" w:lineRule="auto"/>
              <w:ind w:left="268"/>
              <w:jc w:val="both"/>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2"/>
                <w:sz w:val="20"/>
                <w:szCs w:val="20"/>
                <w:highlight w:val="none"/>
                <w:lang w:val="en-US" w:eastAsia="zh-CN"/>
              </w:rPr>
              <w:t>950</w:t>
            </w:r>
          </w:p>
        </w:tc>
        <w:tc>
          <w:tcPr>
            <w:tcW w:w="824" w:type="pct"/>
            <w:tcBorders>
              <w:tl2br w:val="nil"/>
              <w:tr2bl w:val="nil"/>
            </w:tcBorders>
            <w:vAlign w:val="top"/>
          </w:tcPr>
          <w:p>
            <w:pPr>
              <w:spacing w:before="33" w:line="216" w:lineRule="auto"/>
              <w:jc w:val="center"/>
              <w:rPr>
                <w:rFonts w:hint="default" w:ascii="Times New Roman" w:hAnsi="Times New Roman" w:eastAsia="宋体" w:cs="Times New Roman"/>
                <w:sz w:val="20"/>
                <w:szCs w:val="20"/>
                <w:highlight w:val="none"/>
                <w:lang w:val="en-US" w:eastAsia="zh-CN"/>
              </w:rPr>
            </w:pPr>
            <w:r>
              <w:rPr>
                <w:rFonts w:hint="eastAsia" w:ascii="Times New Roman" w:hAnsi="Times New Roman" w:eastAsia="宋体" w:cs="Times New Roman"/>
                <w:spacing w:val="4"/>
                <w:sz w:val="20"/>
                <w:szCs w:val="20"/>
                <w:highlight w:val="none"/>
                <w:lang w:val="en-US" w:eastAsia="zh-CN"/>
              </w:rPr>
              <w:t>720人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463" w:type="pct"/>
            <w:vMerge w:val="continue"/>
            <w:tcBorders>
              <w:tl2br w:val="nil"/>
              <w:tr2bl w:val="nil"/>
            </w:tcBorders>
            <w:vAlign w:val="top"/>
          </w:tcPr>
          <w:p>
            <w:pPr>
              <w:pStyle w:val="35"/>
              <w:jc w:val="center"/>
              <w:rPr>
                <w:rFonts w:hint="default" w:ascii="Times New Roman" w:hAnsi="Times New Roman" w:cs="Times New Roman"/>
                <w:highlight w:val="none"/>
              </w:rPr>
            </w:pPr>
          </w:p>
        </w:tc>
        <w:tc>
          <w:tcPr>
            <w:tcW w:w="176" w:type="pct"/>
            <w:tcBorders>
              <w:tl2br w:val="nil"/>
              <w:tr2bl w:val="nil"/>
            </w:tcBorders>
            <w:vAlign w:val="top"/>
          </w:tcPr>
          <w:p>
            <w:pPr>
              <w:spacing w:before="68" w:line="195" w:lineRule="auto"/>
              <w:jc w:val="center"/>
              <w:rPr>
                <w:rFonts w:hint="default" w:ascii="Times New Roman" w:hAnsi="Times New Roman" w:eastAsia="宋体" w:cs="Times New Roman"/>
                <w:spacing w:val="-8"/>
                <w:sz w:val="20"/>
                <w:szCs w:val="20"/>
                <w:highlight w:val="none"/>
                <w:lang w:val="en-US" w:eastAsia="zh-CN"/>
              </w:rPr>
            </w:pPr>
            <w:r>
              <w:rPr>
                <w:rFonts w:hint="eastAsia" w:ascii="Times New Roman" w:hAnsi="Times New Roman" w:eastAsia="宋体" w:cs="Times New Roman"/>
                <w:spacing w:val="-8"/>
                <w:sz w:val="20"/>
                <w:szCs w:val="20"/>
                <w:highlight w:val="none"/>
                <w:lang w:val="en-US" w:eastAsia="zh-CN"/>
              </w:rPr>
              <w:t>19</w:t>
            </w:r>
          </w:p>
        </w:tc>
        <w:tc>
          <w:tcPr>
            <w:tcW w:w="542" w:type="pct"/>
            <w:tcBorders>
              <w:tl2br w:val="nil"/>
              <w:tr2bl w:val="nil"/>
            </w:tcBorders>
            <w:vAlign w:val="top"/>
          </w:tcPr>
          <w:p>
            <w:pPr>
              <w:spacing w:before="33" w:line="216" w:lineRule="auto"/>
              <w:jc w:val="center"/>
              <w:rPr>
                <w:rFonts w:hint="default" w:ascii="Times New Roman" w:hAnsi="Times New Roman" w:eastAsia="宋体" w:cs="Times New Roman"/>
                <w:spacing w:val="5"/>
                <w:sz w:val="20"/>
                <w:szCs w:val="20"/>
                <w:highlight w:val="none"/>
                <w:lang w:val="en-US" w:eastAsia="zh-CN"/>
              </w:rPr>
            </w:pPr>
            <w:r>
              <w:rPr>
                <w:rFonts w:hint="eastAsia" w:ascii="Times New Roman" w:hAnsi="Times New Roman" w:eastAsia="宋体" w:cs="Times New Roman"/>
                <w:spacing w:val="5"/>
                <w:sz w:val="20"/>
                <w:szCs w:val="20"/>
                <w:highlight w:val="none"/>
                <w:lang w:val="en-US" w:eastAsia="zh-CN"/>
              </w:rPr>
              <w:t>兴隆镇居民</w:t>
            </w:r>
          </w:p>
        </w:tc>
        <w:tc>
          <w:tcPr>
            <w:tcW w:w="659" w:type="pct"/>
            <w:tcBorders>
              <w:tl2br w:val="nil"/>
              <w:tr2bl w:val="nil"/>
            </w:tcBorders>
            <w:vAlign w:val="top"/>
          </w:tcPr>
          <w:p>
            <w:pPr>
              <w:spacing w:before="68" w:line="195" w:lineRule="auto"/>
              <w:jc w:val="center"/>
              <w:rPr>
                <w:rFonts w:hint="default" w:ascii="Times New Roman" w:hAnsi="Times New Roman" w:eastAsia="Times New Roman" w:cs="Times New Roman"/>
                <w:spacing w:val="-1"/>
                <w:sz w:val="20"/>
                <w:szCs w:val="20"/>
                <w:highlight w:val="none"/>
              </w:rPr>
            </w:pPr>
            <w:r>
              <w:rPr>
                <w:rFonts w:hint="default" w:ascii="Times New Roman" w:hAnsi="Times New Roman" w:eastAsia="Times New Roman" w:cs="Times New Roman"/>
                <w:spacing w:val="-1"/>
                <w:sz w:val="20"/>
                <w:szCs w:val="20"/>
                <w:highlight w:val="none"/>
              </w:rPr>
              <w:t>127.0889</w:t>
            </w:r>
            <w:r>
              <w:rPr>
                <w:rFonts w:hint="eastAsia" w:ascii="Times New Roman" w:hAnsi="Times New Roman" w:eastAsia="宋体" w:cs="Times New Roman"/>
                <w:spacing w:val="-1"/>
                <w:sz w:val="20"/>
                <w:szCs w:val="20"/>
                <w:highlight w:val="none"/>
                <w:lang w:val="en-US" w:eastAsia="zh-CN"/>
              </w:rPr>
              <w:t>987</w:t>
            </w:r>
            <w:r>
              <w:rPr>
                <w:rFonts w:hint="default" w:ascii="Times New Roman" w:hAnsi="Times New Roman" w:eastAsia="Times New Roman" w:cs="Times New Roman"/>
                <w:spacing w:val="-1"/>
                <w:sz w:val="20"/>
                <w:szCs w:val="20"/>
                <w:highlight w:val="none"/>
              </w:rPr>
              <w:t>6</w:t>
            </w:r>
          </w:p>
        </w:tc>
        <w:tc>
          <w:tcPr>
            <w:tcW w:w="602" w:type="pct"/>
            <w:tcBorders>
              <w:tl2br w:val="nil"/>
              <w:tr2bl w:val="nil"/>
            </w:tcBorders>
            <w:vAlign w:val="top"/>
          </w:tcPr>
          <w:p>
            <w:pPr>
              <w:spacing w:before="68" w:line="195" w:lineRule="auto"/>
              <w:jc w:val="center"/>
              <w:rPr>
                <w:rFonts w:hint="default" w:ascii="Times New Roman" w:hAnsi="Times New Roman" w:eastAsia="宋体" w:cs="Times New Roman"/>
                <w:spacing w:val="2"/>
                <w:sz w:val="20"/>
                <w:szCs w:val="20"/>
                <w:highlight w:val="none"/>
                <w:lang w:val="en-US" w:eastAsia="zh-CN"/>
              </w:rPr>
            </w:pPr>
            <w:r>
              <w:rPr>
                <w:rFonts w:hint="default" w:ascii="Times New Roman" w:hAnsi="Times New Roman" w:eastAsia="Times New Roman" w:cs="Times New Roman"/>
                <w:spacing w:val="2"/>
                <w:sz w:val="20"/>
                <w:szCs w:val="20"/>
                <w:highlight w:val="none"/>
              </w:rPr>
              <w:t>46.43683</w:t>
            </w:r>
            <w:r>
              <w:rPr>
                <w:rFonts w:hint="eastAsia" w:ascii="Times New Roman" w:hAnsi="Times New Roman" w:eastAsia="宋体" w:cs="Times New Roman"/>
                <w:spacing w:val="2"/>
                <w:sz w:val="20"/>
                <w:szCs w:val="20"/>
                <w:highlight w:val="none"/>
                <w:lang w:val="en-US" w:eastAsia="zh-CN"/>
              </w:rPr>
              <w:t>098</w:t>
            </w:r>
          </w:p>
        </w:tc>
        <w:tc>
          <w:tcPr>
            <w:tcW w:w="318" w:type="pct"/>
            <w:tcBorders>
              <w:tl2br w:val="nil"/>
              <w:tr2bl w:val="nil"/>
            </w:tcBorders>
            <w:vAlign w:val="top"/>
          </w:tcPr>
          <w:p>
            <w:pPr>
              <w:spacing w:before="71" w:line="192" w:lineRule="auto"/>
              <w:jc w:val="center"/>
              <w:rPr>
                <w:rFonts w:hint="default" w:ascii="Times New Roman" w:hAnsi="Times New Roman" w:eastAsia="宋体" w:cs="Times New Roman"/>
                <w:spacing w:val="7"/>
                <w:sz w:val="20"/>
                <w:szCs w:val="20"/>
                <w:highlight w:val="none"/>
                <w:lang w:val="en-US" w:eastAsia="zh-CN"/>
              </w:rPr>
            </w:pPr>
            <w:r>
              <w:rPr>
                <w:rFonts w:hint="eastAsia" w:ascii="Times New Roman" w:hAnsi="Times New Roman" w:eastAsia="宋体" w:cs="Times New Roman"/>
                <w:spacing w:val="7"/>
                <w:sz w:val="20"/>
                <w:szCs w:val="20"/>
                <w:highlight w:val="none"/>
                <w:lang w:val="en-US" w:eastAsia="zh-CN"/>
              </w:rPr>
              <w:t>N</w:t>
            </w:r>
          </w:p>
        </w:tc>
        <w:tc>
          <w:tcPr>
            <w:tcW w:w="440" w:type="pct"/>
            <w:tcBorders>
              <w:tl2br w:val="nil"/>
              <w:tr2bl w:val="nil"/>
            </w:tcBorders>
            <w:vAlign w:val="top"/>
          </w:tcPr>
          <w:p>
            <w:pPr>
              <w:spacing w:before="68" w:line="195" w:lineRule="auto"/>
              <w:ind w:left="268"/>
              <w:jc w:val="both"/>
              <w:rPr>
                <w:rFonts w:hint="default" w:ascii="Times New Roman" w:hAnsi="Times New Roman" w:eastAsia="宋体" w:cs="Times New Roman"/>
                <w:spacing w:val="-2"/>
                <w:sz w:val="20"/>
                <w:szCs w:val="20"/>
                <w:highlight w:val="none"/>
                <w:lang w:val="en-US" w:eastAsia="zh-CN"/>
              </w:rPr>
            </w:pPr>
            <w:r>
              <w:rPr>
                <w:rFonts w:hint="eastAsia" w:ascii="Times New Roman" w:hAnsi="Times New Roman" w:eastAsia="宋体" w:cs="Times New Roman"/>
                <w:spacing w:val="-2"/>
                <w:sz w:val="20"/>
                <w:szCs w:val="20"/>
                <w:highlight w:val="none"/>
                <w:lang w:val="en-US" w:eastAsia="zh-CN"/>
              </w:rPr>
              <w:t>380</w:t>
            </w:r>
          </w:p>
        </w:tc>
        <w:tc>
          <w:tcPr>
            <w:tcW w:w="824" w:type="pct"/>
            <w:tcBorders>
              <w:tl2br w:val="nil"/>
              <w:tr2bl w:val="nil"/>
            </w:tcBorders>
            <w:vAlign w:val="top"/>
          </w:tcPr>
          <w:p>
            <w:pPr>
              <w:spacing w:before="33" w:line="216" w:lineRule="auto"/>
              <w:jc w:val="center"/>
              <w:rPr>
                <w:rFonts w:hint="default" w:ascii="Times New Roman" w:hAnsi="Times New Roman" w:eastAsia="宋体" w:cs="Times New Roman"/>
                <w:spacing w:val="4"/>
                <w:sz w:val="20"/>
                <w:szCs w:val="20"/>
                <w:highlight w:val="none"/>
                <w:lang w:val="en-US" w:eastAsia="zh-CN"/>
              </w:rPr>
            </w:pPr>
            <w:r>
              <w:rPr>
                <w:rFonts w:hint="eastAsia" w:ascii="Times New Roman" w:hAnsi="Times New Roman" w:eastAsia="宋体" w:cs="Times New Roman"/>
                <w:spacing w:val="4"/>
                <w:sz w:val="20"/>
                <w:szCs w:val="20"/>
                <w:highlight w:val="none"/>
                <w:lang w:val="en-US" w:eastAsia="zh-CN"/>
              </w:rPr>
              <w:t>300人</w:t>
            </w:r>
          </w:p>
        </w:tc>
        <w:tc>
          <w:tcPr>
            <w:tcW w:w="971" w:type="pct"/>
            <w:vMerge w:val="continue"/>
            <w:tcBorders>
              <w:tl2br w:val="nil"/>
              <w:tr2bl w:val="nil"/>
            </w:tcBorders>
            <w:vAlign w:val="top"/>
          </w:tcPr>
          <w:p>
            <w:pPr>
              <w:pStyle w:val="35"/>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463" w:type="pct"/>
            <w:tcBorders>
              <w:tl2br w:val="nil"/>
              <w:tr2bl w:val="nil"/>
            </w:tcBorders>
            <w:vAlign w:val="top"/>
          </w:tcPr>
          <w:p>
            <w:pPr>
              <w:spacing w:before="170"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声环境</w:t>
            </w:r>
          </w:p>
        </w:tc>
        <w:tc>
          <w:tcPr>
            <w:tcW w:w="2739" w:type="pct"/>
            <w:gridSpan w:val="6"/>
            <w:tcBorders>
              <w:tl2br w:val="nil"/>
              <w:tr2bl w:val="nil"/>
            </w:tcBorders>
            <w:vAlign w:val="top"/>
          </w:tcPr>
          <w:p>
            <w:pPr>
              <w:spacing w:before="170" w:line="228"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3"/>
                <w:sz w:val="20"/>
                <w:szCs w:val="20"/>
                <w:highlight w:val="none"/>
              </w:rPr>
              <w:t>厂界</w:t>
            </w:r>
            <w:r>
              <w:rPr>
                <w:rFonts w:hint="default" w:ascii="Times New Roman" w:hAnsi="Times New Roman" w:eastAsia="宋体" w:cs="Times New Roman"/>
                <w:spacing w:val="3"/>
                <w:sz w:val="20"/>
                <w:szCs w:val="20"/>
                <w:highlight w:val="none"/>
                <w:lang w:val="en-US" w:eastAsia="zh-CN"/>
              </w:rPr>
              <w:t>周围</w:t>
            </w:r>
            <w:r>
              <w:rPr>
                <w:rFonts w:hint="default" w:ascii="Times New Roman" w:hAnsi="Times New Roman" w:eastAsia="宋体" w:cs="Times New Roman"/>
                <w:sz w:val="20"/>
                <w:szCs w:val="20"/>
                <w:highlight w:val="none"/>
                <w:lang w:val="en-US" w:eastAsia="zh-CN"/>
              </w:rPr>
              <w:t>200米</w:t>
            </w:r>
          </w:p>
        </w:tc>
        <w:tc>
          <w:tcPr>
            <w:tcW w:w="824" w:type="pct"/>
            <w:tcBorders>
              <w:tl2br w:val="nil"/>
              <w:tr2bl w:val="nil"/>
            </w:tcBorders>
            <w:vAlign w:val="top"/>
          </w:tcPr>
          <w:p>
            <w:pPr>
              <w:spacing w:before="201" w:line="199"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z w:val="20"/>
                <w:szCs w:val="20"/>
                <w:highlight w:val="none"/>
                <w:lang w:val="en-US" w:eastAsia="zh-CN"/>
              </w:rPr>
              <w:t>/</w:t>
            </w:r>
          </w:p>
        </w:tc>
        <w:tc>
          <w:tcPr>
            <w:tcW w:w="971" w:type="pct"/>
            <w:tcBorders>
              <w:tl2br w:val="nil"/>
              <w:tr2bl w:val="nil"/>
            </w:tcBorders>
            <w:vAlign w:val="top"/>
          </w:tcPr>
          <w:p>
            <w:pPr>
              <w:spacing w:before="36" w:line="232" w:lineRule="auto"/>
              <w:ind w:right="107"/>
              <w:jc w:val="center"/>
              <w:rPr>
                <w:rFonts w:hint="default" w:ascii="Times New Roman" w:hAnsi="Times New Roman" w:eastAsia="宋体" w:cs="Times New Roman"/>
                <w:sz w:val="20"/>
                <w:szCs w:val="20"/>
                <w:highlight w:val="none"/>
              </w:rPr>
            </w:pPr>
            <w:r>
              <w:rPr>
                <w:rFonts w:hint="default" w:ascii="Times New Roman" w:hAnsi="Times New Roman" w:cs="Times New Roman"/>
                <w:color w:val="auto"/>
                <w:highlight w:val="none"/>
              </w:rPr>
              <w:t>《声环境质量标准》（GB3096-2008）中2类区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463" w:type="pct"/>
            <w:tcBorders>
              <w:tl2br w:val="nil"/>
              <w:tr2bl w:val="nil"/>
            </w:tcBorders>
            <w:vAlign w:val="top"/>
          </w:tcPr>
          <w:p>
            <w:pPr>
              <w:spacing w:before="35"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地表水</w:t>
            </w:r>
            <w:r>
              <w:rPr>
                <w:rFonts w:hint="default" w:ascii="Times New Roman" w:hAnsi="Times New Roman" w:eastAsia="宋体" w:cs="Times New Roman"/>
                <w:spacing w:val="4"/>
                <w:sz w:val="20"/>
                <w:szCs w:val="20"/>
                <w:highlight w:val="none"/>
              </w:rPr>
              <w:t>环境</w:t>
            </w:r>
          </w:p>
        </w:tc>
        <w:tc>
          <w:tcPr>
            <w:tcW w:w="1981" w:type="pct"/>
            <w:gridSpan w:val="4"/>
            <w:tcBorders>
              <w:tl2br w:val="nil"/>
              <w:tr2bl w:val="nil"/>
            </w:tcBorders>
            <w:vAlign w:val="top"/>
          </w:tcPr>
          <w:p>
            <w:pPr>
              <w:spacing w:before="170" w:line="227" w:lineRule="auto"/>
              <w:jc w:val="center"/>
              <w:rPr>
                <w:rFonts w:hint="default" w:ascii="Times New Roman" w:hAnsi="Times New Roman" w:eastAsia="Times New Roman" w:cs="Times New Roman"/>
                <w:sz w:val="20"/>
                <w:szCs w:val="20"/>
                <w:highlight w:val="none"/>
              </w:rPr>
            </w:pPr>
            <w:r>
              <w:rPr>
                <w:rFonts w:hint="default" w:ascii="Times New Roman" w:hAnsi="Times New Roman" w:eastAsia="宋体" w:cs="Times New Roman"/>
                <w:spacing w:val="6"/>
                <w:sz w:val="20"/>
                <w:szCs w:val="20"/>
                <w:highlight w:val="none"/>
                <w:lang w:eastAsia="zh-CN"/>
              </w:rPr>
              <w:t>泥河</w:t>
            </w:r>
          </w:p>
        </w:tc>
        <w:tc>
          <w:tcPr>
            <w:tcW w:w="318" w:type="pct"/>
            <w:tcBorders>
              <w:tl2br w:val="nil"/>
              <w:tr2bl w:val="nil"/>
            </w:tcBorders>
            <w:vAlign w:val="top"/>
          </w:tcPr>
          <w:p>
            <w:pPr>
              <w:spacing w:before="206"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z w:val="20"/>
                <w:szCs w:val="20"/>
                <w:highlight w:val="none"/>
                <w:lang w:val="en-US" w:eastAsia="zh-CN"/>
              </w:rPr>
              <w:t>N</w:t>
            </w:r>
          </w:p>
        </w:tc>
        <w:tc>
          <w:tcPr>
            <w:tcW w:w="440" w:type="pct"/>
            <w:tcBorders>
              <w:tl2br w:val="nil"/>
              <w:tr2bl w:val="nil"/>
            </w:tcBorders>
            <w:vAlign w:val="top"/>
          </w:tcPr>
          <w:p>
            <w:pPr>
              <w:spacing w:before="206" w:line="195" w:lineRule="auto"/>
              <w:jc w:val="center"/>
              <w:rPr>
                <w:rFonts w:hint="default" w:ascii="Times New Roman" w:hAnsi="Times New Roman" w:eastAsia="宋体" w:cs="Times New Roman"/>
                <w:sz w:val="20"/>
                <w:szCs w:val="20"/>
                <w:highlight w:val="none"/>
                <w:lang w:val="en-US" w:eastAsia="zh-CN"/>
              </w:rPr>
            </w:pPr>
            <w:r>
              <w:rPr>
                <w:rFonts w:hint="default" w:ascii="Times New Roman" w:hAnsi="Times New Roman" w:eastAsia="宋体" w:cs="Times New Roman"/>
                <w:spacing w:val="2"/>
                <w:sz w:val="20"/>
                <w:szCs w:val="20"/>
                <w:highlight w:val="none"/>
                <w:lang w:val="en-US" w:eastAsia="zh-CN"/>
              </w:rPr>
              <w:t>17000</w:t>
            </w:r>
          </w:p>
        </w:tc>
        <w:tc>
          <w:tcPr>
            <w:tcW w:w="824" w:type="pct"/>
            <w:tcBorders>
              <w:tl2br w:val="nil"/>
              <w:tr2bl w:val="nil"/>
            </w:tcBorders>
            <w:vAlign w:val="top"/>
          </w:tcPr>
          <w:p>
            <w:pPr>
              <w:spacing w:before="170" w:line="230" w:lineRule="auto"/>
              <w:ind w:left="408"/>
              <w:jc w:val="both"/>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5"/>
                <w:sz w:val="20"/>
                <w:szCs w:val="20"/>
                <w:highlight w:val="none"/>
              </w:rPr>
              <w:t>小型河流</w:t>
            </w:r>
          </w:p>
        </w:tc>
        <w:tc>
          <w:tcPr>
            <w:tcW w:w="971" w:type="pct"/>
            <w:tcBorders>
              <w:tl2br w:val="nil"/>
              <w:tr2bl w:val="nil"/>
            </w:tcBorders>
            <w:vAlign w:val="top"/>
          </w:tcPr>
          <w:p>
            <w:pPr>
              <w:spacing w:before="36" w:line="232" w:lineRule="auto"/>
              <w:ind w:right="158"/>
              <w:jc w:val="center"/>
              <w:rPr>
                <w:rFonts w:hint="default" w:ascii="Times New Roman" w:hAnsi="Times New Roman" w:eastAsia="宋体" w:cs="Times New Roman"/>
                <w:sz w:val="20"/>
                <w:szCs w:val="20"/>
                <w:highlight w:val="none"/>
              </w:rPr>
            </w:pPr>
            <w:r>
              <w:rPr>
                <w:rFonts w:hint="eastAsia" w:ascii="Times New Roman" w:hAnsi="Times New Roman" w:eastAsia="宋体" w:cs="Times New Roman"/>
                <w:spacing w:val="3"/>
                <w:sz w:val="20"/>
                <w:szCs w:val="20"/>
                <w:highlight w:val="none"/>
                <w:lang w:eastAsia="zh-CN"/>
              </w:rPr>
              <w:t>《</w:t>
            </w:r>
            <w:r>
              <w:rPr>
                <w:rFonts w:hint="eastAsia" w:ascii="Times New Roman" w:hAnsi="Times New Roman" w:eastAsia="宋体" w:cs="Times New Roman"/>
                <w:spacing w:val="3"/>
                <w:sz w:val="20"/>
                <w:szCs w:val="20"/>
                <w:highlight w:val="none"/>
                <w:lang w:val="en-US" w:eastAsia="zh-CN"/>
              </w:rPr>
              <w:t>地表水环境质量标准</w:t>
            </w:r>
            <w:r>
              <w:rPr>
                <w:rFonts w:hint="eastAsia" w:ascii="Times New Roman" w:hAnsi="Times New Roman" w:eastAsia="宋体" w:cs="Times New Roman"/>
                <w:spacing w:val="3"/>
                <w:sz w:val="20"/>
                <w:szCs w:val="20"/>
                <w:highlight w:val="none"/>
                <w:lang w:eastAsia="zh-CN"/>
              </w:rPr>
              <w:t>》</w:t>
            </w:r>
            <w:r>
              <w:rPr>
                <w:rFonts w:hint="default" w:ascii="Times New Roman" w:hAnsi="Times New Roman" w:eastAsia="宋体" w:cs="Times New Roman"/>
                <w:spacing w:val="3"/>
                <w:sz w:val="20"/>
                <w:szCs w:val="20"/>
                <w:highlight w:val="none"/>
              </w:rPr>
              <w:t>（</w:t>
            </w:r>
            <w:r>
              <w:rPr>
                <w:rFonts w:hint="default" w:ascii="Times New Roman" w:hAnsi="Times New Roman" w:eastAsia="Times New Roman" w:cs="Times New Roman"/>
                <w:sz w:val="20"/>
                <w:szCs w:val="20"/>
                <w:highlight w:val="none"/>
              </w:rPr>
              <w:t>GB</w:t>
            </w:r>
            <w:r>
              <w:rPr>
                <w:rFonts w:hint="default" w:ascii="Times New Roman" w:hAnsi="Times New Roman" w:eastAsia="Times New Roman" w:cs="Times New Roman"/>
                <w:spacing w:val="3"/>
                <w:sz w:val="20"/>
                <w:szCs w:val="20"/>
                <w:highlight w:val="none"/>
              </w:rPr>
              <w:t>3838-2002</w:t>
            </w:r>
            <w:r>
              <w:rPr>
                <w:rFonts w:hint="default" w:ascii="Times New Roman" w:hAnsi="Times New Roman" w:eastAsia="宋体" w:cs="Times New Roman"/>
                <w:spacing w:val="3"/>
                <w:sz w:val="20"/>
                <w:szCs w:val="20"/>
                <w:highlight w:val="none"/>
              </w:rPr>
              <w:t>）</w:t>
            </w:r>
            <w:r>
              <w:rPr>
                <w:rFonts w:hint="default" w:ascii="Times New Roman" w:hAnsi="Times New Roman" w:eastAsia="宋体" w:cs="Times New Roman"/>
                <w:spacing w:val="4"/>
                <w:sz w:val="20"/>
                <w:szCs w:val="20"/>
                <w:highlight w:val="none"/>
              </w:rPr>
              <w:t>中</w:t>
            </w:r>
            <w:r>
              <w:rPr>
                <w:rFonts w:hint="default" w:ascii="Times New Roman" w:hAnsi="Times New Roman" w:eastAsia="Times New Roman" w:cs="Times New Roman"/>
                <w:spacing w:val="4"/>
                <w:sz w:val="20"/>
                <w:szCs w:val="20"/>
                <w:highlight w:val="none"/>
              </w:rPr>
              <w:t>Ⅳ</w:t>
            </w:r>
            <w:r>
              <w:rPr>
                <w:rFonts w:hint="default" w:ascii="Times New Roman" w:hAnsi="Times New Roman" w:eastAsia="宋体" w:cs="Times New Roman"/>
                <w:spacing w:val="4"/>
                <w:sz w:val="20"/>
                <w:szCs w:val="20"/>
                <w:highlight w:val="none"/>
              </w:rPr>
              <w:t>类标准值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jc w:val="center"/>
        </w:trPr>
        <w:tc>
          <w:tcPr>
            <w:tcW w:w="463" w:type="pct"/>
            <w:tcBorders>
              <w:tl2br w:val="nil"/>
              <w:tr2bl w:val="nil"/>
            </w:tcBorders>
            <w:vAlign w:val="top"/>
          </w:tcPr>
          <w:p>
            <w:pPr>
              <w:spacing w:before="35" w:line="228" w:lineRule="auto"/>
              <w:jc w:val="center"/>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6"/>
                <w:sz w:val="20"/>
                <w:szCs w:val="20"/>
                <w:highlight w:val="none"/>
              </w:rPr>
              <w:t>地下水</w:t>
            </w:r>
            <w:r>
              <w:rPr>
                <w:rFonts w:hint="default" w:ascii="Times New Roman" w:hAnsi="Times New Roman" w:eastAsia="宋体" w:cs="Times New Roman"/>
                <w:spacing w:val="4"/>
                <w:sz w:val="20"/>
                <w:szCs w:val="20"/>
                <w:highlight w:val="none"/>
              </w:rPr>
              <w:t>环境</w:t>
            </w:r>
          </w:p>
        </w:tc>
        <w:tc>
          <w:tcPr>
            <w:tcW w:w="2739" w:type="pct"/>
            <w:gridSpan w:val="6"/>
            <w:tcBorders>
              <w:tl2br w:val="nil"/>
              <w:tr2bl w:val="nil"/>
            </w:tcBorders>
            <w:vAlign w:val="top"/>
          </w:tcPr>
          <w:p>
            <w:pPr>
              <w:spacing w:before="50" w:line="273" w:lineRule="exact"/>
              <w:jc w:val="center"/>
              <w:rPr>
                <w:rFonts w:hint="default" w:ascii="Times New Roman" w:hAnsi="Times New Roman" w:eastAsia="Times New Roman" w:cs="Times New Roman"/>
                <w:sz w:val="13"/>
                <w:szCs w:val="13"/>
                <w:highlight w:val="none"/>
              </w:rPr>
            </w:pPr>
            <w:r>
              <w:rPr>
                <w:rFonts w:hint="default" w:ascii="Times New Roman" w:hAnsi="Times New Roman" w:eastAsia="宋体" w:cs="Times New Roman"/>
                <w:spacing w:val="4"/>
                <w:position w:val="4"/>
                <w:sz w:val="20"/>
                <w:szCs w:val="20"/>
                <w:highlight w:val="none"/>
              </w:rPr>
              <w:t>周围</w:t>
            </w:r>
            <w:r>
              <w:rPr>
                <w:rFonts w:hint="default" w:ascii="Times New Roman" w:hAnsi="Times New Roman" w:eastAsia="Times New Roman" w:cs="Times New Roman"/>
                <w:spacing w:val="6"/>
                <w:position w:val="-1"/>
                <w:sz w:val="20"/>
                <w:szCs w:val="20"/>
                <w:highlight w:val="none"/>
              </w:rPr>
              <w:t>6</w:t>
            </w:r>
            <w:r>
              <w:rPr>
                <w:rFonts w:hint="default" w:ascii="Times New Roman" w:hAnsi="Times New Roman" w:eastAsia="Times New Roman" w:cs="Times New Roman"/>
                <w:position w:val="-1"/>
                <w:sz w:val="20"/>
                <w:szCs w:val="20"/>
                <w:highlight w:val="none"/>
              </w:rPr>
              <w:t>km</w:t>
            </w:r>
            <w:r>
              <w:rPr>
                <w:rFonts w:hint="default" w:ascii="Times New Roman" w:hAnsi="Times New Roman" w:eastAsia="Times New Roman" w:cs="Times New Roman"/>
                <w:spacing w:val="6"/>
                <w:position w:val="5"/>
                <w:sz w:val="13"/>
                <w:szCs w:val="13"/>
                <w:highlight w:val="none"/>
              </w:rPr>
              <w:t>2</w:t>
            </w:r>
          </w:p>
        </w:tc>
        <w:tc>
          <w:tcPr>
            <w:tcW w:w="824" w:type="pct"/>
            <w:tcBorders>
              <w:tl2br w:val="nil"/>
              <w:tr2bl w:val="nil"/>
            </w:tcBorders>
            <w:vAlign w:val="top"/>
          </w:tcPr>
          <w:p>
            <w:pPr>
              <w:spacing w:before="202" w:line="199" w:lineRule="auto"/>
              <w:ind w:left="786"/>
              <w:jc w:val="both"/>
              <w:rPr>
                <w:rFonts w:hint="default" w:ascii="Times New Roman" w:hAnsi="Times New Roman" w:eastAsia="Times New Roman" w:cs="Times New Roman"/>
                <w:sz w:val="20"/>
                <w:szCs w:val="20"/>
                <w:highlight w:val="none"/>
              </w:rPr>
            </w:pPr>
            <w:r>
              <w:rPr>
                <w:rFonts w:hint="default" w:ascii="Times New Roman" w:hAnsi="Times New Roman" w:eastAsia="Times New Roman" w:cs="Times New Roman"/>
                <w:spacing w:val="2"/>
                <w:sz w:val="20"/>
                <w:szCs w:val="20"/>
                <w:highlight w:val="none"/>
              </w:rPr>
              <w:t>/</w:t>
            </w:r>
          </w:p>
        </w:tc>
        <w:tc>
          <w:tcPr>
            <w:tcW w:w="971" w:type="pct"/>
            <w:tcBorders>
              <w:tl2br w:val="nil"/>
              <w:tr2bl w:val="nil"/>
            </w:tcBorders>
            <w:vAlign w:val="top"/>
          </w:tcPr>
          <w:p>
            <w:pPr>
              <w:spacing w:before="35" w:line="241" w:lineRule="auto"/>
              <w:jc w:val="center"/>
              <w:rPr>
                <w:rFonts w:hint="default" w:ascii="Times New Roman" w:hAnsi="Times New Roman" w:eastAsia="宋体" w:cs="Times New Roman"/>
                <w:sz w:val="20"/>
                <w:szCs w:val="20"/>
                <w:highlight w:val="none"/>
              </w:rPr>
            </w:pPr>
            <w:r>
              <w:rPr>
                <w:rFonts w:hint="eastAsia" w:ascii="Times New Roman" w:hAnsi="Times New Roman" w:eastAsia="宋体" w:cs="Times New Roman"/>
                <w:spacing w:val="4"/>
                <w:sz w:val="20"/>
                <w:szCs w:val="20"/>
                <w:highlight w:val="none"/>
                <w:lang w:eastAsia="zh-CN"/>
              </w:rPr>
              <w:t>《</w:t>
            </w:r>
            <w:r>
              <w:rPr>
                <w:rFonts w:hint="eastAsia" w:ascii="Times New Roman" w:hAnsi="Times New Roman" w:eastAsia="宋体" w:cs="Times New Roman"/>
                <w:spacing w:val="4"/>
                <w:sz w:val="20"/>
                <w:szCs w:val="20"/>
                <w:highlight w:val="none"/>
                <w:lang w:val="en-US" w:eastAsia="zh-CN"/>
              </w:rPr>
              <w:t>地下水质量标准</w:t>
            </w:r>
            <w:r>
              <w:rPr>
                <w:rFonts w:hint="eastAsia" w:ascii="Times New Roman" w:hAnsi="Times New Roman" w:eastAsia="宋体" w:cs="Times New Roman"/>
                <w:spacing w:val="4"/>
                <w:sz w:val="20"/>
                <w:szCs w:val="20"/>
                <w:highlight w:val="none"/>
                <w:lang w:eastAsia="zh-CN"/>
              </w:rPr>
              <w:t>》</w:t>
            </w:r>
            <w:r>
              <w:rPr>
                <w:rFonts w:hint="default" w:ascii="Times New Roman" w:hAnsi="Times New Roman" w:eastAsia="宋体" w:cs="Times New Roman"/>
                <w:spacing w:val="4"/>
                <w:sz w:val="20"/>
                <w:szCs w:val="20"/>
                <w:highlight w:val="none"/>
              </w:rPr>
              <w:t>（</w:t>
            </w:r>
            <w:r>
              <w:rPr>
                <w:rFonts w:hint="default" w:ascii="Times New Roman" w:hAnsi="Times New Roman" w:eastAsia="Times New Roman" w:cs="Times New Roman"/>
                <w:sz w:val="20"/>
                <w:szCs w:val="20"/>
                <w:highlight w:val="none"/>
              </w:rPr>
              <w:t>GB</w:t>
            </w:r>
            <w:r>
              <w:rPr>
                <w:rFonts w:hint="default" w:ascii="Times New Roman" w:hAnsi="Times New Roman" w:eastAsia="Times New Roman" w:cs="Times New Roman"/>
                <w:spacing w:val="4"/>
                <w:sz w:val="20"/>
                <w:szCs w:val="20"/>
                <w:highlight w:val="none"/>
              </w:rPr>
              <w:t>/T14848-201</w:t>
            </w:r>
            <w:r>
              <w:rPr>
                <w:rFonts w:hint="default" w:ascii="Times New Roman" w:hAnsi="Times New Roman" w:eastAsia="Times New Roman" w:cs="Times New Roman"/>
                <w:spacing w:val="7"/>
                <w:sz w:val="20"/>
                <w:szCs w:val="20"/>
                <w:highlight w:val="none"/>
              </w:rPr>
              <w:t>7</w:t>
            </w:r>
            <w:r>
              <w:rPr>
                <w:rFonts w:hint="default" w:ascii="Times New Roman" w:hAnsi="Times New Roman" w:eastAsia="宋体" w:cs="Times New Roman"/>
                <w:spacing w:val="7"/>
                <w:sz w:val="20"/>
                <w:szCs w:val="20"/>
                <w:highlight w:val="none"/>
              </w:rPr>
              <w:t>）</w:t>
            </w:r>
            <w:r>
              <w:rPr>
                <w:rFonts w:hint="default" w:ascii="Times New Roman" w:hAnsi="Times New Roman" w:eastAsia="Times New Roman" w:cs="Times New Roman"/>
                <w:spacing w:val="7"/>
                <w:sz w:val="20"/>
                <w:szCs w:val="20"/>
                <w:highlight w:val="none"/>
              </w:rPr>
              <w:t>Ⅲ</w:t>
            </w:r>
            <w:r>
              <w:rPr>
                <w:rFonts w:hint="default" w:ascii="Times New Roman" w:hAnsi="Times New Roman" w:eastAsia="宋体" w:cs="Times New Roman"/>
                <w:spacing w:val="7"/>
                <w:sz w:val="20"/>
                <w:szCs w:val="20"/>
                <w:highlight w:val="none"/>
              </w:rPr>
              <w:t>类水质</w:t>
            </w:r>
          </w:p>
        </w:tc>
      </w:tr>
    </w:tbl>
    <w:p>
      <w:pPr>
        <w:rPr>
          <w:rFonts w:hint="default" w:ascii="Times New Roman" w:hAnsi="Times New Roman" w:cs="Times New Roman"/>
        </w:rPr>
        <w:sectPr>
          <w:headerReference r:id="rId16" w:type="default"/>
          <w:footerReference r:id="rId17" w:type="default"/>
          <w:pgSz w:w="11910" w:h="16840"/>
          <w:pgMar w:top="1138" w:right="1399" w:bottom="1164" w:left="1399" w:header="897" w:footer="998" w:gutter="0"/>
          <w:pgBorders>
            <w:top w:val="none" w:sz="0" w:space="0"/>
            <w:left w:val="none" w:sz="0" w:space="0"/>
            <w:bottom w:val="none" w:sz="0" w:space="0"/>
            <w:right w:val="none" w:sz="0" w:space="0"/>
          </w:pgBorders>
          <w:pgNumType w:fmt="decimal"/>
          <w:cols w:space="720" w:num="1"/>
        </w:sectPr>
      </w:pPr>
    </w:p>
    <w:p>
      <w:pPr>
        <w:spacing w:before="37"/>
        <w:rPr>
          <w:rFonts w:hint="default" w:ascii="Times New Roman" w:hAnsi="Times New Roman" w:cs="Times New Roman"/>
        </w:rPr>
      </w:pPr>
    </w:p>
    <w:p>
      <w:pPr>
        <w:keepNext w:val="0"/>
        <w:keepLines w:val="0"/>
        <w:pageBreakBefore w:val="0"/>
        <w:widowControl/>
        <w:kinsoku w:val="0"/>
        <w:wordWrap/>
        <w:overflowPunct/>
        <w:topLinePunct w:val="0"/>
        <w:autoSpaceDE w:val="0"/>
        <w:autoSpaceDN w:val="0"/>
        <w:bidi w:val="0"/>
        <w:spacing w:line="360" w:lineRule="auto"/>
        <w:ind w:left="0" w:right="0" w:firstLine="482" w:firstLineChars="200"/>
        <w:jc w:val="both"/>
        <w:textAlignment w:val="baseline"/>
        <w:outlineLvl w:val="3"/>
        <w:rPr>
          <w:rFonts w:hint="default" w:ascii="Times New Roman" w:hAnsi="Times New Roman" w:eastAsia="宋体" w:cs="Times New Roman"/>
          <w:sz w:val="24"/>
          <w:szCs w:val="24"/>
        </w:rPr>
      </w:pPr>
      <w:r>
        <w:rPr>
          <w:rFonts w:hint="default" w:ascii="Times New Roman" w:hAnsi="Times New Roman" w:eastAsia="宋体" w:cs="Times New Roman"/>
          <w:b/>
          <w:snapToGrid w:val="0"/>
          <w:color w:val="auto"/>
          <w:kern w:val="0"/>
          <w:sz w:val="24"/>
          <w:szCs w:val="24"/>
          <w:lang w:eastAsia="zh-CN"/>
        </w:rPr>
        <w:fldChar w:fldCharType="begin"/>
      </w:r>
      <w:r>
        <w:rPr>
          <w:rFonts w:hint="default" w:ascii="Times New Roman" w:hAnsi="Times New Roman" w:eastAsia="宋体" w:cs="Times New Roman"/>
          <w:b/>
          <w:snapToGrid w:val="0"/>
          <w:color w:val="auto"/>
          <w:kern w:val="0"/>
          <w:sz w:val="24"/>
          <w:szCs w:val="24"/>
          <w:lang w:eastAsia="zh-CN"/>
        </w:rPr>
        <w:instrText xml:space="preserve"> HYPERLINK "5.2.6.3" </w:instrText>
      </w:r>
      <w:r>
        <w:rPr>
          <w:rFonts w:hint="default" w:ascii="Times New Roman" w:hAnsi="Times New Roman" w:eastAsia="宋体" w:cs="Times New Roman"/>
          <w:b/>
          <w:snapToGrid w:val="0"/>
          <w:color w:val="auto"/>
          <w:kern w:val="0"/>
          <w:sz w:val="24"/>
          <w:szCs w:val="24"/>
          <w:lang w:eastAsia="zh-CN"/>
        </w:rPr>
        <w:fldChar w:fldCharType="separate"/>
      </w:r>
      <w:r>
        <w:rPr>
          <w:rFonts w:hint="default" w:ascii="Times New Roman" w:hAnsi="Times New Roman" w:eastAsia="宋体" w:cs="Times New Roman"/>
          <w:b/>
          <w:snapToGrid w:val="0"/>
          <w:color w:val="auto"/>
          <w:kern w:val="0"/>
          <w:sz w:val="24"/>
          <w:szCs w:val="24"/>
          <w:lang w:eastAsia="zh-CN"/>
        </w:rPr>
        <w:t>5.2.</w:t>
      </w:r>
      <w:r>
        <w:rPr>
          <w:rFonts w:hint="eastAsia" w:ascii="Times New Roman" w:hAnsi="Times New Roman" w:eastAsia="宋体" w:cs="Times New Roman"/>
          <w:b/>
          <w:snapToGrid w:val="0"/>
          <w:color w:val="auto"/>
          <w:kern w:val="0"/>
          <w:sz w:val="24"/>
          <w:szCs w:val="24"/>
          <w:lang w:val="en-US" w:eastAsia="zh-CN"/>
        </w:rPr>
        <w:t>5</w:t>
      </w:r>
      <w:r>
        <w:rPr>
          <w:rFonts w:hint="default" w:ascii="Times New Roman" w:hAnsi="Times New Roman" w:eastAsia="宋体" w:cs="Times New Roman"/>
          <w:b/>
          <w:snapToGrid w:val="0"/>
          <w:color w:val="auto"/>
          <w:kern w:val="0"/>
          <w:sz w:val="24"/>
          <w:szCs w:val="24"/>
          <w:lang w:eastAsia="zh-CN"/>
        </w:rPr>
        <w:t>.3</w:t>
      </w:r>
      <w:r>
        <w:rPr>
          <w:rFonts w:hint="default" w:ascii="Times New Roman" w:hAnsi="Times New Roman" w:eastAsia="宋体" w:cs="Times New Roman"/>
          <w:b/>
          <w:snapToGrid w:val="0"/>
          <w:color w:val="auto"/>
          <w:kern w:val="0"/>
          <w:sz w:val="24"/>
          <w:szCs w:val="24"/>
          <w:lang w:eastAsia="zh-CN"/>
        </w:rPr>
        <w:fldChar w:fldCharType="end"/>
      </w:r>
      <w:r>
        <w:rPr>
          <w:rFonts w:hint="default" w:ascii="Times New Roman" w:hAnsi="Times New Roman" w:eastAsia="宋体" w:cs="Times New Roman"/>
          <w:b/>
          <w:snapToGrid w:val="0"/>
          <w:color w:val="auto"/>
          <w:kern w:val="0"/>
          <w:sz w:val="24"/>
          <w:szCs w:val="24"/>
          <w:lang w:eastAsia="zh-CN"/>
        </w:rPr>
        <w:t xml:space="preserve"> 环境风险识别</w:t>
      </w:r>
    </w:p>
    <w:p>
      <w:pPr>
        <w:pStyle w:val="45"/>
        <w:keepNext w:val="0"/>
        <w:keepLines w:val="0"/>
        <w:pageBreakBefore w:val="0"/>
        <w:widowControl/>
        <w:kinsoku w:val="0"/>
        <w:wordWrap/>
        <w:overflowPunct/>
        <w:topLinePunct w:val="0"/>
        <w:autoSpaceDE w:val="0"/>
        <w:autoSpaceDN w:val="0"/>
        <w:bidi w:val="0"/>
        <w:adjustRightInd/>
        <w:snapToGrid/>
        <w:spacing w:line="360" w:lineRule="auto"/>
        <w:ind w:left="0" w:right="0" w:firstLine="480" w:firstLineChars="200"/>
        <w:jc w:val="both"/>
        <w:textAlignment w:val="baseline"/>
        <w:outlineLvl w:val="1"/>
        <w:rPr>
          <w:rFonts w:hint="default" w:ascii="Times New Roman" w:hAnsi="Times New Roman" w:eastAsia="宋体" w:cs="Times New Roman"/>
          <w:snapToGrid w:val="0"/>
          <w:color w:val="auto"/>
          <w:kern w:val="0"/>
          <w:highlight w:val="none"/>
        </w:rPr>
      </w:pPr>
      <w:bookmarkStart w:id="358" w:name="_Toc13130"/>
      <w:bookmarkStart w:id="359" w:name="_Toc27458"/>
      <w:r>
        <w:rPr>
          <w:rFonts w:hint="default" w:ascii="Times New Roman" w:hAnsi="Times New Roman" w:eastAsia="宋体" w:cs="Times New Roman"/>
          <w:snapToGrid w:val="0"/>
          <w:color w:val="auto"/>
          <w:kern w:val="0"/>
          <w:highlight w:val="none"/>
        </w:rPr>
        <w:t>（1）风险识别范围和风险类型</w:t>
      </w:r>
      <w:bookmarkEnd w:id="358"/>
      <w:bookmarkEnd w:id="359"/>
    </w:p>
    <w:p>
      <w:pPr>
        <w:pStyle w:val="45"/>
        <w:keepNext w:val="0"/>
        <w:keepLines w:val="0"/>
        <w:pageBreakBefore w:val="0"/>
        <w:widowControl/>
        <w:kinsoku w:val="0"/>
        <w:wordWrap/>
        <w:overflowPunct/>
        <w:topLinePunct w:val="0"/>
        <w:autoSpaceDE w:val="0"/>
        <w:autoSpaceDN w:val="0"/>
        <w:bidi w:val="0"/>
        <w:adjustRightInd/>
        <w:snapToGrid/>
        <w:spacing w:line="360" w:lineRule="auto"/>
        <w:ind w:left="0" w:right="0" w:firstLine="480" w:firstLineChars="200"/>
        <w:jc w:val="both"/>
        <w:textAlignment w:val="baseline"/>
        <w:rPr>
          <w:rFonts w:hint="default" w:ascii="Times New Roman" w:hAnsi="Times New Roman" w:eastAsia="宋体" w:cs="Times New Roman"/>
          <w:snapToGrid w:val="0"/>
          <w:color w:val="auto"/>
          <w:kern w:val="0"/>
          <w:highlight w:val="none"/>
        </w:rPr>
      </w:pPr>
      <w:r>
        <w:rPr>
          <w:rFonts w:hint="default" w:ascii="Times New Roman" w:hAnsi="Times New Roman" w:eastAsia="宋体" w:cs="Times New Roman"/>
          <w:snapToGrid w:val="0"/>
          <w:color w:val="auto"/>
          <w:kern w:val="0"/>
          <w:highlight w:val="none"/>
        </w:rPr>
        <w:t>通过对污水处理</w:t>
      </w:r>
      <w:r>
        <w:rPr>
          <w:rFonts w:hint="eastAsia" w:cs="Times New Roman"/>
          <w:snapToGrid w:val="0"/>
          <w:color w:val="auto"/>
          <w:kern w:val="0"/>
          <w:highlight w:val="none"/>
          <w:lang w:val="en-US" w:eastAsia="zh-CN"/>
        </w:rPr>
        <w:t>站</w:t>
      </w:r>
      <w:r>
        <w:rPr>
          <w:rFonts w:hint="default" w:ascii="Times New Roman" w:hAnsi="Times New Roman" w:eastAsia="宋体" w:cs="Times New Roman"/>
          <w:snapToGrid w:val="0"/>
          <w:color w:val="auto"/>
          <w:kern w:val="0"/>
          <w:highlight w:val="none"/>
        </w:rPr>
        <w:t>所选用的技术工艺及整体布局、建设设施等的分析，造成事故排放风险的环节主要有以下几方面：</w:t>
      </w:r>
    </w:p>
    <w:p>
      <w:pPr>
        <w:pStyle w:val="45"/>
        <w:keepNext w:val="0"/>
        <w:keepLines w:val="0"/>
        <w:pageBreakBefore w:val="0"/>
        <w:widowControl/>
        <w:kinsoku w:val="0"/>
        <w:wordWrap/>
        <w:overflowPunct/>
        <w:topLinePunct w:val="0"/>
        <w:autoSpaceDE w:val="0"/>
        <w:autoSpaceDN w:val="0"/>
        <w:bidi w:val="0"/>
        <w:adjustRightInd/>
        <w:snapToGrid/>
        <w:spacing w:line="360" w:lineRule="auto"/>
        <w:ind w:left="0" w:right="0" w:firstLine="480" w:firstLineChars="200"/>
        <w:jc w:val="both"/>
        <w:textAlignment w:val="baseline"/>
        <w:rPr>
          <w:rFonts w:hint="default" w:ascii="Times New Roman" w:hAnsi="Times New Roman" w:eastAsia="宋体" w:cs="Times New Roman"/>
          <w:snapToGrid w:val="0"/>
          <w:color w:val="auto"/>
          <w:kern w:val="0"/>
          <w:highlight w:val="none"/>
        </w:rPr>
      </w:pPr>
      <w:r>
        <w:rPr>
          <w:rFonts w:hint="default" w:ascii="Times New Roman" w:hAnsi="Times New Roman" w:eastAsia="宋体" w:cs="Times New Roman"/>
          <w:snapToGrid w:val="0"/>
          <w:color w:val="auto"/>
          <w:kern w:val="0"/>
          <w:highlight w:val="none"/>
        </w:rPr>
        <w:t>1）污水管网系统由于管网堵塞、破裂和接头处的破损，造成大量污水外溢，污染 地表水和地下水；污水处理</w:t>
      </w:r>
      <w:r>
        <w:rPr>
          <w:rFonts w:hint="eastAsia" w:cs="Times New Roman"/>
          <w:snapToGrid w:val="0"/>
          <w:color w:val="auto"/>
          <w:kern w:val="0"/>
          <w:highlight w:val="none"/>
          <w:lang w:val="en-US" w:eastAsia="zh-CN"/>
        </w:rPr>
        <w:t>站</w:t>
      </w:r>
      <w:r>
        <w:rPr>
          <w:rFonts w:hint="default" w:ascii="Times New Roman" w:hAnsi="Times New Roman" w:eastAsia="宋体" w:cs="Times New Roman"/>
          <w:snapToGrid w:val="0"/>
          <w:color w:val="auto"/>
          <w:kern w:val="0"/>
          <w:highlight w:val="none"/>
        </w:rPr>
        <w:t>由于停电、设备损坏、污水处理设施运行不正常、停工检修等造成大量污水未经处理直接排放，造成事故污染；</w:t>
      </w:r>
    </w:p>
    <w:p>
      <w:pPr>
        <w:pStyle w:val="45"/>
        <w:keepNext w:val="0"/>
        <w:keepLines w:val="0"/>
        <w:pageBreakBefore w:val="0"/>
        <w:widowControl/>
        <w:kinsoku w:val="0"/>
        <w:wordWrap/>
        <w:overflowPunct/>
        <w:topLinePunct w:val="0"/>
        <w:autoSpaceDE w:val="0"/>
        <w:autoSpaceDN w:val="0"/>
        <w:bidi w:val="0"/>
        <w:adjustRightInd/>
        <w:snapToGrid/>
        <w:spacing w:line="360" w:lineRule="auto"/>
        <w:ind w:left="0" w:right="0" w:firstLine="480" w:firstLineChars="200"/>
        <w:jc w:val="both"/>
        <w:textAlignment w:val="baseline"/>
        <w:rPr>
          <w:rFonts w:hint="default" w:ascii="Times New Roman" w:hAnsi="Times New Roman" w:eastAsia="宋体" w:cs="Times New Roman"/>
          <w:snapToGrid w:val="0"/>
          <w:color w:val="auto"/>
          <w:kern w:val="0"/>
          <w:highlight w:val="none"/>
        </w:rPr>
      </w:pPr>
      <w:r>
        <w:rPr>
          <w:rFonts w:hint="default" w:ascii="Times New Roman" w:hAnsi="Times New Roman" w:eastAsia="宋体" w:cs="Times New Roman"/>
          <w:snapToGrid w:val="0"/>
          <w:color w:val="auto"/>
          <w:kern w:val="0"/>
          <w:highlight w:val="none"/>
        </w:rPr>
        <w:t>2）活性污泥变质，发生污泥膨胀或污泥解体等异常情况，使污泥流失，处理效果降低；</w:t>
      </w:r>
    </w:p>
    <w:p>
      <w:pPr>
        <w:pStyle w:val="45"/>
        <w:keepNext w:val="0"/>
        <w:keepLines w:val="0"/>
        <w:pageBreakBefore w:val="0"/>
        <w:widowControl/>
        <w:kinsoku w:val="0"/>
        <w:wordWrap/>
        <w:overflowPunct/>
        <w:topLinePunct w:val="0"/>
        <w:autoSpaceDE w:val="0"/>
        <w:autoSpaceDN w:val="0"/>
        <w:bidi w:val="0"/>
        <w:adjustRightInd/>
        <w:snapToGrid/>
        <w:spacing w:line="360" w:lineRule="auto"/>
        <w:ind w:left="0" w:right="0" w:firstLine="480" w:firstLineChars="200"/>
        <w:jc w:val="both"/>
        <w:textAlignment w:val="baseline"/>
        <w:rPr>
          <w:rFonts w:hint="default" w:ascii="Times New Roman" w:hAnsi="Times New Roman" w:eastAsia="宋体" w:cs="Times New Roman"/>
          <w:snapToGrid w:val="0"/>
          <w:color w:val="auto"/>
          <w:kern w:val="0"/>
          <w:highlight w:val="none"/>
        </w:rPr>
      </w:pPr>
      <w:r>
        <w:rPr>
          <w:rFonts w:hint="default" w:ascii="Times New Roman" w:hAnsi="Times New Roman" w:eastAsia="宋体" w:cs="Times New Roman"/>
          <w:snapToGrid w:val="0"/>
          <w:color w:val="auto"/>
          <w:kern w:val="0"/>
          <w:highlight w:val="none"/>
        </w:rPr>
        <w:t>3）企业排污异常致使进</w:t>
      </w:r>
      <w:r>
        <w:rPr>
          <w:rFonts w:hint="eastAsia" w:cs="Times New Roman"/>
          <w:snapToGrid w:val="0"/>
          <w:color w:val="auto"/>
          <w:kern w:val="0"/>
          <w:highlight w:val="none"/>
          <w:lang w:val="en-US" w:eastAsia="zh-CN"/>
        </w:rPr>
        <w:t>入污水处理站</w:t>
      </w:r>
      <w:r>
        <w:rPr>
          <w:rFonts w:hint="default" w:ascii="Times New Roman" w:hAnsi="Times New Roman" w:eastAsia="宋体" w:cs="Times New Roman"/>
          <w:snapToGrid w:val="0"/>
          <w:color w:val="auto"/>
          <w:kern w:val="0"/>
          <w:highlight w:val="none"/>
        </w:rPr>
        <w:t>水质负荷突增，或有毒有害物质误入管网，造成曝气池的微生物活性下降或被毒害，影响污水处理效率。</w:t>
      </w:r>
    </w:p>
    <w:p>
      <w:pPr>
        <w:pStyle w:val="45"/>
        <w:keepNext w:val="0"/>
        <w:keepLines w:val="0"/>
        <w:pageBreakBefore w:val="0"/>
        <w:widowControl/>
        <w:kinsoku w:val="0"/>
        <w:wordWrap/>
        <w:overflowPunct/>
        <w:topLinePunct w:val="0"/>
        <w:autoSpaceDE w:val="0"/>
        <w:autoSpaceDN w:val="0"/>
        <w:bidi w:val="0"/>
        <w:adjustRightInd/>
        <w:snapToGrid/>
        <w:spacing w:line="360" w:lineRule="auto"/>
        <w:ind w:left="0" w:right="0" w:firstLine="480" w:firstLineChars="200"/>
        <w:jc w:val="both"/>
        <w:textAlignment w:val="baseline"/>
        <w:rPr>
          <w:rFonts w:hint="default" w:ascii="Times New Roman" w:hAnsi="Times New Roman" w:eastAsia="宋体" w:cs="Times New Roman"/>
          <w:snapToGrid w:val="0"/>
          <w:color w:val="auto"/>
          <w:kern w:val="0"/>
          <w:highlight w:val="none"/>
        </w:rPr>
      </w:pPr>
      <w:r>
        <w:rPr>
          <w:rFonts w:hint="default" w:ascii="Times New Roman" w:hAnsi="Times New Roman" w:eastAsia="宋体" w:cs="Times New Roman"/>
          <w:snapToGrid w:val="0"/>
          <w:color w:val="auto"/>
          <w:kern w:val="0"/>
          <w:highlight w:val="none"/>
        </w:rPr>
        <w:t>4）由于发生地震、洪水、台风等自然灾害致使污水管道、处理构筑物损坏，污水处理</w:t>
      </w:r>
      <w:r>
        <w:rPr>
          <w:rFonts w:hint="eastAsia" w:cs="Times New Roman"/>
          <w:snapToGrid w:val="0"/>
          <w:color w:val="auto"/>
          <w:kern w:val="0"/>
          <w:highlight w:val="none"/>
          <w:lang w:val="en-US" w:eastAsia="zh-CN"/>
        </w:rPr>
        <w:t>站</w:t>
      </w:r>
      <w:r>
        <w:rPr>
          <w:rFonts w:hint="default" w:ascii="Times New Roman" w:hAnsi="Times New Roman" w:eastAsia="宋体" w:cs="Times New Roman"/>
          <w:snapToGrid w:val="0"/>
          <w:color w:val="auto"/>
          <w:kern w:val="0"/>
          <w:highlight w:val="none"/>
        </w:rPr>
        <w:t>不能运行，污水溢流于厂区及附近地区和水域，造成严重的局部污染。</w:t>
      </w:r>
    </w:p>
    <w:p>
      <w:pPr>
        <w:pStyle w:val="45"/>
        <w:keepNext w:val="0"/>
        <w:keepLines w:val="0"/>
        <w:pageBreakBefore w:val="0"/>
        <w:widowControl/>
        <w:kinsoku w:val="0"/>
        <w:wordWrap/>
        <w:overflowPunct/>
        <w:topLinePunct w:val="0"/>
        <w:autoSpaceDE w:val="0"/>
        <w:autoSpaceDN w:val="0"/>
        <w:bidi w:val="0"/>
        <w:adjustRightInd/>
        <w:snapToGrid/>
        <w:spacing w:line="360" w:lineRule="auto"/>
        <w:ind w:left="0" w:right="0" w:firstLine="480" w:firstLineChars="200"/>
        <w:jc w:val="both"/>
        <w:textAlignment w:val="baseline"/>
        <w:rPr>
          <w:rFonts w:hint="default" w:ascii="Times New Roman" w:hAnsi="Times New Roman" w:eastAsia="宋体" w:cs="Times New Roman"/>
          <w:snapToGrid w:val="0"/>
          <w:color w:val="auto"/>
          <w:kern w:val="0"/>
          <w:highlight w:val="none"/>
        </w:rPr>
      </w:pPr>
      <w:r>
        <w:rPr>
          <w:rFonts w:hint="default" w:ascii="Times New Roman" w:hAnsi="Times New Roman" w:eastAsia="宋体" w:cs="Times New Roman"/>
          <w:snapToGrid w:val="0"/>
          <w:color w:val="auto"/>
          <w:kern w:val="0"/>
          <w:highlight w:val="none"/>
        </w:rPr>
        <w:t>5）污水处理过程中化学药剂主要为</w:t>
      </w:r>
      <w:r>
        <w:rPr>
          <w:rFonts w:hint="eastAsia" w:cs="Times New Roman"/>
          <w:snapToGrid w:val="0"/>
          <w:color w:val="auto"/>
          <w:kern w:val="0"/>
          <w:highlight w:val="none"/>
          <w:lang w:val="en-US" w:eastAsia="zh-CN"/>
        </w:rPr>
        <w:t>次</w:t>
      </w:r>
      <w:r>
        <w:rPr>
          <w:rFonts w:hint="default" w:ascii="Times New Roman" w:hAnsi="Times New Roman" w:eastAsia="宋体" w:cs="Times New Roman"/>
          <w:snapToGrid w:val="0"/>
          <w:color w:val="auto"/>
          <w:kern w:val="0"/>
          <w:highlight w:val="none"/>
        </w:rPr>
        <w:t>氯酸钠等。</w:t>
      </w:r>
    </w:p>
    <w:p>
      <w:pPr>
        <w:pStyle w:val="5"/>
        <w:pageBreakBefore w:val="0"/>
        <w:kinsoku/>
        <w:wordWrap/>
        <w:overflowPunct/>
        <w:topLinePunct w:val="0"/>
        <w:bidi w:val="0"/>
        <w:adjustRightInd/>
        <w:snapToGrid/>
        <w:spacing w:after="0" w:line="360" w:lineRule="auto"/>
        <w:ind w:firstLine="480" w:firstLineChars="200"/>
        <w:rPr>
          <w:rFonts w:hint="default" w:ascii="Times New Roman" w:hAnsi="Times New Roman" w:eastAsia="宋体" w:cs="Times New Roman"/>
          <w:snapToGrid w:val="0"/>
          <w:color w:val="auto"/>
          <w:kern w:val="0"/>
          <w:highlight w:val="none"/>
          <w:lang w:val="en-US" w:eastAsia="zh-CN"/>
        </w:rPr>
      </w:pPr>
      <w:r>
        <w:rPr>
          <w:rFonts w:hint="eastAsia" w:cs="Times New Roman"/>
          <w:snapToGrid w:val="0"/>
          <w:color w:val="auto"/>
          <w:kern w:val="0"/>
          <w:highlight w:val="none"/>
          <w:lang w:val="en-US" w:eastAsia="zh-CN"/>
        </w:rPr>
        <w:t>6</w:t>
      </w:r>
      <w:r>
        <w:rPr>
          <w:rFonts w:hint="eastAsia" w:cs="Times New Roman"/>
          <w:snapToGrid w:val="0"/>
          <w:color w:val="auto"/>
          <w:kern w:val="0"/>
          <w:highlight w:val="none"/>
          <w:lang w:eastAsia="zh-CN"/>
        </w:rPr>
        <w:t>）</w:t>
      </w:r>
      <w:r>
        <w:rPr>
          <w:rFonts w:hint="default" w:ascii="Times New Roman" w:hAnsi="Times New Roman" w:eastAsia="宋体" w:cs="Times New Roman"/>
          <w:color w:val="auto"/>
          <w:spacing w:val="0"/>
          <w:sz w:val="24"/>
          <w:szCs w:val="24"/>
          <w:highlight w:val="none"/>
          <w:u w:val="none"/>
          <w:lang w:val="en-US" w:eastAsia="zh-CN"/>
        </w:rPr>
        <w:t>燃油锅炉用到的轻质柴油</w:t>
      </w:r>
      <w:r>
        <w:rPr>
          <w:rFonts w:hint="eastAsia" w:ascii="Times New Roman" w:hAnsi="Times New Roman" w:eastAsia="宋体" w:cs="Times New Roman"/>
          <w:color w:val="auto"/>
          <w:spacing w:val="0"/>
          <w:sz w:val="24"/>
          <w:szCs w:val="24"/>
          <w:highlight w:val="none"/>
          <w:u w:val="none"/>
          <w:lang w:val="en-US" w:eastAsia="zh-CN"/>
        </w:rPr>
        <w:t>。</w:t>
      </w:r>
    </w:p>
    <w:p>
      <w:pPr>
        <w:pStyle w:val="45"/>
        <w:keepNext w:val="0"/>
        <w:keepLines w:val="0"/>
        <w:pageBreakBefore w:val="0"/>
        <w:widowControl/>
        <w:kinsoku w:val="0"/>
        <w:wordWrap/>
        <w:overflowPunct/>
        <w:topLinePunct w:val="0"/>
        <w:autoSpaceDE w:val="0"/>
        <w:autoSpaceDN w:val="0"/>
        <w:bidi w:val="0"/>
        <w:adjustRightInd/>
        <w:snapToGrid/>
        <w:spacing w:line="360" w:lineRule="auto"/>
        <w:ind w:left="0" w:right="0" w:firstLine="480" w:firstLineChars="200"/>
        <w:jc w:val="both"/>
        <w:textAlignment w:val="baseline"/>
        <w:outlineLvl w:val="1"/>
        <w:rPr>
          <w:rFonts w:hint="default" w:ascii="Times New Roman" w:hAnsi="Times New Roman" w:eastAsia="宋体" w:cs="Times New Roman"/>
          <w:snapToGrid w:val="0"/>
          <w:color w:val="auto"/>
          <w:kern w:val="0"/>
          <w:highlight w:val="none"/>
        </w:rPr>
      </w:pPr>
      <w:bookmarkStart w:id="360" w:name="_Toc30830"/>
      <w:bookmarkStart w:id="361" w:name="_Toc23106"/>
      <w:r>
        <w:rPr>
          <w:rFonts w:hint="default" w:ascii="Times New Roman" w:hAnsi="Times New Roman" w:eastAsia="宋体" w:cs="Times New Roman"/>
          <w:snapToGrid w:val="0"/>
          <w:color w:val="auto"/>
          <w:kern w:val="0"/>
          <w:highlight w:val="none"/>
        </w:rPr>
        <w:t>（2）风险物质识别</w:t>
      </w:r>
      <w:bookmarkEnd w:id="360"/>
      <w:bookmarkEnd w:id="361"/>
    </w:p>
    <w:p>
      <w:pPr>
        <w:pStyle w:val="45"/>
        <w:keepNext w:val="0"/>
        <w:keepLines w:val="0"/>
        <w:pageBreakBefore w:val="0"/>
        <w:widowControl/>
        <w:kinsoku w:val="0"/>
        <w:wordWrap/>
        <w:overflowPunct/>
        <w:topLinePunct w:val="0"/>
        <w:autoSpaceDE w:val="0"/>
        <w:autoSpaceDN w:val="0"/>
        <w:bidi w:val="0"/>
        <w:adjustRightInd/>
        <w:snapToGrid/>
        <w:spacing w:line="360" w:lineRule="auto"/>
        <w:ind w:left="0" w:right="0" w:firstLine="480" w:firstLineChars="200"/>
        <w:jc w:val="both"/>
        <w:textAlignment w:val="baseline"/>
        <w:rPr>
          <w:rFonts w:hint="default" w:ascii="Times New Roman" w:hAnsi="Times New Roman" w:eastAsia="宋体" w:cs="Times New Roman"/>
          <w:snapToGrid w:val="0"/>
          <w:color w:val="auto"/>
          <w:kern w:val="0"/>
          <w:highlight w:val="none"/>
        </w:rPr>
      </w:pPr>
      <w:r>
        <w:rPr>
          <w:rFonts w:hint="default" w:ascii="Times New Roman" w:hAnsi="Times New Roman" w:eastAsia="宋体" w:cs="Times New Roman"/>
          <w:snapToGrid w:val="0"/>
          <w:color w:val="auto"/>
          <w:kern w:val="0"/>
          <w:highlight w:val="none"/>
        </w:rPr>
        <w:t>依据《危险货物品名表》（GB12268-2005） 以及《危险化学品重大危险源辨识》 （GB18218-2018）可知，本项目在生产过程中涉及的危险物质为次氯酸钠，主要分布在 加药间，次氯酸钠在运输、储存、使用过程中具有一定的环境风险。次氯酸钠的理化性质及危险、危害特性见表。</w:t>
      </w:r>
    </w:p>
    <w:p>
      <w:pPr>
        <w:spacing w:before="175" w:line="224" w:lineRule="auto"/>
        <w:ind w:left="1883"/>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31"/>
          <w:sz w:val="20"/>
          <w:szCs w:val="20"/>
        </w:rPr>
        <w:t xml:space="preserve"> </w:t>
      </w:r>
      <w:r>
        <w:rPr>
          <w:rFonts w:hint="default" w:ascii="Times New Roman" w:hAnsi="Times New Roman" w:eastAsia="Times New Roman" w:cs="Times New Roman"/>
          <w:b/>
          <w:bCs/>
          <w:spacing w:val="8"/>
          <w:sz w:val="20"/>
          <w:szCs w:val="20"/>
        </w:rPr>
        <w:t>5.2-</w:t>
      </w:r>
      <w:r>
        <w:rPr>
          <w:rFonts w:hint="eastAsia" w:ascii="Times New Roman" w:hAnsi="Times New Roman" w:eastAsia="宋体" w:cs="Times New Roman"/>
          <w:b/>
          <w:bCs/>
          <w:spacing w:val="8"/>
          <w:sz w:val="20"/>
          <w:szCs w:val="20"/>
          <w:lang w:val="en-US" w:eastAsia="zh-CN"/>
        </w:rPr>
        <w:t>25</w:t>
      </w:r>
      <w:r>
        <w:rPr>
          <w:rFonts w:hint="default" w:ascii="Times New Roman" w:hAnsi="Times New Roman" w:eastAsia="Times New Roman" w:cs="Times New Roman"/>
          <w:b/>
          <w:bCs/>
          <w:spacing w:val="8"/>
          <w:sz w:val="20"/>
          <w:szCs w:val="20"/>
        </w:rPr>
        <w:t xml:space="preserve">  </w:t>
      </w:r>
      <w:r>
        <w:rPr>
          <w:rFonts w:hint="default" w:ascii="Times New Roman" w:hAnsi="Times New Roman" w:eastAsia="宋体" w:cs="Times New Roman"/>
          <w:spacing w:val="8"/>
          <w:sz w:val="20"/>
          <w:szCs w:val="20"/>
          <w14:textOutline w14:w="3795" w14:cap="sq" w14:cmpd="sng">
            <w14:solidFill>
              <w14:srgbClr w14:val="000000"/>
            </w14:solidFill>
            <w14:prstDash w14:val="solid"/>
            <w14:bevel/>
          </w14:textOutline>
        </w:rPr>
        <w:t>次氯酸钠的理化性质及危险、危害特性一览表</w:t>
      </w:r>
    </w:p>
    <w:tbl>
      <w:tblPr>
        <w:tblStyle w:val="34"/>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265"/>
        <w:gridCol w:w="6573"/>
        <w:gridCol w:w="130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9" w:hRule="atLeast"/>
        </w:trPr>
        <w:tc>
          <w:tcPr>
            <w:tcW w:w="692" w:type="pct"/>
            <w:vAlign w:val="top"/>
          </w:tcPr>
          <w:p>
            <w:pPr>
              <w:spacing w:before="156" w:line="215" w:lineRule="auto"/>
              <w:ind w:left="347"/>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rPr>
              <w:t>名称</w:t>
            </w:r>
          </w:p>
        </w:tc>
        <w:tc>
          <w:tcPr>
            <w:tcW w:w="3594" w:type="pct"/>
            <w:vAlign w:val="top"/>
          </w:tcPr>
          <w:p>
            <w:pPr>
              <w:spacing w:before="156" w:line="215" w:lineRule="auto"/>
              <w:ind w:left="2464"/>
              <w:rPr>
                <w:rFonts w:hint="default" w:ascii="Times New Roman" w:hAnsi="Times New Roman" w:eastAsia="宋体" w:cs="Times New Roman"/>
                <w:sz w:val="20"/>
                <w:szCs w:val="20"/>
              </w:rPr>
            </w:pPr>
            <w:r>
              <w:rPr>
                <w:rFonts w:hint="default" w:ascii="Times New Roman" w:hAnsi="Times New Roman" w:eastAsia="宋体" w:cs="Times New Roman"/>
                <w:spacing w:val="12"/>
                <w:sz w:val="20"/>
                <w:szCs w:val="20"/>
              </w:rPr>
              <w:t>理化性质</w:t>
            </w:r>
          </w:p>
        </w:tc>
        <w:tc>
          <w:tcPr>
            <w:tcW w:w="713" w:type="pct"/>
            <w:vAlign w:val="top"/>
          </w:tcPr>
          <w:p>
            <w:pPr>
              <w:spacing w:before="156" w:line="215" w:lineRule="auto"/>
              <w:ind w:left="148"/>
              <w:rPr>
                <w:rFonts w:hint="default" w:ascii="Times New Roman" w:hAnsi="Times New Roman" w:eastAsia="宋体" w:cs="Times New Roman"/>
                <w:sz w:val="20"/>
                <w:szCs w:val="20"/>
              </w:rPr>
            </w:pPr>
            <w:r>
              <w:rPr>
                <w:rFonts w:hint="default" w:ascii="Times New Roman" w:hAnsi="Times New Roman" w:eastAsia="宋体" w:cs="Times New Roman"/>
                <w:spacing w:val="12"/>
                <w:sz w:val="20"/>
                <w:szCs w:val="20"/>
              </w:rPr>
              <w:t>危险特性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692" w:type="pct"/>
            <w:vAlign w:val="top"/>
          </w:tcPr>
          <w:p>
            <w:pPr>
              <w:spacing w:before="169" w:line="228" w:lineRule="auto"/>
              <w:ind w:left="149"/>
              <w:rPr>
                <w:rFonts w:hint="default" w:ascii="Times New Roman" w:hAnsi="Times New Roman" w:eastAsia="宋体" w:cs="Times New Roman"/>
                <w:sz w:val="20"/>
                <w:szCs w:val="20"/>
              </w:rPr>
            </w:pPr>
            <w:r>
              <w:rPr>
                <w:rFonts w:hint="default" w:ascii="Times New Roman" w:hAnsi="Times New Roman" w:eastAsia="宋体" w:cs="Times New Roman"/>
                <w:spacing w:val="5"/>
                <w:sz w:val="20"/>
                <w:szCs w:val="20"/>
              </w:rPr>
              <w:t>次氯酸钠</w:t>
            </w:r>
          </w:p>
        </w:tc>
        <w:tc>
          <w:tcPr>
            <w:tcW w:w="3594" w:type="pct"/>
            <w:vAlign w:val="top"/>
          </w:tcPr>
          <w:p>
            <w:pPr>
              <w:spacing w:before="32" w:line="235" w:lineRule="auto"/>
              <w:ind w:left="112" w:right="53"/>
              <w:rPr>
                <w:rFonts w:hint="default" w:ascii="Times New Roman" w:hAnsi="Times New Roman" w:eastAsia="Times New Roman" w:cs="Times New Roman"/>
                <w:sz w:val="20"/>
                <w:szCs w:val="20"/>
              </w:rPr>
            </w:pPr>
            <w:r>
              <w:rPr>
                <w:rFonts w:hint="default" w:ascii="Times New Roman" w:hAnsi="Times New Roman" w:eastAsia="宋体" w:cs="Times New Roman"/>
                <w:spacing w:val="2"/>
                <w:sz w:val="20"/>
                <w:szCs w:val="20"/>
              </w:rPr>
              <w:t>微黄色（溶液</w:t>
            </w:r>
            <w:r>
              <w:rPr>
                <w:rFonts w:hint="default" w:ascii="Times New Roman" w:hAnsi="Times New Roman" w:eastAsia="宋体" w:cs="Times New Roman"/>
                <w:spacing w:val="-19"/>
                <w:sz w:val="20"/>
                <w:szCs w:val="20"/>
              </w:rPr>
              <w:t>），</w:t>
            </w:r>
            <w:r>
              <w:rPr>
                <w:rFonts w:hint="default" w:ascii="Times New Roman" w:hAnsi="Times New Roman" w:eastAsia="宋体" w:cs="Times New Roman"/>
                <w:spacing w:val="2"/>
                <w:sz w:val="20"/>
                <w:szCs w:val="20"/>
              </w:rPr>
              <w:t>有似氯气的气味。不稳定，见光分解。熔</w:t>
            </w:r>
            <w:r>
              <w:rPr>
                <w:rFonts w:hint="default" w:ascii="Times New Roman" w:hAnsi="Times New Roman" w:eastAsia="宋体" w:cs="Times New Roman"/>
                <w:spacing w:val="1"/>
                <w:sz w:val="20"/>
                <w:szCs w:val="20"/>
              </w:rPr>
              <w:t>点：</w:t>
            </w:r>
            <w:r>
              <w:rPr>
                <w:rFonts w:hint="default" w:ascii="Times New Roman" w:hAnsi="Times New Roman" w:eastAsia="宋体" w:cs="Times New Roman"/>
                <w:sz w:val="20"/>
                <w:szCs w:val="20"/>
              </w:rPr>
              <w:t xml:space="preserve"> </w:t>
            </w:r>
            <w:r>
              <w:rPr>
                <w:rFonts w:hint="default" w:ascii="Times New Roman" w:hAnsi="Times New Roman" w:eastAsia="Times New Roman" w:cs="Times New Roman"/>
                <w:spacing w:val="-5"/>
                <w:sz w:val="20"/>
                <w:szCs w:val="20"/>
              </w:rPr>
              <w:t>-</w:t>
            </w:r>
            <w:r>
              <w:rPr>
                <w:rFonts w:hint="default" w:ascii="Times New Roman" w:hAnsi="Times New Roman" w:eastAsia="Times New Roman" w:cs="Times New Roman"/>
                <w:spacing w:val="-15"/>
                <w:sz w:val="20"/>
                <w:szCs w:val="20"/>
              </w:rPr>
              <w:t xml:space="preserve"> </w:t>
            </w:r>
            <w:r>
              <w:rPr>
                <w:rFonts w:hint="default" w:ascii="Times New Roman" w:hAnsi="Times New Roman" w:eastAsia="Times New Roman" w:cs="Times New Roman"/>
                <w:spacing w:val="-5"/>
                <w:sz w:val="20"/>
                <w:szCs w:val="20"/>
              </w:rPr>
              <w:t>16℃</w:t>
            </w:r>
            <w:r>
              <w:rPr>
                <w:rFonts w:hint="default" w:ascii="Times New Roman" w:hAnsi="Times New Roman" w:eastAsia="Times New Roman" w:cs="Times New Roman"/>
                <w:spacing w:val="-23"/>
                <w:sz w:val="20"/>
                <w:szCs w:val="20"/>
              </w:rPr>
              <w:t xml:space="preserve"> </w:t>
            </w:r>
            <w:r>
              <w:rPr>
                <w:rFonts w:hint="default" w:ascii="Times New Roman" w:hAnsi="Times New Roman" w:eastAsia="宋体" w:cs="Times New Roman"/>
                <w:spacing w:val="-5"/>
                <w:sz w:val="20"/>
                <w:szCs w:val="20"/>
              </w:rPr>
              <w:t>,</w:t>
            </w:r>
            <w:r>
              <w:rPr>
                <w:rFonts w:hint="default" w:ascii="Times New Roman" w:hAnsi="Times New Roman" w:eastAsia="宋体" w:cs="Times New Roman"/>
                <w:spacing w:val="60"/>
                <w:sz w:val="20"/>
                <w:szCs w:val="20"/>
              </w:rPr>
              <w:t xml:space="preserve"> </w:t>
            </w:r>
            <w:r>
              <w:rPr>
                <w:rFonts w:hint="default" w:ascii="Times New Roman" w:hAnsi="Times New Roman" w:eastAsia="宋体" w:cs="Times New Roman"/>
                <w:spacing w:val="-5"/>
                <w:sz w:val="20"/>
                <w:szCs w:val="20"/>
              </w:rPr>
              <w:t>沸点：</w:t>
            </w:r>
            <w:r>
              <w:rPr>
                <w:rFonts w:hint="default" w:ascii="Times New Roman" w:hAnsi="Times New Roman" w:eastAsia="Times New Roman" w:cs="Times New Roman"/>
                <w:spacing w:val="-5"/>
                <w:sz w:val="20"/>
                <w:szCs w:val="20"/>
              </w:rPr>
              <w:t>111℃</w:t>
            </w:r>
          </w:p>
        </w:tc>
        <w:tc>
          <w:tcPr>
            <w:tcW w:w="713" w:type="pct"/>
            <w:vAlign w:val="top"/>
          </w:tcPr>
          <w:p>
            <w:pPr>
              <w:spacing w:before="168" w:line="231" w:lineRule="auto"/>
              <w:ind w:left="374"/>
              <w:rPr>
                <w:rFonts w:hint="default" w:ascii="Times New Roman" w:hAnsi="Times New Roman" w:eastAsia="宋体" w:cs="Times New Roman"/>
                <w:sz w:val="20"/>
                <w:szCs w:val="20"/>
              </w:rPr>
            </w:pPr>
            <w:r>
              <w:rPr>
                <w:rFonts w:hint="default" w:ascii="Times New Roman" w:hAnsi="Times New Roman" w:eastAsia="宋体" w:cs="Times New Roman"/>
                <w:spacing w:val="3"/>
                <w:sz w:val="20"/>
                <w:szCs w:val="20"/>
              </w:rPr>
              <w:t>不燃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692" w:type="pct"/>
            <w:vAlign w:val="top"/>
          </w:tcPr>
          <w:p>
            <w:pPr>
              <w:spacing w:before="169" w:line="228" w:lineRule="auto"/>
              <w:jc w:val="center"/>
              <w:rPr>
                <w:rFonts w:hint="eastAsia" w:ascii="Times New Roman" w:hAnsi="Times New Roman" w:eastAsia="宋体" w:cs="Times New Roman"/>
                <w:spacing w:val="5"/>
                <w:sz w:val="20"/>
                <w:szCs w:val="20"/>
                <w:lang w:val="en-US" w:eastAsia="zh-CN"/>
              </w:rPr>
            </w:pPr>
            <w:r>
              <w:rPr>
                <w:rFonts w:hint="eastAsia" w:ascii="Times New Roman" w:hAnsi="Times New Roman" w:eastAsia="宋体" w:cs="Times New Roman"/>
                <w:spacing w:val="5"/>
                <w:sz w:val="20"/>
                <w:szCs w:val="20"/>
                <w:lang w:val="en-US" w:eastAsia="zh-CN"/>
              </w:rPr>
              <w:t>柴油</w:t>
            </w:r>
          </w:p>
        </w:tc>
        <w:tc>
          <w:tcPr>
            <w:tcW w:w="3594" w:type="pct"/>
            <w:vAlign w:val="top"/>
          </w:tcPr>
          <w:p>
            <w:pPr>
              <w:spacing w:before="32" w:line="235" w:lineRule="auto"/>
              <w:ind w:left="112" w:right="53"/>
              <w:rPr>
                <w:rFonts w:hint="default" w:ascii="Times New Roman" w:hAnsi="Times New Roman" w:eastAsia="宋体" w:cs="Times New Roman"/>
                <w:spacing w:val="2"/>
                <w:sz w:val="20"/>
                <w:szCs w:val="20"/>
              </w:rPr>
            </w:pPr>
            <w:r>
              <w:rPr>
                <w:rFonts w:hint="default" w:ascii="Times New Roman" w:hAnsi="Times New Roman" w:eastAsia="宋体" w:cs="Times New Roman"/>
                <w:spacing w:val="2"/>
                <w:sz w:val="20"/>
                <w:szCs w:val="20"/>
              </w:rPr>
              <w:t>易燃易挥发，不溶于水，易溶于醇和其他有机溶剂。是组分复杂的混合物，沸点范围有180℃～370℃和350℃～410℃两类。</w:t>
            </w:r>
          </w:p>
        </w:tc>
        <w:tc>
          <w:tcPr>
            <w:tcW w:w="713" w:type="pct"/>
            <w:vAlign w:val="top"/>
          </w:tcPr>
          <w:p>
            <w:pPr>
              <w:spacing w:before="168" w:line="231" w:lineRule="auto"/>
              <w:ind w:left="374"/>
              <w:rPr>
                <w:rFonts w:hint="eastAsia" w:ascii="Times New Roman" w:hAnsi="Times New Roman" w:eastAsia="宋体" w:cs="Times New Roman"/>
                <w:spacing w:val="3"/>
                <w:sz w:val="20"/>
                <w:szCs w:val="20"/>
                <w:lang w:val="en-US" w:eastAsia="zh-CN"/>
              </w:rPr>
            </w:pPr>
            <w:r>
              <w:rPr>
                <w:rFonts w:hint="eastAsia" w:ascii="Times New Roman" w:hAnsi="Times New Roman" w:eastAsia="宋体" w:cs="Times New Roman"/>
                <w:spacing w:val="3"/>
                <w:sz w:val="20"/>
                <w:szCs w:val="20"/>
                <w:lang w:val="en-US" w:eastAsia="zh-CN"/>
              </w:rPr>
              <w:t>易燃</w:t>
            </w:r>
          </w:p>
        </w:tc>
      </w:tr>
    </w:tbl>
    <w:p>
      <w:pPr>
        <w:pStyle w:val="45"/>
        <w:keepNext w:val="0"/>
        <w:keepLines w:val="0"/>
        <w:pageBreakBefore w:val="0"/>
        <w:widowControl/>
        <w:kinsoku w:val="0"/>
        <w:wordWrap/>
        <w:overflowPunct/>
        <w:topLinePunct w:val="0"/>
        <w:autoSpaceDE w:val="0"/>
        <w:autoSpaceDN w:val="0"/>
        <w:bidi w:val="0"/>
        <w:adjustRightInd/>
        <w:snapToGrid/>
        <w:spacing w:line="360" w:lineRule="auto"/>
        <w:ind w:left="0" w:right="0" w:firstLine="480" w:firstLineChars="200"/>
        <w:jc w:val="both"/>
        <w:textAlignment w:val="baseline"/>
        <w:outlineLvl w:val="1"/>
        <w:rPr>
          <w:rFonts w:hint="default" w:ascii="Times New Roman" w:hAnsi="Times New Roman" w:eastAsia="宋体" w:cs="Times New Roman"/>
          <w:snapToGrid w:val="0"/>
          <w:color w:val="auto"/>
          <w:kern w:val="0"/>
          <w:highlight w:val="none"/>
        </w:rPr>
      </w:pPr>
      <w:bookmarkStart w:id="362" w:name="_Toc10554"/>
      <w:bookmarkStart w:id="363" w:name="_Toc2748"/>
      <w:r>
        <w:rPr>
          <w:rFonts w:hint="default" w:ascii="Times New Roman" w:hAnsi="Times New Roman" w:eastAsia="宋体" w:cs="Times New Roman"/>
          <w:snapToGrid w:val="0"/>
          <w:color w:val="auto"/>
          <w:kern w:val="0"/>
          <w:highlight w:val="none"/>
        </w:rPr>
        <w:t>（3）生产过程潜在危险性识别</w:t>
      </w:r>
      <w:bookmarkEnd w:id="362"/>
      <w:bookmarkEnd w:id="363"/>
    </w:p>
    <w:p>
      <w:pPr>
        <w:spacing w:before="78" w:line="219" w:lineRule="auto"/>
        <w:ind w:left="489"/>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本项目主要危险性主要为次氯酸钠泄漏</w:t>
      </w:r>
      <w:r>
        <w:rPr>
          <w:rFonts w:hint="eastAsia" w:ascii="Times New Roman" w:hAnsi="Times New Roman" w:eastAsia="宋体" w:cs="Times New Roman"/>
          <w:spacing w:val="-1"/>
          <w:sz w:val="24"/>
          <w:szCs w:val="24"/>
          <w:lang w:eastAsia="zh-CN"/>
        </w:rPr>
        <w:t>、</w:t>
      </w:r>
      <w:r>
        <w:rPr>
          <w:rFonts w:hint="eastAsia" w:ascii="Times New Roman" w:hAnsi="Times New Roman" w:eastAsia="宋体" w:cs="Times New Roman"/>
          <w:spacing w:val="-1"/>
          <w:sz w:val="24"/>
          <w:szCs w:val="24"/>
          <w:lang w:val="en-US" w:eastAsia="zh-CN"/>
        </w:rPr>
        <w:t>柴油泄露</w:t>
      </w:r>
      <w:r>
        <w:rPr>
          <w:rFonts w:hint="default" w:ascii="Times New Roman" w:hAnsi="Times New Roman" w:eastAsia="宋体" w:cs="Times New Roman"/>
          <w:spacing w:val="-1"/>
          <w:sz w:val="24"/>
          <w:szCs w:val="24"/>
        </w:rPr>
        <w:t>以及污水事故排放等情况。</w:t>
      </w:r>
    </w:p>
    <w:p>
      <w:pPr>
        <w:spacing w:before="78" w:line="219" w:lineRule="auto"/>
        <w:ind w:left="489"/>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1）进水污染事故</w:t>
      </w:r>
    </w:p>
    <w:p>
      <w:pPr>
        <w:spacing w:before="154" w:line="339" w:lineRule="auto"/>
        <w:ind w:right="61" w:firstLine="472" w:firstLineChars="200"/>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工业企业生产的不连续性及排水水质的不稳定属于普通的经常性问题，正常范围内 的企业</w:t>
      </w:r>
      <w:r>
        <w:rPr>
          <w:rFonts w:hint="eastAsia" w:ascii="Times New Roman" w:hAnsi="Times New Roman" w:eastAsia="宋体" w:cs="Times New Roman"/>
          <w:spacing w:val="-2"/>
          <w:sz w:val="24"/>
          <w:szCs w:val="24"/>
          <w:lang w:val="en-US" w:eastAsia="zh-CN"/>
        </w:rPr>
        <w:t>进</w:t>
      </w:r>
      <w:r>
        <w:rPr>
          <w:rFonts w:hint="default" w:ascii="Times New Roman" w:hAnsi="Times New Roman" w:eastAsia="宋体" w:cs="Times New Roman"/>
          <w:spacing w:val="-2"/>
          <w:sz w:val="24"/>
          <w:szCs w:val="24"/>
        </w:rPr>
        <w:t>水水质的不稳定并不会影响</w:t>
      </w:r>
      <w:r>
        <w:rPr>
          <w:rFonts w:hint="eastAsia" w:ascii="Times New Roman" w:hAnsi="Times New Roman" w:eastAsia="宋体" w:cs="Times New Roman"/>
          <w:spacing w:val="-2"/>
          <w:sz w:val="24"/>
          <w:szCs w:val="24"/>
          <w:lang w:eastAsia="zh-CN"/>
        </w:rPr>
        <w:t>污水处理站</w:t>
      </w:r>
      <w:r>
        <w:rPr>
          <w:rFonts w:hint="default" w:ascii="Times New Roman" w:hAnsi="Times New Roman" w:eastAsia="宋体" w:cs="Times New Roman"/>
          <w:spacing w:val="-2"/>
          <w:sz w:val="24"/>
          <w:szCs w:val="24"/>
        </w:rPr>
        <w:t>整体</w:t>
      </w:r>
      <w:r>
        <w:rPr>
          <w:rFonts w:hint="eastAsia" w:ascii="Times New Roman" w:hAnsi="Times New Roman" w:eastAsia="宋体" w:cs="Times New Roman"/>
          <w:spacing w:val="-2"/>
          <w:sz w:val="24"/>
          <w:szCs w:val="24"/>
          <w:lang w:val="en-US" w:eastAsia="zh-CN"/>
        </w:rPr>
        <w:t>运行</w:t>
      </w:r>
      <w:r>
        <w:rPr>
          <w:rFonts w:hint="default" w:ascii="Times New Roman" w:hAnsi="Times New Roman" w:eastAsia="宋体" w:cs="Times New Roman"/>
          <w:spacing w:val="-2"/>
          <w:sz w:val="24"/>
          <w:szCs w:val="24"/>
        </w:rPr>
        <w:t>，设计的处理工艺完全能够对付这样的不稳定，使尾水做到达标排放。</w:t>
      </w:r>
    </w:p>
    <w:p>
      <w:pPr>
        <w:spacing w:before="155" w:line="219" w:lineRule="auto"/>
        <w:ind w:left="484"/>
        <w:rPr>
          <w:rFonts w:hint="default" w:ascii="Times New Roman" w:hAnsi="Times New Roman" w:eastAsia="宋体" w:cs="Times New Roman"/>
          <w:sz w:val="24"/>
          <w:szCs w:val="24"/>
        </w:rPr>
      </w:pPr>
      <w:r>
        <w:rPr>
          <w:rFonts w:hint="default" w:ascii="Times New Roman" w:hAnsi="Times New Roman" w:eastAsia="Times New Roman" w:cs="Times New Roman"/>
          <w:spacing w:val="-1"/>
          <w:sz w:val="24"/>
          <w:szCs w:val="24"/>
        </w:rPr>
        <w:t>2</w:t>
      </w:r>
      <w:r>
        <w:rPr>
          <w:rFonts w:hint="default" w:ascii="Times New Roman" w:hAnsi="Times New Roman" w:eastAsia="宋体" w:cs="Times New Roman"/>
          <w:spacing w:val="-1"/>
          <w:sz w:val="24"/>
          <w:szCs w:val="24"/>
        </w:rPr>
        <w:t>）设备故障事故及检修</w:t>
      </w:r>
    </w:p>
    <w:p>
      <w:pPr>
        <w:spacing w:before="156" w:line="439" w:lineRule="exact"/>
        <w:jc w:val="right"/>
        <w:rPr>
          <w:rFonts w:hint="default" w:ascii="Times New Roman" w:hAnsi="Times New Roman" w:eastAsia="宋体" w:cs="Times New Roman"/>
          <w:sz w:val="24"/>
          <w:szCs w:val="24"/>
        </w:rPr>
      </w:pPr>
      <w:r>
        <w:rPr>
          <w:rFonts w:hint="default" w:ascii="Times New Roman" w:hAnsi="Times New Roman" w:eastAsia="宋体" w:cs="Times New Roman"/>
          <w:spacing w:val="-6"/>
          <w:position w:val="15"/>
          <w:sz w:val="24"/>
          <w:szCs w:val="24"/>
        </w:rPr>
        <w:t>设计中主要设备采用国产优质设备，监测仪表和控制</w:t>
      </w:r>
      <w:r>
        <w:rPr>
          <w:rFonts w:hint="default" w:ascii="Times New Roman" w:hAnsi="Times New Roman" w:eastAsia="宋体" w:cs="Times New Roman"/>
          <w:spacing w:val="-7"/>
          <w:position w:val="15"/>
          <w:sz w:val="24"/>
          <w:szCs w:val="24"/>
        </w:rPr>
        <w:t>系统自动监控水平较高。因此，</w:t>
      </w:r>
    </w:p>
    <w:p>
      <w:pPr>
        <w:spacing w:before="1" w:line="218" w:lineRule="auto"/>
        <w:ind w:left="9"/>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本</w:t>
      </w:r>
      <w:r>
        <w:rPr>
          <w:rFonts w:hint="eastAsia" w:ascii="Times New Roman" w:hAnsi="Times New Roman" w:eastAsia="宋体" w:cs="Times New Roman"/>
          <w:spacing w:val="-1"/>
          <w:sz w:val="24"/>
          <w:szCs w:val="24"/>
          <w:lang w:eastAsia="zh-CN"/>
        </w:rPr>
        <w:t>污水处理站</w:t>
      </w:r>
      <w:r>
        <w:rPr>
          <w:rFonts w:hint="default" w:ascii="Times New Roman" w:hAnsi="Times New Roman" w:eastAsia="宋体" w:cs="Times New Roman"/>
          <w:spacing w:val="-1"/>
          <w:sz w:val="24"/>
          <w:szCs w:val="24"/>
        </w:rPr>
        <w:t>发生设备故障事故的可能性较小。</w:t>
      </w:r>
    </w:p>
    <w:p>
      <w:pPr>
        <w:spacing w:before="155" w:line="442" w:lineRule="exact"/>
        <w:ind w:right="61"/>
        <w:jc w:val="right"/>
        <w:rPr>
          <w:rFonts w:hint="default" w:ascii="Times New Roman" w:hAnsi="Times New Roman" w:eastAsia="宋体" w:cs="Times New Roman"/>
          <w:sz w:val="24"/>
          <w:szCs w:val="24"/>
        </w:rPr>
      </w:pPr>
      <w:r>
        <w:rPr>
          <w:rFonts w:hint="default" w:ascii="Times New Roman" w:hAnsi="Times New Roman" w:eastAsia="宋体" w:cs="Times New Roman"/>
          <w:spacing w:val="-2"/>
          <w:position w:val="15"/>
          <w:sz w:val="24"/>
          <w:szCs w:val="24"/>
        </w:rPr>
        <w:t>污水处理工程因设备故障或检修导致部分或全部污水未经处理直接排放，最大排放</w:t>
      </w:r>
    </w:p>
    <w:p>
      <w:pPr>
        <w:spacing w:line="219" w:lineRule="auto"/>
        <w:ind w:left="8"/>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量为全部进水量。在此情况下，排放的污染物浓度为污</w:t>
      </w:r>
      <w:r>
        <w:rPr>
          <w:rFonts w:hint="default" w:ascii="Times New Roman" w:hAnsi="Times New Roman" w:eastAsia="宋体" w:cs="Times New Roman"/>
          <w:spacing w:val="-1"/>
          <w:sz w:val="24"/>
          <w:szCs w:val="24"/>
        </w:rPr>
        <w:t>水处理工程的进水浓度。</w:t>
      </w:r>
    </w:p>
    <w:p>
      <w:pPr>
        <w:spacing w:before="155" w:line="219" w:lineRule="auto"/>
        <w:ind w:left="488"/>
        <w:rPr>
          <w:rFonts w:hint="default" w:ascii="Times New Roman" w:hAnsi="Times New Roman" w:eastAsia="宋体" w:cs="Times New Roman"/>
          <w:sz w:val="24"/>
          <w:szCs w:val="24"/>
        </w:rPr>
      </w:pPr>
      <w:r>
        <w:rPr>
          <w:rFonts w:hint="default" w:ascii="Times New Roman" w:hAnsi="Times New Roman" w:eastAsia="Times New Roman" w:cs="Times New Roman"/>
          <w:spacing w:val="-2"/>
          <w:sz w:val="24"/>
          <w:szCs w:val="24"/>
        </w:rPr>
        <w:t>3</w:t>
      </w:r>
      <w:r>
        <w:rPr>
          <w:rFonts w:hint="default" w:ascii="Times New Roman" w:hAnsi="Times New Roman" w:eastAsia="宋体" w:cs="Times New Roman"/>
          <w:spacing w:val="-2"/>
          <w:sz w:val="24"/>
          <w:szCs w:val="24"/>
        </w:rPr>
        <w:t>）管道集水井风险</w:t>
      </w:r>
    </w:p>
    <w:p>
      <w:pPr>
        <w:spacing w:before="153" w:line="339" w:lineRule="auto"/>
        <w:ind w:left="10" w:right="61" w:firstLine="477"/>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在管道和集水井等设备或构筑物中，因平日</w:t>
      </w:r>
      <w:r>
        <w:rPr>
          <w:rFonts w:hint="default" w:ascii="Times New Roman" w:hAnsi="Times New Roman" w:eastAsia="宋体" w:cs="Times New Roman"/>
          <w:spacing w:val="-2"/>
          <w:sz w:val="24"/>
          <w:szCs w:val="24"/>
        </w:rPr>
        <w:t>所贮污水内含各种污染物，经微生物作</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2"/>
          <w:sz w:val="24"/>
          <w:szCs w:val="24"/>
        </w:rPr>
        <w:t>用等因素产生有毒有害气体，如</w:t>
      </w:r>
      <w:r>
        <w:rPr>
          <w:rFonts w:hint="default" w:ascii="Times New Roman" w:hAnsi="Times New Roman" w:eastAsia="宋体" w:cs="Times New Roman"/>
          <w:spacing w:val="-56"/>
          <w:sz w:val="24"/>
          <w:szCs w:val="24"/>
        </w:rPr>
        <w:t xml:space="preserve"> </w:t>
      </w:r>
      <w:r>
        <w:rPr>
          <w:rFonts w:hint="default" w:ascii="Times New Roman" w:hAnsi="Times New Roman" w:eastAsia="Times New Roman" w:cs="Times New Roman"/>
          <w:spacing w:val="-2"/>
          <w:sz w:val="24"/>
          <w:szCs w:val="24"/>
        </w:rPr>
        <w:t>H</w:t>
      </w:r>
      <w:r>
        <w:rPr>
          <w:rFonts w:hint="default" w:ascii="Times New Roman" w:hAnsi="Times New Roman" w:eastAsia="Times New Roman" w:cs="Times New Roman"/>
          <w:spacing w:val="-2"/>
          <w:position w:val="-1"/>
          <w:sz w:val="15"/>
          <w:szCs w:val="15"/>
        </w:rPr>
        <w:t>2</w:t>
      </w:r>
      <w:r>
        <w:rPr>
          <w:rFonts w:hint="default" w:ascii="Times New Roman" w:hAnsi="Times New Roman" w:eastAsia="Times New Roman" w:cs="Times New Roman"/>
          <w:spacing w:val="-2"/>
          <w:sz w:val="24"/>
          <w:szCs w:val="24"/>
        </w:rPr>
        <w:t xml:space="preserve">S </w:t>
      </w:r>
      <w:r>
        <w:rPr>
          <w:rFonts w:hint="default" w:ascii="Times New Roman" w:hAnsi="Times New Roman" w:eastAsia="宋体" w:cs="Times New Roman"/>
          <w:spacing w:val="-2"/>
          <w:sz w:val="24"/>
          <w:szCs w:val="24"/>
        </w:rPr>
        <w:t>等，由于通风不畅，长年积累，浓度较高，可</w:t>
      </w:r>
      <w:r>
        <w:rPr>
          <w:rFonts w:hint="default" w:ascii="Times New Roman" w:hAnsi="Times New Roman" w:eastAsia="宋体" w:cs="Times New Roman"/>
          <w:spacing w:val="-3"/>
          <w:sz w:val="24"/>
          <w:szCs w:val="24"/>
        </w:rPr>
        <w:t>能对</w:t>
      </w:r>
    </w:p>
    <w:p>
      <w:pPr>
        <w:spacing w:before="1" w:line="219" w:lineRule="auto"/>
        <w:ind w:left="12"/>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维修人员产生中毒影响。</w:t>
      </w:r>
    </w:p>
    <w:p>
      <w:pPr>
        <w:spacing w:before="154" w:line="219" w:lineRule="auto"/>
        <w:ind w:left="482"/>
        <w:rPr>
          <w:rFonts w:hint="default" w:ascii="Times New Roman" w:hAnsi="Times New Roman" w:eastAsia="宋体" w:cs="Times New Roman"/>
          <w:sz w:val="24"/>
          <w:szCs w:val="24"/>
        </w:rPr>
      </w:pPr>
      <w:r>
        <w:rPr>
          <w:rFonts w:hint="default" w:ascii="Times New Roman" w:hAnsi="Times New Roman" w:eastAsia="Times New Roman" w:cs="Times New Roman"/>
          <w:spacing w:val="-1"/>
          <w:sz w:val="24"/>
          <w:szCs w:val="24"/>
        </w:rPr>
        <w:t>4</w:t>
      </w:r>
      <w:r>
        <w:rPr>
          <w:rFonts w:hint="default" w:ascii="Times New Roman" w:hAnsi="Times New Roman" w:eastAsia="宋体" w:cs="Times New Roman"/>
          <w:spacing w:val="-1"/>
          <w:sz w:val="24"/>
          <w:szCs w:val="24"/>
        </w:rPr>
        <w:t>）净水物质泄漏事故</w:t>
      </w:r>
    </w:p>
    <w:p>
      <w:pPr>
        <w:spacing w:before="153" w:line="339" w:lineRule="auto"/>
        <w:ind w:left="10" w:right="61" w:firstLine="477"/>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污水处理过程中使用的次氯酸钠等化学品存放于加药间，存在泄漏的风险。</w:t>
      </w:r>
    </w:p>
    <w:p>
      <w:pPr>
        <w:pStyle w:val="5"/>
        <w:pageBreakBefore w:val="0"/>
        <w:kinsoku/>
        <w:wordWrap/>
        <w:overflowPunct/>
        <w:topLinePunct w:val="0"/>
        <w:bidi w:val="0"/>
        <w:adjustRightInd/>
        <w:snapToGrid/>
        <w:spacing w:after="0" w:line="360" w:lineRule="auto"/>
        <w:ind w:firstLine="480" w:firstLineChars="200"/>
        <w:rPr>
          <w:rFonts w:hint="eastAsia" w:cs="Times New Roman"/>
          <w:snapToGrid w:val="0"/>
          <w:color w:val="auto"/>
          <w:kern w:val="0"/>
          <w:highlight w:val="none"/>
          <w:lang w:eastAsia="zh-CN"/>
        </w:rPr>
      </w:pPr>
      <w:r>
        <w:rPr>
          <w:rFonts w:hint="eastAsia" w:cs="Times New Roman"/>
          <w:snapToGrid w:val="0"/>
          <w:color w:val="auto"/>
          <w:kern w:val="0"/>
          <w:highlight w:val="none"/>
          <w:lang w:val="en-US" w:eastAsia="zh-CN"/>
        </w:rPr>
        <w:t>5</w:t>
      </w:r>
      <w:r>
        <w:rPr>
          <w:rFonts w:hint="eastAsia" w:cs="Times New Roman"/>
          <w:snapToGrid w:val="0"/>
          <w:color w:val="auto"/>
          <w:kern w:val="0"/>
          <w:highlight w:val="none"/>
          <w:lang w:eastAsia="zh-CN"/>
        </w:rPr>
        <w:t>）</w:t>
      </w:r>
      <w:r>
        <w:rPr>
          <w:rFonts w:hint="default" w:ascii="Times New Roman" w:hAnsi="Times New Roman" w:eastAsia="宋体" w:cs="Times New Roman"/>
          <w:color w:val="auto"/>
          <w:spacing w:val="0"/>
          <w:kern w:val="2"/>
          <w:sz w:val="24"/>
          <w:szCs w:val="24"/>
          <w:lang w:val="en-US" w:eastAsia="zh-CN"/>
        </w:rPr>
        <w:t>轻质柴油存储过程中</w:t>
      </w:r>
      <w:r>
        <w:rPr>
          <w:rFonts w:hint="default" w:ascii="Times New Roman" w:hAnsi="Times New Roman" w:eastAsia="宋体" w:cs="Times New Roman"/>
          <w:color w:val="auto"/>
          <w:spacing w:val="0"/>
          <w:kern w:val="2"/>
          <w:sz w:val="24"/>
          <w:szCs w:val="24"/>
        </w:rPr>
        <w:t>需远离火种、热源并分开存放。防止泄漏后遇热或火灾遇热后产生毒性及刺激性气体，造成二次污染事件。</w:t>
      </w:r>
    </w:p>
    <w:p>
      <w:pPr>
        <w:pStyle w:val="45"/>
        <w:keepNext w:val="0"/>
        <w:keepLines w:val="0"/>
        <w:pageBreakBefore w:val="0"/>
        <w:widowControl/>
        <w:kinsoku w:val="0"/>
        <w:wordWrap/>
        <w:overflowPunct/>
        <w:topLinePunct w:val="0"/>
        <w:autoSpaceDE w:val="0"/>
        <w:autoSpaceDN w:val="0"/>
        <w:bidi w:val="0"/>
        <w:adjustRightInd/>
        <w:snapToGrid/>
        <w:spacing w:line="360" w:lineRule="auto"/>
        <w:ind w:left="0" w:right="0" w:firstLine="480" w:firstLineChars="200"/>
        <w:jc w:val="both"/>
        <w:textAlignment w:val="baseline"/>
        <w:outlineLvl w:val="1"/>
        <w:rPr>
          <w:rFonts w:hint="default" w:ascii="Times New Roman" w:hAnsi="Times New Roman" w:eastAsia="宋体" w:cs="Times New Roman"/>
          <w:snapToGrid w:val="0"/>
          <w:color w:val="auto"/>
          <w:kern w:val="0"/>
          <w:highlight w:val="none"/>
        </w:rPr>
      </w:pPr>
      <w:bookmarkStart w:id="364" w:name="_Toc28876"/>
      <w:bookmarkStart w:id="365" w:name="_Toc22236"/>
      <w:r>
        <w:rPr>
          <w:rFonts w:hint="default" w:ascii="Times New Roman" w:hAnsi="Times New Roman" w:eastAsia="宋体" w:cs="Times New Roman"/>
          <w:snapToGrid w:val="0"/>
          <w:color w:val="auto"/>
          <w:kern w:val="0"/>
          <w:highlight w:val="none"/>
        </w:rPr>
        <w:t>（4）向环境转移途径</w:t>
      </w:r>
      <w:bookmarkEnd w:id="364"/>
      <w:bookmarkEnd w:id="365"/>
    </w:p>
    <w:p>
      <w:pPr>
        <w:spacing w:before="157" w:line="439" w:lineRule="exact"/>
        <w:ind w:right="61"/>
        <w:jc w:val="right"/>
        <w:rPr>
          <w:rFonts w:hint="default" w:ascii="Times New Roman" w:hAnsi="Times New Roman" w:eastAsia="宋体" w:cs="Times New Roman"/>
          <w:spacing w:val="-4"/>
          <w:position w:val="14"/>
          <w:sz w:val="24"/>
          <w:szCs w:val="24"/>
        </w:rPr>
      </w:pPr>
      <w:r>
        <w:rPr>
          <w:rFonts w:hint="default" w:ascii="Times New Roman" w:hAnsi="Times New Roman" w:eastAsia="宋体" w:cs="Times New Roman"/>
          <w:spacing w:val="-4"/>
          <w:position w:val="14"/>
          <w:sz w:val="24"/>
          <w:szCs w:val="24"/>
        </w:rPr>
        <w:t>空气、水体和土壤等环境要素是危险性物质向环境转移的最基本的途径，同时这三</w:t>
      </w:r>
    </w:p>
    <w:p>
      <w:pPr>
        <w:spacing w:before="157" w:line="439" w:lineRule="exact"/>
        <w:ind w:right="61"/>
        <w:jc w:val="right"/>
        <w:rPr>
          <w:rFonts w:hint="default" w:ascii="Times New Roman" w:hAnsi="Times New Roman" w:eastAsia="宋体" w:cs="Times New Roman"/>
          <w:spacing w:val="-4"/>
          <w:position w:val="14"/>
          <w:sz w:val="24"/>
          <w:szCs w:val="24"/>
        </w:rPr>
      </w:pPr>
      <w:r>
        <w:rPr>
          <w:rFonts w:hint="default" w:ascii="Times New Roman" w:hAnsi="Times New Roman" w:eastAsia="宋体" w:cs="Times New Roman"/>
          <w:spacing w:val="-4"/>
          <w:position w:val="14"/>
          <w:sz w:val="24"/>
          <w:szCs w:val="24"/>
        </w:rPr>
        <w:t>种要素之间又随时发生着物质和能量的传递，污染物进入环境后，随着空气和水体环境</w:t>
      </w:r>
    </w:p>
    <w:p>
      <w:pPr>
        <w:spacing w:before="157" w:line="439" w:lineRule="exact"/>
        <w:ind w:right="61"/>
        <w:jc w:val="right"/>
        <w:rPr>
          <w:rFonts w:hint="default" w:ascii="Times New Roman" w:hAnsi="Times New Roman" w:eastAsia="宋体" w:cs="Times New Roman"/>
          <w:spacing w:val="-4"/>
          <w:position w:val="14"/>
          <w:sz w:val="24"/>
          <w:szCs w:val="24"/>
        </w:rPr>
      </w:pPr>
      <w:r>
        <w:rPr>
          <w:rFonts w:hint="default" w:ascii="Times New Roman" w:hAnsi="Times New Roman" w:eastAsia="宋体" w:cs="Times New Roman"/>
          <w:spacing w:val="-4"/>
          <w:position w:val="14"/>
          <w:sz w:val="24"/>
          <w:szCs w:val="24"/>
        </w:rPr>
        <w:t>发生推流迁移、分散稀释和降解转化运动。本项目事故状态下气态污染物可进入大气环</w:t>
      </w:r>
    </w:p>
    <w:p>
      <w:pPr>
        <w:spacing w:before="157" w:line="439" w:lineRule="exact"/>
        <w:ind w:right="61"/>
        <w:jc w:val="both"/>
        <w:rPr>
          <w:rFonts w:hint="default" w:ascii="Times New Roman" w:hAnsi="Times New Roman" w:eastAsia="宋体" w:cs="Times New Roman"/>
          <w:spacing w:val="-4"/>
          <w:position w:val="14"/>
          <w:sz w:val="24"/>
          <w:szCs w:val="24"/>
        </w:rPr>
      </w:pPr>
      <w:r>
        <w:rPr>
          <w:rFonts w:hint="default" w:ascii="Times New Roman" w:hAnsi="Times New Roman" w:eastAsia="宋体" w:cs="Times New Roman"/>
          <w:spacing w:val="-4"/>
          <w:position w:val="14"/>
          <w:sz w:val="24"/>
          <w:szCs w:val="24"/>
        </w:rPr>
        <w:t>境，部分污染物随消防废水进入水体。</w:t>
      </w:r>
    </w:p>
    <w:p>
      <w:pPr>
        <w:keepNext w:val="0"/>
        <w:keepLines w:val="0"/>
        <w:pageBreakBefore w:val="0"/>
        <w:widowControl/>
        <w:kinsoku w:val="0"/>
        <w:wordWrap/>
        <w:overflowPunct/>
        <w:topLinePunct w:val="0"/>
        <w:autoSpaceDE w:val="0"/>
        <w:autoSpaceDN w:val="0"/>
        <w:bidi w:val="0"/>
        <w:spacing w:line="360" w:lineRule="auto"/>
        <w:ind w:left="0" w:right="0" w:firstLine="482" w:firstLineChars="200"/>
        <w:jc w:val="both"/>
        <w:textAlignment w:val="baseline"/>
        <w:outlineLvl w:val="9"/>
        <w:rPr>
          <w:rFonts w:hint="default" w:ascii="Times New Roman" w:hAnsi="Times New Roman" w:eastAsia="宋体" w:cs="Times New Roman"/>
          <w:sz w:val="24"/>
          <w:szCs w:val="24"/>
          <w:highlight w:val="magenta"/>
        </w:rPr>
      </w:pPr>
      <w:r>
        <w:rPr>
          <w:rFonts w:hint="default" w:ascii="Times New Roman" w:hAnsi="Times New Roman" w:eastAsia="宋体" w:cs="Times New Roman"/>
          <w:b/>
          <w:snapToGrid w:val="0"/>
          <w:color w:val="auto"/>
          <w:kern w:val="0"/>
          <w:sz w:val="24"/>
          <w:szCs w:val="24"/>
          <w:lang w:eastAsia="zh-CN"/>
        </w:rPr>
        <w:fldChar w:fldCharType="begin"/>
      </w:r>
      <w:r>
        <w:rPr>
          <w:rFonts w:hint="default" w:ascii="Times New Roman" w:hAnsi="Times New Roman" w:eastAsia="宋体" w:cs="Times New Roman"/>
          <w:b/>
          <w:snapToGrid w:val="0"/>
          <w:color w:val="auto"/>
          <w:kern w:val="0"/>
          <w:sz w:val="24"/>
          <w:szCs w:val="24"/>
          <w:lang w:eastAsia="zh-CN"/>
        </w:rPr>
        <w:instrText xml:space="preserve"> HYPERLINK "5.2.6.4" </w:instrText>
      </w:r>
      <w:r>
        <w:rPr>
          <w:rFonts w:hint="default" w:ascii="Times New Roman" w:hAnsi="Times New Roman" w:eastAsia="宋体" w:cs="Times New Roman"/>
          <w:b/>
          <w:snapToGrid w:val="0"/>
          <w:color w:val="auto"/>
          <w:kern w:val="0"/>
          <w:sz w:val="24"/>
          <w:szCs w:val="24"/>
          <w:lang w:eastAsia="zh-CN"/>
        </w:rPr>
        <w:fldChar w:fldCharType="separate"/>
      </w:r>
      <w:r>
        <w:rPr>
          <w:rFonts w:hint="default" w:ascii="Times New Roman" w:hAnsi="Times New Roman" w:eastAsia="宋体" w:cs="Times New Roman"/>
          <w:b/>
          <w:snapToGrid w:val="0"/>
          <w:color w:val="auto"/>
          <w:kern w:val="0"/>
          <w:sz w:val="24"/>
          <w:szCs w:val="24"/>
          <w:lang w:eastAsia="zh-CN"/>
        </w:rPr>
        <w:t>5.2.</w:t>
      </w:r>
      <w:r>
        <w:rPr>
          <w:rFonts w:hint="eastAsia" w:ascii="Times New Roman" w:hAnsi="Times New Roman" w:eastAsia="宋体" w:cs="Times New Roman"/>
          <w:b/>
          <w:snapToGrid w:val="0"/>
          <w:color w:val="auto"/>
          <w:kern w:val="0"/>
          <w:sz w:val="24"/>
          <w:szCs w:val="24"/>
          <w:lang w:val="en-US" w:eastAsia="zh-CN"/>
        </w:rPr>
        <w:t>5</w:t>
      </w:r>
      <w:r>
        <w:rPr>
          <w:rFonts w:hint="default" w:ascii="Times New Roman" w:hAnsi="Times New Roman" w:eastAsia="宋体" w:cs="Times New Roman"/>
          <w:b/>
          <w:snapToGrid w:val="0"/>
          <w:color w:val="auto"/>
          <w:kern w:val="0"/>
          <w:sz w:val="24"/>
          <w:szCs w:val="24"/>
          <w:lang w:eastAsia="zh-CN"/>
        </w:rPr>
        <w:t>.4</w:t>
      </w:r>
      <w:r>
        <w:rPr>
          <w:rFonts w:hint="default" w:ascii="Times New Roman" w:hAnsi="Times New Roman" w:eastAsia="宋体" w:cs="Times New Roman"/>
          <w:b/>
          <w:snapToGrid w:val="0"/>
          <w:color w:val="auto"/>
          <w:kern w:val="0"/>
          <w:sz w:val="24"/>
          <w:szCs w:val="24"/>
          <w:lang w:eastAsia="zh-CN"/>
        </w:rPr>
        <w:fldChar w:fldCharType="end"/>
      </w:r>
      <w:r>
        <w:rPr>
          <w:rFonts w:hint="default" w:ascii="Times New Roman" w:hAnsi="Times New Roman" w:eastAsia="宋体" w:cs="Times New Roman"/>
          <w:b/>
          <w:snapToGrid w:val="0"/>
          <w:color w:val="auto"/>
          <w:kern w:val="0"/>
          <w:sz w:val="24"/>
          <w:szCs w:val="24"/>
          <w:lang w:eastAsia="zh-CN"/>
        </w:rPr>
        <w:t xml:space="preserve"> 环境风险分析</w:t>
      </w:r>
    </w:p>
    <w:p>
      <w:pPr>
        <w:keepNext w:val="0"/>
        <w:keepLines w:val="0"/>
        <w:pageBreakBefore w:val="0"/>
        <w:widowControl/>
        <w:wordWrap/>
        <w:overflowPunct/>
        <w:topLinePunct w:val="0"/>
        <w:autoSpaceDE w:val="0"/>
        <w:autoSpaceDN w:val="0"/>
        <w:bidi w:val="0"/>
        <w:spacing w:line="360" w:lineRule="auto"/>
        <w:ind w:firstLine="480" w:firstLineChars="200"/>
        <w:outlineLvl w:val="1"/>
        <w:rPr>
          <w:rFonts w:hint="default" w:ascii="Times New Roman" w:hAnsi="Times New Roman" w:eastAsia="宋体" w:cs="Times New Roman"/>
          <w:color w:val="auto"/>
          <w:sz w:val="24"/>
          <w:szCs w:val="24"/>
        </w:rPr>
      </w:pPr>
      <w:bookmarkStart w:id="366" w:name="_Toc28518"/>
      <w:bookmarkStart w:id="367" w:name="_Toc6622"/>
      <w:bookmarkStart w:id="368" w:name="_Toc3028"/>
      <w:bookmarkStart w:id="369" w:name="_Toc18515"/>
      <w:r>
        <w:rPr>
          <w:rFonts w:hint="eastAsia" w:ascii="Times New Roman" w:hAnsi="Times New Roman" w:eastAsia="宋体" w:cs="Times New Roman"/>
          <w:color w:val="auto"/>
          <w:sz w:val="24"/>
          <w:szCs w:val="24"/>
          <w:lang w:val="en-US" w:eastAsia="zh-CN"/>
        </w:rPr>
        <w:t>（1）次氯酸钠</w:t>
      </w:r>
      <w:r>
        <w:rPr>
          <w:rFonts w:hint="default" w:ascii="Times New Roman" w:hAnsi="Times New Roman" w:eastAsia="宋体" w:cs="Times New Roman"/>
          <w:color w:val="auto"/>
          <w:sz w:val="24"/>
          <w:szCs w:val="24"/>
        </w:rPr>
        <w:t>泄漏影响分析</w:t>
      </w:r>
      <w:bookmarkEnd w:id="366"/>
      <w:bookmarkEnd w:id="367"/>
      <w:bookmarkEnd w:id="368"/>
      <w:bookmarkEnd w:id="369"/>
    </w:p>
    <w:p>
      <w:pPr>
        <w:pStyle w:val="5"/>
        <w:keepNext w:val="0"/>
        <w:keepLines w:val="0"/>
        <w:pageBreakBefore w:val="0"/>
        <w:widowControl/>
        <w:kinsoku/>
        <w:wordWrap/>
        <w:overflowPunct/>
        <w:topLinePunct w:val="0"/>
        <w:autoSpaceDE w:val="0"/>
        <w:autoSpaceDN w:val="0"/>
        <w:bidi w:val="0"/>
        <w:adjustRightInd/>
        <w:snapToGrid/>
        <w:spacing w:after="0" w:line="360" w:lineRule="auto"/>
        <w:ind w:left="0" w:firstLine="480" w:firstLineChars="200"/>
        <w:jc w:val="both"/>
        <w:textAlignment w:val="auto"/>
        <w:rPr>
          <w:rFonts w:hint="default" w:ascii="Times New Roman" w:hAnsi="Times New Roman" w:eastAsia="宋体" w:cs="Times New Roman"/>
          <w:smallCaps w:val="0"/>
          <w:color w:val="auto"/>
          <w:spacing w:val="0"/>
          <w:kern w:val="2"/>
          <w:sz w:val="24"/>
          <w:szCs w:val="24"/>
        </w:rPr>
      </w:pPr>
      <w:r>
        <w:rPr>
          <w:rFonts w:hint="eastAsia" w:ascii="Times New Roman" w:hAnsi="Times New Roman" w:eastAsia="宋体" w:cs="Times New Roman"/>
          <w:smallCaps w:val="0"/>
          <w:color w:val="auto"/>
          <w:spacing w:val="0"/>
          <w:kern w:val="2"/>
          <w:sz w:val="24"/>
          <w:szCs w:val="24"/>
          <w:lang w:val="en-US" w:eastAsia="zh-CN"/>
        </w:rPr>
        <w:t>次</w:t>
      </w:r>
      <w:r>
        <w:rPr>
          <w:rFonts w:hint="default" w:ascii="Times New Roman" w:hAnsi="Times New Roman" w:eastAsia="宋体" w:cs="Times New Roman"/>
          <w:smallCaps w:val="0"/>
          <w:color w:val="auto"/>
          <w:spacing w:val="0"/>
          <w:kern w:val="2"/>
          <w:sz w:val="24"/>
          <w:szCs w:val="24"/>
        </w:rPr>
        <w:t>氯酸钠为无色结晶或白色颗粒，易溶于水，在中性或弱碱性溶液中氧化力非常低，但在酸性溶液中或有诱导氧化剂和催化剂存在时，则是强氧化剂。与酸类作用放出二氧化氯。有极强的氧化力，300℃以上分解出氧气。氯酸钠不稳定。与磷、硫、有机物或还原性物质摩擦或者撞击时易发生燃烧和爆炸，易吸潮结块，有毒。</w:t>
      </w:r>
    </w:p>
    <w:p>
      <w:pPr>
        <w:pStyle w:val="5"/>
        <w:keepNext w:val="0"/>
        <w:keepLines w:val="0"/>
        <w:pageBreakBefore w:val="0"/>
        <w:widowControl/>
        <w:kinsoku/>
        <w:wordWrap/>
        <w:overflowPunct/>
        <w:topLinePunct w:val="0"/>
        <w:autoSpaceDE w:val="0"/>
        <w:autoSpaceDN w:val="0"/>
        <w:bidi w:val="0"/>
        <w:adjustRightInd/>
        <w:snapToGrid/>
        <w:spacing w:after="0" w:line="360" w:lineRule="auto"/>
        <w:ind w:left="0" w:firstLine="480" w:firstLineChars="200"/>
        <w:jc w:val="both"/>
        <w:textAlignment w:val="auto"/>
        <w:rPr>
          <w:rFonts w:hint="eastAsia" w:eastAsia="宋体"/>
          <w:lang w:eastAsia="zh-CN"/>
        </w:rPr>
      </w:pPr>
      <w:r>
        <w:rPr>
          <w:rFonts w:hint="eastAsia" w:ascii="Times New Roman" w:hAnsi="Times New Roman" w:eastAsia="宋体" w:cs="Times New Roman"/>
          <w:smallCaps w:val="0"/>
          <w:color w:val="auto"/>
          <w:spacing w:val="0"/>
          <w:kern w:val="2"/>
          <w:sz w:val="24"/>
          <w:szCs w:val="24"/>
          <w:lang w:val="en-US" w:eastAsia="zh-CN"/>
        </w:rPr>
        <w:t>次</w:t>
      </w:r>
      <w:r>
        <w:rPr>
          <w:rFonts w:hint="default" w:ascii="Times New Roman" w:hAnsi="Times New Roman" w:eastAsia="宋体" w:cs="Times New Roman"/>
          <w:smallCaps w:val="0"/>
          <w:color w:val="auto"/>
          <w:spacing w:val="0"/>
          <w:kern w:val="2"/>
          <w:sz w:val="24"/>
          <w:szCs w:val="24"/>
        </w:rPr>
        <w:t>氯酸钠发生泄漏时，应隔离泄漏污染区，限制出入。建议应急处理人员戴自给式呼吸器，穿一般工作服。不要直接接触泄漏物，勿使泄漏物与有机物、还原剂、易燃物接触。小量泄漏：避免扬尘，用洁净的铲子收集于干燥、洁净、有盖的容器中。大量泄漏：收集回收或运至废物处理场所处置。</w:t>
      </w:r>
    </w:p>
    <w:p>
      <w:pPr>
        <w:keepNext w:val="0"/>
        <w:keepLines w:val="0"/>
        <w:pageBreakBefore w:val="0"/>
        <w:widowControl/>
        <w:wordWrap/>
        <w:overflowPunct/>
        <w:topLinePunct w:val="0"/>
        <w:autoSpaceDE w:val="0"/>
        <w:autoSpaceDN w:val="0"/>
        <w:bidi w:val="0"/>
        <w:spacing w:line="360" w:lineRule="auto"/>
        <w:ind w:firstLine="480" w:firstLineChars="200"/>
        <w:outlineLvl w:val="1"/>
        <w:rPr>
          <w:rFonts w:hint="default" w:ascii="Times New Roman" w:hAnsi="Times New Roman" w:eastAsia="宋体" w:cs="Times New Roman"/>
          <w:color w:val="auto"/>
          <w:sz w:val="24"/>
          <w:szCs w:val="24"/>
        </w:rPr>
      </w:pPr>
      <w:bookmarkStart w:id="370" w:name="_Toc7408"/>
      <w:bookmarkStart w:id="371" w:name="_Toc31113"/>
      <w:bookmarkStart w:id="372" w:name="_Toc5134"/>
      <w:bookmarkStart w:id="373" w:name="_Toc10186"/>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柴油储罐泄漏影响分析</w:t>
      </w:r>
      <w:bookmarkEnd w:id="370"/>
      <w:bookmarkEnd w:id="371"/>
      <w:bookmarkEnd w:id="372"/>
      <w:bookmarkEnd w:id="373"/>
    </w:p>
    <w:p>
      <w:pPr>
        <w:keepNext w:val="0"/>
        <w:keepLines w:val="0"/>
        <w:pageBreakBefore w:val="0"/>
        <w:widowControl/>
        <w:wordWrap/>
        <w:overflowPunct/>
        <w:topLinePunct w:val="0"/>
        <w:autoSpaceDE w:val="0"/>
        <w:autoSpaceDN w:val="0"/>
        <w:bidi w:val="0"/>
        <w:spacing w:line="360" w:lineRule="auto"/>
        <w:ind w:firstLine="480" w:firstLineChars="200"/>
        <w:rPr>
          <w:rFonts w:hint="default"/>
          <w:lang w:val="en-US" w:eastAsia="zh-CN"/>
        </w:rPr>
      </w:pPr>
      <w:bookmarkStart w:id="374" w:name="_Toc18137"/>
      <w:bookmarkStart w:id="375" w:name="_Toc31091"/>
      <w:bookmarkStart w:id="376" w:name="_Toc21277"/>
      <w:r>
        <w:rPr>
          <w:rFonts w:hint="default" w:ascii="Times New Roman" w:hAnsi="Times New Roman" w:eastAsia="宋体" w:cs="Times New Roman"/>
          <w:smallCaps w:val="0"/>
          <w:snapToGrid w:val="0"/>
          <w:color w:val="auto"/>
          <w:spacing w:val="0"/>
          <w:kern w:val="2"/>
          <w:sz w:val="24"/>
          <w:szCs w:val="24"/>
          <w:lang w:val="en-US" w:eastAsia="zh-CN" w:bidi="ar-SA"/>
        </w:rPr>
        <w:t>a对环境空气的影响</w:t>
      </w:r>
      <w:bookmarkEnd w:id="374"/>
      <w:bookmarkEnd w:id="375"/>
      <w:bookmarkEnd w:id="376"/>
    </w:p>
    <w:p>
      <w:pPr>
        <w:keepNext w:val="0"/>
        <w:keepLines w:val="0"/>
        <w:pageBreakBefore w:val="0"/>
        <w:widowControl/>
        <w:kinsoku/>
        <w:wordWrap/>
        <w:overflowPunct/>
        <w:topLinePunct w:val="0"/>
        <w:autoSpaceDE w:val="0"/>
        <w:autoSpaceDN w:val="0"/>
        <w:bidi w:val="0"/>
        <w:adjustRightInd/>
        <w:snapToGrid/>
        <w:spacing w:line="360" w:lineRule="auto"/>
        <w:ind w:left="0" w:firstLine="480" w:firstLineChars="200"/>
        <w:jc w:val="both"/>
        <w:textAlignment w:val="auto"/>
        <w:rPr>
          <w:rFonts w:hint="default" w:ascii="Times New Roman" w:hAnsi="Times New Roman" w:eastAsia="宋体" w:cs="Times New Roman"/>
          <w:smallCaps w:val="0"/>
          <w:snapToGrid w:val="0"/>
          <w:color w:val="auto"/>
          <w:spacing w:val="0"/>
          <w:kern w:val="2"/>
          <w:sz w:val="24"/>
          <w:szCs w:val="24"/>
          <w:lang w:val="en-US" w:eastAsia="zh-CN" w:bidi="ar-SA"/>
        </w:rPr>
      </w:pPr>
      <w:r>
        <w:rPr>
          <w:rFonts w:hint="default" w:ascii="Times New Roman" w:hAnsi="Times New Roman" w:eastAsia="宋体" w:cs="Times New Roman"/>
          <w:smallCaps w:val="0"/>
          <w:snapToGrid w:val="0"/>
          <w:color w:val="auto"/>
          <w:spacing w:val="0"/>
          <w:kern w:val="2"/>
          <w:sz w:val="24"/>
          <w:szCs w:val="24"/>
          <w:lang w:val="en-US" w:eastAsia="zh-CN" w:bidi="ar-SA"/>
        </w:rPr>
        <w:t>油类泄漏时，其中的轻组分轻烃逐渐挥发进入大气，造成对大气环境的影响。其影响程度一般取决于油品泄漏量、覆盖面积、气温及持续时间等，油品泄漏量越多、覆盖面积越大、气温越高、持续时间越长，则因此而造成的烃类气体污染也越严重，反之，则污染不显著。油类泄漏时，局部大气中C</w:t>
      </w:r>
      <w:r>
        <w:rPr>
          <w:rFonts w:hint="default" w:ascii="Times New Roman" w:hAnsi="Times New Roman" w:eastAsia="宋体" w:cs="Times New Roman"/>
          <w:smallCaps w:val="0"/>
          <w:snapToGrid w:val="0"/>
          <w:color w:val="auto"/>
          <w:spacing w:val="0"/>
          <w:kern w:val="2"/>
          <w:sz w:val="24"/>
          <w:szCs w:val="24"/>
          <w:vertAlign w:val="subscript"/>
          <w:lang w:val="en-US" w:eastAsia="zh-CN" w:bidi="ar-SA"/>
        </w:rPr>
        <w:t>n</w:t>
      </w:r>
      <w:r>
        <w:rPr>
          <w:rFonts w:hint="default" w:ascii="Times New Roman" w:hAnsi="Times New Roman" w:eastAsia="宋体" w:cs="Times New Roman"/>
          <w:smallCaps w:val="0"/>
          <w:snapToGrid w:val="0"/>
          <w:color w:val="auto"/>
          <w:spacing w:val="0"/>
          <w:kern w:val="2"/>
          <w:sz w:val="24"/>
          <w:szCs w:val="24"/>
          <w:lang w:val="en-US" w:eastAsia="zh-CN" w:bidi="ar-SA"/>
        </w:rPr>
        <w:t>H</w:t>
      </w:r>
      <w:r>
        <w:rPr>
          <w:rFonts w:hint="default" w:ascii="Times New Roman" w:hAnsi="Times New Roman" w:eastAsia="宋体" w:cs="Times New Roman"/>
          <w:smallCaps w:val="0"/>
          <w:snapToGrid w:val="0"/>
          <w:color w:val="auto"/>
          <w:spacing w:val="0"/>
          <w:kern w:val="2"/>
          <w:sz w:val="24"/>
          <w:szCs w:val="24"/>
          <w:vertAlign w:val="subscript"/>
          <w:lang w:val="en-US" w:eastAsia="zh-CN" w:bidi="ar-SA"/>
        </w:rPr>
        <w:t>m</w:t>
      </w:r>
      <w:r>
        <w:rPr>
          <w:rFonts w:hint="default" w:ascii="Times New Roman" w:hAnsi="Times New Roman" w:eastAsia="宋体" w:cs="Times New Roman"/>
          <w:smallCaps w:val="0"/>
          <w:snapToGrid w:val="0"/>
          <w:color w:val="auto"/>
          <w:spacing w:val="0"/>
          <w:kern w:val="2"/>
          <w:sz w:val="24"/>
          <w:szCs w:val="24"/>
          <w:lang w:val="en-US" w:eastAsia="zh-CN" w:bidi="ar-SA"/>
        </w:rPr>
        <w:t>浓度高出正常情况的数倍或更多，但不会超过井喷时因伴生气排放对大气的影响强度，更不会导致大气环境的明显恶化。在油类泄漏并发生火灾时，会因其中重组分油燃烧不完全引起浓烟，使局部大气中TSP和C</w:t>
      </w:r>
      <w:r>
        <w:rPr>
          <w:rFonts w:hint="default" w:ascii="Times New Roman" w:hAnsi="Times New Roman" w:eastAsia="宋体" w:cs="Times New Roman"/>
          <w:smallCaps w:val="0"/>
          <w:snapToGrid w:val="0"/>
          <w:color w:val="auto"/>
          <w:spacing w:val="0"/>
          <w:kern w:val="2"/>
          <w:sz w:val="24"/>
          <w:szCs w:val="24"/>
          <w:vertAlign w:val="subscript"/>
          <w:lang w:val="en-US" w:eastAsia="zh-CN" w:bidi="ar-SA"/>
        </w:rPr>
        <w:t>n</w:t>
      </w:r>
      <w:r>
        <w:rPr>
          <w:rFonts w:hint="default" w:ascii="Times New Roman" w:hAnsi="Times New Roman" w:eastAsia="宋体" w:cs="Times New Roman"/>
          <w:smallCaps w:val="0"/>
          <w:snapToGrid w:val="0"/>
          <w:color w:val="auto"/>
          <w:spacing w:val="0"/>
          <w:kern w:val="2"/>
          <w:sz w:val="24"/>
          <w:szCs w:val="24"/>
          <w:lang w:val="en-US" w:eastAsia="zh-CN" w:bidi="ar-SA"/>
        </w:rPr>
        <w:t>H</w:t>
      </w:r>
      <w:r>
        <w:rPr>
          <w:rFonts w:hint="default" w:ascii="Times New Roman" w:hAnsi="Times New Roman" w:eastAsia="宋体" w:cs="Times New Roman"/>
          <w:smallCaps w:val="0"/>
          <w:snapToGrid w:val="0"/>
          <w:color w:val="auto"/>
          <w:spacing w:val="0"/>
          <w:kern w:val="2"/>
          <w:sz w:val="24"/>
          <w:szCs w:val="24"/>
          <w:vertAlign w:val="subscript"/>
          <w:lang w:val="en-US" w:eastAsia="zh-CN" w:bidi="ar-SA"/>
        </w:rPr>
        <w:t>m</w:t>
      </w:r>
      <w:r>
        <w:rPr>
          <w:rFonts w:hint="default" w:ascii="Times New Roman" w:hAnsi="Times New Roman" w:eastAsia="宋体" w:cs="Times New Roman"/>
          <w:smallCaps w:val="0"/>
          <w:snapToGrid w:val="0"/>
          <w:color w:val="auto"/>
          <w:spacing w:val="0"/>
          <w:kern w:val="2"/>
          <w:sz w:val="24"/>
          <w:szCs w:val="24"/>
          <w:lang w:val="en-US" w:eastAsia="zh-CN" w:bidi="ar-SA"/>
        </w:rPr>
        <w:t>激增，污染大气环境。</w:t>
      </w:r>
    </w:p>
    <w:p>
      <w:pPr>
        <w:keepNext w:val="0"/>
        <w:keepLines w:val="0"/>
        <w:pageBreakBefore w:val="0"/>
        <w:widowControl/>
        <w:kinsoku/>
        <w:wordWrap/>
        <w:overflowPunct/>
        <w:topLinePunct w:val="0"/>
        <w:autoSpaceDE w:val="0"/>
        <w:autoSpaceDN w:val="0"/>
        <w:bidi w:val="0"/>
        <w:adjustRightInd/>
        <w:snapToGrid/>
        <w:spacing w:line="360" w:lineRule="auto"/>
        <w:ind w:left="0" w:firstLine="480" w:firstLineChars="200"/>
        <w:jc w:val="both"/>
        <w:textAlignment w:val="auto"/>
        <w:rPr>
          <w:rFonts w:hint="default" w:ascii="Times New Roman" w:hAnsi="Times New Roman" w:eastAsia="宋体" w:cs="Times New Roman"/>
          <w:smallCaps w:val="0"/>
          <w:snapToGrid w:val="0"/>
          <w:color w:val="auto"/>
          <w:spacing w:val="0"/>
          <w:kern w:val="2"/>
          <w:sz w:val="24"/>
          <w:szCs w:val="24"/>
          <w:lang w:val="en-US" w:eastAsia="zh-CN" w:bidi="ar-SA"/>
        </w:rPr>
      </w:pPr>
      <w:r>
        <w:rPr>
          <w:rFonts w:hint="default" w:ascii="Times New Roman" w:hAnsi="Times New Roman" w:eastAsia="宋体" w:cs="Times New Roman"/>
          <w:smallCaps w:val="0"/>
          <w:snapToGrid w:val="0"/>
          <w:color w:val="auto"/>
          <w:spacing w:val="0"/>
          <w:kern w:val="2"/>
          <w:sz w:val="24"/>
          <w:szCs w:val="24"/>
          <w:lang w:val="en-US" w:eastAsia="zh-CN" w:bidi="ar-SA"/>
        </w:rPr>
        <w:t>b对水环境的影响</w:t>
      </w:r>
    </w:p>
    <w:p>
      <w:pPr>
        <w:keepNext w:val="0"/>
        <w:keepLines w:val="0"/>
        <w:pageBreakBefore w:val="0"/>
        <w:widowControl/>
        <w:kinsoku/>
        <w:wordWrap/>
        <w:overflowPunct/>
        <w:topLinePunct w:val="0"/>
        <w:autoSpaceDE w:val="0"/>
        <w:autoSpaceDN w:val="0"/>
        <w:bidi w:val="0"/>
        <w:adjustRightInd/>
        <w:snapToGrid/>
        <w:spacing w:line="360" w:lineRule="auto"/>
        <w:ind w:left="0" w:firstLine="480" w:firstLineChars="200"/>
        <w:jc w:val="both"/>
        <w:textAlignment w:val="auto"/>
        <w:rPr>
          <w:rFonts w:hint="default" w:ascii="Times New Roman" w:hAnsi="Times New Roman" w:eastAsia="宋体" w:cs="Times New Roman"/>
          <w:smallCaps w:val="0"/>
          <w:snapToGrid w:val="0"/>
          <w:color w:val="auto"/>
          <w:spacing w:val="0"/>
          <w:kern w:val="2"/>
          <w:sz w:val="24"/>
          <w:szCs w:val="24"/>
          <w:lang w:val="en-US" w:eastAsia="zh-CN" w:bidi="ar-SA"/>
        </w:rPr>
      </w:pPr>
      <w:r>
        <w:rPr>
          <w:rFonts w:hint="default" w:ascii="Times New Roman" w:hAnsi="Times New Roman" w:eastAsia="宋体" w:cs="Times New Roman"/>
          <w:smallCaps w:val="0"/>
          <w:snapToGrid w:val="0"/>
          <w:color w:val="auto"/>
          <w:spacing w:val="0"/>
          <w:kern w:val="2"/>
          <w:sz w:val="24"/>
          <w:szCs w:val="24"/>
          <w:lang w:val="en-US" w:eastAsia="zh-CN" w:bidi="ar-SA"/>
        </w:rPr>
        <w:fldChar w:fldCharType="begin"/>
      </w:r>
      <w:r>
        <w:rPr>
          <w:rFonts w:hint="default" w:ascii="Times New Roman" w:hAnsi="Times New Roman" w:eastAsia="宋体" w:cs="Times New Roman"/>
          <w:smallCaps w:val="0"/>
          <w:snapToGrid w:val="0"/>
          <w:color w:val="auto"/>
          <w:spacing w:val="0"/>
          <w:kern w:val="2"/>
          <w:sz w:val="24"/>
          <w:szCs w:val="24"/>
          <w:lang w:val="en-US" w:eastAsia="zh-CN" w:bidi="ar-SA"/>
        </w:rPr>
        <w:instrText xml:space="preserve"> = 1 \* GB3 \* MERGEFORMAT </w:instrText>
      </w:r>
      <w:r>
        <w:rPr>
          <w:rFonts w:hint="default" w:ascii="Times New Roman" w:hAnsi="Times New Roman" w:eastAsia="宋体" w:cs="Times New Roman"/>
          <w:smallCaps w:val="0"/>
          <w:snapToGrid w:val="0"/>
          <w:color w:val="auto"/>
          <w:spacing w:val="0"/>
          <w:kern w:val="2"/>
          <w:sz w:val="24"/>
          <w:szCs w:val="24"/>
          <w:lang w:val="en-US" w:eastAsia="zh-CN" w:bidi="ar-SA"/>
        </w:rPr>
        <w:fldChar w:fldCharType="separate"/>
      </w:r>
      <w:r>
        <w:rPr>
          <w:rFonts w:hint="default" w:ascii="Times New Roman" w:hAnsi="Times New Roman" w:eastAsia="宋体" w:cs="Times New Roman"/>
          <w:smallCaps w:val="0"/>
          <w:color w:val="auto"/>
          <w:spacing w:val="0"/>
          <w:sz w:val="24"/>
          <w:szCs w:val="24"/>
        </w:rPr>
        <w:t>①</w:t>
      </w:r>
      <w:r>
        <w:rPr>
          <w:rFonts w:hint="default" w:ascii="Times New Roman" w:hAnsi="Times New Roman" w:eastAsia="宋体" w:cs="Times New Roman"/>
          <w:smallCaps w:val="0"/>
          <w:snapToGrid w:val="0"/>
          <w:color w:val="auto"/>
          <w:spacing w:val="0"/>
          <w:kern w:val="2"/>
          <w:sz w:val="24"/>
          <w:szCs w:val="24"/>
          <w:lang w:val="en-US" w:eastAsia="zh-CN" w:bidi="ar-SA"/>
        </w:rPr>
        <w:fldChar w:fldCharType="end"/>
      </w:r>
      <w:r>
        <w:rPr>
          <w:rFonts w:hint="default" w:ascii="Times New Roman" w:hAnsi="Times New Roman" w:eastAsia="宋体" w:cs="Times New Roman"/>
          <w:smallCaps w:val="0"/>
          <w:snapToGrid w:val="0"/>
          <w:color w:val="auto"/>
          <w:spacing w:val="0"/>
          <w:kern w:val="2"/>
          <w:sz w:val="24"/>
          <w:szCs w:val="24"/>
          <w:lang w:val="en-US" w:eastAsia="zh-CN" w:bidi="ar-SA"/>
        </w:rPr>
        <w:t>油类泄漏对地表水环境的影响一般有两种途径，一种是泄漏后直接进入水体(主要是指雨季)；另一种是油类泄漏于地表，由降雨形成的地表径流将落地油或受污染的土壤一起带入水体造成污染。管道泄漏量是依管道输油量大小而定的。由于本项目油类储存量较小，在保证各项防范措施严格落实的情况下，本项目油类泄漏的概率很小，因此，对区域地表水的影响也很小。</w:t>
      </w:r>
    </w:p>
    <w:p>
      <w:pPr>
        <w:keepNext w:val="0"/>
        <w:keepLines w:val="0"/>
        <w:pageBreakBefore w:val="0"/>
        <w:widowControl/>
        <w:kinsoku/>
        <w:wordWrap/>
        <w:overflowPunct/>
        <w:topLinePunct w:val="0"/>
        <w:autoSpaceDE w:val="0"/>
        <w:autoSpaceDN w:val="0"/>
        <w:bidi w:val="0"/>
        <w:adjustRightInd/>
        <w:snapToGrid/>
        <w:spacing w:line="360" w:lineRule="auto"/>
        <w:ind w:left="0" w:firstLine="480" w:firstLineChars="200"/>
        <w:jc w:val="both"/>
        <w:textAlignment w:val="auto"/>
        <w:rPr>
          <w:rFonts w:hint="default" w:ascii="Times New Roman" w:hAnsi="Times New Roman" w:eastAsia="宋体" w:cs="Times New Roman"/>
          <w:smallCaps w:val="0"/>
          <w:snapToGrid w:val="0"/>
          <w:color w:val="auto"/>
          <w:spacing w:val="0"/>
          <w:kern w:val="2"/>
          <w:sz w:val="24"/>
          <w:szCs w:val="24"/>
          <w:lang w:val="en-US" w:eastAsia="zh-CN" w:bidi="ar-SA"/>
        </w:rPr>
      </w:pPr>
      <w:r>
        <w:rPr>
          <w:rFonts w:hint="default" w:ascii="Times New Roman" w:hAnsi="Times New Roman" w:eastAsia="宋体" w:cs="Times New Roman"/>
          <w:smallCaps w:val="0"/>
          <w:snapToGrid w:val="0"/>
          <w:color w:val="auto"/>
          <w:spacing w:val="0"/>
          <w:kern w:val="2"/>
          <w:sz w:val="24"/>
          <w:szCs w:val="24"/>
          <w:lang w:val="en-US" w:eastAsia="zh-CN" w:bidi="ar-SA"/>
        </w:rPr>
        <w:t>根据类比资料分析，油类泄漏后，石油类污染物主要聚积在土壤表层1m以内，一般很难渗入到2m以下，对地下水体直接影响不大。输油管道破裂后，污染物以点源形式渗漏污染地下水，污染迁移途径为地表以下的包气带和含水层，然后随地下水流动而污染地下水，由于发生油类泄漏时因管线的压力变化比较容易发现，可及时采取必要的处理措施，则造成的污染可控制在局部环境而不会造成大面积的区域性污染。为防止有毒有害物质对环境造成污染，储油罐应按规范要求建设防渗措施。</w:t>
      </w:r>
    </w:p>
    <w:p>
      <w:pPr>
        <w:spacing w:before="78" w:line="218" w:lineRule="auto"/>
        <w:ind w:left="38"/>
        <w:outlineLvl w:val="9"/>
        <w:rPr>
          <w:rFonts w:hint="default" w:ascii="Times New Roman" w:hAnsi="Times New Roman" w:eastAsia="宋体" w:cs="Times New Roman"/>
          <w:sz w:val="24"/>
          <w:szCs w:val="24"/>
        </w:rPr>
      </w:pPr>
      <w:r>
        <w:rPr>
          <w:rFonts w:hint="default" w:ascii="Times New Roman" w:hAnsi="Times New Roman" w:eastAsia="宋体" w:cs="Times New Roman"/>
          <w:b/>
          <w:snapToGrid w:val="0"/>
          <w:color w:val="auto"/>
          <w:kern w:val="0"/>
          <w:sz w:val="24"/>
          <w:szCs w:val="24"/>
          <w:lang w:eastAsia="zh-CN"/>
        </w:rPr>
        <w:fldChar w:fldCharType="begin"/>
      </w:r>
      <w:r>
        <w:rPr>
          <w:rFonts w:hint="default" w:ascii="Times New Roman" w:hAnsi="Times New Roman" w:eastAsia="宋体" w:cs="Times New Roman"/>
          <w:b/>
          <w:snapToGrid w:val="0"/>
          <w:color w:val="auto"/>
          <w:kern w:val="0"/>
          <w:sz w:val="24"/>
          <w:szCs w:val="24"/>
          <w:lang w:eastAsia="zh-CN"/>
        </w:rPr>
        <w:instrText xml:space="preserve"> HYPERLINK "5.2.6.5" </w:instrText>
      </w:r>
      <w:r>
        <w:rPr>
          <w:rFonts w:hint="default" w:ascii="Times New Roman" w:hAnsi="Times New Roman" w:eastAsia="宋体" w:cs="Times New Roman"/>
          <w:b/>
          <w:snapToGrid w:val="0"/>
          <w:color w:val="auto"/>
          <w:kern w:val="0"/>
          <w:sz w:val="24"/>
          <w:szCs w:val="24"/>
          <w:lang w:eastAsia="zh-CN"/>
        </w:rPr>
        <w:fldChar w:fldCharType="separate"/>
      </w:r>
      <w:r>
        <w:rPr>
          <w:rFonts w:hint="default" w:ascii="Times New Roman" w:hAnsi="Times New Roman" w:eastAsia="宋体" w:cs="Times New Roman"/>
          <w:b/>
          <w:snapToGrid w:val="0"/>
          <w:color w:val="auto"/>
          <w:kern w:val="0"/>
          <w:sz w:val="24"/>
          <w:szCs w:val="24"/>
          <w:lang w:eastAsia="zh-CN"/>
        </w:rPr>
        <w:t>5.2.6.5</w:t>
      </w:r>
      <w:r>
        <w:rPr>
          <w:rFonts w:hint="default" w:ascii="Times New Roman" w:hAnsi="Times New Roman" w:eastAsia="宋体" w:cs="Times New Roman"/>
          <w:b/>
          <w:snapToGrid w:val="0"/>
          <w:color w:val="auto"/>
          <w:kern w:val="0"/>
          <w:sz w:val="24"/>
          <w:szCs w:val="24"/>
          <w:lang w:eastAsia="zh-CN"/>
        </w:rPr>
        <w:fldChar w:fldCharType="end"/>
      </w:r>
      <w:r>
        <w:rPr>
          <w:rFonts w:hint="default" w:ascii="Times New Roman" w:hAnsi="Times New Roman" w:eastAsia="宋体" w:cs="Times New Roman"/>
          <w:b/>
          <w:snapToGrid w:val="0"/>
          <w:color w:val="auto"/>
          <w:kern w:val="0"/>
          <w:sz w:val="24"/>
          <w:szCs w:val="24"/>
          <w:lang w:eastAsia="zh-CN"/>
        </w:rPr>
        <w:t xml:space="preserve">  环境风险评价结论</w:t>
      </w:r>
    </w:p>
    <w:p>
      <w:pPr>
        <w:spacing w:before="154" w:line="339" w:lineRule="auto"/>
        <w:ind w:left="41" w:right="30" w:firstLine="480"/>
        <w:jc w:val="both"/>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本项目涉及的环境风险性影响因素在采取相应的防范措施后，通过采取保护措施和</w:t>
      </w:r>
      <w:r>
        <w:rPr>
          <w:rFonts w:hint="default" w:ascii="Times New Roman" w:hAnsi="Times New Roman" w:eastAsia="宋体" w:cs="Times New Roman"/>
          <w:spacing w:val="17"/>
          <w:sz w:val="24"/>
          <w:szCs w:val="24"/>
        </w:rPr>
        <w:t xml:space="preserve"> </w:t>
      </w:r>
      <w:r>
        <w:rPr>
          <w:rFonts w:hint="default" w:ascii="Times New Roman" w:hAnsi="Times New Roman" w:eastAsia="宋体" w:cs="Times New Roman"/>
          <w:spacing w:val="-1"/>
          <w:sz w:val="24"/>
          <w:szCs w:val="24"/>
        </w:rPr>
        <w:t>风险应急预案，本项目将能有效的防止事故的发</w:t>
      </w:r>
      <w:r>
        <w:rPr>
          <w:rFonts w:hint="default" w:ascii="Times New Roman" w:hAnsi="Times New Roman" w:eastAsia="宋体" w:cs="Times New Roman"/>
          <w:spacing w:val="-2"/>
          <w:sz w:val="24"/>
          <w:szCs w:val="24"/>
        </w:rPr>
        <w:t>生。一旦发生事故，依靠安全防护设施</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1"/>
          <w:sz w:val="24"/>
          <w:szCs w:val="24"/>
        </w:rPr>
        <w:t>和事故应急措施也能及时控制事故，防止事故的</w:t>
      </w:r>
      <w:r>
        <w:rPr>
          <w:rFonts w:hint="default" w:ascii="Times New Roman" w:hAnsi="Times New Roman" w:eastAsia="宋体" w:cs="Times New Roman"/>
          <w:spacing w:val="-2"/>
          <w:sz w:val="24"/>
          <w:szCs w:val="24"/>
        </w:rPr>
        <w:t>蔓延。只要严格遵守各项规程制度，事</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1"/>
          <w:sz w:val="24"/>
          <w:szCs w:val="24"/>
        </w:rPr>
        <w:t>故应急预案和防治措施到位，项目能最大限度地</w:t>
      </w:r>
      <w:r>
        <w:rPr>
          <w:rFonts w:hint="default" w:ascii="Times New Roman" w:hAnsi="Times New Roman" w:eastAsia="宋体" w:cs="Times New Roman"/>
          <w:spacing w:val="-2"/>
          <w:sz w:val="24"/>
          <w:szCs w:val="24"/>
        </w:rPr>
        <w:t>减少可能发生的环境风险。因此，项目</w:t>
      </w:r>
    </w:p>
    <w:p>
      <w:pPr>
        <w:spacing w:line="219" w:lineRule="auto"/>
        <w:ind w:left="3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在落实环评提出各项措施和要求的前提下，环境风险事故</w:t>
      </w:r>
      <w:r>
        <w:rPr>
          <w:rFonts w:hint="default" w:ascii="Times New Roman" w:hAnsi="Times New Roman" w:eastAsia="宋体" w:cs="Times New Roman"/>
          <w:spacing w:val="-1"/>
          <w:sz w:val="24"/>
          <w:szCs w:val="24"/>
        </w:rPr>
        <w:t>影响在可接受范围内。</w:t>
      </w:r>
    </w:p>
    <w:p>
      <w:pPr>
        <w:spacing w:before="180" w:line="227" w:lineRule="auto"/>
        <w:ind w:left="2462"/>
        <w:rPr>
          <w:rFonts w:hint="eastAsia" w:ascii="Times New Roman" w:hAnsi="Times New Roman" w:eastAsia="宋体" w:cs="Times New Roman"/>
          <w:sz w:val="20"/>
          <w:szCs w:val="20"/>
          <w:highlight w:val="magenta"/>
          <w:lang w:eastAsia="zh-CN"/>
        </w:rPr>
      </w:pP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7"/>
          <w:sz w:val="20"/>
          <w:szCs w:val="20"/>
        </w:rPr>
        <w:t xml:space="preserve"> </w:t>
      </w:r>
      <w:r>
        <w:rPr>
          <w:rFonts w:hint="default" w:ascii="Times New Roman" w:hAnsi="Times New Roman" w:eastAsia="Times New Roman" w:cs="Times New Roman"/>
          <w:b/>
          <w:bCs/>
          <w:spacing w:val="7"/>
          <w:sz w:val="20"/>
          <w:szCs w:val="20"/>
        </w:rPr>
        <w:t>5.2-</w:t>
      </w:r>
      <w:r>
        <w:rPr>
          <w:rFonts w:hint="eastAsia" w:ascii="Times New Roman" w:hAnsi="Times New Roman" w:eastAsia="宋体" w:cs="Times New Roman"/>
          <w:b/>
          <w:bCs/>
          <w:spacing w:val="7"/>
          <w:sz w:val="20"/>
          <w:szCs w:val="20"/>
          <w:lang w:val="en-US" w:eastAsia="zh-CN"/>
        </w:rPr>
        <w:t>26</w:t>
      </w:r>
      <w:r>
        <w:rPr>
          <w:rFonts w:hint="default" w:ascii="Times New Roman" w:hAnsi="Times New Roman" w:eastAsia="Times New Roman" w:cs="Times New Roman"/>
          <w:b/>
          <w:bCs/>
          <w:spacing w:val="7"/>
          <w:sz w:val="20"/>
          <w:szCs w:val="20"/>
        </w:rPr>
        <w:t xml:space="preserve">    </w:t>
      </w:r>
      <w:r>
        <w:rPr>
          <w:rFonts w:hint="default" w:ascii="Times New Roman" w:hAnsi="Times New Roman" w:eastAsia="宋体" w:cs="Times New Roman"/>
          <w:spacing w:val="7"/>
          <w:sz w:val="20"/>
          <w:szCs w:val="20"/>
          <w14:textOutline w14:w="3795" w14:cap="sq" w14:cmpd="sng">
            <w14:solidFill>
              <w14:srgbClr w14:val="000000"/>
            </w14:solidFill>
            <w14:prstDash w14:val="solid"/>
            <w14:bevel/>
          </w14:textOutline>
        </w:rPr>
        <w:t>建设项目环境风险简单分析内容表</w:t>
      </w:r>
    </w:p>
    <w:p>
      <w:pPr>
        <w:spacing w:line="21" w:lineRule="exact"/>
        <w:rPr>
          <w:rFonts w:hint="default" w:ascii="Times New Roman" w:hAnsi="Times New Roman" w:cs="Times New Roman"/>
        </w:rPr>
      </w:pPr>
    </w:p>
    <w:tbl>
      <w:tblPr>
        <w:tblStyle w:val="34"/>
        <w:tblW w:w="913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988"/>
        <w:gridCol w:w="1522"/>
        <w:gridCol w:w="1348"/>
        <w:gridCol w:w="1197"/>
        <w:gridCol w:w="207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2988" w:type="dxa"/>
            <w:vAlign w:val="top"/>
          </w:tcPr>
          <w:p>
            <w:pPr>
              <w:spacing w:before="35" w:line="217" w:lineRule="auto"/>
              <w:ind w:left="871"/>
              <w:rPr>
                <w:rFonts w:hint="default" w:ascii="Times New Roman" w:hAnsi="Times New Roman" w:eastAsia="宋体" w:cs="Times New Roman"/>
                <w:sz w:val="20"/>
                <w:szCs w:val="20"/>
              </w:rPr>
            </w:pPr>
            <w:r>
              <w:rPr>
                <w:rFonts w:hint="default" w:ascii="Times New Roman" w:hAnsi="Times New Roman" w:eastAsia="宋体" w:cs="Times New Roman"/>
                <w:spacing w:val="7"/>
                <w:sz w:val="20"/>
                <w:szCs w:val="20"/>
              </w:rPr>
              <w:t>建设项目名称</w:t>
            </w:r>
          </w:p>
        </w:tc>
        <w:tc>
          <w:tcPr>
            <w:tcW w:w="6145" w:type="dxa"/>
            <w:gridSpan w:val="4"/>
            <w:vAlign w:val="top"/>
          </w:tcPr>
          <w:p>
            <w:pPr>
              <w:spacing w:before="35" w:line="217" w:lineRule="auto"/>
              <w:rPr>
                <w:rFonts w:hint="default" w:ascii="Times New Roman" w:hAnsi="Times New Roman" w:eastAsia="宋体" w:cs="Times New Roman"/>
                <w:sz w:val="20"/>
                <w:szCs w:val="20"/>
                <w:lang w:eastAsia="zh-CN"/>
              </w:rPr>
            </w:pPr>
            <w:r>
              <w:rPr>
                <w:rFonts w:hint="default" w:ascii="Times New Roman" w:hAnsi="Times New Roman" w:eastAsia="宋体" w:cs="Times New Roman"/>
                <w:spacing w:val="9"/>
                <w:sz w:val="20"/>
                <w:szCs w:val="20"/>
                <w:lang w:eastAsia="zh-CN"/>
              </w:rPr>
              <w:t>哈尔滨华康肉制品加工有限责任公司年屠宰加工16万头生猪扩建项目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988" w:type="dxa"/>
            <w:vAlign w:val="top"/>
          </w:tcPr>
          <w:p>
            <w:pPr>
              <w:spacing w:before="32" w:line="217" w:lineRule="auto"/>
              <w:ind w:left="1082"/>
              <w:rPr>
                <w:rFonts w:hint="default" w:ascii="Times New Roman" w:hAnsi="Times New Roman" w:eastAsia="宋体" w:cs="Times New Roman"/>
                <w:sz w:val="20"/>
                <w:szCs w:val="20"/>
              </w:rPr>
            </w:pPr>
            <w:r>
              <w:rPr>
                <w:rFonts w:hint="default" w:ascii="Times New Roman" w:hAnsi="Times New Roman" w:eastAsia="宋体" w:cs="Times New Roman"/>
                <w:spacing w:val="6"/>
                <w:sz w:val="20"/>
                <w:szCs w:val="20"/>
              </w:rPr>
              <w:t>建设地点</w:t>
            </w:r>
          </w:p>
        </w:tc>
        <w:tc>
          <w:tcPr>
            <w:tcW w:w="1522" w:type="dxa"/>
            <w:vAlign w:val="top"/>
          </w:tcPr>
          <w:p>
            <w:pPr>
              <w:spacing w:before="32" w:line="217" w:lineRule="auto"/>
              <w:ind w:left="455"/>
              <w:rPr>
                <w:rFonts w:hint="default" w:ascii="Times New Roman" w:hAnsi="Times New Roman" w:eastAsia="宋体" w:cs="Times New Roman"/>
                <w:sz w:val="20"/>
                <w:szCs w:val="20"/>
                <w:lang w:eastAsia="zh-CN"/>
              </w:rPr>
            </w:pPr>
            <w:r>
              <w:rPr>
                <w:rFonts w:hint="default" w:ascii="Times New Roman" w:hAnsi="Times New Roman" w:eastAsia="宋体" w:cs="Times New Roman"/>
                <w:spacing w:val="5"/>
                <w:sz w:val="20"/>
                <w:szCs w:val="20"/>
                <w:lang w:eastAsia="zh-CN"/>
              </w:rPr>
              <w:t>黑龙江省</w:t>
            </w:r>
          </w:p>
        </w:tc>
        <w:tc>
          <w:tcPr>
            <w:tcW w:w="1348" w:type="dxa"/>
            <w:vAlign w:val="top"/>
          </w:tcPr>
          <w:p>
            <w:pPr>
              <w:spacing w:before="32" w:line="217" w:lineRule="auto"/>
              <w:ind w:left="365"/>
              <w:rPr>
                <w:rFonts w:hint="default" w:ascii="Times New Roman" w:hAnsi="Times New Roman" w:eastAsia="宋体" w:cs="Times New Roman"/>
                <w:sz w:val="21"/>
                <w:szCs w:val="21"/>
                <w:lang w:eastAsia="zh-CN"/>
              </w:rPr>
            </w:pPr>
            <w:r>
              <w:rPr>
                <w:rFonts w:hint="default" w:ascii="Times New Roman" w:hAnsi="Times New Roman" w:eastAsia="宋体" w:cs="Times New Roman"/>
                <w:spacing w:val="6"/>
                <w:sz w:val="21"/>
                <w:szCs w:val="21"/>
                <w:lang w:eastAsia="zh-CN"/>
              </w:rPr>
              <w:t>哈尔滨市</w:t>
            </w:r>
          </w:p>
        </w:tc>
        <w:tc>
          <w:tcPr>
            <w:tcW w:w="1197" w:type="dxa"/>
            <w:vAlign w:val="top"/>
          </w:tcPr>
          <w:p>
            <w:pPr>
              <w:spacing w:before="32" w:line="217" w:lineRule="auto"/>
              <w:ind w:left="291"/>
              <w:rPr>
                <w:rFonts w:hint="default" w:ascii="Times New Roman" w:hAnsi="Times New Roman" w:eastAsia="宋体" w:cs="Times New Roman"/>
                <w:sz w:val="21"/>
                <w:szCs w:val="21"/>
                <w:lang w:eastAsia="zh-CN"/>
              </w:rPr>
            </w:pPr>
            <w:r>
              <w:rPr>
                <w:rFonts w:hint="default" w:ascii="Times New Roman" w:hAnsi="Times New Roman" w:eastAsia="宋体" w:cs="Times New Roman"/>
                <w:spacing w:val="6"/>
                <w:sz w:val="21"/>
                <w:szCs w:val="21"/>
                <w:lang w:eastAsia="zh-CN"/>
              </w:rPr>
              <w:t>兴隆镇</w:t>
            </w:r>
          </w:p>
        </w:tc>
        <w:tc>
          <w:tcPr>
            <w:tcW w:w="2078" w:type="dxa"/>
            <w:vAlign w:val="top"/>
          </w:tcPr>
          <w:p>
            <w:pPr>
              <w:spacing w:before="32" w:line="217" w:lineRule="auto"/>
              <w:ind w:left="205"/>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中兴村南门外</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988" w:type="dxa"/>
            <w:vAlign w:val="top"/>
          </w:tcPr>
          <w:p>
            <w:pPr>
              <w:spacing w:before="30" w:line="218" w:lineRule="auto"/>
              <w:ind w:left="1080"/>
              <w:rPr>
                <w:rFonts w:hint="default" w:ascii="Times New Roman" w:hAnsi="Times New Roman" w:eastAsia="宋体" w:cs="Times New Roman"/>
                <w:sz w:val="20"/>
                <w:szCs w:val="20"/>
              </w:rPr>
            </w:pPr>
            <w:r>
              <w:rPr>
                <w:rFonts w:hint="default" w:ascii="Times New Roman" w:hAnsi="Times New Roman" w:eastAsia="宋体" w:cs="Times New Roman"/>
                <w:spacing w:val="7"/>
                <w:sz w:val="20"/>
                <w:szCs w:val="20"/>
              </w:rPr>
              <w:t>地理坐标</w:t>
            </w:r>
          </w:p>
        </w:tc>
        <w:tc>
          <w:tcPr>
            <w:tcW w:w="1522" w:type="dxa"/>
            <w:vAlign w:val="top"/>
          </w:tcPr>
          <w:p>
            <w:pPr>
              <w:spacing w:before="30" w:line="218" w:lineRule="auto"/>
              <w:ind w:left="556"/>
              <w:rPr>
                <w:rFonts w:hint="default" w:ascii="Times New Roman" w:hAnsi="Times New Roman" w:eastAsia="宋体" w:cs="Times New Roman"/>
                <w:sz w:val="20"/>
                <w:szCs w:val="20"/>
              </w:rPr>
            </w:pPr>
            <w:r>
              <w:rPr>
                <w:rFonts w:hint="default" w:ascii="Times New Roman" w:hAnsi="Times New Roman" w:eastAsia="宋体" w:cs="Times New Roman"/>
                <w:spacing w:val="3"/>
                <w:sz w:val="20"/>
                <w:szCs w:val="20"/>
              </w:rPr>
              <w:t>经度</w:t>
            </w:r>
          </w:p>
        </w:tc>
        <w:tc>
          <w:tcPr>
            <w:tcW w:w="1348" w:type="dxa"/>
            <w:vAlign w:val="top"/>
          </w:tcPr>
          <w:p>
            <w:pPr>
              <w:pStyle w:val="22"/>
              <w:keepNext w:val="0"/>
              <w:keepLines w:val="0"/>
              <w:widowControl/>
              <w:suppressLineNumbers w:val="0"/>
              <w:spacing w:before="0" w:beforeAutospacing="0" w:after="0" w:afterAutospacing="0"/>
              <w:ind w:left="0" w:right="0" w:firstLine="0"/>
              <w:rPr>
                <w:rFonts w:hint="default" w:ascii="Times New Roman" w:hAnsi="Times New Roman" w:eastAsia="Times New Roman" w:cs="Times New Roman"/>
                <w:sz w:val="21"/>
                <w:szCs w:val="21"/>
              </w:rPr>
            </w:pPr>
            <w:r>
              <w:rPr>
                <w:rFonts w:hint="default" w:ascii="Times New Roman" w:hAnsi="Times New Roman" w:cs="Times New Roman"/>
                <w:sz w:val="21"/>
                <w:szCs w:val="21"/>
              </w:rPr>
              <w:t>127.08894253</w:t>
            </w:r>
          </w:p>
        </w:tc>
        <w:tc>
          <w:tcPr>
            <w:tcW w:w="1197" w:type="dxa"/>
            <w:vAlign w:val="top"/>
          </w:tcPr>
          <w:p>
            <w:pPr>
              <w:spacing w:before="30" w:line="218" w:lineRule="auto"/>
              <w:ind w:left="397"/>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纬度</w:t>
            </w:r>
          </w:p>
        </w:tc>
        <w:tc>
          <w:tcPr>
            <w:tcW w:w="2078" w:type="dxa"/>
            <w:vAlign w:val="top"/>
          </w:tcPr>
          <w:p>
            <w:pPr>
              <w:pStyle w:val="22"/>
              <w:keepNext w:val="0"/>
              <w:keepLines w:val="0"/>
              <w:widowControl/>
              <w:suppressLineNumbers w:val="0"/>
              <w:spacing w:before="0" w:beforeAutospacing="0" w:after="0" w:afterAutospacing="0"/>
              <w:ind w:left="0" w:right="0" w:firstLine="0"/>
              <w:rPr>
                <w:rFonts w:hint="default" w:ascii="Times New Roman" w:hAnsi="Times New Roman" w:eastAsia="Times New Roman" w:cs="Times New Roman"/>
                <w:sz w:val="21"/>
                <w:szCs w:val="21"/>
              </w:rPr>
            </w:pPr>
            <w:r>
              <w:rPr>
                <w:rFonts w:hint="default" w:ascii="Times New Roman" w:hAnsi="Times New Roman" w:cs="Times New Roman"/>
                <w:sz w:val="21"/>
                <w:szCs w:val="21"/>
              </w:rPr>
              <w:t xml:space="preserve"> 46.42712021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988" w:type="dxa"/>
            <w:vAlign w:val="top"/>
          </w:tcPr>
          <w:p>
            <w:pPr>
              <w:spacing w:before="31" w:line="217" w:lineRule="auto"/>
              <w:ind w:left="556"/>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rPr>
              <w:t>主要危险物质及分布</w:t>
            </w:r>
          </w:p>
        </w:tc>
        <w:tc>
          <w:tcPr>
            <w:tcW w:w="6145" w:type="dxa"/>
            <w:gridSpan w:val="4"/>
            <w:vAlign w:val="top"/>
          </w:tcPr>
          <w:p>
            <w:pPr>
              <w:spacing w:before="31" w:line="217" w:lineRule="auto"/>
              <w:ind w:left="1191"/>
              <w:rPr>
                <w:rFonts w:hint="default" w:ascii="Times New Roman" w:hAnsi="Times New Roman" w:eastAsia="宋体" w:cs="Times New Roman"/>
                <w:sz w:val="20"/>
                <w:szCs w:val="20"/>
                <w:highlight w:val="magenta"/>
                <w:lang w:val="en-US" w:eastAsia="zh-CN"/>
              </w:rPr>
            </w:pPr>
            <w:r>
              <w:rPr>
                <w:rFonts w:hint="default" w:ascii="Times New Roman" w:hAnsi="Times New Roman" w:eastAsia="宋体" w:cs="Times New Roman"/>
                <w:spacing w:val="9"/>
                <w:sz w:val="20"/>
                <w:szCs w:val="20"/>
                <w:highlight w:val="none"/>
              </w:rPr>
              <w:t>次氯酸桶装存放于污水处理间</w:t>
            </w:r>
            <w:r>
              <w:rPr>
                <w:rFonts w:hint="eastAsia" w:ascii="Times New Roman" w:hAnsi="Times New Roman" w:eastAsia="宋体" w:cs="Times New Roman"/>
                <w:spacing w:val="9"/>
                <w:sz w:val="20"/>
                <w:szCs w:val="20"/>
                <w:highlight w:val="none"/>
                <w:lang w:eastAsia="zh-CN"/>
              </w:rPr>
              <w:t>、</w:t>
            </w:r>
            <w:r>
              <w:rPr>
                <w:rFonts w:hint="eastAsia" w:ascii="Times New Roman" w:hAnsi="Times New Roman" w:eastAsia="宋体" w:cs="Times New Roman"/>
                <w:spacing w:val="9"/>
                <w:sz w:val="20"/>
                <w:szCs w:val="20"/>
                <w:highlight w:val="none"/>
                <w:lang w:val="en-US" w:eastAsia="zh-CN"/>
              </w:rPr>
              <w:t>柴油储罐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2988" w:type="dxa"/>
            <w:vAlign w:val="top"/>
          </w:tcPr>
          <w:p>
            <w:pPr>
              <w:spacing w:before="32" w:line="234" w:lineRule="auto"/>
              <w:ind w:left="144" w:right="145" w:firstLine="201"/>
              <w:rPr>
                <w:rFonts w:hint="default" w:ascii="Times New Roman" w:hAnsi="Times New Roman" w:eastAsia="宋体" w:cs="Times New Roman"/>
                <w:sz w:val="20"/>
                <w:szCs w:val="20"/>
              </w:rPr>
            </w:pPr>
            <w:r>
              <w:rPr>
                <w:rFonts w:hint="default" w:ascii="Times New Roman" w:hAnsi="Times New Roman" w:eastAsia="宋体" w:cs="Times New Roman"/>
                <w:spacing w:val="9"/>
                <w:sz w:val="20"/>
                <w:szCs w:val="20"/>
              </w:rPr>
              <w:t>环境影响途径及危害后果</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7"/>
                <w:sz w:val="20"/>
                <w:szCs w:val="20"/>
              </w:rPr>
              <w:t>（大气、地表水、地下水等）</w:t>
            </w:r>
          </w:p>
        </w:tc>
        <w:tc>
          <w:tcPr>
            <w:tcW w:w="6145" w:type="dxa"/>
            <w:gridSpan w:val="4"/>
            <w:vAlign w:val="top"/>
          </w:tcPr>
          <w:p>
            <w:pPr>
              <w:spacing w:before="32" w:line="234" w:lineRule="auto"/>
              <w:ind w:firstLine="412" w:firstLineChars="200"/>
              <w:rPr>
                <w:rFonts w:hint="default" w:ascii="Times New Roman" w:hAnsi="Times New Roman" w:eastAsia="宋体" w:cs="Times New Roman"/>
                <w:spacing w:val="3"/>
                <w:sz w:val="20"/>
                <w:szCs w:val="20"/>
                <w:highlight w:val="none"/>
              </w:rPr>
            </w:pPr>
            <w:r>
              <w:rPr>
                <w:rFonts w:hint="default" w:ascii="Times New Roman" w:hAnsi="Times New Roman" w:eastAsia="宋体" w:cs="Times New Roman"/>
                <w:spacing w:val="3"/>
                <w:sz w:val="20"/>
                <w:szCs w:val="20"/>
                <w:highlight w:val="none"/>
                <w:lang w:val="en-US" w:eastAsia="zh-CN"/>
              </w:rPr>
              <w:t>次</w:t>
            </w:r>
            <w:r>
              <w:rPr>
                <w:rFonts w:hint="default" w:ascii="Times New Roman" w:hAnsi="Times New Roman" w:eastAsia="宋体" w:cs="Times New Roman"/>
                <w:spacing w:val="3"/>
                <w:sz w:val="20"/>
                <w:szCs w:val="20"/>
                <w:highlight w:val="none"/>
              </w:rPr>
              <w:t>氯酸钠为无色结晶或白色颗粒，易溶于水，在中性或弱碱性溶液中氧化力非常低，但在酸性溶液中或有诱导氧化剂和催化剂存在时，则是强氧化剂。与酸类作用放出二氧化氯。有极强的氧化力，300℃以上分解出氧气。氯酸钠不稳定。与磷、硫、有机物或还原性物质摩擦或者撞击时易发生燃烧和爆炸，易吸潮结块，有毒。</w:t>
            </w:r>
          </w:p>
          <w:p>
            <w:pPr>
              <w:spacing w:before="32" w:line="234" w:lineRule="auto"/>
              <w:ind w:left="27" w:firstLine="399"/>
              <w:rPr>
                <w:rFonts w:hint="default" w:ascii="Times New Roman" w:hAnsi="Times New Roman" w:eastAsia="宋体" w:cs="Times New Roman"/>
                <w:spacing w:val="3"/>
                <w:sz w:val="20"/>
                <w:szCs w:val="20"/>
                <w:highlight w:val="none"/>
                <w:lang w:val="en-US" w:eastAsia="zh-CN"/>
              </w:rPr>
            </w:pPr>
            <w:r>
              <w:rPr>
                <w:rFonts w:hint="default" w:ascii="Times New Roman" w:hAnsi="Times New Roman" w:eastAsia="宋体" w:cs="Times New Roman"/>
                <w:spacing w:val="3"/>
                <w:sz w:val="20"/>
                <w:szCs w:val="20"/>
                <w:highlight w:val="none"/>
                <w:lang w:val="en-US" w:eastAsia="zh-CN"/>
              </w:rPr>
              <w:t>油类泄漏时，其中的轻组分轻烃逐渐挥发进入大气，造成对大气环境的影响。其影响程度一般取决于油品泄漏量、覆盖面积、气温及持续时间等，油品泄漏量越多、覆盖面积越大、气温越高、持续时间越长，则因此而造成的烃类气体污染也越严重，反之，则污染不显著。油类泄漏时，局部大气中CnHm浓度高出正常情况的数倍或更多，但不会超过井喷时因伴生气排放对大气的影响强度，更不会导致大气环境的明显恶化。在油类泄漏并发生火灾时，会因其中重组分油燃烧不完全引起浓烟，使局部大气中TSP和CnHm激增，污染大气环境。</w:t>
            </w:r>
          </w:p>
          <w:p>
            <w:pPr>
              <w:spacing w:before="32" w:line="234" w:lineRule="auto"/>
              <w:ind w:left="27" w:firstLine="399"/>
              <w:rPr>
                <w:rFonts w:hint="default" w:ascii="Times New Roman" w:hAnsi="Times New Roman" w:eastAsia="宋体" w:cs="Times New Roman"/>
                <w:sz w:val="20"/>
                <w:szCs w:val="20"/>
                <w:highlight w:val="magenta"/>
              </w:rPr>
            </w:pPr>
            <w:r>
              <w:rPr>
                <w:rFonts w:hint="default" w:ascii="Times New Roman" w:hAnsi="Times New Roman" w:eastAsia="宋体" w:cs="Times New Roman"/>
                <w:spacing w:val="3"/>
                <w:sz w:val="20"/>
                <w:szCs w:val="20"/>
                <w:highlight w:val="none"/>
                <w:lang w:val="en-US" w:eastAsia="zh-CN"/>
              </w:rPr>
              <w:t>油类泄漏对地表水环境的影响一般有两种途径，一种是泄漏后直接进入水体(主要是指雨季)；另一种是油类泄漏于地表，由降雨形成的地表径流将落地油或受污染的土壤一起带入水体造成污染。管道泄漏量是依管道输油量大小而定的。由于本项目油类储存量较小，在保证各项防范措施严格落实的情况下，本项目油类泄漏的概率很小，因此，对区域地表水的影响也很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2" w:hRule="atLeast"/>
        </w:trPr>
        <w:tc>
          <w:tcPr>
            <w:tcW w:w="2988" w:type="dxa"/>
            <w:vAlign w:val="top"/>
          </w:tcPr>
          <w:p>
            <w:pPr>
              <w:pStyle w:val="35"/>
              <w:spacing w:line="374" w:lineRule="auto"/>
              <w:rPr>
                <w:rFonts w:hint="default" w:ascii="Times New Roman" w:hAnsi="Times New Roman" w:cs="Times New Roman"/>
              </w:rPr>
            </w:pPr>
          </w:p>
          <w:p>
            <w:pPr>
              <w:spacing w:before="65" w:line="228" w:lineRule="auto"/>
              <w:ind w:left="661"/>
              <w:rPr>
                <w:rFonts w:hint="default" w:ascii="Times New Roman" w:hAnsi="Times New Roman" w:eastAsia="宋体" w:cs="Times New Roman"/>
                <w:sz w:val="20"/>
                <w:szCs w:val="20"/>
              </w:rPr>
            </w:pPr>
            <w:r>
              <w:rPr>
                <w:rFonts w:hint="default" w:ascii="Times New Roman" w:hAnsi="Times New Roman" w:eastAsia="宋体" w:cs="Times New Roman"/>
                <w:spacing w:val="8"/>
                <w:sz w:val="20"/>
                <w:szCs w:val="20"/>
              </w:rPr>
              <w:t>风险防范措施要求</w:t>
            </w:r>
          </w:p>
        </w:tc>
        <w:tc>
          <w:tcPr>
            <w:tcW w:w="6145" w:type="dxa"/>
            <w:gridSpan w:val="4"/>
            <w:vAlign w:val="top"/>
          </w:tcPr>
          <w:p>
            <w:pPr>
              <w:spacing w:before="33" w:line="227" w:lineRule="auto"/>
              <w:jc w:val="right"/>
              <w:rPr>
                <w:rFonts w:hint="default" w:ascii="Times New Roman" w:hAnsi="Times New Roman" w:eastAsia="宋体" w:cs="Times New Roman"/>
                <w:sz w:val="20"/>
                <w:szCs w:val="20"/>
                <w:highlight w:val="none"/>
              </w:rPr>
            </w:pPr>
            <w:r>
              <w:rPr>
                <w:rFonts w:hint="default" w:ascii="Times New Roman" w:hAnsi="Times New Roman" w:eastAsia="宋体" w:cs="Times New Roman"/>
                <w:spacing w:val="4"/>
                <w:sz w:val="20"/>
                <w:szCs w:val="20"/>
                <w:highlight w:val="none"/>
              </w:rPr>
              <w:t>针对本项目可能发生的环境风险事故，提出以下风险防范</w:t>
            </w:r>
            <w:r>
              <w:rPr>
                <w:rFonts w:hint="default" w:ascii="Times New Roman" w:hAnsi="Times New Roman" w:eastAsia="宋体" w:cs="Times New Roman"/>
                <w:spacing w:val="3"/>
                <w:sz w:val="20"/>
                <w:szCs w:val="20"/>
                <w:highlight w:val="none"/>
              </w:rPr>
              <w:t>措施：</w:t>
            </w:r>
          </w:p>
          <w:p>
            <w:pPr>
              <w:spacing w:before="26" w:line="239" w:lineRule="auto"/>
              <w:ind w:left="9" w:right="49" w:firstLine="421"/>
              <w:rPr>
                <w:rFonts w:hint="eastAsia" w:ascii="Times New Roman" w:hAnsi="Times New Roman" w:eastAsia="宋体" w:cs="Times New Roman"/>
                <w:sz w:val="20"/>
                <w:szCs w:val="20"/>
                <w:lang w:eastAsia="zh-CN"/>
              </w:rPr>
            </w:pPr>
            <w:r>
              <w:rPr>
                <w:rFonts w:hint="eastAsia" w:ascii="Times New Roman" w:hAnsi="Times New Roman" w:eastAsia="宋体" w:cs="Times New Roman"/>
                <w:sz w:val="20"/>
                <w:szCs w:val="20"/>
                <w:lang w:val="en-US" w:eastAsia="zh-CN"/>
              </w:rPr>
              <w:t>次</w:t>
            </w:r>
            <w:r>
              <w:rPr>
                <w:rFonts w:hint="eastAsia" w:ascii="Times New Roman" w:hAnsi="Times New Roman" w:eastAsia="宋体" w:cs="Times New Roman"/>
                <w:sz w:val="20"/>
                <w:szCs w:val="20"/>
                <w:lang w:eastAsia="zh-CN"/>
              </w:rPr>
              <w:t>氯酸钠发生泄漏时，应隔离泄漏污染区，限制出入。建议应急处理人员戴自给式呼吸器，穿一般工作服。不要直接接触泄漏物，勿使泄漏物与有机物、还原剂、易燃物接触。小量泄漏：避免扬尘，用洁净的铲子收集于干燥、洁净、有盖的容器中。大量泄漏：收集回收或运至废物处理场所处置。</w:t>
            </w:r>
          </w:p>
          <w:p>
            <w:pPr>
              <w:spacing w:before="26" w:line="239" w:lineRule="auto"/>
              <w:ind w:left="9" w:right="49" w:firstLine="421"/>
              <w:rPr>
                <w:rFonts w:hint="eastAsia" w:ascii="Times New Roman" w:hAnsi="Times New Roman" w:eastAsia="宋体" w:cs="Times New Roman"/>
                <w:sz w:val="20"/>
                <w:szCs w:val="20"/>
                <w:lang w:eastAsia="zh-CN"/>
              </w:rPr>
            </w:pPr>
            <w:r>
              <w:rPr>
                <w:rFonts w:hint="eastAsia" w:ascii="Times New Roman" w:hAnsi="Times New Roman" w:eastAsia="宋体" w:cs="Times New Roman"/>
                <w:sz w:val="20"/>
                <w:szCs w:val="20"/>
                <w:lang w:val="en-US" w:eastAsia="zh-CN"/>
              </w:rPr>
              <w:t>油类泄漏后，石油类污染物主要聚积在土壤表层1m以内，一般很难渗入到2m以下，对地下水体直接影响不大。输油管道破裂后，污染物以点源形式渗漏污染地下水，污染迁移途径为地表以下的包气带和含水层，然后随地下水流动而污染地下水，由于发生油类泄漏时因管线的压力变化比较容易发现，可及时采取必要的处理措施，则造成的污染可控制在局部环境而不会造成大面积的区域性污染。为防止有毒有害物质对环境造成污染，储油罐应按规范要求建设防渗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8" w:hRule="atLeast"/>
        </w:trPr>
        <w:tc>
          <w:tcPr>
            <w:tcW w:w="9133" w:type="dxa"/>
            <w:gridSpan w:val="5"/>
            <w:vAlign w:val="top"/>
          </w:tcPr>
          <w:p>
            <w:pPr>
              <w:spacing w:before="35" w:line="228" w:lineRule="auto"/>
              <w:ind w:left="434"/>
              <w:rPr>
                <w:rFonts w:hint="default" w:ascii="Times New Roman" w:hAnsi="Times New Roman" w:eastAsia="宋体" w:cs="Times New Roman"/>
                <w:sz w:val="20"/>
                <w:szCs w:val="20"/>
              </w:rPr>
            </w:pPr>
            <w:r>
              <w:rPr>
                <w:rFonts w:hint="default" w:ascii="Times New Roman" w:hAnsi="Times New Roman" w:eastAsia="宋体" w:cs="Times New Roman"/>
                <w:spacing w:val="5"/>
                <w:sz w:val="20"/>
                <w:szCs w:val="20"/>
              </w:rPr>
              <w:t>分析结论：</w:t>
            </w:r>
          </w:p>
          <w:p>
            <w:pPr>
              <w:spacing w:before="25"/>
              <w:ind w:left="13" w:right="95" w:firstLine="420"/>
              <w:rPr>
                <w:rFonts w:hint="default" w:ascii="Times New Roman" w:hAnsi="Times New Roman" w:eastAsia="宋体" w:cs="Times New Roman"/>
                <w:sz w:val="20"/>
                <w:szCs w:val="20"/>
              </w:rPr>
            </w:pPr>
            <w:r>
              <w:rPr>
                <w:rFonts w:hint="default" w:ascii="Times New Roman" w:hAnsi="Times New Roman" w:eastAsia="宋体" w:cs="Times New Roman"/>
                <w:spacing w:val="10"/>
                <w:sz w:val="20"/>
                <w:szCs w:val="20"/>
              </w:rPr>
              <w:t>本项目在生产装置及其公用工程的设计、施工、运行及维护的全过</w:t>
            </w:r>
            <w:r>
              <w:rPr>
                <w:rFonts w:hint="default" w:ascii="Times New Roman" w:hAnsi="Times New Roman" w:eastAsia="宋体" w:cs="Times New Roman"/>
                <w:spacing w:val="9"/>
                <w:sz w:val="20"/>
                <w:szCs w:val="20"/>
              </w:rPr>
              <w:t>程中将采用先进的生产技术</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10"/>
                <w:sz w:val="20"/>
                <w:szCs w:val="20"/>
              </w:rPr>
              <w:t>和成熟可靠的抗风险措施。加强管理，落实预防措施，可以杜绝各类环</w:t>
            </w:r>
            <w:r>
              <w:rPr>
                <w:rFonts w:hint="default" w:ascii="Times New Roman" w:hAnsi="Times New Roman" w:eastAsia="宋体" w:cs="Times New Roman"/>
                <w:spacing w:val="9"/>
                <w:sz w:val="20"/>
                <w:szCs w:val="20"/>
              </w:rPr>
              <w:t>境风险事故的发生。因此，</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9"/>
                <w:sz w:val="20"/>
                <w:szCs w:val="20"/>
              </w:rPr>
              <w:t>项目的安全性将得到有效保证，不会对周围环境敏感目标产生较大影响。</w:t>
            </w:r>
          </w:p>
        </w:tc>
      </w:tr>
    </w:tbl>
    <w:p>
      <w:pPr>
        <w:pStyle w:val="10"/>
        <w:pageBreakBefore w:val="0"/>
        <w:widowControl w:val="0"/>
        <w:numPr>
          <w:ilvl w:val="2"/>
          <w:numId w:val="0"/>
        </w:numPr>
        <w:tabs>
          <w:tab w:val="left" w:pos="720"/>
        </w:tabs>
        <w:kinsoku/>
        <w:wordWrap/>
        <w:overflowPunct/>
        <w:topLinePunct w:val="0"/>
        <w:autoSpaceDE/>
        <w:autoSpaceDN/>
        <w:bidi w:val="0"/>
        <w:adjustRightInd/>
        <w:snapToGrid/>
        <w:spacing w:before="0" w:after="0" w:line="360" w:lineRule="auto"/>
        <w:ind w:right="0"/>
        <w:jc w:val="both"/>
        <w:textAlignment w:val="auto"/>
        <w:outlineLvl w:val="1"/>
        <w:rPr>
          <w:rFonts w:hint="default" w:ascii="Times New Roman" w:hAnsi="Times New Roman" w:eastAsia="宋体" w:cs="Times New Roman"/>
          <w:b/>
          <w:bCs w:val="0"/>
          <w:snapToGrid/>
          <w:color w:val="auto"/>
          <w:kern w:val="2"/>
          <w:sz w:val="28"/>
          <w:szCs w:val="28"/>
          <w:lang w:eastAsia="zh-CN"/>
        </w:rPr>
      </w:pPr>
      <w:bookmarkStart w:id="377" w:name="_Toc30724"/>
      <w:bookmarkStart w:id="378" w:name="_Toc11162"/>
      <w:r>
        <w:rPr>
          <w:rFonts w:hint="default" w:ascii="Times New Roman" w:hAnsi="Times New Roman" w:eastAsia="宋体" w:cs="Times New Roman"/>
          <w:b/>
          <w:bCs w:val="0"/>
          <w:snapToGrid/>
          <w:color w:val="auto"/>
          <w:kern w:val="2"/>
          <w:sz w:val="28"/>
          <w:szCs w:val="28"/>
          <w:lang w:eastAsia="zh-CN"/>
        </w:rPr>
        <w:t>5.2.</w:t>
      </w:r>
      <w:r>
        <w:rPr>
          <w:rFonts w:hint="eastAsia" w:ascii="Times New Roman" w:hAnsi="Times New Roman" w:eastAsia="宋体" w:cs="Times New Roman"/>
          <w:b/>
          <w:bCs w:val="0"/>
          <w:snapToGrid/>
          <w:color w:val="auto"/>
          <w:kern w:val="2"/>
          <w:sz w:val="28"/>
          <w:szCs w:val="28"/>
          <w:lang w:val="en-US" w:eastAsia="zh-CN"/>
        </w:rPr>
        <w:t>6</w:t>
      </w:r>
      <w:r>
        <w:rPr>
          <w:rFonts w:hint="default" w:ascii="Times New Roman" w:hAnsi="Times New Roman" w:eastAsia="宋体" w:cs="Times New Roman"/>
          <w:b/>
          <w:bCs w:val="0"/>
          <w:snapToGrid/>
          <w:color w:val="auto"/>
          <w:kern w:val="2"/>
          <w:sz w:val="28"/>
          <w:szCs w:val="28"/>
          <w:lang w:eastAsia="zh-CN"/>
        </w:rPr>
        <w:t xml:space="preserve">  土壤影响评价</w:t>
      </w:r>
      <w:bookmarkEnd w:id="377"/>
      <w:bookmarkEnd w:id="378"/>
    </w:p>
    <w:p>
      <w:pPr>
        <w:spacing w:before="177" w:line="359" w:lineRule="auto"/>
        <w:ind w:left="40" w:right="31" w:firstLine="480"/>
        <w:jc w:val="both"/>
        <w:rPr>
          <w:rFonts w:hint="default" w:ascii="Times New Roman" w:hAnsi="Times New Roman" w:eastAsia="宋体" w:cs="Times New Roman"/>
          <w:sz w:val="24"/>
          <w:szCs w:val="24"/>
        </w:rPr>
      </w:pPr>
      <w:r>
        <w:rPr>
          <w:rFonts w:hint="default" w:ascii="Times New Roman" w:hAnsi="Times New Roman" w:eastAsia="宋体" w:cs="Times New Roman"/>
          <w:spacing w:val="-12"/>
          <w:sz w:val="24"/>
          <w:szCs w:val="24"/>
        </w:rPr>
        <w:t>根据《环境影响评价技术导则 土壤环境（试行）》（</w:t>
      </w:r>
      <w:r>
        <w:rPr>
          <w:rFonts w:hint="default" w:ascii="Times New Roman" w:hAnsi="Times New Roman" w:eastAsia="Times New Roman" w:cs="Times New Roman"/>
          <w:spacing w:val="-12"/>
          <w:sz w:val="24"/>
          <w:szCs w:val="24"/>
        </w:rPr>
        <w:t>HJ964-2018</w:t>
      </w:r>
      <w:r>
        <w:rPr>
          <w:rFonts w:hint="default" w:ascii="Times New Roman" w:hAnsi="Times New Roman" w:eastAsia="宋体" w:cs="Times New Roman"/>
          <w:spacing w:val="-12"/>
          <w:sz w:val="24"/>
          <w:szCs w:val="24"/>
        </w:rPr>
        <w:t>）附录</w:t>
      </w:r>
      <w:r>
        <w:rPr>
          <w:rFonts w:hint="default" w:ascii="Times New Roman" w:hAnsi="Times New Roman" w:eastAsia="宋体" w:cs="Times New Roman"/>
          <w:spacing w:val="-50"/>
          <w:sz w:val="24"/>
          <w:szCs w:val="24"/>
        </w:rPr>
        <w:t xml:space="preserve"> </w:t>
      </w:r>
      <w:r>
        <w:rPr>
          <w:rFonts w:hint="default" w:ascii="Times New Roman" w:hAnsi="Times New Roman" w:eastAsia="Times New Roman" w:cs="Times New Roman"/>
          <w:spacing w:val="-12"/>
          <w:sz w:val="24"/>
          <w:szCs w:val="24"/>
        </w:rPr>
        <w:t>A</w:t>
      </w:r>
      <w:r>
        <w:rPr>
          <w:rFonts w:hint="default" w:ascii="Times New Roman" w:hAnsi="Times New Roman" w:eastAsia="Times New Roman" w:cs="Times New Roman"/>
          <w:spacing w:val="34"/>
          <w:w w:val="101"/>
          <w:sz w:val="24"/>
          <w:szCs w:val="24"/>
        </w:rPr>
        <w:t xml:space="preserve"> </w:t>
      </w:r>
      <w:r>
        <w:rPr>
          <w:rFonts w:hint="default" w:ascii="Times New Roman" w:hAnsi="Times New Roman" w:eastAsia="宋体" w:cs="Times New Roman"/>
          <w:spacing w:val="-12"/>
          <w:sz w:val="24"/>
          <w:szCs w:val="24"/>
        </w:rPr>
        <w:t>中表</w:t>
      </w:r>
      <w:r>
        <w:rPr>
          <w:rFonts w:hint="default" w:ascii="Times New Roman" w:hAnsi="Times New Roman" w:eastAsia="宋体" w:cs="Times New Roman"/>
          <w:spacing w:val="-58"/>
          <w:sz w:val="24"/>
          <w:szCs w:val="24"/>
        </w:rPr>
        <w:t xml:space="preserve"> </w:t>
      </w:r>
      <w:r>
        <w:rPr>
          <w:rFonts w:hint="default" w:ascii="Times New Roman" w:hAnsi="Times New Roman" w:eastAsia="Times New Roman" w:cs="Times New Roman"/>
          <w:spacing w:val="-12"/>
          <w:sz w:val="24"/>
          <w:szCs w:val="24"/>
        </w:rPr>
        <w:t>A.1“</w:t>
      </w:r>
      <w:r>
        <w:rPr>
          <w:rFonts w:hint="default" w:ascii="Times New Roman" w:hAnsi="Times New Roman" w:eastAsia="宋体" w:cs="Times New Roman"/>
          <w:spacing w:val="-12"/>
          <w:sz w:val="24"/>
          <w:szCs w:val="24"/>
        </w:rPr>
        <w:t>土</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1"/>
          <w:sz w:val="24"/>
          <w:szCs w:val="24"/>
        </w:rPr>
        <w:t>壤环境影响评价项目类别</w:t>
      </w:r>
      <w:r>
        <w:rPr>
          <w:rFonts w:hint="default" w:ascii="Times New Roman" w:hAnsi="Times New Roman" w:eastAsia="Times New Roman" w:cs="Times New Roman"/>
          <w:spacing w:val="1"/>
          <w:sz w:val="24"/>
          <w:szCs w:val="24"/>
        </w:rPr>
        <w:t>”</w:t>
      </w:r>
      <w:r>
        <w:rPr>
          <w:rFonts w:hint="default" w:ascii="Times New Roman" w:hAnsi="Times New Roman" w:eastAsia="Times New Roman" w:cs="Times New Roman"/>
          <w:spacing w:val="-21"/>
          <w:sz w:val="24"/>
          <w:szCs w:val="24"/>
        </w:rPr>
        <w:t xml:space="preserve"> </w:t>
      </w:r>
      <w:r>
        <w:rPr>
          <w:rFonts w:hint="default" w:ascii="Times New Roman" w:hAnsi="Times New Roman" w:eastAsia="宋体" w:cs="Times New Roman"/>
          <w:spacing w:val="1"/>
          <w:sz w:val="24"/>
          <w:szCs w:val="24"/>
        </w:rPr>
        <w:t>中的规定，行业类别中无屠宰类项目，属于其他行业，为Ⅳ</w:t>
      </w:r>
      <w:r>
        <w:rPr>
          <w:rFonts w:hint="default" w:ascii="Times New Roman" w:hAnsi="Times New Roman" w:eastAsia="宋体" w:cs="Times New Roman"/>
          <w:spacing w:val="-1"/>
          <w:sz w:val="24"/>
          <w:szCs w:val="24"/>
        </w:rPr>
        <w:t>类项目，可不开展土壤环境影响评价工作。</w:t>
      </w:r>
    </w:p>
    <w:p>
      <w:pPr>
        <w:spacing w:line="217" w:lineRule="auto"/>
        <w:rPr>
          <w:rFonts w:hint="default" w:ascii="Times New Roman" w:hAnsi="Times New Roman" w:eastAsia="宋体" w:cs="Times New Roman"/>
          <w:sz w:val="24"/>
          <w:szCs w:val="24"/>
        </w:rPr>
        <w:sectPr>
          <w:headerReference r:id="rId18" w:type="default"/>
          <w:footerReference r:id="rId19" w:type="default"/>
          <w:pgSz w:w="11910" w:h="16840"/>
          <w:pgMar w:top="1138" w:right="1385" w:bottom="1164" w:left="1385" w:header="897" w:footer="998" w:gutter="0"/>
          <w:pgBorders>
            <w:top w:val="none" w:sz="0" w:space="0"/>
            <w:left w:val="none" w:sz="0" w:space="0"/>
            <w:bottom w:val="none" w:sz="0" w:space="0"/>
            <w:right w:val="none" w:sz="0" w:space="0"/>
          </w:pgBorders>
          <w:pgNumType w:fmt="decimal"/>
          <w:cols w:space="720" w:num="1"/>
        </w:sectPr>
      </w:pPr>
    </w:p>
    <w:p>
      <w:pPr>
        <w:widowControl/>
        <w:tabs>
          <w:tab w:val="left" w:leader="middleDot" w:pos="7371"/>
        </w:tabs>
        <w:kinsoku/>
        <w:autoSpaceDE/>
        <w:autoSpaceDN/>
        <w:adjustRightInd/>
        <w:snapToGrid/>
        <w:spacing w:line="360" w:lineRule="auto"/>
        <w:jc w:val="left"/>
        <w:textAlignment w:val="auto"/>
        <w:outlineLvl w:val="0"/>
        <w:rPr>
          <w:rFonts w:hint="default" w:ascii="Times New Roman" w:hAnsi="Times New Roman" w:eastAsia="宋体" w:cs="Times New Roman"/>
          <w:b/>
          <w:snapToGrid/>
          <w:color w:val="auto"/>
          <w:kern w:val="0"/>
          <w:sz w:val="32"/>
          <w:szCs w:val="32"/>
          <w:lang w:eastAsia="zh-CN"/>
        </w:rPr>
      </w:pPr>
      <w:bookmarkStart w:id="379" w:name="_Toc7539"/>
      <w:r>
        <w:rPr>
          <w:rFonts w:hint="default" w:ascii="Times New Roman" w:hAnsi="Times New Roman" w:eastAsia="宋体" w:cs="Times New Roman"/>
          <w:b/>
          <w:snapToGrid/>
          <w:color w:val="auto"/>
          <w:kern w:val="0"/>
          <w:sz w:val="32"/>
          <w:szCs w:val="32"/>
          <w:lang w:eastAsia="zh-CN"/>
        </w:rPr>
        <w:t>6、环境</w:t>
      </w:r>
      <w:r>
        <w:rPr>
          <w:rFonts w:hint="default" w:ascii="Times New Roman" w:hAnsi="Times New Roman" w:eastAsia="宋体" w:cs="Times New Roman"/>
          <w:b/>
          <w:snapToGrid/>
          <w:color w:val="auto"/>
          <w:kern w:val="0"/>
          <w:sz w:val="32"/>
          <w:szCs w:val="32"/>
          <w:lang w:val="en-US" w:eastAsia="zh-CN"/>
        </w:rPr>
        <w:t>保护</w:t>
      </w:r>
      <w:r>
        <w:rPr>
          <w:rFonts w:hint="default" w:ascii="Times New Roman" w:hAnsi="Times New Roman" w:eastAsia="宋体" w:cs="Times New Roman"/>
          <w:b/>
          <w:snapToGrid/>
          <w:color w:val="auto"/>
          <w:kern w:val="0"/>
          <w:sz w:val="32"/>
          <w:szCs w:val="32"/>
          <w:lang w:eastAsia="zh-CN"/>
        </w:rPr>
        <w:t>措施及可行性论证</w:t>
      </w:r>
      <w:bookmarkEnd w:id="379"/>
    </w:p>
    <w:p>
      <w:pPr>
        <w:widowControl w:val="0"/>
        <w:kinsoku/>
        <w:autoSpaceDE/>
        <w:autoSpaceDN/>
        <w:adjustRightInd/>
        <w:snapToGrid/>
        <w:spacing w:line="360" w:lineRule="auto"/>
        <w:jc w:val="left"/>
        <w:textAlignment w:val="auto"/>
        <w:outlineLvl w:val="1"/>
        <w:rPr>
          <w:rFonts w:hint="default" w:ascii="Times New Roman" w:hAnsi="Times New Roman" w:eastAsia="宋体" w:cs="Times New Roman"/>
          <w:b/>
          <w:bCs/>
          <w:snapToGrid/>
          <w:color w:val="auto"/>
          <w:kern w:val="44"/>
          <w:sz w:val="30"/>
          <w:szCs w:val="30"/>
          <w:highlight w:val="magenta"/>
          <w:lang w:val="en-US" w:eastAsia="zh-CN"/>
        </w:rPr>
      </w:pPr>
      <w:bookmarkStart w:id="380" w:name="_Toc9073"/>
      <w:r>
        <w:rPr>
          <w:rFonts w:hint="default" w:ascii="Times New Roman" w:hAnsi="Times New Roman" w:eastAsia="宋体" w:cs="Times New Roman"/>
          <w:b/>
          <w:bCs/>
          <w:snapToGrid/>
          <w:color w:val="auto"/>
          <w:kern w:val="44"/>
          <w:sz w:val="30"/>
          <w:szCs w:val="30"/>
          <w:lang w:val="en-US" w:eastAsia="zh-CN"/>
        </w:rPr>
        <w:t>6.</w:t>
      </w:r>
      <w:r>
        <w:rPr>
          <w:rFonts w:hint="default" w:ascii="Times New Roman" w:hAnsi="Times New Roman" w:eastAsia="宋体" w:cs="Times New Roman"/>
          <w:b/>
          <w:bCs/>
          <w:snapToGrid/>
          <w:color w:val="auto"/>
          <w:kern w:val="44"/>
          <w:sz w:val="30"/>
          <w:szCs w:val="30"/>
          <w:lang w:eastAsia="zh-CN"/>
        </w:rPr>
        <w:t>1 施工期</w:t>
      </w:r>
      <w:r>
        <w:rPr>
          <w:rFonts w:hint="default" w:ascii="Times New Roman" w:hAnsi="Times New Roman" w:eastAsia="宋体" w:cs="Times New Roman"/>
          <w:b/>
          <w:bCs/>
          <w:snapToGrid/>
          <w:color w:val="auto"/>
          <w:kern w:val="44"/>
          <w:sz w:val="30"/>
          <w:szCs w:val="30"/>
          <w:lang w:val="en-US" w:eastAsia="zh-CN"/>
        </w:rPr>
        <w:t>污</w:t>
      </w:r>
      <w:r>
        <w:rPr>
          <w:rFonts w:hint="default" w:ascii="Times New Roman" w:hAnsi="Times New Roman" w:eastAsia="宋体" w:cs="Times New Roman"/>
          <w:b/>
          <w:bCs/>
          <w:snapToGrid/>
          <w:color w:val="auto"/>
          <w:kern w:val="44"/>
          <w:sz w:val="30"/>
          <w:szCs w:val="30"/>
          <w:lang w:eastAsia="zh-CN"/>
        </w:rPr>
        <w:t>染防治措施</w:t>
      </w:r>
      <w:r>
        <w:rPr>
          <w:rFonts w:hint="default" w:ascii="Times New Roman" w:hAnsi="Times New Roman" w:eastAsia="宋体" w:cs="Times New Roman"/>
          <w:b/>
          <w:bCs/>
          <w:snapToGrid/>
          <w:color w:val="auto"/>
          <w:kern w:val="44"/>
          <w:sz w:val="30"/>
          <w:szCs w:val="30"/>
          <w:lang w:val="en-US" w:eastAsia="zh-CN"/>
        </w:rPr>
        <w:t>及其可行性论证</w:t>
      </w:r>
      <w:bookmarkEnd w:id="380"/>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default" w:ascii="Times New Roman" w:hAnsi="Times New Roman" w:eastAsia="宋体" w:cs="Times New Roman"/>
          <w:spacing w:val="-2"/>
          <w:position w:val="18"/>
          <w:sz w:val="24"/>
          <w:szCs w:val="24"/>
        </w:rPr>
        <w:t>项目</w:t>
      </w:r>
      <w:r>
        <w:rPr>
          <w:rFonts w:hint="default" w:ascii="Times New Roman" w:hAnsi="Times New Roman" w:eastAsia="宋体" w:cs="Times New Roman"/>
          <w:spacing w:val="-2"/>
          <w:position w:val="18"/>
          <w:sz w:val="24"/>
          <w:szCs w:val="24"/>
          <w:lang w:eastAsia="zh-CN"/>
        </w:rPr>
        <w:t>大部分</w:t>
      </w:r>
      <w:r>
        <w:rPr>
          <w:rFonts w:hint="default" w:ascii="Times New Roman" w:hAnsi="Times New Roman" w:eastAsia="宋体" w:cs="Times New Roman"/>
          <w:spacing w:val="-2"/>
          <w:position w:val="18"/>
          <w:sz w:val="24"/>
          <w:szCs w:val="24"/>
        </w:rPr>
        <w:t>主体及附属工程的主体土建已基本完成。待建部分包括</w:t>
      </w:r>
      <w:r>
        <w:rPr>
          <w:rFonts w:hint="default" w:ascii="Times New Roman" w:hAnsi="Times New Roman" w:eastAsia="宋体" w:cs="Times New Roman"/>
          <w:spacing w:val="-2"/>
          <w:position w:val="18"/>
          <w:sz w:val="24"/>
          <w:szCs w:val="24"/>
          <w:lang w:val="en-US" w:eastAsia="zh-CN"/>
        </w:rPr>
        <w:t>屠宰</w:t>
      </w:r>
      <w:r>
        <w:rPr>
          <w:rFonts w:hint="eastAsia" w:ascii="Times New Roman" w:hAnsi="Times New Roman" w:eastAsia="宋体" w:cs="Times New Roman"/>
          <w:spacing w:val="-2"/>
          <w:position w:val="18"/>
          <w:sz w:val="24"/>
          <w:szCs w:val="24"/>
          <w:lang w:val="en-US" w:eastAsia="zh-CN"/>
        </w:rPr>
        <w:t>加工</w:t>
      </w:r>
      <w:r>
        <w:rPr>
          <w:rFonts w:hint="default" w:ascii="Times New Roman" w:hAnsi="Times New Roman" w:eastAsia="宋体" w:cs="Times New Roman"/>
          <w:spacing w:val="-2"/>
          <w:position w:val="18"/>
          <w:sz w:val="24"/>
          <w:szCs w:val="24"/>
          <w:lang w:eastAsia="zh-CN"/>
        </w:rPr>
        <w:t>车间</w:t>
      </w:r>
      <w:r>
        <w:rPr>
          <w:rFonts w:hint="default" w:ascii="Times New Roman" w:hAnsi="Times New Roman" w:eastAsia="宋体" w:cs="Times New Roman"/>
          <w:spacing w:val="-2"/>
          <w:position w:val="18"/>
          <w:sz w:val="24"/>
          <w:szCs w:val="24"/>
          <w:lang w:val="en-US" w:eastAsia="zh-CN"/>
        </w:rPr>
        <w:t>以及污水处理站</w:t>
      </w:r>
      <w:r>
        <w:rPr>
          <w:rFonts w:hint="eastAsia" w:ascii="Times New Roman" w:hAnsi="Times New Roman" w:eastAsia="宋体" w:cs="Times New Roman"/>
          <w:spacing w:val="-2"/>
          <w:position w:val="18"/>
          <w:sz w:val="24"/>
          <w:szCs w:val="24"/>
          <w:lang w:val="en-US" w:eastAsia="zh-CN"/>
        </w:rPr>
        <w:t>的废气处理设施及事故池</w:t>
      </w:r>
      <w:r>
        <w:rPr>
          <w:rFonts w:hint="default" w:ascii="Times New Roman" w:hAnsi="Times New Roman" w:eastAsia="宋体" w:cs="Times New Roman"/>
          <w:spacing w:val="-2"/>
          <w:position w:val="18"/>
          <w:sz w:val="24"/>
          <w:szCs w:val="24"/>
          <w:lang w:val="en-US" w:eastAsia="zh-CN"/>
        </w:rPr>
        <w:t>的</w:t>
      </w:r>
      <w:r>
        <w:rPr>
          <w:rFonts w:hint="eastAsia" w:ascii="Times New Roman" w:hAnsi="Times New Roman" w:eastAsia="宋体" w:cs="Times New Roman"/>
          <w:spacing w:val="-2"/>
          <w:position w:val="18"/>
          <w:sz w:val="24"/>
          <w:szCs w:val="24"/>
          <w:lang w:val="en-US" w:eastAsia="zh-CN"/>
        </w:rPr>
        <w:t>建设</w:t>
      </w:r>
      <w:r>
        <w:rPr>
          <w:rFonts w:hint="eastAsia" w:ascii="Times New Roman" w:hAnsi="Times New Roman" w:eastAsia="宋体" w:cs="Times New Roman"/>
          <w:spacing w:val="-2"/>
          <w:position w:val="18"/>
          <w:sz w:val="24"/>
          <w:szCs w:val="24"/>
          <w:lang w:eastAsia="zh-CN"/>
        </w:rPr>
        <w:t>。施工期</w:t>
      </w:r>
      <w:r>
        <w:rPr>
          <w:rFonts w:hint="eastAsia" w:ascii="Times New Roman" w:hAnsi="Times New Roman" w:eastAsia="宋体" w:cs="Times New Roman"/>
          <w:spacing w:val="-2"/>
          <w:position w:val="18"/>
          <w:sz w:val="24"/>
          <w:szCs w:val="24"/>
          <w:lang w:val="en-US" w:eastAsia="zh-CN"/>
        </w:rPr>
        <w:t>环境影响较小</w:t>
      </w:r>
      <w:r>
        <w:rPr>
          <w:rFonts w:hint="eastAsia" w:ascii="Times New Roman" w:hAnsi="Times New Roman" w:eastAsia="宋体" w:cs="Times New Roman"/>
          <w:spacing w:val="-2"/>
          <w:position w:val="18"/>
          <w:sz w:val="24"/>
          <w:szCs w:val="24"/>
          <w:lang w:eastAsia="zh-CN"/>
        </w:rPr>
        <w:t>。环境影响主要来源于运营期。</w:t>
      </w:r>
    </w:p>
    <w:p>
      <w:pPr>
        <w:keepNext w:val="0"/>
        <w:keepLines w:val="0"/>
        <w:pageBreakBefore w:val="0"/>
        <w:wordWrap/>
        <w:overflowPunct/>
        <w:topLinePunct w:val="0"/>
        <w:bidi w:val="0"/>
        <w:spacing w:line="360" w:lineRule="auto"/>
        <w:ind w:left="0" w:firstLine="500" w:firstLineChars="200"/>
        <w:jc w:val="both"/>
        <w:outlineLvl w:val="3"/>
        <w:rPr>
          <w:rFonts w:hint="default" w:ascii="Times New Roman" w:hAnsi="Times New Roman" w:eastAsia="黑体" w:cs="Times New Roman"/>
          <w:spacing w:val="5"/>
          <w:sz w:val="24"/>
          <w:szCs w:val="24"/>
          <w:highlight w:val="none"/>
          <w:lang w:val="zh-CN" w:eastAsia="zh-CN"/>
        </w:rPr>
      </w:pPr>
      <w:r>
        <w:rPr>
          <w:rFonts w:hint="eastAsia" w:ascii="Times New Roman" w:hAnsi="Times New Roman" w:eastAsia="黑体" w:cs="Times New Roman"/>
          <w:spacing w:val="5"/>
          <w:sz w:val="24"/>
          <w:szCs w:val="24"/>
          <w:highlight w:val="none"/>
          <w:lang w:val="en-US" w:eastAsia="zh-CN"/>
        </w:rPr>
        <w:t>6.1.1</w:t>
      </w:r>
      <w:r>
        <w:rPr>
          <w:rFonts w:hint="default" w:ascii="Times New Roman" w:hAnsi="Times New Roman" w:eastAsia="黑体" w:cs="Times New Roman"/>
          <w:spacing w:val="5"/>
          <w:sz w:val="24"/>
          <w:szCs w:val="24"/>
          <w:highlight w:val="none"/>
          <w:lang w:val="en-US" w:eastAsia="zh-CN"/>
        </w:rPr>
        <w:t>施工期大气环境影响因素分析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default" w:ascii="Times New Roman" w:hAnsi="Times New Roman" w:eastAsia="宋体" w:cs="Times New Roman"/>
          <w:spacing w:val="-2"/>
          <w:position w:val="18"/>
          <w:sz w:val="24"/>
          <w:szCs w:val="24"/>
        </w:rPr>
        <w:t>对整个施工期而言，施工过程中对环境造成影响较为突出的是扬尘污染。施工期产生的扬尘主要集中在平整土地等施工阶段。按起尘的原因可分为风力起尘和动力起尘，其中风力起尘主要是由于露天堆放的建材及裸露的施工区表层浮尘因天气干燥及大风，产生风力扬尘；而动力起尘，主要是在建材的装卸、搅拌过程中，由于外力而产生的尘粒再悬浮而造成，其中施工及装卸车辆造成的扬尘最为严重。</w:t>
      </w:r>
    </w:p>
    <w:p>
      <w:pPr>
        <w:keepNext w:val="0"/>
        <w:keepLines w:val="0"/>
        <w:pageBreakBefore w:val="0"/>
        <w:wordWrap/>
        <w:overflowPunct/>
        <w:topLinePunct w:val="0"/>
        <w:bidi w:val="0"/>
        <w:spacing w:line="360" w:lineRule="auto"/>
        <w:ind w:left="0" w:firstLine="500" w:firstLineChars="200"/>
        <w:jc w:val="both"/>
        <w:outlineLvl w:val="3"/>
        <w:rPr>
          <w:rFonts w:hint="default" w:ascii="Times New Roman" w:hAnsi="Times New Roman" w:eastAsia="黑体" w:cs="Times New Roman"/>
          <w:spacing w:val="5"/>
          <w:sz w:val="24"/>
          <w:szCs w:val="24"/>
          <w:highlight w:val="none"/>
          <w:lang w:val="en-US" w:eastAsia="zh-CN"/>
        </w:rPr>
      </w:pPr>
      <w:r>
        <w:rPr>
          <w:rFonts w:hint="eastAsia" w:ascii="Times New Roman" w:hAnsi="Times New Roman" w:eastAsia="黑体" w:cs="Times New Roman"/>
          <w:spacing w:val="5"/>
          <w:sz w:val="24"/>
          <w:szCs w:val="24"/>
          <w:highlight w:val="none"/>
          <w:lang w:val="en-US" w:eastAsia="zh-CN"/>
        </w:rPr>
        <w:t>6.1.2</w:t>
      </w:r>
      <w:r>
        <w:rPr>
          <w:rFonts w:hint="default" w:ascii="Times New Roman" w:hAnsi="Times New Roman" w:eastAsia="黑体" w:cs="Times New Roman"/>
          <w:spacing w:val="5"/>
          <w:sz w:val="24"/>
          <w:szCs w:val="24"/>
          <w:highlight w:val="none"/>
          <w:lang w:val="en-US" w:eastAsia="zh-CN"/>
        </w:rPr>
        <w:t>施工期水环境影响因素分析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eastAsia" w:ascii="Times New Roman" w:hAnsi="Times New Roman" w:eastAsia="宋体" w:cs="Times New Roman"/>
          <w:spacing w:val="-2"/>
          <w:position w:val="18"/>
          <w:sz w:val="24"/>
          <w:szCs w:val="24"/>
        </w:rPr>
        <w:t>①施工废水</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default" w:ascii="Times New Roman" w:hAnsi="Times New Roman" w:eastAsia="宋体" w:cs="Times New Roman"/>
          <w:spacing w:val="-2"/>
          <w:position w:val="18"/>
          <w:sz w:val="24"/>
          <w:szCs w:val="24"/>
        </w:rPr>
        <w:t>施工废水主要来源于机械设备及运输车辆冲洗废水。施工现场设置沉淀池，</w:t>
      </w:r>
      <w:r>
        <w:rPr>
          <w:rFonts w:hint="eastAsia" w:ascii="Times New Roman" w:hAnsi="Times New Roman" w:eastAsia="宋体" w:cs="Times New Roman"/>
          <w:spacing w:val="-2"/>
          <w:position w:val="18"/>
          <w:sz w:val="24"/>
          <w:szCs w:val="24"/>
        </w:rPr>
        <w:t>施工</w:t>
      </w:r>
      <w:r>
        <w:rPr>
          <w:rFonts w:hint="default" w:ascii="Times New Roman" w:hAnsi="Times New Roman" w:eastAsia="宋体" w:cs="Times New Roman"/>
          <w:spacing w:val="-2"/>
          <w:position w:val="18"/>
          <w:sz w:val="24"/>
          <w:szCs w:val="24"/>
        </w:rPr>
        <w:t>废水</w:t>
      </w:r>
      <w:r>
        <w:rPr>
          <w:rFonts w:hint="eastAsia" w:ascii="Times New Roman" w:hAnsi="Times New Roman" w:eastAsia="宋体" w:cs="Times New Roman"/>
          <w:spacing w:val="-2"/>
          <w:position w:val="18"/>
          <w:sz w:val="24"/>
          <w:szCs w:val="24"/>
        </w:rPr>
        <w:t>经</w:t>
      </w:r>
      <w:r>
        <w:rPr>
          <w:rFonts w:hint="default" w:ascii="Times New Roman" w:hAnsi="Times New Roman" w:eastAsia="宋体" w:cs="Times New Roman"/>
          <w:spacing w:val="-2"/>
          <w:position w:val="18"/>
          <w:sz w:val="24"/>
          <w:szCs w:val="24"/>
        </w:rPr>
        <w:t>沉淀后</w:t>
      </w:r>
      <w:r>
        <w:rPr>
          <w:rFonts w:hint="eastAsia" w:ascii="Times New Roman" w:hAnsi="Times New Roman" w:eastAsia="宋体" w:cs="Times New Roman"/>
          <w:spacing w:val="-2"/>
          <w:position w:val="18"/>
          <w:sz w:val="24"/>
          <w:szCs w:val="24"/>
        </w:rPr>
        <w:t>用于</w:t>
      </w:r>
      <w:r>
        <w:rPr>
          <w:rFonts w:hint="default" w:ascii="Times New Roman" w:hAnsi="Times New Roman" w:eastAsia="宋体" w:cs="Times New Roman"/>
          <w:spacing w:val="-2"/>
          <w:position w:val="18"/>
          <w:sz w:val="24"/>
          <w:szCs w:val="24"/>
        </w:rPr>
        <w:t>场地降尘，不外排。</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eastAsia" w:ascii="Times New Roman" w:hAnsi="Times New Roman" w:eastAsia="宋体" w:cs="Times New Roman"/>
          <w:spacing w:val="-2"/>
          <w:position w:val="18"/>
          <w:sz w:val="24"/>
          <w:szCs w:val="24"/>
        </w:rPr>
        <w:t>②生活污水</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lang w:val="zh-CN"/>
        </w:rPr>
      </w:pPr>
      <w:r>
        <w:rPr>
          <w:rFonts w:hint="default" w:ascii="Times New Roman" w:hAnsi="Times New Roman" w:eastAsia="宋体" w:cs="Times New Roman"/>
          <w:spacing w:val="-2"/>
          <w:position w:val="18"/>
          <w:sz w:val="24"/>
          <w:szCs w:val="24"/>
        </w:rPr>
        <w:t>本项目施工人员产生的生活污水排入防渗旱厕，定期清掏，外运堆肥。</w:t>
      </w:r>
    </w:p>
    <w:p>
      <w:pPr>
        <w:keepNext w:val="0"/>
        <w:keepLines w:val="0"/>
        <w:pageBreakBefore w:val="0"/>
        <w:wordWrap/>
        <w:overflowPunct/>
        <w:topLinePunct w:val="0"/>
        <w:bidi w:val="0"/>
        <w:spacing w:line="360" w:lineRule="auto"/>
        <w:ind w:left="0" w:firstLine="500" w:firstLineChars="200"/>
        <w:jc w:val="both"/>
        <w:outlineLvl w:val="3"/>
        <w:rPr>
          <w:rFonts w:hint="default" w:ascii="Times New Roman" w:hAnsi="Times New Roman" w:eastAsia="黑体" w:cs="Times New Roman"/>
          <w:spacing w:val="5"/>
          <w:sz w:val="24"/>
          <w:szCs w:val="24"/>
          <w:highlight w:val="none"/>
          <w:lang w:val="zh-CN" w:eastAsia="zh-CN"/>
        </w:rPr>
      </w:pPr>
      <w:r>
        <w:rPr>
          <w:rFonts w:hint="eastAsia" w:ascii="Times New Roman" w:hAnsi="Times New Roman" w:eastAsia="黑体" w:cs="Times New Roman"/>
          <w:spacing w:val="5"/>
          <w:sz w:val="24"/>
          <w:szCs w:val="24"/>
          <w:highlight w:val="none"/>
          <w:lang w:val="en-US" w:eastAsia="zh-CN"/>
        </w:rPr>
        <w:t>6</w:t>
      </w:r>
      <w:r>
        <w:rPr>
          <w:rFonts w:hint="eastAsia" w:ascii="Times New Roman" w:hAnsi="Times New Roman" w:eastAsia="黑体" w:cs="Times New Roman"/>
          <w:spacing w:val="5"/>
          <w:sz w:val="24"/>
          <w:szCs w:val="24"/>
          <w:highlight w:val="none"/>
          <w:lang w:val="zh-CN" w:eastAsia="zh-CN"/>
        </w:rPr>
        <w:t>.1.3</w:t>
      </w:r>
      <w:r>
        <w:rPr>
          <w:rFonts w:hint="default" w:ascii="Times New Roman" w:hAnsi="Times New Roman" w:eastAsia="黑体" w:cs="Times New Roman"/>
          <w:spacing w:val="5"/>
          <w:sz w:val="24"/>
          <w:szCs w:val="24"/>
          <w:highlight w:val="none"/>
          <w:lang w:val="en-US" w:eastAsia="zh-CN"/>
        </w:rPr>
        <w:t>施工期噪声影响因素分析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lang w:val="zh-CN"/>
        </w:rPr>
      </w:pPr>
      <w:r>
        <w:rPr>
          <w:rFonts w:hint="default" w:ascii="Times New Roman" w:hAnsi="Times New Roman" w:eastAsia="宋体" w:cs="Times New Roman"/>
          <w:spacing w:val="-2"/>
          <w:position w:val="18"/>
          <w:sz w:val="24"/>
          <w:szCs w:val="24"/>
        </w:rPr>
        <w:t>施工期的噪声主要可分为机械噪声、施工作业噪声和施工车辆噪声。机械噪声主要由施工机械所造成，多为点声源；施工作业噪声主要指一些零星的敲打声、装卸车辆的撞击声、吆喝声、拆装模板的撞击声等，多为瞬间噪声；施工车辆的噪声属于交通噪声</w:t>
      </w:r>
      <w:r>
        <w:rPr>
          <w:rFonts w:hint="eastAsia" w:ascii="Times New Roman" w:hAnsi="Times New Roman" w:eastAsia="宋体" w:cs="Times New Roman"/>
          <w:spacing w:val="-2"/>
          <w:position w:val="18"/>
          <w:sz w:val="24"/>
          <w:szCs w:val="24"/>
        </w:rPr>
        <w:t>。</w:t>
      </w:r>
    </w:p>
    <w:p>
      <w:pPr>
        <w:keepNext w:val="0"/>
        <w:keepLines w:val="0"/>
        <w:pageBreakBefore w:val="0"/>
        <w:wordWrap/>
        <w:overflowPunct/>
        <w:topLinePunct w:val="0"/>
        <w:bidi w:val="0"/>
        <w:spacing w:line="360" w:lineRule="auto"/>
        <w:ind w:left="0" w:firstLine="500" w:firstLineChars="200"/>
        <w:jc w:val="both"/>
        <w:outlineLvl w:val="3"/>
        <w:rPr>
          <w:rFonts w:hint="default" w:ascii="Times New Roman" w:hAnsi="Times New Roman" w:eastAsia="黑体" w:cs="Times New Roman"/>
          <w:spacing w:val="5"/>
          <w:sz w:val="24"/>
          <w:szCs w:val="24"/>
          <w:highlight w:val="none"/>
          <w:lang w:val="zh-CN" w:eastAsia="zh-CN"/>
        </w:rPr>
      </w:pPr>
      <w:r>
        <w:rPr>
          <w:rFonts w:hint="eastAsia" w:ascii="Times New Roman" w:hAnsi="Times New Roman" w:eastAsia="黑体" w:cs="Times New Roman"/>
          <w:spacing w:val="5"/>
          <w:sz w:val="24"/>
          <w:szCs w:val="24"/>
          <w:highlight w:val="none"/>
          <w:lang w:val="en-US" w:eastAsia="zh-CN"/>
        </w:rPr>
        <w:t>6</w:t>
      </w:r>
      <w:r>
        <w:rPr>
          <w:rFonts w:hint="eastAsia" w:ascii="Times New Roman" w:hAnsi="Times New Roman" w:eastAsia="黑体" w:cs="Times New Roman"/>
          <w:spacing w:val="5"/>
          <w:sz w:val="24"/>
          <w:szCs w:val="24"/>
          <w:highlight w:val="none"/>
          <w:lang w:val="zh-CN" w:eastAsia="zh-CN"/>
        </w:rPr>
        <w:t>.1.4</w:t>
      </w:r>
      <w:r>
        <w:rPr>
          <w:rFonts w:hint="default" w:ascii="Times New Roman" w:hAnsi="Times New Roman" w:eastAsia="黑体" w:cs="Times New Roman"/>
          <w:spacing w:val="5"/>
          <w:sz w:val="24"/>
          <w:szCs w:val="24"/>
          <w:highlight w:val="none"/>
          <w:lang w:val="zh-CN" w:eastAsia="zh-CN"/>
        </w:rPr>
        <w:t>施工期固体废物影响因素分析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spacing w:val="-2"/>
          <w:position w:val="18"/>
          <w:sz w:val="24"/>
          <w:szCs w:val="24"/>
        </w:rPr>
      </w:pPr>
      <w:r>
        <w:rPr>
          <w:rFonts w:hint="default" w:ascii="Times New Roman" w:hAnsi="Times New Roman" w:eastAsia="宋体" w:cs="Times New Roman"/>
          <w:spacing w:val="-2"/>
          <w:position w:val="18"/>
          <w:sz w:val="24"/>
          <w:szCs w:val="24"/>
        </w:rPr>
        <w:t>施工期产生的固体废弃物主要是</w:t>
      </w:r>
      <w:r>
        <w:rPr>
          <w:rFonts w:hint="eastAsia" w:ascii="Times New Roman" w:hAnsi="Times New Roman" w:eastAsia="宋体" w:cs="Times New Roman"/>
          <w:spacing w:val="-2"/>
          <w:position w:val="18"/>
          <w:sz w:val="24"/>
          <w:szCs w:val="24"/>
        </w:rPr>
        <w:t>施工废物</w:t>
      </w:r>
      <w:r>
        <w:rPr>
          <w:rFonts w:hint="default" w:ascii="Times New Roman" w:hAnsi="Times New Roman" w:eastAsia="宋体" w:cs="Times New Roman"/>
          <w:spacing w:val="-2"/>
          <w:position w:val="18"/>
          <w:sz w:val="24"/>
          <w:szCs w:val="24"/>
        </w:rPr>
        <w:t>及施工人员生活垃圾。</w:t>
      </w:r>
      <w:r>
        <w:rPr>
          <w:rFonts w:hint="eastAsia" w:ascii="Times New Roman" w:hAnsi="Times New Roman" w:eastAsia="宋体" w:cs="Times New Roman"/>
          <w:spacing w:val="-2"/>
          <w:position w:val="18"/>
          <w:sz w:val="24"/>
          <w:szCs w:val="24"/>
        </w:rPr>
        <w:t>施工废物</w:t>
      </w:r>
      <w:r>
        <w:rPr>
          <w:rFonts w:hint="default" w:ascii="Times New Roman" w:hAnsi="Times New Roman" w:eastAsia="宋体" w:cs="Times New Roman"/>
          <w:spacing w:val="-2"/>
          <w:position w:val="18"/>
          <w:sz w:val="24"/>
          <w:szCs w:val="24"/>
        </w:rPr>
        <w:t>主要包括平整场地</w:t>
      </w:r>
      <w:r>
        <w:rPr>
          <w:rFonts w:hint="eastAsia" w:ascii="Times New Roman" w:hAnsi="Times New Roman" w:eastAsia="宋体" w:cs="Times New Roman"/>
          <w:spacing w:val="-2"/>
          <w:position w:val="18"/>
          <w:sz w:val="24"/>
          <w:szCs w:val="24"/>
        </w:rPr>
        <w:t>和地基开挖</w:t>
      </w:r>
      <w:r>
        <w:rPr>
          <w:rFonts w:hint="default" w:ascii="Times New Roman" w:hAnsi="Times New Roman" w:eastAsia="宋体" w:cs="Times New Roman"/>
          <w:spacing w:val="-2"/>
          <w:position w:val="18"/>
          <w:sz w:val="24"/>
          <w:szCs w:val="24"/>
        </w:rPr>
        <w:t>产生的</w:t>
      </w:r>
      <w:r>
        <w:rPr>
          <w:rFonts w:hint="eastAsia" w:ascii="Times New Roman" w:hAnsi="Times New Roman" w:eastAsia="宋体" w:cs="Times New Roman"/>
          <w:spacing w:val="-2"/>
          <w:position w:val="18"/>
          <w:sz w:val="24"/>
          <w:szCs w:val="24"/>
        </w:rPr>
        <w:t>少量</w:t>
      </w:r>
      <w:r>
        <w:rPr>
          <w:rFonts w:hint="default" w:ascii="Times New Roman" w:hAnsi="Times New Roman" w:eastAsia="宋体" w:cs="Times New Roman"/>
          <w:spacing w:val="-2"/>
          <w:position w:val="18"/>
          <w:sz w:val="24"/>
          <w:szCs w:val="24"/>
        </w:rPr>
        <w:t>弃土弃渣</w:t>
      </w:r>
      <w:r>
        <w:rPr>
          <w:rFonts w:hint="eastAsia" w:ascii="Times New Roman" w:hAnsi="Times New Roman" w:eastAsia="宋体" w:cs="Times New Roman"/>
          <w:spacing w:val="-2"/>
          <w:position w:val="18"/>
          <w:sz w:val="24"/>
          <w:szCs w:val="24"/>
        </w:rPr>
        <w:t>、</w:t>
      </w:r>
      <w:r>
        <w:rPr>
          <w:rFonts w:hint="default" w:ascii="Times New Roman" w:hAnsi="Times New Roman" w:eastAsia="宋体" w:cs="Times New Roman"/>
          <w:spacing w:val="-2"/>
          <w:position w:val="18"/>
          <w:sz w:val="24"/>
          <w:szCs w:val="24"/>
        </w:rPr>
        <w:t>建筑</w:t>
      </w:r>
      <w:r>
        <w:rPr>
          <w:rFonts w:hint="eastAsia" w:ascii="Times New Roman" w:hAnsi="Times New Roman" w:eastAsia="宋体" w:cs="Times New Roman"/>
          <w:spacing w:val="-2"/>
          <w:position w:val="18"/>
          <w:sz w:val="24"/>
          <w:szCs w:val="24"/>
        </w:rPr>
        <w:t>垃圾</w:t>
      </w:r>
      <w:r>
        <w:rPr>
          <w:rFonts w:hint="default" w:ascii="Times New Roman" w:hAnsi="Times New Roman" w:eastAsia="宋体" w:cs="Times New Roman"/>
          <w:spacing w:val="-2"/>
          <w:position w:val="18"/>
          <w:sz w:val="24"/>
          <w:szCs w:val="24"/>
        </w:rPr>
        <w:t>等。</w:t>
      </w:r>
    </w:p>
    <w:p>
      <w:pPr>
        <w:widowControl w:val="0"/>
        <w:kinsoku/>
        <w:autoSpaceDE/>
        <w:autoSpaceDN/>
        <w:adjustRightInd/>
        <w:snapToGrid/>
        <w:spacing w:line="360" w:lineRule="auto"/>
        <w:jc w:val="left"/>
        <w:textAlignment w:val="auto"/>
        <w:outlineLvl w:val="1"/>
        <w:rPr>
          <w:rFonts w:hint="default" w:ascii="Times New Roman" w:hAnsi="Times New Roman" w:eastAsia="宋体" w:cs="Times New Roman"/>
          <w:b/>
          <w:bCs/>
          <w:snapToGrid/>
          <w:color w:val="auto"/>
          <w:kern w:val="44"/>
          <w:sz w:val="30"/>
          <w:szCs w:val="30"/>
          <w:lang w:eastAsia="zh-CN"/>
        </w:rPr>
      </w:pPr>
      <w:bookmarkStart w:id="381" w:name="_Toc25540"/>
      <w:r>
        <w:rPr>
          <w:rFonts w:hint="default" w:ascii="Times New Roman" w:hAnsi="Times New Roman" w:eastAsia="宋体" w:cs="Times New Roman"/>
          <w:b/>
          <w:bCs/>
          <w:snapToGrid/>
          <w:color w:val="auto"/>
          <w:kern w:val="44"/>
          <w:sz w:val="30"/>
          <w:szCs w:val="30"/>
          <w:lang w:eastAsia="zh-CN"/>
        </w:rPr>
        <w:t>6.2  营运期染防治措施</w:t>
      </w:r>
      <w:r>
        <w:rPr>
          <w:rFonts w:hint="default" w:ascii="Times New Roman" w:hAnsi="Times New Roman" w:eastAsia="宋体" w:cs="Times New Roman"/>
          <w:b/>
          <w:bCs/>
          <w:snapToGrid/>
          <w:color w:val="auto"/>
          <w:kern w:val="44"/>
          <w:sz w:val="30"/>
          <w:szCs w:val="30"/>
          <w:lang w:val="en-US" w:eastAsia="zh-CN"/>
        </w:rPr>
        <w:t>及其可行性论证</w:t>
      </w:r>
      <w:bookmarkEnd w:id="381"/>
    </w:p>
    <w:p>
      <w:pPr>
        <w:pStyle w:val="11"/>
        <w:widowControl w:val="0"/>
        <w:numPr>
          <w:ilvl w:val="2"/>
          <w:numId w:val="0"/>
        </w:numPr>
        <w:kinsoku/>
        <w:autoSpaceDE/>
        <w:autoSpaceDN/>
        <w:adjustRightInd/>
        <w:snapToGrid/>
        <w:spacing w:before="0" w:after="0" w:line="360" w:lineRule="auto"/>
        <w:contextualSpacing/>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eastAsia="zh-CN"/>
        </w:rPr>
        <w:t xml:space="preserve">6.2.1 </w:t>
      </w:r>
      <w:r>
        <w:rPr>
          <w:rFonts w:hint="default" w:ascii="Times New Roman" w:hAnsi="Times New Roman" w:eastAsia="宋体" w:cs="Times New Roman"/>
          <w:b/>
          <w:bCs w:val="0"/>
          <w:snapToGrid/>
          <w:color w:val="auto"/>
          <w:kern w:val="2"/>
          <w:sz w:val="28"/>
          <w:szCs w:val="28"/>
          <w:lang w:val="en-US" w:eastAsia="zh-CN"/>
        </w:rPr>
        <w:t>水环境污染防治对策与措施</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snapToGrid w:val="0"/>
          <w:color w:val="auto"/>
          <w:kern w:val="0"/>
          <w:sz w:val="24"/>
          <w:szCs w:val="24"/>
          <w:lang w:eastAsia="zh-CN"/>
        </w:rPr>
        <w:fldChar w:fldCharType="begin"/>
      </w:r>
      <w:r>
        <w:rPr>
          <w:rFonts w:hint="default" w:ascii="Times New Roman" w:hAnsi="Times New Roman" w:eastAsia="宋体" w:cs="Times New Roman"/>
          <w:b/>
          <w:snapToGrid w:val="0"/>
          <w:color w:val="auto"/>
          <w:kern w:val="0"/>
          <w:sz w:val="24"/>
          <w:szCs w:val="24"/>
          <w:lang w:eastAsia="zh-CN"/>
        </w:rPr>
        <w:instrText xml:space="preserve"> HYPERLINK "6.2.1.1" </w:instrText>
      </w:r>
      <w:r>
        <w:rPr>
          <w:rFonts w:hint="default" w:ascii="Times New Roman" w:hAnsi="Times New Roman" w:eastAsia="宋体" w:cs="Times New Roman"/>
          <w:b/>
          <w:snapToGrid w:val="0"/>
          <w:color w:val="auto"/>
          <w:kern w:val="0"/>
          <w:sz w:val="24"/>
          <w:szCs w:val="24"/>
          <w:lang w:eastAsia="zh-CN"/>
        </w:rPr>
        <w:fldChar w:fldCharType="separate"/>
      </w:r>
      <w:r>
        <w:rPr>
          <w:rFonts w:hint="default" w:ascii="Times New Roman" w:hAnsi="Times New Roman" w:eastAsia="宋体" w:cs="Times New Roman"/>
          <w:b/>
          <w:snapToGrid w:val="0"/>
          <w:color w:val="auto"/>
          <w:kern w:val="0"/>
          <w:sz w:val="24"/>
          <w:szCs w:val="24"/>
          <w:lang w:eastAsia="zh-CN"/>
        </w:rPr>
        <w:t>6.2.1.1</w:t>
      </w:r>
      <w:r>
        <w:rPr>
          <w:rFonts w:hint="default" w:ascii="Times New Roman" w:hAnsi="Times New Roman" w:eastAsia="宋体" w:cs="Times New Roman"/>
          <w:b/>
          <w:snapToGrid w:val="0"/>
          <w:color w:val="auto"/>
          <w:kern w:val="0"/>
          <w:sz w:val="24"/>
          <w:szCs w:val="24"/>
          <w:lang w:eastAsia="zh-CN"/>
        </w:rPr>
        <w:fldChar w:fldCharType="end"/>
      </w:r>
      <w:r>
        <w:rPr>
          <w:rFonts w:hint="default" w:ascii="Times New Roman" w:hAnsi="Times New Roman" w:eastAsia="宋体" w:cs="Times New Roman"/>
          <w:b/>
          <w:snapToGrid w:val="0"/>
          <w:color w:val="auto"/>
          <w:kern w:val="0"/>
          <w:sz w:val="24"/>
          <w:szCs w:val="24"/>
          <w:lang w:eastAsia="zh-CN"/>
        </w:rPr>
        <w:t xml:space="preserve">  </w:t>
      </w:r>
      <w:r>
        <w:rPr>
          <w:rFonts w:hint="default" w:ascii="Times New Roman" w:hAnsi="Times New Roman" w:eastAsia="宋体" w:cs="Times New Roman"/>
          <w:b/>
          <w:snapToGrid w:val="0"/>
          <w:color w:val="auto"/>
          <w:kern w:val="0"/>
          <w:sz w:val="24"/>
          <w:szCs w:val="24"/>
          <w:lang w:val="en-US" w:eastAsia="zh-CN"/>
        </w:rPr>
        <w:t>废水来源及产生量</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pacing w:val="-2"/>
          <w:sz w:val="24"/>
          <w:szCs w:val="24"/>
          <w14:textFill>
            <w14:solidFill>
              <w14:schemeClr w14:val="tx1"/>
            </w14:solidFill>
          </w14:textFill>
        </w:rPr>
        <w:t>本项目</w:t>
      </w:r>
      <w:r>
        <w:rPr>
          <w:rFonts w:hint="default" w:ascii="Times New Roman" w:hAnsi="Times New Roman" w:eastAsia="宋体" w:cs="Times New Roman"/>
          <w:color w:val="000000" w:themeColor="text1"/>
          <w:spacing w:val="-2"/>
          <w:sz w:val="24"/>
          <w:szCs w:val="24"/>
          <w:lang w:val="en-US" w:eastAsia="zh-CN"/>
          <w14:textFill>
            <w14:solidFill>
              <w14:schemeClr w14:val="tx1"/>
            </w14:solidFill>
          </w14:textFill>
        </w:rPr>
        <w:t>不新增工作人员，无新增生活污水产生。生产废水</w:t>
      </w:r>
      <w:r>
        <w:rPr>
          <w:rFonts w:hint="default" w:ascii="Times New Roman" w:hAnsi="Times New Roman" w:eastAsia="宋体" w:cs="Times New Roman"/>
          <w:color w:val="000000" w:themeColor="text1"/>
          <w:spacing w:val="-2"/>
          <w:sz w:val="24"/>
          <w:szCs w:val="24"/>
          <w14:textFill>
            <w14:solidFill>
              <w14:schemeClr w14:val="tx1"/>
            </w14:solidFill>
          </w14:textFill>
        </w:rPr>
        <w:t>主要来自于</w:t>
      </w:r>
      <w:r>
        <w:rPr>
          <w:rFonts w:hint="default" w:ascii="Times New Roman" w:hAnsi="Times New Roman" w:eastAsia="宋体" w:cs="Times New Roman"/>
          <w:color w:val="000000" w:themeColor="text1"/>
          <w:spacing w:val="5"/>
          <w:sz w:val="24"/>
          <w:szCs w:val="24"/>
          <w:lang w:val="en-US" w:eastAsia="zh-CN"/>
          <w14:textFill>
            <w14:solidFill>
              <w14:schemeClr w14:val="tx1"/>
            </w14:solidFill>
          </w14:textFill>
        </w:rPr>
        <w:t>待宰圈冲洗排水、</w:t>
      </w:r>
      <w:r>
        <w:rPr>
          <w:rFonts w:hint="default" w:ascii="Times New Roman" w:hAnsi="Times New Roman" w:eastAsia="宋体" w:cs="Times New Roman"/>
          <w:color w:val="000000" w:themeColor="text1"/>
          <w:spacing w:val="-2"/>
          <w:sz w:val="24"/>
          <w:szCs w:val="24"/>
          <w14:textFill>
            <w14:solidFill>
              <w14:schemeClr w14:val="tx1"/>
            </w14:solidFill>
          </w14:textFill>
        </w:rPr>
        <w:t>屠宰</w:t>
      </w:r>
      <w:r>
        <w:rPr>
          <w:rFonts w:hint="default" w:ascii="Times New Roman" w:hAnsi="Times New Roman" w:eastAsia="宋体" w:cs="Times New Roman"/>
          <w:color w:val="000000" w:themeColor="text1"/>
          <w:spacing w:val="-2"/>
          <w:sz w:val="24"/>
          <w:szCs w:val="24"/>
          <w:lang w:val="en-US" w:eastAsia="zh-CN"/>
          <w14:textFill>
            <w14:solidFill>
              <w14:schemeClr w14:val="tx1"/>
            </w14:solidFill>
          </w14:textFill>
        </w:rPr>
        <w:t>车间排</w:t>
      </w:r>
      <w:r>
        <w:rPr>
          <w:rFonts w:hint="default" w:ascii="Times New Roman" w:hAnsi="Times New Roman" w:eastAsia="宋体" w:cs="Times New Roman"/>
          <w:color w:val="000000" w:themeColor="text1"/>
          <w:spacing w:val="-2"/>
          <w:sz w:val="24"/>
          <w:szCs w:val="24"/>
          <w14:textFill>
            <w14:solidFill>
              <w14:schemeClr w14:val="tx1"/>
            </w14:solidFill>
          </w14:textFill>
        </w:rPr>
        <w:t>水、</w:t>
      </w:r>
      <w:r>
        <w:rPr>
          <w:rFonts w:hint="default" w:ascii="Times New Roman" w:hAnsi="Times New Roman" w:cs="Times New Roman"/>
          <w:color w:val="000000" w:themeColor="text1"/>
          <w:sz w:val="24"/>
          <w:szCs w:val="24"/>
          <w:highlight w:val="none"/>
          <w14:textFill>
            <w14:solidFill>
              <w14:schemeClr w14:val="tx1"/>
            </w14:solidFill>
          </w14:textFill>
        </w:rPr>
        <w:t>锅炉排污水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+软化处理</w:t>
      </w:r>
      <w:r>
        <w:rPr>
          <w:rFonts w:hint="default" w:ascii="Times New Roman" w:hAnsi="Times New Roman" w:cs="Times New Roman"/>
          <w:color w:val="000000" w:themeColor="text1"/>
          <w:sz w:val="24"/>
          <w:szCs w:val="24"/>
          <w:highlight w:val="none"/>
          <w:lang w:eastAsia="zh-CN"/>
          <w14:textFill>
            <w14:solidFill>
              <w14:schemeClr w14:val="tx1"/>
            </w14:solidFill>
          </w14:textFill>
        </w:rPr>
        <w:t>废水</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以及车辆冲洗排水</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等。</w:t>
      </w:r>
      <w:r>
        <w:rPr>
          <w:rFonts w:hint="default" w:ascii="Times New Roman" w:hAnsi="Times New Roman" w:cs="Times New Roman"/>
          <w:color w:val="000000" w:themeColor="text1"/>
          <w:sz w:val="24"/>
          <w:highlight w:val="none"/>
          <w14:textFill>
            <w14:solidFill>
              <w14:schemeClr w14:val="tx1"/>
            </w14:solidFill>
          </w14:textFill>
        </w:rPr>
        <w:t>本项目产生的生产废水</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总量为</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79932.69</w:t>
      </w:r>
      <w:r>
        <w:rPr>
          <w:rFonts w:hint="default" w:ascii="Times New Roman" w:hAnsi="Times New Roman" w:cs="Times New Roman"/>
          <w:color w:val="000000" w:themeColor="text1"/>
          <w:sz w:val="24"/>
          <w:highlight w:val="none"/>
          <w14:textFill>
            <w14:solidFill>
              <w14:schemeClr w14:val="tx1"/>
            </w14:solidFill>
          </w14:textFill>
        </w:rPr>
        <w:t>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/a</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235.09</w:t>
      </w:r>
      <w:r>
        <w:rPr>
          <w:rFonts w:hint="default" w:ascii="Times New Roman" w:hAnsi="Times New Roman" w:cs="Times New Roman"/>
          <w:color w:val="000000" w:themeColor="text1"/>
          <w:sz w:val="24"/>
          <w:highlight w:val="none"/>
          <w14:textFill>
            <w14:solidFill>
              <w14:schemeClr w14:val="tx1"/>
            </w14:solidFill>
          </w14:textFill>
        </w:rPr>
        <w:t>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d）。</w:t>
      </w:r>
      <w:r>
        <w:rPr>
          <w:rFonts w:hint="default" w:ascii="Times New Roman" w:hAnsi="Times New Roman" w:eastAsia="宋体" w:cs="Times New Roman"/>
          <w:color w:val="000000" w:themeColor="text1"/>
          <w:sz w:val="24"/>
          <w:lang w:val="en-US" w:eastAsia="zh-CN"/>
          <w14:textFill>
            <w14:solidFill>
              <w14:schemeClr w14:val="tx1"/>
            </w14:solidFill>
          </w14:textFill>
        </w:rPr>
        <w:t>生产废水</w:t>
      </w:r>
      <w:r>
        <w:rPr>
          <w:rFonts w:hint="eastAsia" w:ascii="Times New Roman" w:hAnsi="Times New Roman" w:eastAsia="宋体" w:cs="Times New Roman"/>
          <w:color w:val="000000" w:themeColor="text1"/>
          <w:sz w:val="24"/>
          <w:lang w:val="en-US" w:eastAsia="zh-CN"/>
          <w14:textFill>
            <w14:solidFill>
              <w14:schemeClr w14:val="tx1"/>
            </w14:solidFill>
          </w14:textFill>
        </w:rPr>
        <w:t>及生活污水</w:t>
      </w:r>
      <w:r>
        <w:rPr>
          <w:rFonts w:hint="default" w:ascii="Times New Roman" w:hAnsi="Times New Roman" w:cs="Times New Roman"/>
          <w:color w:val="000000" w:themeColor="text1"/>
          <w:sz w:val="24"/>
          <w14:textFill>
            <w14:solidFill>
              <w14:schemeClr w14:val="tx1"/>
            </w14:solidFill>
          </w14:textFill>
        </w:rPr>
        <w:t>经厂区污水处理站处理达到《肉类加工工业水污染物排放标准》（GB13457-92）畜类屠宰加工三级标准</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及兴隆镇污水处理厂设计进水水质指标的要求后</w:t>
      </w:r>
      <w:r>
        <w:rPr>
          <w:rFonts w:hint="default" w:ascii="Times New Roman" w:hAnsi="Times New Roman" w:cs="Times New Roman"/>
          <w:color w:val="000000" w:themeColor="text1"/>
          <w:sz w:val="24"/>
          <w14:textFill>
            <w14:solidFill>
              <w14:schemeClr w14:val="tx1"/>
            </w14:solidFill>
          </w14:textFill>
        </w:rPr>
        <w:t>，经市政管网排入</w:t>
      </w:r>
      <w:r>
        <w:rPr>
          <w:rFonts w:hint="default" w:ascii="Times New Roman" w:hAnsi="Times New Roman" w:cs="Times New Roman"/>
          <w:color w:val="000000" w:themeColor="text1"/>
          <w:sz w:val="24"/>
          <w:lang w:val="en-US" w:eastAsia="zh-CN"/>
          <w14:textFill>
            <w14:solidFill>
              <w14:schemeClr w14:val="tx1"/>
            </w14:solidFill>
          </w14:textFill>
        </w:rPr>
        <w:t>兴隆镇</w:t>
      </w:r>
      <w:r>
        <w:rPr>
          <w:rFonts w:hint="default" w:ascii="Times New Roman" w:hAnsi="Times New Roman" w:cs="Times New Roman"/>
          <w:color w:val="000000" w:themeColor="text1"/>
          <w:sz w:val="24"/>
          <w14:textFill>
            <w14:solidFill>
              <w14:schemeClr w14:val="tx1"/>
            </w14:solidFill>
          </w14:textFill>
        </w:rPr>
        <w:t>污水处理厂，经处理后排入</w:t>
      </w:r>
      <w:r>
        <w:rPr>
          <w:rFonts w:hint="default" w:ascii="Times New Roman" w:hAnsi="Times New Roman" w:cs="Times New Roman"/>
          <w:color w:val="000000" w:themeColor="text1"/>
          <w:sz w:val="24"/>
          <w:lang w:eastAsia="zh-CN"/>
          <w14:textFill>
            <w14:solidFill>
              <w14:schemeClr w14:val="tx1"/>
            </w14:solidFill>
          </w14:textFill>
        </w:rPr>
        <w:t>泥河</w:t>
      </w:r>
      <w:r>
        <w:rPr>
          <w:rFonts w:hint="default" w:ascii="Times New Roman" w:hAnsi="Times New Roman" w:cs="Times New Roman"/>
          <w:color w:val="000000" w:themeColor="text1"/>
          <w:sz w:val="24"/>
          <w14:textFill>
            <w14:solidFill>
              <w14:schemeClr w14:val="tx1"/>
            </w14:solidFill>
          </w14:textFill>
        </w:rPr>
        <w:t>。</w:t>
      </w:r>
    </w:p>
    <w:p>
      <w:pPr>
        <w:keepNext w:val="0"/>
        <w:keepLines w:val="0"/>
        <w:pageBreakBefore w:val="0"/>
        <w:wordWrap/>
        <w:overflowPunct/>
        <w:topLinePunct w:val="0"/>
        <w:bidi w:val="0"/>
        <w:spacing w:line="360" w:lineRule="auto"/>
        <w:jc w:val="both"/>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snapToGrid w:val="0"/>
          <w:color w:val="auto"/>
          <w:kern w:val="0"/>
          <w:sz w:val="24"/>
          <w:szCs w:val="24"/>
          <w:lang w:eastAsia="zh-CN"/>
        </w:rPr>
        <w:fldChar w:fldCharType="begin"/>
      </w:r>
      <w:r>
        <w:rPr>
          <w:rFonts w:hint="default" w:ascii="Times New Roman" w:hAnsi="Times New Roman" w:eastAsia="宋体" w:cs="Times New Roman"/>
          <w:b/>
          <w:snapToGrid w:val="0"/>
          <w:color w:val="auto"/>
          <w:kern w:val="0"/>
          <w:sz w:val="24"/>
          <w:szCs w:val="24"/>
          <w:lang w:eastAsia="zh-CN"/>
        </w:rPr>
        <w:instrText xml:space="preserve"> HYPERLINK "6.2.1.2" </w:instrText>
      </w:r>
      <w:r>
        <w:rPr>
          <w:rFonts w:hint="default" w:ascii="Times New Roman" w:hAnsi="Times New Roman" w:eastAsia="宋体" w:cs="Times New Roman"/>
          <w:b/>
          <w:snapToGrid w:val="0"/>
          <w:color w:val="auto"/>
          <w:kern w:val="0"/>
          <w:sz w:val="24"/>
          <w:szCs w:val="24"/>
          <w:lang w:eastAsia="zh-CN"/>
        </w:rPr>
        <w:fldChar w:fldCharType="separate"/>
      </w:r>
      <w:r>
        <w:rPr>
          <w:rFonts w:hint="default" w:ascii="Times New Roman" w:hAnsi="Times New Roman" w:eastAsia="宋体" w:cs="Times New Roman"/>
          <w:b/>
          <w:snapToGrid w:val="0"/>
          <w:color w:val="auto"/>
          <w:kern w:val="0"/>
          <w:sz w:val="24"/>
          <w:szCs w:val="24"/>
          <w:lang w:eastAsia="zh-CN"/>
        </w:rPr>
        <w:t>6.2.1.2</w:t>
      </w:r>
      <w:r>
        <w:rPr>
          <w:rFonts w:hint="default" w:ascii="Times New Roman" w:hAnsi="Times New Roman" w:eastAsia="宋体" w:cs="Times New Roman"/>
          <w:b/>
          <w:snapToGrid w:val="0"/>
          <w:color w:val="auto"/>
          <w:kern w:val="0"/>
          <w:sz w:val="24"/>
          <w:szCs w:val="24"/>
          <w:lang w:eastAsia="zh-CN"/>
        </w:rPr>
        <w:fldChar w:fldCharType="end"/>
      </w:r>
      <w:r>
        <w:rPr>
          <w:rFonts w:hint="default" w:ascii="Times New Roman" w:hAnsi="Times New Roman" w:eastAsia="宋体" w:cs="Times New Roman"/>
          <w:b/>
          <w:snapToGrid w:val="0"/>
          <w:color w:val="auto"/>
          <w:kern w:val="0"/>
          <w:sz w:val="24"/>
          <w:szCs w:val="24"/>
          <w:lang w:eastAsia="zh-CN"/>
        </w:rPr>
        <w:t xml:space="preserve">  </w:t>
      </w:r>
      <w:r>
        <w:rPr>
          <w:rFonts w:hint="default" w:ascii="Times New Roman" w:hAnsi="Times New Roman" w:eastAsia="宋体" w:cs="Times New Roman"/>
          <w:b/>
          <w:snapToGrid w:val="0"/>
          <w:color w:val="auto"/>
          <w:kern w:val="0"/>
          <w:sz w:val="24"/>
          <w:szCs w:val="24"/>
          <w:lang w:val="en-US" w:eastAsia="zh-CN"/>
        </w:rPr>
        <w:t>废水治理措施论证分析</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（1）工艺确定</w:t>
      </w:r>
    </w:p>
    <w:p>
      <w:pPr>
        <w:keepNext w:val="0"/>
        <w:keepLines w:val="0"/>
        <w:pageBreakBefore w:val="0"/>
        <w:widowControl w:val="0"/>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pacing w:val="0"/>
          <w:sz w:val="24"/>
          <w:szCs w:val="24"/>
        </w:rPr>
      </w:pPr>
      <w:r>
        <w:rPr>
          <w:rFonts w:hint="default" w:ascii="Times New Roman" w:hAnsi="Times New Roman" w:cs="Times New Roman"/>
        </w:rPr>
        <w:drawing>
          <wp:inline distT="0" distB="0" distL="114300" distR="114300">
            <wp:extent cx="5897245" cy="3334385"/>
            <wp:effectExtent l="0" t="0" r="8255" b="18415"/>
            <wp:docPr id="5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4"/>
                    <pic:cNvPicPr>
                      <a:picLocks noChangeAspect="1"/>
                    </pic:cNvPicPr>
                  </pic:nvPicPr>
                  <pic:blipFill>
                    <a:blip r:embed="rId78"/>
                    <a:stretch>
                      <a:fillRect/>
                    </a:stretch>
                  </pic:blipFill>
                  <pic:spPr>
                    <a:xfrm>
                      <a:off x="0" y="0"/>
                      <a:ext cx="5897245" cy="33343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jc w:val="center"/>
        <w:textAlignment w:val="auto"/>
        <w:rPr>
          <w:rFonts w:hint="default" w:ascii="Times New Roman" w:hAnsi="Times New Roman" w:eastAsia="宋体" w:cs="Times New Roman"/>
          <w:b/>
          <w:bCs/>
          <w:color w:val="auto"/>
          <w:spacing w:val="0"/>
          <w:sz w:val="24"/>
          <w:szCs w:val="24"/>
          <w:lang w:val="en-US" w:eastAsia="zh-CN"/>
        </w:rPr>
      </w:pPr>
      <w:r>
        <w:rPr>
          <w:rFonts w:hint="default" w:ascii="Times New Roman" w:hAnsi="Times New Roman" w:eastAsia="宋体" w:cs="Times New Roman"/>
          <w:b/>
          <w:bCs/>
          <w:color w:val="auto"/>
          <w:spacing w:val="0"/>
          <w:sz w:val="24"/>
          <w:szCs w:val="24"/>
          <w:lang w:val="en-US" w:eastAsia="zh-CN"/>
        </w:rPr>
        <w:t>图6.2-1   污水处理站工艺流程图</w:t>
      </w:r>
    </w:p>
    <w:p>
      <w:pPr>
        <w:spacing w:line="360" w:lineRule="auto"/>
        <w:ind w:firstLine="480" w:firstLineChars="200"/>
        <w:jc w:val="both"/>
        <w:rPr>
          <w:rFonts w:hint="default" w:ascii="Times New Roman" w:hAnsi="Times New Roman" w:eastAsia="宋体" w:cs="Times New Roman"/>
          <w:color w:val="auto"/>
          <w:spacing w:val="0"/>
          <w:sz w:val="24"/>
          <w:szCs w:val="24"/>
          <w:highlight w:val="none"/>
        </w:rPr>
      </w:pPr>
      <w:r>
        <w:rPr>
          <w:rFonts w:hint="default" w:ascii="Times New Roman" w:hAnsi="Times New Roman" w:cs="Times New Roman" w:eastAsiaTheme="minorEastAsia"/>
          <w:color w:val="auto"/>
          <w:sz w:val="24"/>
        </w:rPr>
        <w:t>屠宰废水属易于生物降解的高悬浮物有机污水，只要有足够的生物群、供氧及水力停留时间，均能使处理后的污水达到国家排放标准。目前国内对这类污水的处理，均采用以生物法处理为主的处理工艺，包括好氧、厌氧、兼氧等处理系统。主要采用的技术有活性污泥法、生物滤池、生物转盘、生物接触氧化池、生物流化床、氧化塘等。针对本项目生产规模、特点以及污水水质，</w:t>
      </w:r>
      <w:r>
        <w:rPr>
          <w:rFonts w:hint="default" w:ascii="Times New Roman" w:hAnsi="Times New Roman" w:cs="Times New Roman" w:eastAsiaTheme="minorEastAsia"/>
          <w:color w:val="000000" w:themeColor="text1"/>
          <w:sz w:val="24"/>
          <w:highlight w:val="none"/>
          <w14:textFill>
            <w14:solidFill>
              <w14:schemeClr w14:val="tx1"/>
            </w14:solidFill>
          </w14:textFill>
        </w:rPr>
        <w:t>污水处理工艺最终选择“</w:t>
      </w:r>
      <w:r>
        <w:rPr>
          <w:rFonts w:hint="default" w:ascii="Times New Roman" w:hAnsi="Times New Roman" w:eastAsia="宋体" w:cs="Times New Roman"/>
          <w:color w:val="000000" w:themeColor="text1"/>
          <w:kern w:val="21"/>
          <w:sz w:val="24"/>
          <w:szCs w:val="24"/>
          <w:highlight w:val="none"/>
          <w:u w:val="none"/>
          <w:lang w:val="en-US" w:eastAsia="zh-CN" w:bidi="ar-SA"/>
          <w14:textFill>
            <w14:solidFill>
              <w14:schemeClr w14:val="tx1"/>
            </w14:solidFill>
          </w14:textFill>
        </w:rPr>
        <w:t>沉淀池+气浮池+调节池+水解酸化+好氧生物池+MBR膜池+污泥消化池+消毒工艺</w:t>
      </w:r>
      <w:r>
        <w:rPr>
          <w:rFonts w:hint="default" w:ascii="Times New Roman" w:hAnsi="Times New Roman" w:cs="Times New Roman" w:eastAsiaTheme="minorEastAsia"/>
          <w:color w:val="000000" w:themeColor="text1"/>
          <w:sz w:val="24"/>
          <w:highlight w:val="none"/>
          <w14:textFill>
            <w14:solidFill>
              <w14:schemeClr w14:val="tx1"/>
            </w14:solidFill>
          </w14:textFill>
        </w:rPr>
        <w:t>作为本项目的污水处理方案。</w:t>
      </w:r>
      <w:r>
        <w:rPr>
          <w:rFonts w:hint="default" w:ascii="Times New Roman" w:hAnsi="Times New Roman" w:cs="Times New Roman" w:eastAsiaTheme="minorEastAsia"/>
          <w:color w:val="auto"/>
          <w:sz w:val="24"/>
        </w:rPr>
        <w:t>根据《排污许可证申请与核发技术规范农副食品加工工业—屠宰及肉类加工工业》（HJ860.3-2018）及</w:t>
      </w:r>
      <w:r>
        <w:rPr>
          <w:rFonts w:hint="default" w:ascii="Times New Roman" w:hAnsi="Times New Roman" w:cs="Times New Roman" w:eastAsiaTheme="minorEastAsia"/>
          <w:bCs/>
          <w:color w:val="auto"/>
          <w:sz w:val="24"/>
        </w:rPr>
        <w:t>《屠宰及肉类加工业污染防治可行技术指南》（HJ1285—2023）</w:t>
      </w:r>
      <w:r>
        <w:rPr>
          <w:rFonts w:hint="default" w:ascii="Times New Roman" w:hAnsi="Times New Roman" w:cs="Times New Roman" w:eastAsiaTheme="minorEastAsia"/>
          <w:color w:val="auto"/>
          <w:sz w:val="24"/>
        </w:rPr>
        <w:t>，本项目污水处理工艺属于可行性技术。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eastAsia="zh-CN"/>
        </w:rPr>
      </w:pPr>
      <w:r>
        <w:rPr>
          <w:rFonts w:hint="default" w:ascii="Times New Roman" w:hAnsi="Times New Roman" w:eastAsia="宋体" w:cs="Times New Roman"/>
          <w:color w:val="auto"/>
          <w:spacing w:val="0"/>
          <w:sz w:val="24"/>
          <w:szCs w:val="24"/>
          <w:highlight w:val="none"/>
        </w:rPr>
        <w:t>上图中</w:t>
      </w:r>
      <w:r>
        <w:rPr>
          <w:rFonts w:hint="default" w:ascii="Times New Roman" w:hAnsi="Times New Roman" w:eastAsia="宋体" w:cs="Times New Roman"/>
          <w:color w:val="auto"/>
          <w:spacing w:val="0"/>
          <w:sz w:val="24"/>
          <w:szCs w:val="24"/>
          <w:highlight w:val="none"/>
          <w:lang w:eastAsia="zh-CN"/>
        </w:rPr>
        <w:t>水解酸化</w:t>
      </w:r>
      <w:r>
        <w:rPr>
          <w:rFonts w:hint="default" w:ascii="Times New Roman" w:hAnsi="Times New Roman" w:eastAsia="宋体" w:cs="Times New Roman"/>
          <w:color w:val="auto"/>
          <w:spacing w:val="0"/>
          <w:sz w:val="24"/>
          <w:szCs w:val="24"/>
          <w:highlight w:val="none"/>
        </w:rPr>
        <w:t>池，好氧生物池，沉淀池，多介质过滤系统，清水</w:t>
      </w:r>
      <w:r>
        <w:rPr>
          <w:rFonts w:hint="default" w:ascii="Times New Roman" w:hAnsi="Times New Roman" w:eastAsia="宋体" w:cs="Times New Roman"/>
          <w:color w:val="auto"/>
          <w:spacing w:val="0"/>
          <w:sz w:val="24"/>
          <w:szCs w:val="24"/>
          <w:highlight w:val="none"/>
          <w:lang w:val="en-US" w:eastAsia="zh-CN"/>
        </w:rPr>
        <w:t>消毒</w:t>
      </w:r>
      <w:r>
        <w:rPr>
          <w:rFonts w:hint="default" w:ascii="Times New Roman" w:hAnsi="Times New Roman" w:eastAsia="宋体" w:cs="Times New Roman"/>
          <w:color w:val="auto"/>
          <w:spacing w:val="0"/>
          <w:sz w:val="24"/>
          <w:szCs w:val="24"/>
          <w:highlight w:val="none"/>
        </w:rPr>
        <w:t>池都包含在一体化污水处理设备内</w:t>
      </w:r>
      <w:r>
        <w:rPr>
          <w:rFonts w:hint="default" w:ascii="Times New Roman" w:hAnsi="Times New Roman" w:eastAsia="宋体" w:cs="Times New Roman"/>
          <w:color w:val="auto"/>
          <w:spacing w:val="0"/>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屠宰加工废水含有大量的血污油脂、毛皮、碎肉骨屑、内脏杂物、未消化的食物以及粪便等污染物，一般先集中到</w:t>
      </w:r>
      <w:r>
        <w:rPr>
          <w:rFonts w:hint="default" w:ascii="Times New Roman" w:hAnsi="Times New Roman" w:eastAsia="宋体" w:cs="Times New Roman"/>
          <w:color w:val="auto"/>
          <w:spacing w:val="0"/>
          <w:sz w:val="24"/>
          <w:szCs w:val="24"/>
          <w:highlight w:val="none"/>
          <w:lang w:val="en-US" w:eastAsia="zh-CN"/>
        </w:rPr>
        <w:t>沉淀池</w:t>
      </w:r>
      <w:r>
        <w:rPr>
          <w:rFonts w:hint="default" w:ascii="Times New Roman" w:hAnsi="Times New Roman" w:eastAsia="宋体" w:cs="Times New Roman"/>
          <w:color w:val="auto"/>
          <w:spacing w:val="0"/>
          <w:sz w:val="24"/>
          <w:szCs w:val="24"/>
          <w:highlight w:val="none"/>
        </w:rPr>
        <w:t>，</w:t>
      </w:r>
      <w:r>
        <w:rPr>
          <w:rFonts w:hint="default" w:ascii="Times New Roman" w:hAnsi="Times New Roman" w:eastAsia="宋体" w:cs="Times New Roman"/>
          <w:color w:val="auto"/>
          <w:spacing w:val="0"/>
          <w:sz w:val="24"/>
          <w:szCs w:val="24"/>
          <w:highlight w:val="none"/>
          <w:lang w:val="en-US" w:eastAsia="zh-CN"/>
        </w:rPr>
        <w:t>经气浮机处理，将污水里的杂质处理干净，做到固液分离。经气浮机处理后的</w:t>
      </w:r>
      <w:r>
        <w:rPr>
          <w:rFonts w:hint="default" w:ascii="Times New Roman" w:hAnsi="Times New Roman" w:eastAsia="宋体" w:cs="Times New Roman"/>
          <w:color w:val="auto"/>
          <w:spacing w:val="0"/>
          <w:sz w:val="24"/>
          <w:szCs w:val="24"/>
          <w:highlight w:val="none"/>
        </w:rPr>
        <w:t>污水集中到</w:t>
      </w:r>
      <w:r>
        <w:rPr>
          <w:rFonts w:hint="default" w:ascii="Times New Roman" w:hAnsi="Times New Roman" w:eastAsia="宋体" w:cs="Times New Roman"/>
          <w:color w:val="auto"/>
          <w:spacing w:val="0"/>
          <w:sz w:val="24"/>
          <w:szCs w:val="24"/>
          <w:highlight w:val="none"/>
          <w:lang w:val="en-US" w:eastAsia="zh-CN"/>
        </w:rPr>
        <w:t>调节池</w:t>
      </w:r>
      <w:r>
        <w:rPr>
          <w:rFonts w:hint="default" w:ascii="Times New Roman" w:hAnsi="Times New Roman" w:eastAsia="宋体" w:cs="Times New Roman"/>
          <w:color w:val="auto"/>
          <w:spacing w:val="0"/>
          <w:sz w:val="24"/>
          <w:szCs w:val="24"/>
          <w:highlight w:val="none"/>
        </w:rPr>
        <w:t>，</w:t>
      </w:r>
      <w:r>
        <w:rPr>
          <w:rFonts w:hint="default" w:ascii="Times New Roman" w:hAnsi="Times New Roman" w:eastAsia="宋体" w:cs="Times New Roman"/>
          <w:color w:val="auto"/>
          <w:spacing w:val="0"/>
          <w:sz w:val="24"/>
          <w:szCs w:val="24"/>
          <w:highlight w:val="none"/>
          <w:lang w:val="en-US" w:eastAsia="zh-CN"/>
        </w:rPr>
        <w:t>用泵提升到</w:t>
      </w:r>
      <w:r>
        <w:rPr>
          <w:rFonts w:hint="default" w:ascii="Times New Roman" w:hAnsi="Times New Roman" w:eastAsia="宋体" w:cs="Times New Roman"/>
          <w:color w:val="auto"/>
          <w:spacing w:val="0"/>
          <w:sz w:val="24"/>
          <w:szCs w:val="24"/>
          <w:highlight w:val="none"/>
        </w:rPr>
        <w:t>一体化设备内</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水解酸化池主要是利用水中的厌氧细菌去除废水中的有机物，同时利用反硝化细菌脱氮。在水解酸化池内设弹性填料，便于厌氧生物在填料上附着。在水解酸化池内无氧条件下，附着在填料上的产酸菌、产甲烷菌和反硝化细菌利用水中有机物完成新陈代谢过程，最终将有机物转化为CH</w:t>
      </w:r>
      <w:r>
        <w:rPr>
          <w:rFonts w:hint="default" w:ascii="Times New Roman" w:hAnsi="Times New Roman" w:eastAsia="宋体" w:cs="Times New Roman"/>
          <w:color w:val="auto"/>
          <w:spacing w:val="0"/>
          <w:sz w:val="24"/>
          <w:szCs w:val="24"/>
          <w:highlight w:val="none"/>
          <w:vertAlign w:val="subscript"/>
        </w:rPr>
        <w:t>4</w:t>
      </w:r>
      <w:r>
        <w:rPr>
          <w:rFonts w:hint="default" w:ascii="Times New Roman" w:hAnsi="Times New Roman" w:eastAsia="宋体" w:cs="Times New Roman"/>
          <w:color w:val="auto"/>
          <w:spacing w:val="0"/>
          <w:sz w:val="24"/>
          <w:szCs w:val="24"/>
          <w:highlight w:val="none"/>
        </w:rPr>
        <w:t>、CO</w:t>
      </w:r>
      <w:r>
        <w:rPr>
          <w:rFonts w:hint="default" w:ascii="Times New Roman" w:hAnsi="Times New Roman" w:eastAsia="宋体" w:cs="Times New Roman"/>
          <w:color w:val="auto"/>
          <w:spacing w:val="0"/>
          <w:sz w:val="24"/>
          <w:szCs w:val="24"/>
          <w:highlight w:val="none"/>
          <w:vertAlign w:val="subscript"/>
        </w:rPr>
        <w:t>2</w:t>
      </w:r>
      <w:r>
        <w:rPr>
          <w:rFonts w:hint="default" w:ascii="Times New Roman" w:hAnsi="Times New Roman" w:eastAsia="宋体" w:cs="Times New Roman"/>
          <w:color w:val="auto"/>
          <w:spacing w:val="0"/>
          <w:sz w:val="24"/>
          <w:szCs w:val="24"/>
          <w:highlight w:val="none"/>
        </w:rPr>
        <w:t>、H</w:t>
      </w:r>
      <w:r>
        <w:rPr>
          <w:rFonts w:hint="default" w:ascii="Times New Roman" w:hAnsi="Times New Roman" w:eastAsia="宋体" w:cs="Times New Roman"/>
          <w:color w:val="auto"/>
          <w:spacing w:val="0"/>
          <w:sz w:val="24"/>
          <w:szCs w:val="24"/>
          <w:highlight w:val="none"/>
          <w:vertAlign w:val="subscript"/>
        </w:rPr>
        <w:t>2</w:t>
      </w:r>
      <w:r>
        <w:rPr>
          <w:rFonts w:hint="default" w:ascii="Times New Roman" w:hAnsi="Times New Roman" w:eastAsia="宋体" w:cs="Times New Roman"/>
          <w:color w:val="auto"/>
          <w:spacing w:val="0"/>
          <w:sz w:val="24"/>
          <w:szCs w:val="24"/>
          <w:highlight w:val="none"/>
        </w:rPr>
        <w:t>O等物质，以实现部分有机物的无机化，降低水中COD、BOD</w:t>
      </w:r>
      <w:r>
        <w:rPr>
          <w:rFonts w:hint="default" w:ascii="Times New Roman" w:hAnsi="Times New Roman" w:eastAsia="宋体" w:cs="Times New Roman"/>
          <w:color w:val="auto"/>
          <w:spacing w:val="0"/>
          <w:sz w:val="24"/>
          <w:szCs w:val="24"/>
          <w:highlight w:val="none"/>
          <w:vertAlign w:val="subscript"/>
          <w:lang w:val="en-US" w:eastAsia="zh-CN"/>
        </w:rPr>
        <w:t>5</w:t>
      </w:r>
      <w:r>
        <w:rPr>
          <w:rFonts w:hint="default" w:ascii="Times New Roman" w:hAnsi="Times New Roman" w:eastAsia="宋体" w:cs="Times New Roman"/>
          <w:color w:val="auto"/>
          <w:spacing w:val="0"/>
          <w:sz w:val="24"/>
          <w:szCs w:val="24"/>
          <w:highlight w:val="none"/>
        </w:rPr>
        <w:t>，部分高分子的有机物则在厌氧菌的胞外酶的作用下，转变为低分子的可溶的有机物，便于后续好氧生物利用，硝酸盐及亚硝酸盐在反硝化细菌的作用下，最后以氮气的形式逸出。</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val="en-US" w:eastAsia="zh-CN"/>
        </w:rPr>
        <w:t>好氧生物池</w:t>
      </w:r>
      <w:r>
        <w:rPr>
          <w:rFonts w:hint="default" w:ascii="Times New Roman" w:hAnsi="Times New Roman" w:eastAsia="宋体" w:cs="Times New Roman"/>
          <w:color w:val="auto"/>
          <w:spacing w:val="0"/>
          <w:sz w:val="24"/>
          <w:szCs w:val="24"/>
          <w:highlight w:val="none"/>
        </w:rPr>
        <w:t>池内设弹性填料，便于好氧细菌挂膜，并通过风机不断向池内充氧，补充池内好氧生物新陈代谢所需氧气，在好氧池内，可溶的小分子有机物作为好氧菌的营养物质，在好氧细菌的繁殖、成长过程中，最终被转变成为CH</w:t>
      </w:r>
      <w:r>
        <w:rPr>
          <w:rFonts w:hint="default" w:ascii="Times New Roman" w:hAnsi="Times New Roman" w:eastAsia="宋体" w:cs="Times New Roman"/>
          <w:color w:val="auto"/>
          <w:spacing w:val="0"/>
          <w:sz w:val="24"/>
          <w:szCs w:val="24"/>
          <w:highlight w:val="none"/>
          <w:vertAlign w:val="subscript"/>
        </w:rPr>
        <w:t>4</w:t>
      </w:r>
      <w:r>
        <w:rPr>
          <w:rFonts w:hint="default" w:ascii="Times New Roman" w:hAnsi="Times New Roman" w:eastAsia="宋体" w:cs="Times New Roman"/>
          <w:color w:val="auto"/>
          <w:spacing w:val="0"/>
          <w:sz w:val="24"/>
          <w:szCs w:val="24"/>
          <w:highlight w:val="none"/>
        </w:rPr>
        <w:t>、CO</w:t>
      </w:r>
      <w:r>
        <w:rPr>
          <w:rFonts w:hint="default" w:ascii="Times New Roman" w:hAnsi="Times New Roman" w:eastAsia="宋体" w:cs="Times New Roman"/>
          <w:color w:val="auto"/>
          <w:spacing w:val="0"/>
          <w:sz w:val="24"/>
          <w:szCs w:val="24"/>
          <w:highlight w:val="none"/>
          <w:vertAlign w:val="subscript"/>
        </w:rPr>
        <w:t>2</w:t>
      </w:r>
      <w:r>
        <w:rPr>
          <w:rFonts w:hint="default" w:ascii="Times New Roman" w:hAnsi="Times New Roman" w:eastAsia="宋体" w:cs="Times New Roman"/>
          <w:color w:val="auto"/>
          <w:spacing w:val="0"/>
          <w:sz w:val="24"/>
          <w:szCs w:val="24"/>
          <w:highlight w:val="none"/>
        </w:rPr>
        <w:t>，以达到无机化的目的。少量的大分子有机物在好氧菌胞外酶的作用下，继续分解为小分子的有机物，最终被转变成为CO</w:t>
      </w:r>
      <w:r>
        <w:rPr>
          <w:rFonts w:hint="default" w:ascii="Times New Roman" w:hAnsi="Times New Roman" w:eastAsia="宋体" w:cs="Times New Roman"/>
          <w:color w:val="auto"/>
          <w:spacing w:val="0"/>
          <w:sz w:val="24"/>
          <w:szCs w:val="24"/>
          <w:highlight w:val="none"/>
          <w:vertAlign w:val="subscript"/>
        </w:rPr>
        <w:t>2</w:t>
      </w:r>
      <w:r>
        <w:rPr>
          <w:rFonts w:hint="default" w:ascii="Times New Roman" w:hAnsi="Times New Roman" w:eastAsia="宋体" w:cs="Times New Roman"/>
          <w:color w:val="auto"/>
          <w:spacing w:val="0"/>
          <w:sz w:val="24"/>
          <w:szCs w:val="24"/>
          <w:highlight w:val="none"/>
        </w:rPr>
        <w:t>和H</w:t>
      </w:r>
      <w:r>
        <w:rPr>
          <w:rFonts w:hint="default" w:ascii="Times New Roman" w:hAnsi="Times New Roman" w:eastAsia="宋体" w:cs="Times New Roman"/>
          <w:color w:val="auto"/>
          <w:spacing w:val="0"/>
          <w:sz w:val="24"/>
          <w:szCs w:val="24"/>
          <w:highlight w:val="none"/>
          <w:vertAlign w:val="subscript"/>
        </w:rPr>
        <w:t>2</w:t>
      </w:r>
      <w:r>
        <w:rPr>
          <w:rFonts w:hint="default" w:ascii="Times New Roman" w:hAnsi="Times New Roman" w:eastAsia="宋体" w:cs="Times New Roman"/>
          <w:color w:val="auto"/>
          <w:spacing w:val="0"/>
          <w:sz w:val="24"/>
          <w:szCs w:val="24"/>
          <w:highlight w:val="none"/>
        </w:rPr>
        <w:t>O，达到无机化的目的。</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在</w:t>
      </w:r>
      <w:r>
        <w:rPr>
          <w:rFonts w:hint="default" w:ascii="Times New Roman" w:hAnsi="Times New Roman" w:eastAsia="宋体" w:cs="Times New Roman"/>
          <w:color w:val="auto"/>
          <w:spacing w:val="0"/>
          <w:sz w:val="24"/>
          <w:szCs w:val="24"/>
          <w:highlight w:val="none"/>
          <w:lang w:val="en-US" w:eastAsia="zh-CN"/>
        </w:rPr>
        <w:t>MBR膜池</w:t>
      </w:r>
      <w:r>
        <w:rPr>
          <w:rFonts w:hint="default" w:ascii="Times New Roman" w:hAnsi="Times New Roman" w:eastAsia="宋体" w:cs="Times New Roman"/>
          <w:color w:val="auto"/>
          <w:spacing w:val="0"/>
          <w:sz w:val="24"/>
          <w:szCs w:val="24"/>
          <w:highlight w:val="none"/>
        </w:rPr>
        <w:t>，污水中的细小颗粒物及胶状物质在</w:t>
      </w:r>
      <w:r>
        <w:rPr>
          <w:rFonts w:hint="default" w:ascii="Times New Roman" w:hAnsi="Times New Roman" w:eastAsia="宋体" w:cs="Times New Roman"/>
          <w:color w:val="auto"/>
          <w:spacing w:val="0"/>
          <w:sz w:val="24"/>
          <w:szCs w:val="24"/>
          <w:highlight w:val="none"/>
          <w:lang w:val="en-US" w:eastAsia="zh-CN"/>
        </w:rPr>
        <w:t>MBR膜的</w:t>
      </w:r>
      <w:r>
        <w:rPr>
          <w:rFonts w:hint="default" w:ascii="Times New Roman" w:hAnsi="Times New Roman" w:eastAsia="宋体" w:cs="Times New Roman"/>
          <w:color w:val="auto"/>
          <w:spacing w:val="0"/>
          <w:sz w:val="24"/>
          <w:szCs w:val="24"/>
          <w:highlight w:val="none"/>
        </w:rPr>
        <w:t>作用下，得到污泥，污泥部分回流至水解酸化池和</w:t>
      </w:r>
      <w:r>
        <w:rPr>
          <w:rFonts w:hint="default" w:ascii="Times New Roman" w:hAnsi="Times New Roman" w:eastAsia="宋体" w:cs="Times New Roman"/>
          <w:color w:val="auto"/>
          <w:spacing w:val="0"/>
          <w:sz w:val="24"/>
          <w:szCs w:val="24"/>
          <w:highlight w:val="none"/>
          <w:lang w:val="en-US" w:eastAsia="zh-CN"/>
        </w:rPr>
        <w:t>好氧生物池</w:t>
      </w:r>
      <w:r>
        <w:rPr>
          <w:rFonts w:hint="default" w:ascii="Times New Roman" w:hAnsi="Times New Roman" w:eastAsia="宋体" w:cs="Times New Roman"/>
          <w:color w:val="auto"/>
          <w:spacing w:val="0"/>
          <w:sz w:val="24"/>
          <w:szCs w:val="24"/>
          <w:highlight w:val="none"/>
        </w:rPr>
        <w:t>，剩余污泥经过</w:t>
      </w:r>
      <w:r>
        <w:rPr>
          <w:rFonts w:hint="default" w:ascii="Times New Roman" w:hAnsi="Times New Roman" w:eastAsia="宋体" w:cs="Times New Roman"/>
          <w:color w:val="auto"/>
          <w:spacing w:val="0"/>
          <w:sz w:val="24"/>
          <w:szCs w:val="24"/>
          <w:highlight w:val="none"/>
          <w:lang w:val="en-US" w:eastAsia="zh-CN"/>
        </w:rPr>
        <w:t>污泥消化池</w:t>
      </w:r>
      <w:r>
        <w:rPr>
          <w:rFonts w:hint="default" w:ascii="Times New Roman" w:hAnsi="Times New Roman" w:eastAsia="宋体" w:cs="Times New Roman"/>
          <w:color w:val="auto"/>
          <w:spacing w:val="0"/>
          <w:sz w:val="24"/>
          <w:szCs w:val="24"/>
          <w:highlight w:val="none"/>
        </w:rPr>
        <w:t>后经过螺杆泵抽至压滤机干化后外运处理。上清液</w:t>
      </w:r>
      <w:r>
        <w:rPr>
          <w:rFonts w:hint="eastAsia" w:ascii="Times New Roman" w:hAnsi="Times New Roman" w:eastAsia="宋体" w:cs="Times New Roman"/>
          <w:color w:val="auto"/>
          <w:spacing w:val="0"/>
          <w:sz w:val="24"/>
          <w:szCs w:val="24"/>
          <w:highlight w:val="none"/>
          <w:lang w:val="en-US" w:eastAsia="zh-CN"/>
        </w:rPr>
        <w:t>进入污水处理系统</w:t>
      </w:r>
      <w:r>
        <w:rPr>
          <w:rFonts w:hint="default" w:ascii="Times New Roman" w:hAnsi="Times New Roman" w:eastAsia="宋体" w:cs="Times New Roman"/>
          <w:color w:val="auto"/>
          <w:spacing w:val="0"/>
          <w:sz w:val="24"/>
          <w:szCs w:val="24"/>
          <w:highlight w:val="none"/>
        </w:rPr>
        <w:t>，消毒池投入</w:t>
      </w:r>
      <w:r>
        <w:rPr>
          <w:rFonts w:hint="eastAsia" w:ascii="Times New Roman" w:hAnsi="Times New Roman" w:eastAsia="宋体" w:cs="Times New Roman"/>
          <w:color w:val="auto"/>
          <w:spacing w:val="0"/>
          <w:sz w:val="24"/>
          <w:szCs w:val="24"/>
          <w:highlight w:val="none"/>
          <w:lang w:val="en-US" w:eastAsia="zh-CN"/>
        </w:rPr>
        <w:t>次氯酸钠</w:t>
      </w:r>
      <w:r>
        <w:rPr>
          <w:rFonts w:hint="default" w:ascii="Times New Roman" w:hAnsi="Times New Roman" w:eastAsia="宋体" w:cs="Times New Roman"/>
          <w:color w:val="auto"/>
          <w:spacing w:val="0"/>
          <w:sz w:val="24"/>
          <w:szCs w:val="24"/>
          <w:highlight w:val="none"/>
        </w:rPr>
        <w:t>试剂做消毒剂，消毒处理后，排入</w:t>
      </w:r>
      <w:r>
        <w:rPr>
          <w:rFonts w:hint="default" w:ascii="Times New Roman" w:hAnsi="Times New Roman" w:eastAsia="宋体" w:cs="Times New Roman"/>
          <w:color w:val="auto"/>
          <w:spacing w:val="0"/>
          <w:sz w:val="24"/>
          <w:szCs w:val="24"/>
          <w:highlight w:val="none"/>
          <w:lang w:val="en-US" w:eastAsia="zh-CN"/>
        </w:rPr>
        <w:t>兴隆镇</w:t>
      </w:r>
      <w:r>
        <w:rPr>
          <w:rFonts w:hint="default" w:ascii="Times New Roman" w:hAnsi="Times New Roman" w:eastAsia="宋体" w:cs="Times New Roman"/>
          <w:color w:val="auto"/>
          <w:spacing w:val="0"/>
          <w:sz w:val="24"/>
          <w:szCs w:val="24"/>
          <w:highlight w:val="none"/>
        </w:rPr>
        <w:t>污水处理厂。</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lang w:val="en-US" w:eastAsia="zh-CN"/>
        </w:rPr>
        <w:t>2</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工艺主要特点</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①最简单的同步脱氮除磷</w:t>
      </w:r>
      <w:r>
        <w:rPr>
          <w:rFonts w:hint="default" w:ascii="Times New Roman" w:hAnsi="Times New Roman" w:eastAsia="宋体" w:cs="Times New Roman"/>
          <w:color w:val="auto"/>
          <w:spacing w:val="0"/>
          <w:sz w:val="24"/>
          <w:szCs w:val="24"/>
          <w:highlight w:val="none"/>
          <w:lang w:val="en-US" w:eastAsia="zh-CN"/>
        </w:rPr>
        <w:t>降COD</w:t>
      </w:r>
      <w:r>
        <w:rPr>
          <w:rFonts w:hint="default" w:ascii="Times New Roman" w:hAnsi="Times New Roman" w:eastAsia="宋体" w:cs="Times New Roman"/>
          <w:color w:val="auto"/>
          <w:spacing w:val="0"/>
          <w:sz w:val="24"/>
          <w:szCs w:val="24"/>
          <w:highlight w:val="none"/>
        </w:rPr>
        <w:t>工艺；</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②总水力停留时间少于其他类工艺；</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③在厌氧、缺氧、好氧交替运行条件下，丝状菌不能大量增殖，不易发生污泥丝状膨胀；</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④运行中勿需投药，两个A段只用轻轻搅拌，以不增加溶解氧为度，运行费用低；</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（3）设计处理能力</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本项目建设了一座污水处理站，该污水处理站设计处理能力为</w:t>
      </w:r>
      <w:r>
        <w:rPr>
          <w:rFonts w:hint="default" w:ascii="Times New Roman" w:hAnsi="Times New Roman" w:eastAsia="宋体" w:cs="Times New Roman"/>
          <w:color w:val="auto"/>
          <w:spacing w:val="0"/>
          <w:sz w:val="24"/>
          <w:szCs w:val="24"/>
          <w:highlight w:val="none"/>
          <w:lang w:val="en-US" w:eastAsia="zh-CN"/>
        </w:rPr>
        <w:t>300</w:t>
      </w:r>
      <w:r>
        <w:rPr>
          <w:rFonts w:hint="default" w:ascii="Times New Roman" w:hAnsi="Times New Roman" w:eastAsia="宋体" w:cs="Times New Roman"/>
          <w:color w:val="auto"/>
          <w:spacing w:val="0"/>
          <w:sz w:val="24"/>
          <w:szCs w:val="24"/>
          <w:highlight w:val="none"/>
        </w:rPr>
        <w:t>m</w:t>
      </w:r>
      <w:r>
        <w:rPr>
          <w:rFonts w:hint="default" w:ascii="Times New Roman" w:hAnsi="Times New Roman" w:eastAsia="宋体" w:cs="Times New Roman"/>
          <w:color w:val="auto"/>
          <w:spacing w:val="0"/>
          <w:sz w:val="24"/>
          <w:szCs w:val="24"/>
          <w:highlight w:val="none"/>
          <w:vertAlign w:val="superscript"/>
        </w:rPr>
        <w:t>3</w:t>
      </w:r>
      <w:r>
        <w:rPr>
          <w:rFonts w:hint="default" w:ascii="Times New Roman" w:hAnsi="Times New Roman" w:eastAsia="宋体" w:cs="Times New Roman"/>
          <w:color w:val="auto"/>
          <w:spacing w:val="0"/>
          <w:sz w:val="24"/>
          <w:szCs w:val="24"/>
          <w:highlight w:val="none"/>
        </w:rPr>
        <w:t>/d，生产废水</w:t>
      </w:r>
      <w:r>
        <w:rPr>
          <w:rFonts w:hint="eastAsia" w:ascii="Times New Roman" w:hAnsi="Times New Roman" w:eastAsia="宋体" w:cs="Times New Roman"/>
          <w:color w:val="auto"/>
          <w:spacing w:val="0"/>
          <w:sz w:val="24"/>
          <w:szCs w:val="24"/>
          <w:highlight w:val="none"/>
          <w:lang w:val="en-US" w:eastAsia="zh-CN"/>
        </w:rPr>
        <w:t>及生活污水</w:t>
      </w:r>
      <w:r>
        <w:rPr>
          <w:rFonts w:hint="default" w:ascii="Times New Roman" w:hAnsi="Times New Roman" w:eastAsia="宋体" w:cs="Times New Roman"/>
          <w:color w:val="auto"/>
          <w:spacing w:val="0"/>
          <w:sz w:val="24"/>
          <w:szCs w:val="24"/>
          <w:highlight w:val="none"/>
        </w:rPr>
        <w:t>进入污水处理站，处理后经过消毒，采用</w:t>
      </w:r>
      <w:r>
        <w:rPr>
          <w:rFonts w:hint="eastAsia" w:ascii="Times New Roman" w:hAnsi="Times New Roman" w:eastAsia="宋体" w:cs="Times New Roman"/>
          <w:color w:val="auto"/>
          <w:spacing w:val="0"/>
          <w:sz w:val="24"/>
          <w:szCs w:val="24"/>
          <w:highlight w:val="none"/>
          <w:lang w:eastAsia="zh-CN"/>
        </w:rPr>
        <w:t>次氯酸钠</w:t>
      </w:r>
      <w:r>
        <w:rPr>
          <w:rFonts w:hint="default" w:ascii="Times New Roman" w:hAnsi="Times New Roman" w:eastAsia="宋体" w:cs="Times New Roman"/>
          <w:color w:val="auto"/>
          <w:spacing w:val="0"/>
          <w:sz w:val="24"/>
          <w:szCs w:val="24"/>
          <w:highlight w:val="none"/>
        </w:rPr>
        <w:t>消毒，然后通过市政管网排至</w:t>
      </w:r>
      <w:r>
        <w:rPr>
          <w:rFonts w:hint="default" w:ascii="Times New Roman" w:hAnsi="Times New Roman" w:eastAsia="宋体" w:cs="Times New Roman"/>
          <w:color w:val="auto"/>
          <w:spacing w:val="0"/>
          <w:sz w:val="24"/>
          <w:szCs w:val="24"/>
          <w:highlight w:val="none"/>
          <w:lang w:val="en-US" w:eastAsia="zh-CN"/>
        </w:rPr>
        <w:t>兴隆镇</w:t>
      </w:r>
      <w:r>
        <w:rPr>
          <w:rFonts w:hint="default" w:ascii="Times New Roman" w:hAnsi="Times New Roman" w:eastAsia="宋体" w:cs="Times New Roman"/>
          <w:color w:val="auto"/>
          <w:spacing w:val="0"/>
          <w:sz w:val="24"/>
          <w:szCs w:val="24"/>
          <w:highlight w:val="none"/>
          <w:lang w:eastAsia="zh-CN"/>
        </w:rPr>
        <w:t>污水处理厂</w:t>
      </w:r>
      <w:r>
        <w:rPr>
          <w:rFonts w:hint="default" w:ascii="Times New Roman" w:hAnsi="Times New Roman" w:eastAsia="宋体" w:cs="Times New Roman"/>
          <w:color w:val="auto"/>
          <w:spacing w:val="0"/>
          <w:sz w:val="24"/>
          <w:szCs w:val="24"/>
          <w:highlight w:val="none"/>
        </w:rPr>
        <w:t>处理。本项目排入污水厂的排水量为</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234.09</w:t>
      </w:r>
      <w:r>
        <w:rPr>
          <w:rFonts w:hint="default" w:ascii="Times New Roman" w:hAnsi="Times New Roman" w:cs="Times New Roman"/>
          <w:color w:val="000000" w:themeColor="text1"/>
          <w:sz w:val="24"/>
          <w:highlight w:val="none"/>
          <w14:textFill>
            <w14:solidFill>
              <w14:schemeClr w14:val="tx1"/>
            </w14:solidFill>
          </w14:textFill>
        </w:rPr>
        <w:t>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d</w:t>
      </w:r>
      <w:r>
        <w:rPr>
          <w:rFonts w:hint="default" w:ascii="Times New Roman" w:hAnsi="Times New Roman" w:eastAsia="宋体" w:cs="Times New Roman"/>
          <w:color w:val="auto"/>
          <w:spacing w:val="0"/>
          <w:sz w:val="24"/>
          <w:szCs w:val="24"/>
          <w:highlight w:val="none"/>
        </w:rPr>
        <w:t>，因此，</w:t>
      </w:r>
      <w:r>
        <w:rPr>
          <w:rFonts w:hint="eastAsia" w:ascii="Times New Roman" w:hAnsi="Times New Roman" w:eastAsia="宋体" w:cs="Times New Roman"/>
          <w:color w:val="auto"/>
          <w:spacing w:val="0"/>
          <w:sz w:val="24"/>
          <w:szCs w:val="24"/>
          <w:highlight w:val="none"/>
          <w:lang w:val="en-US" w:eastAsia="zh-CN"/>
        </w:rPr>
        <w:t>企业</w:t>
      </w:r>
      <w:r>
        <w:rPr>
          <w:rFonts w:hint="default" w:ascii="Times New Roman" w:hAnsi="Times New Roman" w:eastAsia="宋体" w:cs="Times New Roman"/>
          <w:color w:val="auto"/>
          <w:spacing w:val="0"/>
          <w:sz w:val="24"/>
          <w:szCs w:val="24"/>
          <w:highlight w:val="none"/>
        </w:rPr>
        <w:t>污水处理站能满足本项目</w:t>
      </w:r>
      <w:r>
        <w:rPr>
          <w:rFonts w:hint="eastAsia" w:ascii="Times New Roman" w:hAnsi="Times New Roman" w:eastAsia="宋体" w:cs="Times New Roman"/>
          <w:color w:val="auto"/>
          <w:spacing w:val="0"/>
          <w:sz w:val="24"/>
          <w:szCs w:val="24"/>
          <w:highlight w:val="none"/>
          <w:lang w:val="en-US" w:eastAsia="zh-CN"/>
        </w:rPr>
        <w:t>扩建后</w:t>
      </w:r>
      <w:r>
        <w:rPr>
          <w:rFonts w:hint="default" w:ascii="Times New Roman" w:hAnsi="Times New Roman" w:eastAsia="宋体" w:cs="Times New Roman"/>
          <w:color w:val="auto"/>
          <w:spacing w:val="0"/>
          <w:sz w:val="24"/>
          <w:szCs w:val="24"/>
          <w:highlight w:val="none"/>
        </w:rPr>
        <w:t>废水的处理量。</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pacing w:val="0"/>
          <w:sz w:val="24"/>
          <w:szCs w:val="24"/>
          <w:highlight w:val="none"/>
          <w:lang w:eastAsia="zh-CN"/>
        </w:rPr>
      </w:pPr>
      <w:r>
        <w:rPr>
          <w:rFonts w:hint="default" w:ascii="Times New Roman" w:hAnsi="Times New Roman" w:eastAsia="宋体" w:cs="Times New Roman"/>
          <w:color w:val="auto"/>
          <w:spacing w:val="0"/>
          <w:sz w:val="24"/>
          <w:szCs w:val="24"/>
          <w:highlight w:val="none"/>
          <w:lang w:eastAsia="zh-CN"/>
        </w:rPr>
        <w:t>根据</w:t>
      </w:r>
      <w:r>
        <w:rPr>
          <w:rFonts w:hint="default" w:ascii="Times New Roman" w:hAnsi="Times New Roman" w:eastAsia="宋体" w:cs="Times New Roman"/>
          <w:color w:val="auto"/>
          <w:spacing w:val="0"/>
          <w:sz w:val="24"/>
          <w:szCs w:val="24"/>
          <w:highlight w:val="none"/>
        </w:rPr>
        <w:t>《排污许可证申请与核发技术规范农副食品加工工业—屠宰及肉类加工工业》（HJ860.3-2018）</w:t>
      </w:r>
      <w:r>
        <w:rPr>
          <w:rFonts w:hint="default" w:ascii="Times New Roman" w:hAnsi="Times New Roman" w:eastAsia="宋体" w:cs="Times New Roman"/>
          <w:color w:val="auto"/>
          <w:spacing w:val="0"/>
          <w:sz w:val="24"/>
          <w:szCs w:val="24"/>
          <w:highlight w:val="none"/>
          <w:lang w:eastAsia="zh-CN"/>
        </w:rPr>
        <w:t>要求，本项目采用的“</w:t>
      </w:r>
      <w:r>
        <w:rPr>
          <w:rFonts w:hint="default" w:ascii="Times New Roman" w:hAnsi="Times New Roman" w:eastAsia="宋体" w:cs="Times New Roman"/>
          <w:color w:val="auto"/>
          <w:kern w:val="21"/>
          <w:sz w:val="24"/>
          <w:szCs w:val="24"/>
          <w:highlight w:val="none"/>
          <w:u w:val="none"/>
          <w:lang w:val="en-US" w:eastAsia="zh-CN" w:bidi="ar-SA"/>
        </w:rPr>
        <w:t>沉淀池+气浮池+调节池+水解酸化+好氧生物池+MBR膜池+污泥消化池+消毒工艺处理</w:t>
      </w:r>
      <w:r>
        <w:rPr>
          <w:rFonts w:hint="default"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eastAsia="zh-CN"/>
        </w:rPr>
        <w:t>污水处理工艺为可行性技术。</w:t>
      </w:r>
    </w:p>
    <w:p>
      <w:pPr>
        <w:keepNext w:val="0"/>
        <w:keepLines w:val="0"/>
        <w:pageBreakBefore w:val="0"/>
        <w:wordWrap/>
        <w:overflowPunct/>
        <w:topLinePunct w:val="0"/>
        <w:bidi w:val="0"/>
        <w:spacing w:line="360" w:lineRule="auto"/>
        <w:jc w:val="both"/>
        <w:outlineLvl w:val="9"/>
        <w:rPr>
          <w:rFonts w:hint="default" w:ascii="Times New Roman" w:hAnsi="Times New Roman" w:eastAsia="宋体" w:cs="Times New Roman"/>
          <w:b/>
          <w:snapToGrid w:val="0"/>
          <w:color w:val="auto"/>
          <w:kern w:val="0"/>
          <w:sz w:val="24"/>
          <w:szCs w:val="24"/>
          <w:lang w:val="en-US" w:eastAsia="zh-CN"/>
        </w:rPr>
      </w:pPr>
      <w:r>
        <w:rPr>
          <w:rFonts w:hint="default" w:ascii="Times New Roman" w:hAnsi="Times New Roman" w:eastAsia="宋体" w:cs="Times New Roman"/>
          <w:b/>
          <w:snapToGrid w:val="0"/>
          <w:color w:val="auto"/>
          <w:kern w:val="0"/>
          <w:sz w:val="24"/>
          <w:szCs w:val="24"/>
          <w:lang w:val="en-US" w:eastAsia="zh-CN"/>
        </w:rPr>
        <w:fldChar w:fldCharType="begin"/>
      </w:r>
      <w:r>
        <w:rPr>
          <w:rFonts w:hint="default" w:ascii="Times New Roman" w:hAnsi="Times New Roman" w:eastAsia="宋体" w:cs="Times New Roman"/>
          <w:b/>
          <w:snapToGrid w:val="0"/>
          <w:color w:val="auto"/>
          <w:kern w:val="0"/>
          <w:sz w:val="24"/>
          <w:szCs w:val="24"/>
          <w:lang w:val="en-US" w:eastAsia="zh-CN"/>
        </w:rPr>
        <w:instrText xml:space="preserve"> HYPERLINK "6.2.1.3" </w:instrText>
      </w:r>
      <w:r>
        <w:rPr>
          <w:rFonts w:hint="default" w:ascii="Times New Roman" w:hAnsi="Times New Roman" w:eastAsia="宋体" w:cs="Times New Roman"/>
          <w:b/>
          <w:snapToGrid w:val="0"/>
          <w:color w:val="auto"/>
          <w:kern w:val="0"/>
          <w:sz w:val="24"/>
          <w:szCs w:val="24"/>
          <w:lang w:val="en-US" w:eastAsia="zh-CN"/>
        </w:rPr>
        <w:fldChar w:fldCharType="separate"/>
      </w:r>
      <w:r>
        <w:rPr>
          <w:rFonts w:hint="default" w:ascii="Times New Roman" w:hAnsi="Times New Roman" w:eastAsia="宋体" w:cs="Times New Roman"/>
          <w:b/>
          <w:snapToGrid w:val="0"/>
          <w:color w:val="auto"/>
          <w:kern w:val="0"/>
          <w:sz w:val="24"/>
          <w:szCs w:val="24"/>
          <w:lang w:val="en-US" w:eastAsia="zh-CN"/>
        </w:rPr>
        <w:t>6.2.1.3</w:t>
      </w:r>
      <w:r>
        <w:rPr>
          <w:rFonts w:hint="default" w:ascii="Times New Roman" w:hAnsi="Times New Roman" w:eastAsia="宋体" w:cs="Times New Roman"/>
          <w:b/>
          <w:snapToGrid w:val="0"/>
          <w:color w:val="auto"/>
          <w:kern w:val="0"/>
          <w:sz w:val="24"/>
          <w:szCs w:val="24"/>
          <w:lang w:val="en-US" w:eastAsia="zh-CN"/>
        </w:rPr>
        <w:fldChar w:fldCharType="end"/>
      </w:r>
      <w:r>
        <w:rPr>
          <w:rFonts w:hint="default" w:ascii="Times New Roman" w:hAnsi="Times New Roman" w:eastAsia="宋体" w:cs="Times New Roman"/>
          <w:b/>
          <w:snapToGrid w:val="0"/>
          <w:color w:val="auto"/>
          <w:kern w:val="0"/>
          <w:sz w:val="24"/>
          <w:szCs w:val="24"/>
          <w:lang w:val="en-US" w:eastAsia="zh-CN"/>
        </w:rPr>
        <w:t xml:space="preserve">  处理效果</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cs="Times New Roman"/>
          <w:color w:val="auto"/>
        </w:rPr>
      </w:pPr>
      <w:r>
        <w:rPr>
          <w:rFonts w:hint="default" w:ascii="Times New Roman" w:hAnsi="Times New Roman" w:eastAsia="宋体" w:cs="Times New Roman"/>
          <w:color w:val="auto"/>
          <w:sz w:val="24"/>
          <w:szCs w:val="24"/>
          <w:highlight w:val="none"/>
          <w:lang w:eastAsia="zh-CN"/>
        </w:rPr>
        <w:t>根据《哈尔滨丰源农牧业有限公司</w:t>
      </w:r>
      <w:r>
        <w:rPr>
          <w:rFonts w:hint="default" w:ascii="Times New Roman" w:hAnsi="Times New Roman" w:eastAsia="宋体" w:cs="Times New Roman"/>
          <w:color w:val="auto"/>
          <w:sz w:val="24"/>
          <w:szCs w:val="24"/>
          <w:highlight w:val="none"/>
          <w:lang w:val="en-US" w:eastAsia="zh-CN"/>
        </w:rPr>
        <w:t>50万头生猪屠宰加工项目竣工环境保护验收监测报告</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2018年7月</w:t>
      </w:r>
      <w:r>
        <w:rPr>
          <w:rFonts w:hint="default" w:ascii="Times New Roman" w:hAnsi="Times New Roman" w:eastAsia="宋体" w:cs="Times New Roman"/>
          <w:color w:val="auto"/>
          <w:sz w:val="24"/>
          <w:szCs w:val="24"/>
          <w:highlight w:val="none"/>
          <w:lang w:eastAsia="zh-CN"/>
        </w:rPr>
        <w:t>）可知，</w:t>
      </w:r>
      <w:r>
        <w:rPr>
          <w:rFonts w:hint="default" w:ascii="Times New Roman" w:hAnsi="Times New Roman" w:eastAsia="宋体" w:cs="Times New Roman"/>
          <w:color w:val="auto"/>
          <w:sz w:val="24"/>
          <w:szCs w:val="24"/>
          <w:highlight w:val="none"/>
          <w:lang w:val="en-US" w:eastAsia="zh-CN"/>
        </w:rPr>
        <w:t>SS去除效率91%，BOD</w:t>
      </w:r>
      <w:r>
        <w:rPr>
          <w:rFonts w:hint="default" w:ascii="Times New Roman" w:hAnsi="Times New Roman" w:eastAsia="宋体" w:cs="Times New Roman"/>
          <w:color w:val="auto"/>
          <w:sz w:val="24"/>
          <w:szCs w:val="24"/>
          <w:highlight w:val="none"/>
          <w:vertAlign w:val="subscript"/>
          <w:lang w:val="en-US" w:eastAsia="zh-CN"/>
        </w:rPr>
        <w:t>5</w:t>
      </w:r>
      <w:r>
        <w:rPr>
          <w:rFonts w:hint="default" w:ascii="Times New Roman" w:hAnsi="Times New Roman" w:eastAsia="宋体" w:cs="Times New Roman"/>
          <w:color w:val="auto"/>
          <w:sz w:val="24"/>
          <w:szCs w:val="24"/>
          <w:highlight w:val="none"/>
          <w:lang w:val="en-US" w:eastAsia="zh-CN"/>
        </w:rPr>
        <w:t>去除效率98%，COD去除效率97%，氨氮去除效率92%，动植物油去除效率78%，大肠菌群去除效率99%。本项目污水处理规模和处理工艺与其基本一致，处理效率具有可类比性，本项目污水处理效果保守起见，SS去除效率85%，BOD</w:t>
      </w:r>
      <w:r>
        <w:rPr>
          <w:rFonts w:hint="default" w:ascii="Times New Roman" w:hAnsi="Times New Roman" w:eastAsia="宋体" w:cs="Times New Roman"/>
          <w:color w:val="auto"/>
          <w:sz w:val="24"/>
          <w:szCs w:val="24"/>
          <w:highlight w:val="none"/>
          <w:vertAlign w:val="subscript"/>
          <w:lang w:val="en-US" w:eastAsia="zh-CN"/>
        </w:rPr>
        <w:t>5</w:t>
      </w:r>
      <w:r>
        <w:rPr>
          <w:rFonts w:hint="default" w:ascii="Times New Roman" w:hAnsi="Times New Roman" w:eastAsia="宋体" w:cs="Times New Roman"/>
          <w:color w:val="auto"/>
          <w:sz w:val="24"/>
          <w:szCs w:val="24"/>
          <w:highlight w:val="none"/>
          <w:lang w:val="en-US" w:eastAsia="zh-CN"/>
        </w:rPr>
        <w:t>去除效率85%，COD去除效率91%，氨氮去除效率85%，动植物油去除效率75%，大肠菌群去除效率99%。</w:t>
      </w:r>
      <w:r>
        <w:rPr>
          <w:rFonts w:hint="default" w:ascii="Times New Roman" w:hAnsi="Times New Roman" w:eastAsia="宋体" w:cs="Times New Roman"/>
          <w:color w:val="auto"/>
          <w:sz w:val="24"/>
          <w:szCs w:val="24"/>
        </w:rPr>
        <w:t>污水处理站处理效果见表6</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2-</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snapToGrid/>
        <w:spacing w:line="240" w:lineRule="auto"/>
        <w:ind w:left="0" w:firstLine="482" w:firstLineChars="200"/>
        <w:jc w:val="center"/>
        <w:textAlignment w:val="auto"/>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lang w:val="en-US" w:eastAsia="zh-CN"/>
        </w:rPr>
        <w:t>表6-2-1  全厂污水处理效果一览表</w:t>
      </w:r>
    </w:p>
    <w:tbl>
      <w:tblPr>
        <w:tblStyle w:val="24"/>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1"/>
        <w:gridCol w:w="887"/>
        <w:gridCol w:w="889"/>
        <w:gridCol w:w="688"/>
        <w:gridCol w:w="1091"/>
        <w:gridCol w:w="1091"/>
        <w:gridCol w:w="1091"/>
        <w:gridCol w:w="1091"/>
        <w:gridCol w:w="1091"/>
        <w:gridCol w:w="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3" w:type="pct"/>
            <w:gridSpan w:val="2"/>
            <w:tcBorders>
              <w:top w:val="single" w:color="auto" w:sz="12" w:space="0"/>
              <w:left w:val="nil"/>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指标</w:t>
            </w:r>
          </w:p>
        </w:tc>
        <w:tc>
          <w:tcPr>
            <w:tcW w:w="467" w:type="pct"/>
            <w:tcBorders>
              <w:top w:val="single" w:color="auto" w:sz="12" w:space="0"/>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水量</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（t/a）</w:t>
            </w:r>
          </w:p>
        </w:tc>
        <w:tc>
          <w:tcPr>
            <w:tcW w:w="362" w:type="pct"/>
            <w:tcBorders>
              <w:top w:val="single" w:color="auto" w:sz="12" w:space="0"/>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pH</w:t>
            </w:r>
          </w:p>
        </w:tc>
        <w:tc>
          <w:tcPr>
            <w:tcW w:w="574" w:type="pct"/>
            <w:tcBorders>
              <w:top w:val="single" w:color="auto" w:sz="12" w:space="0"/>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COD</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574" w:type="pct"/>
            <w:tcBorders>
              <w:top w:val="single" w:color="auto" w:sz="12" w:space="0"/>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BOD</w:t>
            </w:r>
            <w:r>
              <w:rPr>
                <w:rFonts w:hint="default" w:ascii="Times New Roman" w:hAnsi="Times New Roman" w:cs="Times New Roman"/>
                <w:color w:val="auto"/>
                <w:sz w:val="21"/>
                <w:szCs w:val="21"/>
                <w:highlight w:val="none"/>
                <w:vertAlign w:val="subscript"/>
              </w:rPr>
              <w:t>5</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574" w:type="pct"/>
            <w:tcBorders>
              <w:top w:val="single" w:color="auto" w:sz="12" w:space="0"/>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SS</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574" w:type="pct"/>
            <w:tcBorders>
              <w:top w:val="single" w:color="auto" w:sz="12" w:space="0"/>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氨氮</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574" w:type="pct"/>
            <w:tcBorders>
              <w:top w:val="single" w:color="auto" w:sz="12" w:space="0"/>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动植物油</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516" w:type="pct"/>
            <w:tcBorders>
              <w:top w:val="single" w:color="auto" w:sz="12" w:space="0"/>
              <w:left w:val="single" w:color="auto" w:sz="6" w:space="0"/>
              <w:right w:val="nil"/>
            </w:tcBorders>
            <w:vAlign w:val="center"/>
          </w:tcPr>
          <w:p>
            <w:pPr>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大肠菌群数（个/L）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3" w:type="pct"/>
            <w:gridSpan w:val="2"/>
            <w:tcBorders>
              <w:left w:val="nil"/>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进水</w:t>
            </w:r>
          </w:p>
        </w:tc>
        <w:tc>
          <w:tcPr>
            <w:tcW w:w="467" w:type="pct"/>
            <w:tcBorders>
              <w:left w:val="single" w:color="auto" w:sz="6" w:space="0"/>
              <w:right w:val="single" w:color="auto" w:sz="6" w:space="0"/>
            </w:tcBorders>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pacing w:val="12"/>
                <w:sz w:val="21"/>
                <w:szCs w:val="21"/>
                <w:highlight w:val="none"/>
                <w:lang w:eastAsia="zh-CN"/>
              </w:rPr>
              <w:t>17518.608</w:t>
            </w:r>
          </w:p>
        </w:tc>
        <w:tc>
          <w:tcPr>
            <w:tcW w:w="362"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6.5～7.5</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2520</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997</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995</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121</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200</w:t>
            </w:r>
          </w:p>
        </w:tc>
        <w:tc>
          <w:tcPr>
            <w:tcW w:w="516" w:type="pct"/>
            <w:tcBorders>
              <w:left w:val="single" w:color="auto" w:sz="6" w:space="0"/>
              <w:right w:val="nil"/>
            </w:tcBorders>
            <w:vAlign w:val="center"/>
          </w:tcPr>
          <w:p>
            <w:pPr>
              <w:widowControl/>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3" w:type="pct"/>
            <w:gridSpan w:val="2"/>
            <w:tcBorders>
              <w:left w:val="nil"/>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出水</w:t>
            </w:r>
          </w:p>
        </w:tc>
        <w:tc>
          <w:tcPr>
            <w:tcW w:w="467" w:type="pct"/>
            <w:tcBorders>
              <w:left w:val="single" w:color="auto" w:sz="6" w:space="0"/>
              <w:right w:val="single" w:color="auto" w:sz="6" w:space="0"/>
            </w:tcBorders>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pacing w:val="12"/>
                <w:sz w:val="21"/>
                <w:szCs w:val="21"/>
                <w:highlight w:val="none"/>
                <w:lang w:eastAsia="zh-CN"/>
              </w:rPr>
              <w:t>17518.608</w:t>
            </w:r>
          </w:p>
        </w:tc>
        <w:tc>
          <w:tcPr>
            <w:tcW w:w="362"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6.5～7.5</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238</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150</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160</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18.6</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45.7</w:t>
            </w:r>
          </w:p>
        </w:tc>
        <w:tc>
          <w:tcPr>
            <w:tcW w:w="516" w:type="pct"/>
            <w:tcBorders>
              <w:left w:val="single" w:color="auto" w:sz="6" w:space="0"/>
              <w:right w:val="nil"/>
            </w:tcBorders>
            <w:vAlign w:val="center"/>
          </w:tcPr>
          <w:p>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6" w:type="pct"/>
            <w:vMerge w:val="restart"/>
            <w:tcBorders>
              <w:left w:val="nil"/>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去除率%</w:t>
            </w:r>
          </w:p>
        </w:tc>
        <w:tc>
          <w:tcPr>
            <w:tcW w:w="466"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格栅</w:t>
            </w:r>
          </w:p>
        </w:tc>
        <w:tc>
          <w:tcPr>
            <w:tcW w:w="467"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62"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80%</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w:t>
            </w:r>
          </w:p>
        </w:tc>
        <w:tc>
          <w:tcPr>
            <w:tcW w:w="516" w:type="pct"/>
            <w:tcBorders>
              <w:left w:val="single" w:color="auto" w:sz="6" w:space="0"/>
              <w:right w:val="nil"/>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316" w:type="pct"/>
            <w:vMerge w:val="continue"/>
            <w:tcBorders>
              <w:left w:val="nil"/>
              <w:right w:val="single" w:color="auto" w:sz="6" w:space="0"/>
            </w:tcBorders>
            <w:vAlign w:val="center"/>
          </w:tcPr>
          <w:p>
            <w:pPr>
              <w:jc w:val="center"/>
              <w:rPr>
                <w:rFonts w:hint="default" w:ascii="Times New Roman" w:hAnsi="Times New Roman" w:cs="Times New Roman"/>
                <w:color w:val="auto"/>
                <w:sz w:val="21"/>
                <w:szCs w:val="21"/>
                <w:highlight w:val="none"/>
              </w:rPr>
            </w:pPr>
          </w:p>
        </w:tc>
        <w:tc>
          <w:tcPr>
            <w:tcW w:w="466"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隔油池</w:t>
            </w:r>
          </w:p>
        </w:tc>
        <w:tc>
          <w:tcPr>
            <w:tcW w:w="467"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62"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90.36%</w:t>
            </w:r>
          </w:p>
        </w:tc>
        <w:tc>
          <w:tcPr>
            <w:tcW w:w="516" w:type="pct"/>
            <w:tcBorders>
              <w:left w:val="single" w:color="auto" w:sz="6" w:space="0"/>
              <w:right w:val="nil"/>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6" w:type="pct"/>
            <w:vMerge w:val="continue"/>
            <w:tcBorders>
              <w:left w:val="nil"/>
              <w:right w:val="single" w:color="auto" w:sz="6" w:space="0"/>
            </w:tcBorders>
            <w:vAlign w:val="center"/>
          </w:tcPr>
          <w:p>
            <w:pPr>
              <w:jc w:val="center"/>
              <w:rPr>
                <w:rFonts w:hint="default" w:ascii="Times New Roman" w:hAnsi="Times New Roman" w:cs="Times New Roman"/>
                <w:color w:val="auto"/>
                <w:sz w:val="21"/>
                <w:szCs w:val="21"/>
                <w:highlight w:val="none"/>
              </w:rPr>
            </w:pPr>
          </w:p>
        </w:tc>
        <w:tc>
          <w:tcPr>
            <w:tcW w:w="466"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水解酸化池</w:t>
            </w:r>
          </w:p>
        </w:tc>
        <w:tc>
          <w:tcPr>
            <w:tcW w:w="467"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62"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26%</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516" w:type="pct"/>
            <w:tcBorders>
              <w:left w:val="single" w:color="auto" w:sz="6" w:space="0"/>
              <w:right w:val="nil"/>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6" w:type="pct"/>
            <w:vMerge w:val="continue"/>
            <w:tcBorders>
              <w:left w:val="nil"/>
              <w:right w:val="single" w:color="auto" w:sz="6" w:space="0"/>
            </w:tcBorders>
            <w:vAlign w:val="center"/>
          </w:tcPr>
          <w:p>
            <w:pPr>
              <w:jc w:val="center"/>
              <w:rPr>
                <w:rFonts w:hint="default" w:ascii="Times New Roman" w:hAnsi="Times New Roman" w:cs="Times New Roman"/>
                <w:color w:val="auto"/>
                <w:sz w:val="21"/>
                <w:szCs w:val="21"/>
                <w:highlight w:val="none"/>
              </w:rPr>
            </w:pPr>
          </w:p>
        </w:tc>
        <w:tc>
          <w:tcPr>
            <w:tcW w:w="466"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生物接触氧化池+二沉池</w:t>
            </w:r>
          </w:p>
        </w:tc>
        <w:tc>
          <w:tcPr>
            <w:tcW w:w="467"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62"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85.71%</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87.5%</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28.57%</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70.27%</w:t>
            </w:r>
          </w:p>
        </w:tc>
        <w:tc>
          <w:tcPr>
            <w:tcW w:w="574" w:type="pct"/>
            <w:tcBorders>
              <w:left w:val="single" w:color="auto" w:sz="6" w:space="0"/>
              <w:right w:val="single" w:color="auto" w:sz="6" w:space="0"/>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w:t>
            </w:r>
          </w:p>
        </w:tc>
        <w:tc>
          <w:tcPr>
            <w:tcW w:w="516" w:type="pct"/>
            <w:tcBorders>
              <w:left w:val="single" w:color="auto" w:sz="6" w:space="0"/>
              <w:right w:val="nil"/>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6" w:type="pct"/>
            <w:vMerge w:val="continue"/>
            <w:tcBorders>
              <w:left w:val="nil"/>
              <w:right w:val="single" w:color="auto" w:sz="6" w:space="0"/>
            </w:tcBorders>
            <w:vAlign w:val="center"/>
          </w:tcPr>
          <w:p>
            <w:pPr>
              <w:jc w:val="center"/>
              <w:rPr>
                <w:rFonts w:hint="default" w:ascii="Times New Roman" w:hAnsi="Times New Roman" w:cs="Times New Roman"/>
                <w:color w:val="auto"/>
                <w:sz w:val="21"/>
                <w:szCs w:val="21"/>
                <w:highlight w:val="none"/>
              </w:rPr>
            </w:pPr>
          </w:p>
        </w:tc>
        <w:tc>
          <w:tcPr>
            <w:tcW w:w="466"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消毒</w:t>
            </w:r>
          </w:p>
        </w:tc>
        <w:tc>
          <w:tcPr>
            <w:tcW w:w="467"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62"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16" w:type="pct"/>
            <w:tcBorders>
              <w:left w:val="single" w:color="auto" w:sz="6" w:space="0"/>
              <w:right w:val="nil"/>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3" w:type="pct"/>
            <w:gridSpan w:val="2"/>
            <w:tcBorders>
              <w:left w:val="nil"/>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总去除率%</w:t>
            </w:r>
          </w:p>
        </w:tc>
        <w:tc>
          <w:tcPr>
            <w:tcW w:w="467"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62"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90%</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90%</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90%</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78%</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93%</w:t>
            </w:r>
          </w:p>
        </w:tc>
        <w:tc>
          <w:tcPr>
            <w:tcW w:w="516" w:type="pct"/>
            <w:tcBorders>
              <w:left w:val="single" w:color="auto" w:sz="6" w:space="0"/>
              <w:right w:val="nil"/>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gridSpan w:val="3"/>
            <w:tcBorders>
              <w:left w:val="nil"/>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《肉类加工工业水污染物排放标准》（GB13457-92）畜类屠宰加工三级标准</w:t>
            </w:r>
          </w:p>
        </w:tc>
        <w:tc>
          <w:tcPr>
            <w:tcW w:w="362"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6.0～8.5</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500</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w:t>
            </w:r>
          </w:p>
        </w:tc>
        <w:tc>
          <w:tcPr>
            <w:tcW w:w="574" w:type="pct"/>
            <w:tcBorders>
              <w:left w:val="single" w:color="auto" w:sz="6" w:space="0"/>
              <w:right w:val="single" w:color="auto" w:sz="6" w:space="0"/>
            </w:tcBorders>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74" w:type="pct"/>
            <w:tcBorders>
              <w:left w:val="single" w:color="auto" w:sz="6"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516" w:type="pct"/>
            <w:tcBorders>
              <w:left w:val="single" w:color="auto" w:sz="6" w:space="0"/>
              <w:right w:val="nil"/>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gridSpan w:val="3"/>
            <w:tcBorders>
              <w:left w:val="nil"/>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kern w:val="0"/>
                <w:sz w:val="21"/>
                <w:szCs w:val="21"/>
                <w:highlight w:val="none"/>
                <w:lang w:val="en-US" w:eastAsia="zh-CN"/>
              </w:rPr>
              <w:t>兴隆镇</w:t>
            </w:r>
            <w:r>
              <w:rPr>
                <w:rFonts w:hint="default" w:ascii="Times New Roman" w:hAnsi="Times New Roman" w:cs="Times New Roman"/>
                <w:color w:val="auto"/>
                <w:kern w:val="0"/>
                <w:sz w:val="21"/>
                <w:szCs w:val="21"/>
                <w:highlight w:val="none"/>
                <w:lang w:eastAsia="zh-CN"/>
              </w:rPr>
              <w:t>污水处理厂</w:t>
            </w:r>
            <w:r>
              <w:rPr>
                <w:rFonts w:hint="default" w:ascii="Times New Roman" w:hAnsi="Times New Roman" w:cs="Times New Roman"/>
                <w:color w:val="auto"/>
                <w:kern w:val="0"/>
                <w:sz w:val="21"/>
                <w:szCs w:val="21"/>
                <w:highlight w:val="none"/>
              </w:rPr>
              <w:t>设计进水水质指标</w:t>
            </w:r>
          </w:p>
        </w:tc>
        <w:tc>
          <w:tcPr>
            <w:tcW w:w="362" w:type="pct"/>
            <w:tcBorders>
              <w:left w:val="single" w:color="auto" w:sz="6" w:space="0"/>
              <w:right w:val="single" w:color="auto" w:sz="6" w:space="0"/>
            </w:tcBorders>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6～</w:t>
            </w:r>
            <w:r>
              <w:rPr>
                <w:rFonts w:hint="default" w:ascii="Times New Roman" w:hAnsi="Times New Roman" w:cs="Times New Roman"/>
                <w:color w:val="auto"/>
                <w:sz w:val="21"/>
                <w:szCs w:val="21"/>
                <w:highlight w:val="none"/>
                <w:lang w:val="en-US" w:eastAsia="zh-CN"/>
              </w:rPr>
              <w:t>9</w:t>
            </w:r>
          </w:p>
        </w:tc>
        <w:tc>
          <w:tcPr>
            <w:tcW w:w="574" w:type="pct"/>
            <w:tcBorders>
              <w:left w:val="single" w:color="auto" w:sz="6" w:space="0"/>
              <w:right w:val="single" w:color="auto" w:sz="6" w:space="0"/>
            </w:tcBorders>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pacing w:val="-6"/>
                <w:sz w:val="21"/>
                <w:szCs w:val="21"/>
                <w:highlight w:val="none"/>
                <w:lang w:val="en-US" w:eastAsia="zh-CN"/>
              </w:rPr>
              <w:t>350</w:t>
            </w:r>
          </w:p>
        </w:tc>
        <w:tc>
          <w:tcPr>
            <w:tcW w:w="574" w:type="pct"/>
            <w:tcBorders>
              <w:left w:val="single" w:color="auto" w:sz="6" w:space="0"/>
              <w:right w:val="single" w:color="auto" w:sz="6" w:space="0"/>
            </w:tcBorders>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180</w:t>
            </w:r>
          </w:p>
        </w:tc>
        <w:tc>
          <w:tcPr>
            <w:tcW w:w="574" w:type="pct"/>
            <w:tcBorders>
              <w:left w:val="single" w:color="auto" w:sz="6" w:space="0"/>
              <w:right w:val="single" w:color="auto" w:sz="6" w:space="0"/>
            </w:tcBorders>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250</w:t>
            </w:r>
          </w:p>
        </w:tc>
        <w:tc>
          <w:tcPr>
            <w:tcW w:w="574" w:type="pct"/>
            <w:tcBorders>
              <w:left w:val="single" w:color="auto" w:sz="6" w:space="0"/>
              <w:right w:val="single" w:color="auto" w:sz="6" w:space="0"/>
            </w:tcBorders>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35</w:t>
            </w:r>
          </w:p>
        </w:tc>
        <w:tc>
          <w:tcPr>
            <w:tcW w:w="574" w:type="pct"/>
            <w:tcBorders>
              <w:left w:val="single" w:color="auto" w:sz="6" w:space="0"/>
              <w:right w:val="single" w:color="auto" w:sz="6" w:space="0"/>
            </w:tcBorders>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516" w:type="pct"/>
            <w:tcBorders>
              <w:left w:val="single" w:color="auto" w:sz="6" w:space="0"/>
              <w:right w:val="nil"/>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gridSpan w:val="3"/>
            <w:tcBorders>
              <w:left w:val="nil"/>
              <w:bottom w:val="single" w:color="auto" w:sz="12" w:space="0"/>
              <w:right w:val="single" w:color="auto" w:sz="6" w:space="0"/>
            </w:tcBorders>
            <w:vAlign w:val="center"/>
          </w:tcPr>
          <w:p>
            <w:pPr>
              <w:jc w:val="center"/>
              <w:rPr>
                <w:rFonts w:hint="default" w:ascii="Times New Roman" w:hAnsi="Times New Roman" w:cs="Times New Roman"/>
                <w:color w:val="auto"/>
                <w:spacing w:val="-6"/>
                <w:sz w:val="21"/>
                <w:szCs w:val="21"/>
                <w:highlight w:val="none"/>
              </w:rPr>
            </w:pPr>
            <w:r>
              <w:rPr>
                <w:rFonts w:hint="default" w:ascii="Times New Roman" w:hAnsi="Times New Roman" w:cs="Times New Roman"/>
                <w:color w:val="auto"/>
                <w:kern w:val="0"/>
                <w:sz w:val="21"/>
                <w:szCs w:val="21"/>
                <w:highlight w:val="none"/>
              </w:rPr>
              <w:t>排放标准</w:t>
            </w:r>
          </w:p>
        </w:tc>
        <w:tc>
          <w:tcPr>
            <w:tcW w:w="362" w:type="pct"/>
            <w:tcBorders>
              <w:left w:val="single" w:color="auto" w:sz="6" w:space="0"/>
              <w:bottom w:val="single" w:color="auto" w:sz="12" w:space="0"/>
              <w:right w:val="single" w:color="auto" w:sz="6" w:space="0"/>
            </w:tcBorders>
            <w:vAlign w:val="center"/>
          </w:tcPr>
          <w:p>
            <w:pPr>
              <w:jc w:val="center"/>
              <w:rPr>
                <w:rFonts w:hint="default" w:ascii="Times New Roman" w:hAnsi="Times New Roman" w:cs="Times New Roman"/>
                <w:color w:val="auto"/>
                <w:spacing w:val="-6"/>
                <w:sz w:val="21"/>
                <w:szCs w:val="21"/>
                <w:highlight w:val="none"/>
              </w:rPr>
            </w:pPr>
            <w:r>
              <w:rPr>
                <w:rFonts w:hint="default" w:ascii="Times New Roman" w:hAnsi="Times New Roman" w:cs="Times New Roman"/>
                <w:color w:val="auto"/>
                <w:sz w:val="21"/>
                <w:szCs w:val="21"/>
                <w:highlight w:val="none"/>
              </w:rPr>
              <w:t>6.</w:t>
            </w:r>
            <w:r>
              <w:rPr>
                <w:rFonts w:hint="eastAsia" w:ascii="Times New Roman" w:hAnsi="Times New Roman" w:eastAsia="宋体"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～8.5</w:t>
            </w:r>
          </w:p>
        </w:tc>
        <w:tc>
          <w:tcPr>
            <w:tcW w:w="574" w:type="pct"/>
            <w:tcBorders>
              <w:left w:val="single" w:color="auto" w:sz="6" w:space="0"/>
              <w:bottom w:val="single" w:color="auto" w:sz="12" w:space="0"/>
              <w:right w:val="single" w:color="auto" w:sz="6" w:space="0"/>
            </w:tcBorders>
            <w:vAlign w:val="center"/>
          </w:tcPr>
          <w:p>
            <w:pPr>
              <w:jc w:val="center"/>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cs="Times New Roman"/>
                <w:color w:val="auto"/>
                <w:spacing w:val="-6"/>
                <w:sz w:val="21"/>
                <w:szCs w:val="21"/>
                <w:highlight w:val="none"/>
                <w:lang w:val="en-US" w:eastAsia="zh-CN"/>
              </w:rPr>
              <w:t>500</w:t>
            </w:r>
          </w:p>
        </w:tc>
        <w:tc>
          <w:tcPr>
            <w:tcW w:w="574" w:type="pct"/>
            <w:tcBorders>
              <w:left w:val="single" w:color="auto" w:sz="6" w:space="0"/>
              <w:bottom w:val="single" w:color="auto" w:sz="12" w:space="0"/>
              <w:right w:val="single" w:color="auto" w:sz="6" w:space="0"/>
            </w:tcBorders>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300</w:t>
            </w:r>
          </w:p>
        </w:tc>
        <w:tc>
          <w:tcPr>
            <w:tcW w:w="574" w:type="pct"/>
            <w:tcBorders>
              <w:left w:val="single" w:color="auto" w:sz="6" w:space="0"/>
              <w:bottom w:val="single" w:color="auto" w:sz="12" w:space="0"/>
              <w:right w:val="single" w:color="auto" w:sz="6" w:space="0"/>
            </w:tcBorders>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400</w:t>
            </w:r>
          </w:p>
        </w:tc>
        <w:tc>
          <w:tcPr>
            <w:tcW w:w="574" w:type="pct"/>
            <w:tcBorders>
              <w:left w:val="single" w:color="auto" w:sz="6" w:space="0"/>
              <w:bottom w:val="single" w:color="auto" w:sz="12" w:space="0"/>
              <w:right w:val="single" w:color="auto" w:sz="6" w:space="0"/>
            </w:tcBorders>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35</w:t>
            </w:r>
          </w:p>
        </w:tc>
        <w:tc>
          <w:tcPr>
            <w:tcW w:w="574" w:type="pct"/>
            <w:tcBorders>
              <w:left w:val="single" w:color="auto" w:sz="6" w:space="0"/>
              <w:bottom w:val="single" w:color="auto" w:sz="12" w:space="0"/>
              <w:right w:val="single" w:color="auto" w:sz="6" w:space="0"/>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516" w:type="pct"/>
            <w:tcBorders>
              <w:left w:val="single" w:color="auto" w:sz="6" w:space="0"/>
              <w:bottom w:val="single" w:color="auto" w:sz="12" w:space="0"/>
              <w:right w:val="nil"/>
            </w:tcBorders>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r>
    </w:tbl>
    <w:p>
      <w:pPr>
        <w:pStyle w:val="30"/>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kern w:val="21"/>
          <w:sz w:val="24"/>
          <w:szCs w:val="24"/>
          <w:highlight w:val="none"/>
          <w:u w:val="none"/>
          <w:lang w:val="en-US" w:eastAsia="zh-CN" w:bidi="ar-SA"/>
        </w:rPr>
      </w:pPr>
      <w:r>
        <w:rPr>
          <w:rFonts w:hint="default" w:ascii="Times New Roman" w:hAnsi="Times New Roman" w:eastAsia="宋体" w:cs="Times New Roman"/>
          <w:color w:val="auto"/>
          <w:kern w:val="21"/>
          <w:sz w:val="24"/>
          <w:szCs w:val="24"/>
          <w:highlight w:val="none"/>
          <w:u w:val="none"/>
          <w:lang w:val="en-US" w:eastAsia="zh-CN" w:bidi="ar-SA"/>
        </w:rPr>
        <w:t>由上述可知，项目产生的废水经管道</w:t>
      </w:r>
      <w:r>
        <w:rPr>
          <w:rFonts w:hint="eastAsia" w:ascii="Times New Roman" w:hAnsi="Times New Roman" w:eastAsia="宋体" w:cs="Times New Roman"/>
          <w:color w:val="auto"/>
          <w:kern w:val="21"/>
          <w:sz w:val="24"/>
          <w:szCs w:val="24"/>
          <w:highlight w:val="none"/>
          <w:u w:val="none"/>
          <w:lang w:val="en-US" w:eastAsia="zh-CN" w:bidi="ar-SA"/>
        </w:rPr>
        <w:t>排</w:t>
      </w:r>
      <w:r>
        <w:rPr>
          <w:rFonts w:hint="default" w:ascii="Times New Roman" w:hAnsi="Times New Roman" w:eastAsia="宋体" w:cs="Times New Roman"/>
          <w:color w:val="auto"/>
          <w:kern w:val="21"/>
          <w:sz w:val="24"/>
          <w:szCs w:val="24"/>
          <w:highlight w:val="none"/>
          <w:u w:val="none"/>
          <w:lang w:val="en-US" w:eastAsia="zh-CN" w:bidi="ar-SA"/>
        </w:rPr>
        <w:t>入厂内污水处理站，污水处理站采用沉淀池+气浮池+调节池+水解酸化+好氧生物池+MBR膜池+污泥消化池+消毒工艺处理后，处理后的废水满足《肉类加工工业水污染物排放标准》</w:t>
      </w:r>
      <w:r>
        <w:rPr>
          <w:rFonts w:hint="default" w:ascii="Times New Roman" w:hAnsi="Times New Roman" w:eastAsia="宋体" w:cs="Times New Roman"/>
          <w:color w:val="auto"/>
          <w:sz w:val="24"/>
        </w:rPr>
        <w:t>（GB13457-92）表3</w:t>
      </w:r>
      <w:r>
        <w:rPr>
          <w:rFonts w:hint="default" w:ascii="Times New Roman" w:hAnsi="Times New Roman" w:eastAsia="宋体" w:cs="Times New Roman"/>
          <w:color w:val="auto"/>
          <w:kern w:val="21"/>
          <w:sz w:val="24"/>
          <w:szCs w:val="24"/>
          <w:highlight w:val="none"/>
          <w:u w:val="none"/>
          <w:lang w:val="en-US" w:eastAsia="zh-CN" w:bidi="ar-SA"/>
        </w:rPr>
        <w:t>中畜类屠宰加工及肉制品加工三级标准及兴隆镇污水处理厂设计进水水质指标的要求后排入兴隆镇污水处理厂处理，</w:t>
      </w:r>
      <w:r>
        <w:rPr>
          <w:rFonts w:hint="eastAsia" w:ascii="Times New Roman" w:hAnsi="Times New Roman" w:eastAsia="宋体" w:cs="Times New Roman"/>
          <w:color w:val="auto"/>
          <w:kern w:val="21"/>
          <w:sz w:val="24"/>
          <w:szCs w:val="24"/>
          <w:highlight w:val="none"/>
          <w:u w:val="none"/>
          <w:lang w:val="en-US" w:eastAsia="zh-CN" w:bidi="ar-SA"/>
        </w:rPr>
        <w:t>排入泥河</w:t>
      </w:r>
      <w:r>
        <w:rPr>
          <w:rFonts w:hint="default" w:ascii="Times New Roman" w:hAnsi="Times New Roman" w:eastAsia="宋体" w:cs="Times New Roman"/>
          <w:color w:val="auto"/>
          <w:kern w:val="21"/>
          <w:sz w:val="24"/>
          <w:szCs w:val="24"/>
          <w:highlight w:val="none"/>
          <w:u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综上所述，该项目废水治理措施可行。</w:t>
      </w:r>
    </w:p>
    <w:p>
      <w:pPr>
        <w:pStyle w:val="29"/>
        <w:ind w:left="0" w:leftChars="0" w:firstLine="0" w:firstLineChars="0"/>
        <w:outlineLvl w:val="9"/>
        <w:rPr>
          <w:rFonts w:hint="default" w:ascii="Times New Roman" w:hAnsi="Times New Roman" w:eastAsia="宋体" w:cs="Times New Roman"/>
          <w:snapToGrid w:val="0"/>
          <w:color w:val="000000"/>
          <w:kern w:val="0"/>
          <w:sz w:val="24"/>
          <w:szCs w:val="24"/>
          <w:lang w:val="en-US" w:eastAsia="zh-CN" w:bidi="ar-SA"/>
          <w14:textOutline w14:w="4358" w14:cap="sq" w14:cmpd="sng">
            <w14:solidFill>
              <w14:srgbClr w14:val="000000"/>
            </w14:solidFill>
            <w14:prstDash w14:val="solid"/>
            <w14:bevel/>
          </w14:textOutline>
        </w:rPr>
      </w:pPr>
      <w:r>
        <w:rPr>
          <w:rFonts w:hint="default" w:ascii="Times New Roman" w:hAnsi="Times New Roman" w:eastAsia="宋体" w:cs="Times New Roman"/>
          <w:b/>
          <w:snapToGrid w:val="0"/>
          <w:color w:val="auto"/>
          <w:kern w:val="0"/>
          <w:sz w:val="24"/>
          <w:szCs w:val="24"/>
          <w:lang w:val="en-US" w:eastAsia="zh-CN" w:bidi="ar-SA"/>
        </w:rPr>
        <w:fldChar w:fldCharType="begin"/>
      </w:r>
      <w:r>
        <w:rPr>
          <w:rFonts w:hint="default" w:ascii="Times New Roman" w:hAnsi="Times New Roman" w:eastAsia="宋体" w:cs="Times New Roman"/>
          <w:b/>
          <w:snapToGrid w:val="0"/>
          <w:color w:val="auto"/>
          <w:kern w:val="0"/>
          <w:sz w:val="24"/>
          <w:szCs w:val="24"/>
          <w:lang w:val="en-US" w:eastAsia="zh-CN" w:bidi="ar-SA"/>
        </w:rPr>
        <w:instrText xml:space="preserve"> HYPERLINK "6.2.1.3" </w:instrText>
      </w:r>
      <w:r>
        <w:rPr>
          <w:rFonts w:hint="default" w:ascii="Times New Roman" w:hAnsi="Times New Roman" w:eastAsia="宋体" w:cs="Times New Roman"/>
          <w:b/>
          <w:snapToGrid w:val="0"/>
          <w:color w:val="auto"/>
          <w:kern w:val="0"/>
          <w:sz w:val="24"/>
          <w:szCs w:val="24"/>
          <w:lang w:val="en-US" w:eastAsia="zh-CN" w:bidi="ar-SA"/>
        </w:rPr>
        <w:fldChar w:fldCharType="separate"/>
      </w:r>
      <w:r>
        <w:rPr>
          <w:rFonts w:hint="default" w:ascii="Times New Roman" w:hAnsi="Times New Roman" w:eastAsia="宋体" w:cs="Times New Roman"/>
          <w:b/>
          <w:snapToGrid w:val="0"/>
          <w:color w:val="auto"/>
          <w:kern w:val="0"/>
          <w:sz w:val="24"/>
          <w:szCs w:val="24"/>
          <w:lang w:val="en-US" w:eastAsia="zh-CN" w:bidi="ar-SA"/>
        </w:rPr>
        <w:t>6.2.1.4</w:t>
      </w:r>
      <w:r>
        <w:rPr>
          <w:rFonts w:hint="default" w:ascii="Times New Roman" w:hAnsi="Times New Roman" w:eastAsia="宋体" w:cs="Times New Roman"/>
          <w:b/>
          <w:snapToGrid w:val="0"/>
          <w:color w:val="auto"/>
          <w:kern w:val="0"/>
          <w:sz w:val="24"/>
          <w:szCs w:val="24"/>
          <w:lang w:val="en-US" w:eastAsia="zh-CN" w:bidi="ar-SA"/>
        </w:rPr>
        <w:fldChar w:fldCharType="end"/>
      </w:r>
      <w:r>
        <w:rPr>
          <w:rFonts w:hint="default" w:ascii="Times New Roman" w:hAnsi="Times New Roman" w:eastAsia="宋体" w:cs="Times New Roman"/>
          <w:b/>
          <w:snapToGrid w:val="0"/>
          <w:color w:val="auto"/>
          <w:kern w:val="0"/>
          <w:sz w:val="24"/>
          <w:szCs w:val="24"/>
          <w:lang w:val="en-US" w:eastAsia="zh-CN" w:bidi="ar-SA"/>
        </w:rPr>
        <w:t xml:space="preserve">  项目废水排入兴隆镇污水处理厂可行性分析</w:t>
      </w:r>
    </w:p>
    <w:p>
      <w:pPr>
        <w:pStyle w:val="30"/>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kern w:val="21"/>
          <w:sz w:val="24"/>
          <w:szCs w:val="24"/>
          <w:highlight w:val="none"/>
          <w:u w:val="none"/>
          <w:lang w:val="en-US" w:eastAsia="zh-CN" w:bidi="ar-SA"/>
        </w:rPr>
      </w:pPr>
      <w:r>
        <w:rPr>
          <w:rFonts w:hint="default" w:ascii="Times New Roman" w:hAnsi="Times New Roman" w:eastAsia="宋体" w:cs="Times New Roman"/>
          <w:color w:val="auto"/>
          <w:kern w:val="21"/>
          <w:sz w:val="24"/>
          <w:szCs w:val="24"/>
          <w:highlight w:val="none"/>
          <w:u w:val="none"/>
          <w:lang w:val="en-US" w:eastAsia="zh-CN" w:bidi="ar-SA"/>
        </w:rPr>
        <w:t>兴隆镇污水厂设计处理规模1万m</w:t>
      </w:r>
      <w:r>
        <w:rPr>
          <w:rFonts w:hint="default" w:ascii="Times New Roman" w:hAnsi="Times New Roman" w:eastAsia="宋体" w:cs="Times New Roman"/>
          <w:color w:val="auto"/>
          <w:kern w:val="21"/>
          <w:sz w:val="24"/>
          <w:szCs w:val="24"/>
          <w:highlight w:val="none"/>
          <w:u w:val="none"/>
          <w:vertAlign w:val="superscript"/>
          <w:lang w:val="en-US" w:eastAsia="zh-CN" w:bidi="ar-SA"/>
        </w:rPr>
        <w:t>3</w:t>
      </w:r>
      <w:r>
        <w:rPr>
          <w:rFonts w:hint="default" w:ascii="Times New Roman" w:hAnsi="Times New Roman" w:eastAsia="宋体" w:cs="Times New Roman"/>
          <w:color w:val="auto"/>
          <w:kern w:val="21"/>
          <w:sz w:val="24"/>
          <w:szCs w:val="24"/>
          <w:highlight w:val="none"/>
          <w:u w:val="none"/>
          <w:lang w:val="en-US" w:eastAsia="zh-CN" w:bidi="ar-SA"/>
        </w:rPr>
        <w:t>/d，污水处理工艺采用预处理+倒置A</w:t>
      </w:r>
      <w:r>
        <w:rPr>
          <w:rFonts w:hint="default" w:ascii="Times New Roman" w:hAnsi="Times New Roman" w:eastAsia="宋体" w:cs="Times New Roman"/>
          <w:color w:val="auto"/>
          <w:kern w:val="21"/>
          <w:sz w:val="24"/>
          <w:szCs w:val="24"/>
          <w:highlight w:val="none"/>
          <w:u w:val="none"/>
          <w:vertAlign w:val="superscript"/>
          <w:lang w:val="en-US" w:eastAsia="zh-CN" w:bidi="ar-SA"/>
        </w:rPr>
        <w:t>2</w:t>
      </w:r>
      <w:r>
        <w:rPr>
          <w:rFonts w:hint="default" w:ascii="Times New Roman" w:hAnsi="Times New Roman" w:eastAsia="宋体" w:cs="Times New Roman"/>
          <w:color w:val="auto"/>
          <w:kern w:val="21"/>
          <w:sz w:val="24"/>
          <w:szCs w:val="24"/>
          <w:highlight w:val="none"/>
          <w:u w:val="none"/>
          <w:lang w:val="en-US" w:eastAsia="zh-CN" w:bidi="ar-SA"/>
        </w:rPr>
        <w:t>/O+二沉池+混凝沉淀+过滤+紫外线消毒工艺，污水排放标准执行《城镇污水处理厂污染物排放标准》（GB18918-2002）中一级A排放标准后经龙须沟汇入泥河。本项目</w:t>
      </w:r>
      <w:r>
        <w:rPr>
          <w:rFonts w:hint="eastAsia" w:ascii="Times New Roman" w:hAnsi="Times New Roman" w:eastAsia="宋体" w:cs="Times New Roman"/>
          <w:color w:val="auto"/>
          <w:kern w:val="21"/>
          <w:sz w:val="24"/>
          <w:szCs w:val="24"/>
          <w:highlight w:val="none"/>
          <w:u w:val="none"/>
          <w:lang w:val="en-US" w:eastAsia="zh-CN" w:bidi="ar-SA"/>
        </w:rPr>
        <w:t>扩建后</w:t>
      </w:r>
      <w:r>
        <w:rPr>
          <w:rFonts w:hint="default" w:ascii="Times New Roman" w:hAnsi="Times New Roman" w:eastAsia="宋体" w:cs="Times New Roman"/>
          <w:color w:val="auto"/>
          <w:kern w:val="21"/>
          <w:sz w:val="24"/>
          <w:szCs w:val="24"/>
          <w:highlight w:val="none"/>
          <w:u w:val="none"/>
          <w:lang w:val="en-US" w:eastAsia="zh-CN" w:bidi="ar-SA"/>
        </w:rPr>
        <w:t>排入兴隆镇污水处理厂水量为</w:t>
      </w:r>
      <w:r>
        <w:rPr>
          <w:rFonts w:hint="eastAsia" w:ascii="Times New Roman" w:hAnsi="Times New Roman" w:eastAsia="宋体" w:cs="Times New Roman"/>
          <w:color w:val="auto"/>
          <w:kern w:val="21"/>
          <w:sz w:val="24"/>
          <w:szCs w:val="24"/>
          <w:highlight w:val="none"/>
          <w:u w:val="none"/>
          <w:lang w:val="en-US" w:eastAsia="zh-CN" w:bidi="ar-SA"/>
        </w:rPr>
        <w:t>234.09</w:t>
      </w:r>
      <w:r>
        <w:rPr>
          <w:rFonts w:hint="default" w:ascii="Times New Roman" w:hAnsi="Times New Roman" w:eastAsia="宋体" w:cs="Times New Roman"/>
          <w:color w:val="auto"/>
          <w:kern w:val="21"/>
          <w:sz w:val="24"/>
          <w:szCs w:val="24"/>
          <w:highlight w:val="none"/>
          <w:u w:val="none"/>
          <w:lang w:val="en-US" w:eastAsia="zh-CN" w:bidi="ar-SA"/>
        </w:rPr>
        <w:t>m</w:t>
      </w:r>
      <w:r>
        <w:rPr>
          <w:rFonts w:hint="default" w:ascii="Times New Roman" w:hAnsi="Times New Roman" w:eastAsia="宋体" w:cs="Times New Roman"/>
          <w:color w:val="auto"/>
          <w:kern w:val="21"/>
          <w:sz w:val="24"/>
          <w:szCs w:val="24"/>
          <w:highlight w:val="none"/>
          <w:u w:val="none"/>
          <w:vertAlign w:val="superscript"/>
          <w:lang w:val="en-US" w:eastAsia="zh-CN" w:bidi="ar-SA"/>
        </w:rPr>
        <w:t>3</w:t>
      </w:r>
      <w:r>
        <w:rPr>
          <w:rFonts w:hint="default" w:ascii="Times New Roman" w:hAnsi="Times New Roman" w:eastAsia="宋体" w:cs="Times New Roman"/>
          <w:color w:val="auto"/>
          <w:kern w:val="21"/>
          <w:sz w:val="24"/>
          <w:szCs w:val="24"/>
          <w:highlight w:val="none"/>
          <w:u w:val="none"/>
          <w:lang w:val="en-US" w:eastAsia="zh-CN" w:bidi="ar-SA"/>
        </w:rPr>
        <w:t>/d，污水厂现有余量5000m</w:t>
      </w:r>
      <w:r>
        <w:rPr>
          <w:rFonts w:hint="default" w:ascii="Times New Roman" w:hAnsi="Times New Roman" w:eastAsia="宋体" w:cs="Times New Roman"/>
          <w:color w:val="auto"/>
          <w:kern w:val="21"/>
          <w:sz w:val="24"/>
          <w:szCs w:val="24"/>
          <w:highlight w:val="none"/>
          <w:u w:val="none"/>
          <w:vertAlign w:val="superscript"/>
          <w:lang w:val="en-US" w:eastAsia="zh-CN" w:bidi="ar-SA"/>
        </w:rPr>
        <w:t>3</w:t>
      </w:r>
      <w:r>
        <w:rPr>
          <w:rFonts w:hint="default" w:ascii="Times New Roman" w:hAnsi="Times New Roman" w:eastAsia="宋体" w:cs="Times New Roman"/>
          <w:color w:val="auto"/>
          <w:kern w:val="21"/>
          <w:sz w:val="24"/>
          <w:szCs w:val="24"/>
          <w:highlight w:val="none"/>
          <w:u w:val="none"/>
          <w:lang w:val="en-US" w:eastAsia="zh-CN" w:bidi="ar-SA"/>
        </w:rPr>
        <w:t>/d，有能力接纳本项目废水，能够满足本项目废水排放要求。</w:t>
      </w:r>
    </w:p>
    <w:p>
      <w:pPr>
        <w:pStyle w:val="29"/>
        <w:ind w:left="0" w:leftChars="0" w:firstLine="0" w:firstLineChars="0"/>
        <w:outlineLvl w:val="9"/>
        <w:rPr>
          <w:rFonts w:hint="default" w:ascii="Times New Roman" w:hAnsi="Times New Roman" w:eastAsia="宋体" w:cs="Times New Roman"/>
          <w:b/>
          <w:snapToGrid w:val="0"/>
          <w:color w:val="auto"/>
          <w:kern w:val="0"/>
          <w:sz w:val="24"/>
          <w:szCs w:val="24"/>
          <w:lang w:val="en-US" w:eastAsia="zh-CN" w:bidi="ar-SA"/>
        </w:rPr>
      </w:pPr>
      <w:r>
        <w:rPr>
          <w:rFonts w:hint="default" w:ascii="Times New Roman" w:hAnsi="Times New Roman" w:eastAsia="宋体" w:cs="Times New Roman"/>
          <w:b/>
          <w:snapToGrid w:val="0"/>
          <w:color w:val="auto"/>
          <w:kern w:val="0"/>
          <w:sz w:val="24"/>
          <w:szCs w:val="24"/>
          <w:lang w:val="en-US" w:eastAsia="zh-CN" w:bidi="ar-SA"/>
        </w:rPr>
        <w:t>6.2.1.5  废水事故池</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为了在检修等非正常情况下有效避免事故排水对纳污水体的影响，要求建设一个容积至少为</w:t>
      </w:r>
      <w:r>
        <w:rPr>
          <w:rFonts w:hint="default" w:ascii="Times New Roman" w:hAnsi="Times New Roman" w:eastAsia="宋体" w:cs="Times New Roman"/>
          <w:color w:val="auto"/>
          <w:sz w:val="24"/>
          <w:szCs w:val="24"/>
          <w:lang w:val="en-US" w:eastAsia="zh-CN"/>
        </w:rPr>
        <w:t>140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的事故贮水池（至少容纳</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天污水量），事故贮水池做防渗处理，在污水处理系统检修或出现故障时存放废水，检修正常后将事故池存水引入污水处理系统处理达到要求后排放。</w:t>
      </w:r>
    </w:p>
    <w:p>
      <w:pPr>
        <w:pStyle w:val="11"/>
        <w:widowControl w:val="0"/>
        <w:numPr>
          <w:ilvl w:val="2"/>
          <w:numId w:val="0"/>
        </w:numPr>
        <w:kinsoku/>
        <w:autoSpaceDE/>
        <w:autoSpaceDN/>
        <w:adjustRightInd/>
        <w:snapToGrid/>
        <w:spacing w:before="0" w:after="0" w:line="360" w:lineRule="auto"/>
        <w:contextualSpacing/>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eastAsia="zh-CN"/>
        </w:rPr>
        <w:t xml:space="preserve">6.2.2 </w:t>
      </w:r>
      <w:r>
        <w:rPr>
          <w:rFonts w:hint="default" w:ascii="Times New Roman" w:hAnsi="Times New Roman" w:eastAsia="宋体" w:cs="Times New Roman"/>
          <w:b/>
          <w:bCs w:val="0"/>
          <w:snapToGrid/>
          <w:color w:val="auto"/>
          <w:kern w:val="2"/>
          <w:sz w:val="28"/>
          <w:szCs w:val="28"/>
          <w:lang w:val="en-US" w:eastAsia="zh-CN"/>
        </w:rPr>
        <w:t>大气污染防治对策与措施</w:t>
      </w:r>
    </w:p>
    <w:p>
      <w:pPr>
        <w:keepNext w:val="0"/>
        <w:keepLines w:val="0"/>
        <w:pageBreakBefore w:val="0"/>
        <w:wordWrap/>
        <w:overflowPunct/>
        <w:topLinePunct w:val="0"/>
        <w:bidi w:val="0"/>
        <w:spacing w:line="360" w:lineRule="auto"/>
        <w:jc w:val="both"/>
        <w:outlineLvl w:val="9"/>
        <w:rPr>
          <w:rFonts w:hint="default" w:ascii="Times New Roman" w:hAnsi="Times New Roman" w:eastAsia="宋体" w:cs="Times New Roman"/>
          <w:sz w:val="24"/>
          <w:szCs w:val="24"/>
          <w:lang w:eastAsia="zh-CN"/>
        </w:rPr>
      </w:pPr>
      <w:r>
        <w:rPr>
          <w:rFonts w:hint="default" w:ascii="Times New Roman" w:hAnsi="Times New Roman" w:eastAsia="宋体" w:cs="Times New Roman"/>
          <w:b/>
          <w:snapToGrid w:val="0"/>
          <w:color w:val="auto"/>
          <w:kern w:val="0"/>
          <w:sz w:val="24"/>
          <w:szCs w:val="24"/>
          <w:lang w:val="en-US" w:eastAsia="zh-CN" w:bidi="ar-SA"/>
        </w:rPr>
        <w:fldChar w:fldCharType="begin"/>
      </w:r>
      <w:r>
        <w:rPr>
          <w:rFonts w:hint="default" w:ascii="Times New Roman" w:hAnsi="Times New Roman" w:eastAsia="宋体" w:cs="Times New Roman"/>
          <w:b/>
          <w:snapToGrid w:val="0"/>
          <w:color w:val="auto"/>
          <w:kern w:val="0"/>
          <w:sz w:val="24"/>
          <w:szCs w:val="24"/>
          <w:lang w:val="en-US" w:eastAsia="zh-CN" w:bidi="ar-SA"/>
        </w:rPr>
        <w:instrText xml:space="preserve"> HYPERLINK "6.2.2.1" </w:instrText>
      </w:r>
      <w:r>
        <w:rPr>
          <w:rFonts w:hint="default" w:ascii="Times New Roman" w:hAnsi="Times New Roman" w:eastAsia="宋体" w:cs="Times New Roman"/>
          <w:b/>
          <w:snapToGrid w:val="0"/>
          <w:color w:val="auto"/>
          <w:kern w:val="0"/>
          <w:sz w:val="24"/>
          <w:szCs w:val="24"/>
          <w:lang w:val="en-US" w:eastAsia="zh-CN" w:bidi="ar-SA"/>
        </w:rPr>
        <w:fldChar w:fldCharType="separate"/>
      </w:r>
      <w:r>
        <w:rPr>
          <w:rFonts w:hint="default" w:ascii="Times New Roman" w:hAnsi="Times New Roman" w:eastAsia="宋体" w:cs="Times New Roman"/>
          <w:b/>
          <w:snapToGrid w:val="0"/>
          <w:color w:val="auto"/>
          <w:kern w:val="0"/>
          <w:sz w:val="24"/>
          <w:szCs w:val="24"/>
          <w:lang w:val="en-US" w:eastAsia="zh-CN" w:bidi="ar-SA"/>
        </w:rPr>
        <w:t>6.2.2.1</w:t>
      </w:r>
      <w:r>
        <w:rPr>
          <w:rFonts w:hint="default" w:ascii="Times New Roman" w:hAnsi="Times New Roman" w:eastAsia="宋体" w:cs="Times New Roman"/>
          <w:b/>
          <w:snapToGrid w:val="0"/>
          <w:color w:val="auto"/>
          <w:kern w:val="0"/>
          <w:sz w:val="24"/>
          <w:szCs w:val="24"/>
          <w:lang w:val="en-US" w:eastAsia="zh-CN" w:bidi="ar-SA"/>
        </w:rPr>
        <w:fldChar w:fldCharType="end"/>
      </w:r>
      <w:r>
        <w:rPr>
          <w:rFonts w:hint="default" w:ascii="Times New Roman" w:hAnsi="Times New Roman" w:eastAsia="宋体" w:cs="Times New Roman"/>
          <w:b/>
          <w:snapToGrid w:val="0"/>
          <w:color w:val="auto"/>
          <w:kern w:val="0"/>
          <w:sz w:val="24"/>
          <w:szCs w:val="24"/>
          <w:lang w:val="en-US" w:eastAsia="zh-CN" w:bidi="ar-SA"/>
        </w:rPr>
        <w:t xml:space="preserve">  恶臭污染防治措施</w:t>
      </w:r>
    </w:p>
    <w:p>
      <w:pPr>
        <w:pStyle w:val="5"/>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cs="Times New Roman"/>
          <w:color w:val="auto"/>
          <w:spacing w:val="0"/>
          <w:kern w:val="2"/>
          <w:szCs w:val="24"/>
        </w:rPr>
      </w:pPr>
      <w:r>
        <w:rPr>
          <w:rFonts w:hint="default" w:ascii="Times New Roman" w:hAnsi="Times New Roman" w:cs="Times New Roman"/>
          <w:color w:val="auto"/>
          <w:spacing w:val="0"/>
          <w:kern w:val="2"/>
          <w:szCs w:val="24"/>
        </w:rPr>
        <w:t>《排污许可证申请与核发技术规范农副食品加工工业—屠宰及肉类加工工业》（HJ 860.3—2018）中表3屠宰及肉类加工工业排污单位废气产污环节、污染控制项目、排放形式及污染治理设施一览表对项目产生的恶臭进行环保措施的选择</w:t>
      </w:r>
      <w:r>
        <w:rPr>
          <w:rFonts w:hint="default" w:ascii="Times New Roman" w:hAnsi="Times New Roman" w:cs="Times New Roman"/>
          <w:color w:val="auto"/>
          <w:spacing w:val="0"/>
          <w:kern w:val="2"/>
          <w:szCs w:val="24"/>
          <w:lang w:eastAsia="zh-CN"/>
        </w:rPr>
        <w:t>。</w:t>
      </w:r>
      <w:r>
        <w:rPr>
          <w:rFonts w:hint="default" w:ascii="Times New Roman" w:hAnsi="Times New Roman" w:cs="Times New Roman"/>
          <w:color w:val="auto"/>
          <w:spacing w:val="0"/>
          <w:kern w:val="2"/>
          <w:szCs w:val="24"/>
        </w:rPr>
        <w:t>下表为各除臭方式原理、优缺点及适用范围比较见表6</w:t>
      </w:r>
      <w:r>
        <w:rPr>
          <w:rFonts w:hint="default" w:ascii="Times New Roman" w:hAnsi="Times New Roman" w:eastAsia="宋体" w:cs="Times New Roman"/>
          <w:color w:val="auto"/>
          <w:spacing w:val="0"/>
          <w:kern w:val="2"/>
          <w:szCs w:val="24"/>
          <w:lang w:val="en-US" w:eastAsia="zh-CN"/>
        </w:rPr>
        <w:t>-</w:t>
      </w:r>
      <w:r>
        <w:rPr>
          <w:rFonts w:hint="default" w:ascii="Times New Roman" w:hAnsi="Times New Roman" w:cs="Times New Roman"/>
          <w:color w:val="auto"/>
          <w:spacing w:val="0"/>
          <w:kern w:val="2"/>
          <w:szCs w:val="24"/>
        </w:rPr>
        <w:t>2-</w:t>
      </w:r>
      <w:r>
        <w:rPr>
          <w:rFonts w:hint="default" w:ascii="Times New Roman" w:hAnsi="Times New Roman" w:cs="Times New Roman"/>
          <w:color w:val="auto"/>
          <w:spacing w:val="0"/>
          <w:kern w:val="2"/>
          <w:szCs w:val="24"/>
          <w:lang w:val="en-US" w:eastAsia="zh-CN"/>
        </w:rPr>
        <w:t>2</w:t>
      </w:r>
      <w:r>
        <w:rPr>
          <w:rFonts w:hint="default" w:ascii="Times New Roman" w:hAnsi="Times New Roman" w:cs="Times New Roman"/>
          <w:color w:val="auto"/>
          <w:spacing w:val="0"/>
          <w:kern w:val="2"/>
          <w:szCs w:val="24"/>
        </w:rPr>
        <w:t>。</w:t>
      </w:r>
    </w:p>
    <w:p>
      <w:pPr>
        <w:keepNext w:val="0"/>
        <w:keepLines w:val="0"/>
        <w:pageBreakBefore w:val="0"/>
        <w:wordWrap/>
        <w:overflowPunct/>
        <w:topLinePunct w:val="0"/>
        <w:bidi w:val="0"/>
        <w:spacing w:line="360" w:lineRule="auto"/>
        <w:ind w:left="0" w:firstLine="420" w:firstLineChars="200"/>
        <w:jc w:val="both"/>
        <w:outlineLvl w:val="9"/>
        <w:rPr>
          <w:rFonts w:hint="default" w:ascii="Times New Roman" w:hAnsi="Times New Roman" w:cs="Times New Roman"/>
        </w:rPr>
        <w:sectPr>
          <w:headerReference r:id="rId20" w:type="default"/>
          <w:pgSz w:w="11910" w:h="16840"/>
          <w:pgMar w:top="1138" w:right="1308" w:bottom="1163" w:left="1307" w:header="897" w:footer="998" w:gutter="0"/>
          <w:pgBorders>
            <w:top w:val="none" w:sz="0" w:space="0"/>
            <w:left w:val="none" w:sz="0" w:space="0"/>
            <w:bottom w:val="none" w:sz="0" w:space="0"/>
            <w:right w:val="none" w:sz="0" w:space="0"/>
          </w:pgBorders>
          <w:pgNumType w:fmt="decimal"/>
          <w:cols w:space="720" w:num="1"/>
        </w:sectPr>
      </w:pPr>
    </w:p>
    <w:p>
      <w:pPr>
        <w:pStyle w:val="5"/>
        <w:keepNext w:val="0"/>
        <w:keepLines w:val="0"/>
        <w:pageBreakBefore w:val="0"/>
        <w:kinsoku/>
        <w:wordWrap/>
        <w:overflowPunct/>
        <w:topLinePunct w:val="0"/>
        <w:autoSpaceDE/>
        <w:autoSpaceDN/>
        <w:bidi w:val="0"/>
        <w:adjustRightInd/>
        <w:snapToGrid/>
        <w:spacing w:after="0" w:line="240" w:lineRule="auto"/>
        <w:ind w:firstLine="422" w:firstLineChars="200"/>
        <w:jc w:val="center"/>
        <w:textAlignment w:val="auto"/>
        <w:rPr>
          <w:rFonts w:hint="default" w:ascii="Times New Roman" w:hAnsi="Times New Roman" w:eastAsia="宋体" w:cs="Times New Roman"/>
          <w:b/>
          <w:bCs/>
          <w:color w:val="auto"/>
          <w:spacing w:val="0"/>
          <w:kern w:val="2"/>
          <w:sz w:val="21"/>
          <w:szCs w:val="21"/>
        </w:rPr>
      </w:pPr>
      <w:r>
        <w:rPr>
          <w:rFonts w:hint="default" w:ascii="Times New Roman" w:hAnsi="Times New Roman" w:eastAsia="宋体" w:cs="Times New Roman"/>
          <w:b/>
          <w:bCs/>
          <w:color w:val="auto"/>
          <w:spacing w:val="0"/>
          <w:kern w:val="2"/>
          <w:sz w:val="21"/>
          <w:szCs w:val="21"/>
        </w:rPr>
        <w:t>表6</w:t>
      </w:r>
      <w:r>
        <w:rPr>
          <w:rFonts w:hint="default" w:ascii="Times New Roman" w:hAnsi="Times New Roman" w:eastAsia="宋体" w:cs="Times New Roman"/>
          <w:b/>
          <w:bCs/>
          <w:color w:val="auto"/>
          <w:spacing w:val="0"/>
          <w:kern w:val="2"/>
          <w:sz w:val="21"/>
          <w:szCs w:val="21"/>
          <w:lang w:val="en-US" w:eastAsia="zh-CN"/>
        </w:rPr>
        <w:t>-</w:t>
      </w:r>
      <w:r>
        <w:rPr>
          <w:rFonts w:hint="default" w:ascii="Times New Roman" w:hAnsi="Times New Roman" w:eastAsia="宋体" w:cs="Times New Roman"/>
          <w:b/>
          <w:bCs/>
          <w:color w:val="auto"/>
          <w:spacing w:val="0"/>
          <w:kern w:val="2"/>
          <w:sz w:val="21"/>
          <w:szCs w:val="21"/>
        </w:rPr>
        <w:t>2-</w:t>
      </w:r>
      <w:r>
        <w:rPr>
          <w:rFonts w:hint="default" w:ascii="Times New Roman" w:hAnsi="Times New Roman" w:eastAsia="宋体" w:cs="Times New Roman"/>
          <w:b/>
          <w:bCs/>
          <w:color w:val="auto"/>
          <w:spacing w:val="0"/>
          <w:kern w:val="2"/>
          <w:sz w:val="21"/>
          <w:szCs w:val="21"/>
          <w:lang w:val="en-US" w:eastAsia="zh-CN"/>
        </w:rPr>
        <w:t>2</w:t>
      </w:r>
      <w:r>
        <w:rPr>
          <w:rFonts w:hint="default" w:ascii="Times New Roman" w:hAnsi="Times New Roman" w:eastAsia="宋体" w:cs="Times New Roman"/>
          <w:b/>
          <w:bCs/>
          <w:color w:val="auto"/>
          <w:spacing w:val="0"/>
          <w:kern w:val="2"/>
          <w:sz w:val="21"/>
          <w:szCs w:val="21"/>
        </w:rPr>
        <w:t xml:space="preserve"> </w:t>
      </w:r>
      <w:r>
        <w:rPr>
          <w:rFonts w:hint="default" w:ascii="Times New Roman" w:hAnsi="Times New Roman" w:eastAsia="宋体" w:cs="Times New Roman"/>
          <w:b/>
          <w:bCs/>
          <w:color w:val="auto"/>
          <w:spacing w:val="0"/>
          <w:kern w:val="2"/>
          <w:sz w:val="21"/>
          <w:szCs w:val="21"/>
          <w:lang w:val="en-US" w:eastAsia="zh-CN"/>
        </w:rPr>
        <w:t xml:space="preserve"> </w:t>
      </w:r>
      <w:r>
        <w:rPr>
          <w:rFonts w:hint="default" w:ascii="Times New Roman" w:hAnsi="Times New Roman" w:eastAsia="宋体" w:cs="Times New Roman"/>
          <w:b/>
          <w:bCs/>
          <w:color w:val="auto"/>
          <w:spacing w:val="0"/>
          <w:kern w:val="2"/>
          <w:sz w:val="21"/>
          <w:szCs w:val="21"/>
        </w:rPr>
        <w:t>除臭方法比选</w:t>
      </w:r>
    </w:p>
    <w:tbl>
      <w:tblPr>
        <w:tblStyle w:val="25"/>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47"/>
        <w:gridCol w:w="5268"/>
        <w:gridCol w:w="2986"/>
        <w:gridCol w:w="3411"/>
        <w:gridCol w:w="14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8" w:type="pct"/>
            <w:noWrap w:val="0"/>
            <w:vAlign w:val="center"/>
          </w:tcPr>
          <w:p>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spacing w:val="0"/>
                <w:kern w:val="2"/>
                <w:sz w:val="21"/>
                <w:szCs w:val="21"/>
              </w:rPr>
            </w:pPr>
            <w:r>
              <w:rPr>
                <w:rFonts w:hint="default" w:ascii="Times New Roman" w:hAnsi="Times New Roman" w:eastAsia="宋体" w:cs="Times New Roman"/>
                <w:color w:val="auto"/>
                <w:spacing w:val="0"/>
                <w:kern w:val="2"/>
                <w:sz w:val="21"/>
                <w:szCs w:val="21"/>
              </w:rPr>
              <w:t>除臭方式</w:t>
            </w:r>
          </w:p>
        </w:tc>
        <w:tc>
          <w:tcPr>
            <w:tcW w:w="1785" w:type="pct"/>
            <w:noWrap w:val="0"/>
            <w:vAlign w:val="center"/>
          </w:tcPr>
          <w:p>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spacing w:val="0"/>
                <w:kern w:val="2"/>
                <w:sz w:val="21"/>
                <w:szCs w:val="21"/>
              </w:rPr>
            </w:pPr>
            <w:r>
              <w:rPr>
                <w:rFonts w:hint="default" w:ascii="Times New Roman" w:hAnsi="Times New Roman" w:eastAsia="宋体" w:cs="Times New Roman"/>
                <w:color w:val="auto"/>
                <w:spacing w:val="0"/>
                <w:kern w:val="2"/>
                <w:sz w:val="21"/>
                <w:szCs w:val="21"/>
              </w:rPr>
              <w:t>除臭原理</w:t>
            </w:r>
          </w:p>
        </w:tc>
        <w:tc>
          <w:tcPr>
            <w:tcW w:w="1012" w:type="pct"/>
            <w:noWrap w:val="0"/>
            <w:vAlign w:val="center"/>
          </w:tcPr>
          <w:p>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spacing w:val="0"/>
                <w:kern w:val="2"/>
                <w:sz w:val="21"/>
                <w:szCs w:val="21"/>
              </w:rPr>
            </w:pPr>
            <w:r>
              <w:rPr>
                <w:rFonts w:hint="default" w:ascii="Times New Roman" w:hAnsi="Times New Roman" w:eastAsia="宋体" w:cs="Times New Roman"/>
                <w:color w:val="auto"/>
                <w:spacing w:val="0"/>
                <w:kern w:val="2"/>
                <w:sz w:val="21"/>
                <w:szCs w:val="21"/>
              </w:rPr>
              <w:t>优点</w:t>
            </w:r>
          </w:p>
        </w:tc>
        <w:tc>
          <w:tcPr>
            <w:tcW w:w="1156" w:type="pct"/>
            <w:noWrap w:val="0"/>
            <w:vAlign w:val="center"/>
          </w:tcPr>
          <w:p>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spacing w:val="0"/>
                <w:kern w:val="2"/>
                <w:sz w:val="21"/>
                <w:szCs w:val="21"/>
              </w:rPr>
            </w:pPr>
            <w:r>
              <w:rPr>
                <w:rFonts w:hint="default" w:ascii="Times New Roman" w:hAnsi="Times New Roman" w:eastAsia="宋体" w:cs="Times New Roman"/>
                <w:color w:val="auto"/>
                <w:spacing w:val="0"/>
                <w:kern w:val="2"/>
                <w:sz w:val="21"/>
                <w:szCs w:val="21"/>
              </w:rPr>
              <w:t>缺点</w:t>
            </w:r>
          </w:p>
        </w:tc>
        <w:tc>
          <w:tcPr>
            <w:tcW w:w="488" w:type="pct"/>
            <w:noWrap w:val="0"/>
            <w:vAlign w:val="center"/>
          </w:tcPr>
          <w:p>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spacing w:val="0"/>
                <w:kern w:val="2"/>
                <w:sz w:val="21"/>
                <w:szCs w:val="21"/>
              </w:rPr>
            </w:pPr>
            <w:r>
              <w:rPr>
                <w:rFonts w:hint="default" w:ascii="Times New Roman" w:hAnsi="Times New Roman" w:eastAsia="宋体" w:cs="Times New Roman"/>
                <w:color w:val="auto"/>
                <w:spacing w:val="0"/>
                <w:kern w:val="2"/>
                <w:sz w:val="21"/>
                <w:szCs w:val="21"/>
              </w:rPr>
              <w:t>适用臭气源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8" w:type="pct"/>
            <w:noWrap w:val="0"/>
            <w:vAlign w:val="center"/>
          </w:tcPr>
          <w:p>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spacing w:val="0"/>
                <w:kern w:val="2"/>
                <w:sz w:val="21"/>
                <w:szCs w:val="21"/>
              </w:rPr>
            </w:pPr>
            <w:r>
              <w:rPr>
                <w:rFonts w:hint="default" w:ascii="Times New Roman" w:hAnsi="Times New Roman" w:eastAsia="宋体" w:cs="Times New Roman"/>
                <w:color w:val="auto"/>
                <w:spacing w:val="0"/>
                <w:kern w:val="2"/>
                <w:sz w:val="21"/>
                <w:szCs w:val="21"/>
              </w:rPr>
              <w:t>燃烧法</w:t>
            </w:r>
          </w:p>
        </w:tc>
        <w:tc>
          <w:tcPr>
            <w:tcW w:w="178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将臭气与氧气(12%以上)混合，在臭气成分的燃点以上(约 800℃)使之燃烧，臭气成分氧化分解达到除臭目的</w:t>
            </w:r>
          </w:p>
        </w:tc>
        <w:tc>
          <w:tcPr>
            <w:tcW w:w="1012"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①不受臭气成分的限制；</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②分解彻底，高效；</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③抗冲击负荷</w:t>
            </w:r>
          </w:p>
        </w:tc>
        <w:tc>
          <w:tcPr>
            <w:tcW w:w="115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①投资高；</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②运行费用（燃料费）高；</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③氮氧化物排放量较高，存在二</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次污染问题</w:t>
            </w:r>
          </w:p>
        </w:tc>
        <w:tc>
          <w:tcPr>
            <w:tcW w:w="48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适应于高浓度臭气，有燃烧炉的地方优先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8" w:type="pct"/>
            <w:noWrap w:val="0"/>
            <w:vAlign w:val="center"/>
          </w:tcPr>
          <w:p>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spacing w:val="0"/>
                <w:kern w:val="2"/>
                <w:sz w:val="21"/>
                <w:szCs w:val="21"/>
              </w:rPr>
            </w:pPr>
            <w:r>
              <w:rPr>
                <w:rFonts w:hint="default" w:ascii="Times New Roman" w:hAnsi="Times New Roman" w:eastAsia="宋体" w:cs="Times New Roman"/>
                <w:color w:val="auto"/>
                <w:spacing w:val="0"/>
                <w:kern w:val="2"/>
                <w:sz w:val="21"/>
                <w:szCs w:val="21"/>
              </w:rPr>
              <w:t>滴滤塔除臭</w:t>
            </w:r>
          </w:p>
        </w:tc>
        <w:tc>
          <w:tcPr>
            <w:tcW w:w="178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生物滴滤塔主体为填充塔，内有一层或多层填料，填料表面是由微生物区系形成的几毫米厚的生物膜。含可溶性无机营养液的液体从塔上方均匀地喷洒在填料上，液体自上向下流动,然后由塔底排出并循环利用。有机废气由塔底进入生物滴滤塔，在上升的过程中与润湿的生物膜接触而被净化，净化后的气体由塔顶排出。</w:t>
            </w:r>
          </w:p>
        </w:tc>
        <w:tc>
          <w:tcPr>
            <w:tcW w:w="1012"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具有气、液相接触面积大，运行费用低 、不需要外加营养物、出路效率高</w:t>
            </w:r>
          </w:p>
        </w:tc>
        <w:tc>
          <w:tcPr>
            <w:tcW w:w="115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适用于大气量低浓度恶臭气体的处理</w:t>
            </w:r>
          </w:p>
        </w:tc>
        <w:tc>
          <w:tcPr>
            <w:tcW w:w="48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适应高中低浓度的臭气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8" w:type="pct"/>
            <w:noWrap w:val="0"/>
            <w:vAlign w:val="center"/>
          </w:tcPr>
          <w:p>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spacing w:val="0"/>
                <w:kern w:val="2"/>
                <w:sz w:val="21"/>
                <w:szCs w:val="21"/>
              </w:rPr>
            </w:pPr>
            <w:r>
              <w:rPr>
                <w:rFonts w:hint="default" w:ascii="Times New Roman" w:hAnsi="Times New Roman" w:eastAsia="宋体" w:cs="Times New Roman"/>
                <w:color w:val="auto"/>
                <w:spacing w:val="0"/>
                <w:kern w:val="2"/>
                <w:sz w:val="21"/>
                <w:szCs w:val="21"/>
              </w:rPr>
              <w:t>化学药液洗涤</w:t>
            </w:r>
          </w:p>
        </w:tc>
        <w:tc>
          <w:tcPr>
            <w:tcW w:w="178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采用酸/碱/氧化剂以不可逆转的化学反应来对恶臭物质进行去除；通常使用复数的药液分阶段地进行反应；易溶于水的臭气成分可直接溶于水，也有水洗涤法的称谓。</w:t>
            </w:r>
          </w:p>
        </w:tc>
        <w:tc>
          <w:tcPr>
            <w:tcW w:w="1012"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①去除效率高、效果稳定；</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②设备占地面积较小；</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③抗冲击负荷</w:t>
            </w:r>
          </w:p>
        </w:tc>
        <w:tc>
          <w:tcPr>
            <w:tcW w:w="115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①建设投资较高；</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②运行费用（药剂费）较高；</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③存在二次污染隐患（废液）；</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④机械电气设备繁杂，故障率</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高；</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⑤存在药品（酸碱溶液）安全隐患</w:t>
            </w:r>
          </w:p>
        </w:tc>
        <w:tc>
          <w:tcPr>
            <w:tcW w:w="48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适应于任何浓度臭气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8" w:type="pct"/>
            <w:noWrap w:val="0"/>
            <w:vAlign w:val="center"/>
          </w:tcPr>
          <w:p>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spacing w:val="0"/>
                <w:kern w:val="2"/>
                <w:sz w:val="21"/>
                <w:szCs w:val="21"/>
              </w:rPr>
            </w:pPr>
            <w:r>
              <w:rPr>
                <w:rFonts w:hint="default" w:ascii="Times New Roman" w:hAnsi="Times New Roman" w:eastAsia="宋体" w:cs="Times New Roman"/>
                <w:color w:val="auto"/>
                <w:spacing w:val="0"/>
                <w:kern w:val="2"/>
                <w:sz w:val="21"/>
                <w:szCs w:val="21"/>
              </w:rPr>
              <w:t>等离子除臭</w:t>
            </w:r>
          </w:p>
        </w:tc>
        <w:tc>
          <w:tcPr>
            <w:tcW w:w="178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通过离子发生装置发射出高能正、负离子，它与空气中的有机挥发气体分子接触，分解臭气中的恶臭物质</w:t>
            </w:r>
          </w:p>
        </w:tc>
        <w:tc>
          <w:tcPr>
            <w:tcW w:w="1012"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操作简单、维护方便；可根据实际情况频繁启停设备，且适用于温差及湿度变化大的场合，无须保温保湿，操作管理及维护简便，只需每半年清洁过滤器和离子管即可</w:t>
            </w:r>
          </w:p>
        </w:tc>
        <w:tc>
          <w:tcPr>
            <w:tcW w:w="115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系统使用寿命不长，更换导致成</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本较高</w:t>
            </w:r>
          </w:p>
        </w:tc>
        <w:tc>
          <w:tcPr>
            <w:tcW w:w="48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适应不宜收集，低浓度</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的地方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8" w:type="pct"/>
            <w:noWrap w:val="0"/>
            <w:vAlign w:val="center"/>
          </w:tcPr>
          <w:p>
            <w:pPr>
              <w:pStyle w:val="5"/>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spacing w:val="0"/>
                <w:kern w:val="2"/>
                <w:sz w:val="21"/>
                <w:szCs w:val="21"/>
              </w:rPr>
            </w:pPr>
            <w:r>
              <w:rPr>
                <w:rFonts w:hint="default" w:ascii="Times New Roman" w:hAnsi="Times New Roman" w:eastAsia="宋体" w:cs="Times New Roman"/>
                <w:color w:val="auto"/>
                <w:spacing w:val="0"/>
                <w:kern w:val="2"/>
                <w:sz w:val="21"/>
                <w:szCs w:val="21"/>
              </w:rPr>
              <w:t>活性炭吸附</w:t>
            </w:r>
          </w:p>
        </w:tc>
        <w:tc>
          <w:tcPr>
            <w:tcW w:w="178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通过活性炭的吸附能力，将臭气分子吸收，从而达到去除臭味的目的</w:t>
            </w:r>
          </w:p>
        </w:tc>
        <w:tc>
          <w:tcPr>
            <w:tcW w:w="1012"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①设备简单，投资省；</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②适合去除低浓度臭气；</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③抗冲击负荷。</w:t>
            </w:r>
          </w:p>
        </w:tc>
        <w:tc>
          <w:tcPr>
            <w:tcW w:w="115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①不适合高浓度臭气；</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②需要定期更换或再生活性炭。</w:t>
            </w:r>
          </w:p>
        </w:tc>
        <w:tc>
          <w:tcPr>
            <w:tcW w:w="48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适应于任何</w:t>
            </w:r>
            <w:r>
              <w:rPr>
                <w:rFonts w:hint="default" w:ascii="Times New Roman" w:hAnsi="Times New Roman" w:eastAsia="宋体" w:cs="Times New Roman"/>
                <w:color w:val="auto"/>
                <w:spacing w:val="0"/>
                <w:kern w:val="0"/>
                <w:sz w:val="21"/>
                <w:szCs w:val="21"/>
              </w:rPr>
              <w:br w:type="textWrapping"/>
            </w:r>
            <w:r>
              <w:rPr>
                <w:rFonts w:hint="default" w:ascii="Times New Roman" w:hAnsi="Times New Roman" w:eastAsia="宋体" w:cs="Times New Roman"/>
                <w:color w:val="auto"/>
                <w:spacing w:val="0"/>
                <w:kern w:val="0"/>
                <w:sz w:val="21"/>
                <w:szCs w:val="21"/>
              </w:rPr>
              <w:t>浓度臭气</w:t>
            </w:r>
          </w:p>
        </w:tc>
      </w:tr>
    </w:tbl>
    <w:p>
      <w:pPr>
        <w:pStyle w:val="29"/>
        <w:rPr>
          <w:rFonts w:hint="default" w:ascii="Times New Roman" w:hAnsi="Times New Roman" w:cs="Times New Roman"/>
        </w:rPr>
        <w:sectPr>
          <w:pgSz w:w="16840" w:h="11910" w:orient="landscape"/>
          <w:pgMar w:top="1307" w:right="1138" w:bottom="1308" w:left="1163" w:header="897" w:footer="998" w:gutter="0"/>
          <w:pgBorders>
            <w:top w:val="none" w:sz="0" w:space="0"/>
            <w:left w:val="none" w:sz="0" w:space="0"/>
            <w:bottom w:val="none" w:sz="0" w:space="0"/>
            <w:right w:val="none" w:sz="0" w:space="0"/>
          </w:pgBorders>
          <w:pgNumType w:fmt="decimal"/>
          <w:cols w:space="720" w:num="1"/>
        </w:sectPr>
      </w:pPr>
    </w:p>
    <w:p>
      <w:pPr>
        <w:rPr>
          <w:rFonts w:hint="default" w:ascii="Times New Roman" w:hAnsi="Times New Roman" w:cs="Times New Roma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pacing w:val="0"/>
          <w:sz w:val="24"/>
          <w:szCs w:val="24"/>
          <w:lang w:eastAsia="zh-CN"/>
        </w:rPr>
      </w:pPr>
      <w:r>
        <w:rPr>
          <w:rFonts w:hint="default" w:ascii="Times New Roman" w:hAnsi="Times New Roman" w:cs="Times New Roman"/>
          <w:color w:val="auto"/>
          <w:spacing w:val="0"/>
          <w:kern w:val="2"/>
          <w:sz w:val="24"/>
          <w:szCs w:val="24"/>
        </w:rPr>
        <w:t>综上所述，本项目采用</w:t>
      </w:r>
      <w:r>
        <w:rPr>
          <w:rFonts w:hint="default" w:ascii="Times New Roman" w:hAnsi="Times New Roman" w:cs="Times New Roman"/>
          <w:color w:val="auto"/>
          <w:sz w:val="24"/>
        </w:rPr>
        <w:t>负压集气收集</w:t>
      </w:r>
      <w:r>
        <w:rPr>
          <w:rFonts w:hint="default" w:ascii="Times New Roman" w:hAnsi="Times New Roman" w:eastAsia="宋体" w:cs="Times New Roman"/>
          <w:color w:val="auto"/>
          <w:sz w:val="24"/>
          <w:lang w:val="en-US" w:eastAsia="zh-CN"/>
        </w:rPr>
        <w:t>+</w:t>
      </w:r>
      <w:r>
        <w:rPr>
          <w:rFonts w:hint="default" w:ascii="Times New Roman" w:hAnsi="Times New Roman" w:cs="Times New Roman"/>
          <w:color w:val="auto"/>
          <w:spacing w:val="0"/>
          <w:kern w:val="2"/>
          <w:sz w:val="24"/>
          <w:szCs w:val="24"/>
          <w:lang w:val="en-US" w:eastAsia="zh-CN"/>
        </w:rPr>
        <w:t>活性炭吸附</w:t>
      </w:r>
      <w:r>
        <w:rPr>
          <w:rFonts w:hint="default" w:ascii="Times New Roman" w:hAnsi="Times New Roman" w:cs="Times New Roman"/>
          <w:color w:val="auto"/>
          <w:spacing w:val="0"/>
          <w:kern w:val="2"/>
          <w:sz w:val="24"/>
          <w:szCs w:val="24"/>
        </w:rPr>
        <w:t>作为污水处理站恶臭净化方法。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0"/>
        <w:rPr>
          <w:rFonts w:hint="default" w:ascii="Times New Roman" w:hAnsi="Times New Roman" w:cs="Times New Roman"/>
          <w:color w:val="auto"/>
          <w:spacing w:val="0"/>
          <w:kern w:val="2"/>
          <w:sz w:val="24"/>
          <w:szCs w:val="24"/>
        </w:rPr>
      </w:pPr>
      <w:bookmarkStart w:id="382" w:name="_Toc23419"/>
      <w:bookmarkStart w:id="383" w:name="_Toc21761"/>
      <w:bookmarkStart w:id="384" w:name="_Toc4593"/>
      <w:bookmarkStart w:id="385" w:name="_Toc19539"/>
      <w:r>
        <w:rPr>
          <w:rFonts w:hint="default" w:ascii="Times New Roman" w:hAnsi="Times New Roman" w:cs="Times New Roman"/>
          <w:color w:val="auto"/>
          <w:spacing w:val="0"/>
          <w:kern w:val="2"/>
          <w:sz w:val="24"/>
          <w:szCs w:val="24"/>
        </w:rPr>
        <w:t>1、有组织恶臭污染防治措施</w:t>
      </w:r>
      <w:bookmarkEnd w:id="382"/>
      <w:bookmarkEnd w:id="383"/>
      <w:bookmarkEnd w:id="384"/>
      <w:bookmarkEnd w:id="38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1"/>
        <w:rPr>
          <w:rFonts w:hint="default" w:ascii="Times New Roman" w:hAnsi="Times New Roman" w:cs="Times New Roman"/>
          <w:color w:val="auto"/>
          <w:spacing w:val="0"/>
          <w:kern w:val="2"/>
          <w:sz w:val="24"/>
          <w:szCs w:val="24"/>
          <w:lang w:val="en-US" w:eastAsia="zh-CN"/>
        </w:rPr>
      </w:pPr>
      <w:bookmarkStart w:id="386" w:name="_Toc31011"/>
      <w:bookmarkStart w:id="387" w:name="_Toc13619"/>
      <w:r>
        <w:rPr>
          <w:rFonts w:hint="default" w:ascii="Times New Roman" w:hAnsi="Times New Roman" w:cs="Times New Roman"/>
          <w:color w:val="auto"/>
          <w:spacing w:val="0"/>
          <w:kern w:val="2"/>
          <w:sz w:val="24"/>
          <w:szCs w:val="24"/>
          <w:lang w:val="en-US" w:eastAsia="zh-CN"/>
        </w:rPr>
        <w:fldChar w:fldCharType="begin"/>
      </w:r>
      <w:r>
        <w:rPr>
          <w:rFonts w:hint="default" w:ascii="Times New Roman" w:hAnsi="Times New Roman" w:cs="Times New Roman"/>
          <w:color w:val="auto"/>
          <w:spacing w:val="0"/>
          <w:kern w:val="2"/>
          <w:sz w:val="24"/>
          <w:szCs w:val="24"/>
          <w:lang w:val="en-US" w:eastAsia="zh-CN"/>
        </w:rPr>
        <w:instrText xml:space="preserve"> = 1 \* GB3 \* MERGEFORMAT </w:instrText>
      </w:r>
      <w:r>
        <w:rPr>
          <w:rFonts w:hint="default" w:ascii="Times New Roman" w:hAnsi="Times New Roman" w:cs="Times New Roman"/>
          <w:color w:val="auto"/>
          <w:spacing w:val="0"/>
          <w:kern w:val="2"/>
          <w:sz w:val="24"/>
          <w:szCs w:val="24"/>
          <w:lang w:val="en-US" w:eastAsia="zh-CN"/>
        </w:rPr>
        <w:fldChar w:fldCharType="separate"/>
      </w:r>
      <w:r>
        <w:rPr>
          <w:rFonts w:hint="default" w:ascii="Times New Roman" w:hAnsi="Times New Roman" w:cs="Times New Roman"/>
          <w:color w:val="auto"/>
          <w:spacing w:val="0"/>
          <w:kern w:val="2"/>
          <w:sz w:val="24"/>
          <w:szCs w:val="24"/>
        </w:rPr>
        <w:t>①</w:t>
      </w:r>
      <w:r>
        <w:rPr>
          <w:rFonts w:hint="default" w:ascii="Times New Roman" w:hAnsi="Times New Roman" w:cs="Times New Roman"/>
          <w:color w:val="auto"/>
          <w:spacing w:val="0"/>
          <w:kern w:val="2"/>
          <w:sz w:val="24"/>
          <w:szCs w:val="24"/>
          <w:lang w:val="en-US" w:eastAsia="zh-CN"/>
        </w:rPr>
        <w:fldChar w:fldCharType="end"/>
      </w:r>
      <w:r>
        <w:rPr>
          <w:rFonts w:hint="default" w:ascii="Times New Roman" w:hAnsi="Times New Roman" w:cs="Times New Roman"/>
          <w:color w:val="auto"/>
          <w:spacing w:val="0"/>
          <w:kern w:val="2"/>
          <w:sz w:val="24"/>
          <w:szCs w:val="24"/>
          <w:lang w:val="en-US" w:eastAsia="zh-CN"/>
        </w:rPr>
        <w:t>待宰圈</w:t>
      </w:r>
      <w:bookmarkEnd w:id="386"/>
      <w:bookmarkEnd w:id="387"/>
    </w:p>
    <w:p>
      <w:pPr>
        <w:keepNext w:val="0"/>
        <w:keepLines w:val="0"/>
        <w:pageBreakBefore w:val="0"/>
        <w:widowControl w:val="0"/>
        <w:kinsoku/>
        <w:wordWrap/>
        <w:overflowPunct/>
        <w:topLinePunct w:val="0"/>
        <w:bidi w:val="0"/>
        <w:adjustRightInd/>
        <w:snapToGrid/>
        <w:spacing w:line="360" w:lineRule="auto"/>
        <w:ind w:left="0" w:firstLine="480" w:firstLineChars="200"/>
        <w:jc w:val="both"/>
        <w:textAlignment w:val="auto"/>
        <w:rPr>
          <w:rFonts w:hint="default" w:ascii="Times New Roman" w:hAnsi="Times New Roman" w:eastAsia="宋体" w:cs="Times New Roman"/>
          <w:smallCaps w:val="0"/>
          <w:color w:val="auto"/>
          <w:spacing w:val="0"/>
          <w:sz w:val="24"/>
          <w:szCs w:val="24"/>
        </w:rPr>
      </w:pPr>
      <w:r>
        <w:rPr>
          <w:rFonts w:hint="default" w:ascii="Times New Roman" w:hAnsi="Times New Roman" w:eastAsia="宋体" w:cs="Times New Roman"/>
          <w:smallCaps w:val="0"/>
          <w:color w:val="auto"/>
          <w:spacing w:val="0"/>
          <w:sz w:val="24"/>
          <w:szCs w:val="24"/>
        </w:rPr>
        <w:t>待宰</w:t>
      </w:r>
      <w:r>
        <w:rPr>
          <w:rFonts w:hint="default" w:ascii="Times New Roman" w:hAnsi="Times New Roman" w:eastAsia="宋体" w:cs="Times New Roman"/>
          <w:smallCaps w:val="0"/>
          <w:color w:val="auto"/>
          <w:spacing w:val="0"/>
          <w:sz w:val="24"/>
          <w:szCs w:val="24"/>
          <w:lang w:val="en-US" w:eastAsia="zh-CN"/>
        </w:rPr>
        <w:t>圈</w:t>
      </w:r>
      <w:r>
        <w:rPr>
          <w:rFonts w:hint="default" w:ascii="Times New Roman" w:hAnsi="Times New Roman" w:eastAsia="宋体" w:cs="Times New Roman"/>
          <w:smallCaps w:val="0"/>
          <w:color w:val="auto"/>
          <w:spacing w:val="0"/>
          <w:sz w:val="24"/>
          <w:szCs w:val="24"/>
        </w:rPr>
        <w:t>是为生猪提供存放、观察及休息的场所，待宰</w:t>
      </w:r>
      <w:r>
        <w:rPr>
          <w:rFonts w:hint="default" w:ascii="Times New Roman" w:hAnsi="Times New Roman" w:eastAsia="宋体" w:cs="Times New Roman"/>
          <w:smallCaps w:val="0"/>
          <w:color w:val="auto"/>
          <w:spacing w:val="0"/>
          <w:sz w:val="24"/>
          <w:szCs w:val="24"/>
          <w:lang w:val="en-US" w:eastAsia="zh-CN"/>
        </w:rPr>
        <w:t>圈</w:t>
      </w:r>
      <w:r>
        <w:rPr>
          <w:rFonts w:hint="default" w:ascii="Times New Roman" w:hAnsi="Times New Roman" w:eastAsia="宋体" w:cs="Times New Roman"/>
          <w:smallCaps w:val="0"/>
          <w:color w:val="auto"/>
          <w:spacing w:val="0"/>
          <w:sz w:val="24"/>
          <w:szCs w:val="24"/>
        </w:rPr>
        <w:t>的恶臭主要来自猪粪、尿，这些粪便会产生氨、H</w:t>
      </w:r>
      <w:r>
        <w:rPr>
          <w:rFonts w:hint="default" w:ascii="Times New Roman" w:hAnsi="Times New Roman" w:eastAsia="宋体" w:cs="Times New Roman"/>
          <w:smallCaps w:val="0"/>
          <w:color w:val="auto"/>
          <w:spacing w:val="0"/>
          <w:sz w:val="24"/>
          <w:szCs w:val="24"/>
          <w:vertAlign w:val="subscript"/>
        </w:rPr>
        <w:t>2</w:t>
      </w:r>
      <w:r>
        <w:rPr>
          <w:rFonts w:hint="default" w:ascii="Times New Roman" w:hAnsi="Times New Roman" w:eastAsia="宋体" w:cs="Times New Roman"/>
          <w:smallCaps w:val="0"/>
          <w:color w:val="auto"/>
          <w:spacing w:val="0"/>
          <w:sz w:val="24"/>
          <w:szCs w:val="24"/>
        </w:rPr>
        <w:t>S等恶臭气体，若未及时清除或清除后不能及时处理，将会使臭味成倍增加，并会孳生大量蚊蝇，影响环境卫生。本项目待宰</w:t>
      </w:r>
      <w:r>
        <w:rPr>
          <w:rFonts w:hint="default" w:ascii="Times New Roman" w:hAnsi="Times New Roman" w:eastAsia="宋体" w:cs="Times New Roman"/>
          <w:smallCaps w:val="0"/>
          <w:color w:val="auto"/>
          <w:spacing w:val="0"/>
          <w:sz w:val="24"/>
          <w:szCs w:val="24"/>
          <w:lang w:val="en-US" w:eastAsia="zh-CN"/>
        </w:rPr>
        <w:t>圈全封闭结构，</w:t>
      </w:r>
      <w:r>
        <w:rPr>
          <w:rFonts w:hint="default" w:ascii="Times New Roman" w:hAnsi="Times New Roman" w:eastAsia="宋体" w:cs="Times New Roman"/>
          <w:smallCaps w:val="0"/>
          <w:color w:val="auto"/>
          <w:spacing w:val="0"/>
          <w:sz w:val="24"/>
          <w:szCs w:val="24"/>
        </w:rPr>
        <w:t>设置专人管理，并及时清扫，冲刷猪粪、尿，冲刷废水及时处理，并将猪粪及时外运综合利用，减少恶臭源的散发。</w:t>
      </w:r>
    </w:p>
    <w:p>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jc w:val="both"/>
        <w:textAlignment w:val="auto"/>
        <w:rPr>
          <w:rFonts w:hint="default" w:ascii="Times New Roman" w:hAnsi="Times New Roman" w:eastAsia="宋体" w:cs="Times New Roman"/>
          <w:smallCaps w:val="0"/>
          <w:color w:val="auto"/>
          <w:spacing w:val="0"/>
          <w:sz w:val="24"/>
          <w:szCs w:val="24"/>
        </w:rPr>
      </w:pPr>
      <w:r>
        <w:rPr>
          <w:rFonts w:hint="default" w:ascii="Times New Roman" w:hAnsi="Times New Roman" w:eastAsia="宋体" w:cs="Times New Roman"/>
          <w:color w:val="auto"/>
          <w:kern w:val="21"/>
          <w:sz w:val="24"/>
          <w:szCs w:val="24"/>
          <w:highlight w:val="none"/>
          <w:lang w:val="en-US" w:eastAsia="zh-CN"/>
        </w:rPr>
        <w:t>待宰圈全封闭设置，定期喷洒生物除臭剂，除臭效率50%，恶臭气体经负压集中收集后，通过活性炭吸附后，由15m高排气筒排放，风机风量3000m</w:t>
      </w:r>
      <w:r>
        <w:rPr>
          <w:rFonts w:hint="default" w:ascii="Times New Roman" w:hAnsi="Times New Roman" w:eastAsia="宋体" w:cs="Times New Roman"/>
          <w:color w:val="auto"/>
          <w:kern w:val="21"/>
          <w:sz w:val="24"/>
          <w:szCs w:val="24"/>
          <w:highlight w:val="none"/>
          <w:vertAlign w:val="superscript"/>
          <w:lang w:val="en-US" w:eastAsia="zh-CN"/>
        </w:rPr>
        <w:t>3</w:t>
      </w:r>
      <w:r>
        <w:rPr>
          <w:rFonts w:hint="default" w:ascii="Times New Roman" w:hAnsi="Times New Roman" w:eastAsia="宋体" w:cs="Times New Roman"/>
          <w:color w:val="auto"/>
          <w:kern w:val="21"/>
          <w:sz w:val="24"/>
          <w:szCs w:val="24"/>
          <w:highlight w:val="none"/>
          <w:lang w:val="en-US" w:eastAsia="zh-CN"/>
        </w:rPr>
        <w:t>/h，收集率约80%左右，净化效率70%。</w:t>
      </w:r>
      <w:r>
        <w:rPr>
          <w:rFonts w:hint="default" w:ascii="Times New Roman" w:hAnsi="Times New Roman" w:eastAsia="宋体" w:cs="Times New Roman"/>
          <w:smallCaps w:val="0"/>
          <w:color w:val="auto"/>
          <w:spacing w:val="0"/>
          <w:sz w:val="24"/>
          <w:szCs w:val="24"/>
        </w:rPr>
        <w:t>满足《恶臭污染物排放标准》</w:t>
      </w:r>
      <w:r>
        <w:rPr>
          <w:rFonts w:hint="eastAsia" w:ascii="Times New Roman" w:hAnsi="Times New Roman" w:eastAsia="宋体" w:cs="Times New Roman"/>
          <w:smallCaps w:val="0"/>
          <w:color w:val="auto"/>
          <w:spacing w:val="0"/>
          <w:sz w:val="24"/>
          <w:szCs w:val="24"/>
          <w:lang w:eastAsia="zh-CN"/>
        </w:rPr>
        <w:t>（</w:t>
      </w:r>
      <w:r>
        <w:rPr>
          <w:rFonts w:hint="default" w:ascii="Times New Roman" w:hAnsi="Times New Roman" w:eastAsia="宋体" w:cs="Times New Roman"/>
          <w:smallCaps w:val="0"/>
          <w:color w:val="auto"/>
          <w:spacing w:val="0"/>
          <w:sz w:val="24"/>
          <w:szCs w:val="24"/>
        </w:rPr>
        <w:t>GB14554-93</w:t>
      </w:r>
      <w:r>
        <w:rPr>
          <w:rFonts w:hint="eastAsia" w:ascii="Times New Roman" w:hAnsi="Times New Roman" w:eastAsia="宋体" w:cs="Times New Roman"/>
          <w:smallCaps w:val="0"/>
          <w:color w:val="auto"/>
          <w:spacing w:val="0"/>
          <w:sz w:val="24"/>
          <w:szCs w:val="24"/>
          <w:lang w:eastAsia="zh-CN"/>
        </w:rPr>
        <w:t>），</w:t>
      </w:r>
      <w:r>
        <w:rPr>
          <w:rFonts w:hint="default" w:ascii="Times New Roman" w:hAnsi="Times New Roman" w:eastAsia="宋体" w:cs="Times New Roman"/>
          <w:smallCaps w:val="0"/>
          <w:color w:val="auto"/>
          <w:spacing w:val="0"/>
          <w:sz w:val="24"/>
          <w:szCs w:val="24"/>
        </w:rPr>
        <w:t>对周围环境影响较小。</w:t>
      </w:r>
    </w:p>
    <w:p>
      <w:pPr>
        <w:pStyle w:val="6"/>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smallCaps w:val="0"/>
          <w:color w:val="auto"/>
          <w:spacing w:val="0"/>
          <w:sz w:val="24"/>
          <w:szCs w:val="24"/>
          <w:lang w:eastAsia="zh-CN"/>
        </w:rPr>
        <w:t>项目待宰圈废气采用喷洒生物除臭剂、废气集中收集经活性炭吸附处理符合</w:t>
      </w:r>
      <w:r>
        <w:rPr>
          <w:rFonts w:hint="default" w:ascii="Times New Roman" w:hAnsi="Times New Roman" w:eastAsia="宋体" w:cs="Times New Roman"/>
          <w:b w:val="0"/>
          <w:bCs w:val="0"/>
          <w:color w:val="auto"/>
          <w:sz w:val="24"/>
          <w:szCs w:val="24"/>
        </w:rPr>
        <w:t>《排污许可证申请与核发技术规范农副食品加工工业</w:t>
      </w:r>
      <w:r>
        <w:rPr>
          <w:rFonts w:hint="default" w:ascii="Times New Roman" w:hAnsi="Times New Roman" w:eastAsia="TimesNewRomanPSMT" w:cs="Times New Roman"/>
          <w:b w:val="0"/>
          <w:bCs w:val="0"/>
          <w:color w:val="auto"/>
          <w:sz w:val="24"/>
          <w:szCs w:val="24"/>
        </w:rPr>
        <w:t>—</w:t>
      </w:r>
      <w:r>
        <w:rPr>
          <w:rFonts w:hint="default" w:ascii="Times New Roman" w:hAnsi="Times New Roman" w:eastAsia="宋体" w:cs="Times New Roman"/>
          <w:b w:val="0"/>
          <w:bCs w:val="0"/>
          <w:color w:val="auto"/>
          <w:sz w:val="24"/>
          <w:szCs w:val="24"/>
        </w:rPr>
        <w:t>屠宰及肉类加工工业》（</w:t>
      </w:r>
      <w:r>
        <w:rPr>
          <w:rFonts w:hint="default" w:ascii="Times New Roman" w:hAnsi="Times New Roman" w:eastAsia="TimesNewRomanPSMT" w:cs="Times New Roman"/>
          <w:b w:val="0"/>
          <w:bCs w:val="0"/>
          <w:color w:val="auto"/>
          <w:sz w:val="24"/>
          <w:szCs w:val="24"/>
        </w:rPr>
        <w:t>HJ860.3-2018</w:t>
      </w:r>
      <w:r>
        <w:rPr>
          <w:rFonts w:hint="default" w:ascii="Times New Roman" w:hAnsi="Times New Roman" w:eastAsia="宋体" w:cs="Times New Roman"/>
          <w:b w:val="0"/>
          <w:bCs w:val="0"/>
          <w:color w:val="auto"/>
          <w:sz w:val="24"/>
          <w:szCs w:val="24"/>
        </w:rPr>
        <w:t>）</w:t>
      </w:r>
      <w:r>
        <w:rPr>
          <w:rFonts w:hint="eastAsia" w:ascii="Times New Roman" w:hAnsi="Times New Roman" w:eastAsia="宋体" w:cs="Times New Roman"/>
          <w:b w:val="0"/>
          <w:bCs w:val="0"/>
          <w:color w:val="auto"/>
          <w:sz w:val="24"/>
          <w:szCs w:val="24"/>
          <w:lang w:val="en-US" w:eastAsia="zh-CN"/>
        </w:rPr>
        <w:t>措施</w:t>
      </w:r>
      <w:r>
        <w:rPr>
          <w:rFonts w:hint="default" w:ascii="Times New Roman" w:hAnsi="Times New Roman" w:eastAsia="宋体" w:cs="Times New Roman"/>
          <w:b w:val="0"/>
          <w:bCs w:val="0"/>
          <w:color w:val="auto"/>
          <w:sz w:val="24"/>
          <w:szCs w:val="24"/>
        </w:rPr>
        <w:t>要求</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jc w:val="both"/>
        <w:textAlignment w:val="auto"/>
        <w:outlineLvl w:val="1"/>
        <w:rPr>
          <w:rFonts w:hint="default" w:ascii="Times New Roman" w:hAnsi="Times New Roman" w:eastAsia="宋体" w:cs="Times New Roman"/>
          <w:smallCaps w:val="0"/>
          <w:color w:val="auto"/>
          <w:spacing w:val="0"/>
          <w:sz w:val="24"/>
          <w:szCs w:val="24"/>
          <w:lang w:val="en-US" w:eastAsia="zh-CN"/>
        </w:rPr>
      </w:pPr>
      <w:bookmarkStart w:id="388" w:name="_Toc1935"/>
      <w:bookmarkStart w:id="389" w:name="_Toc18225"/>
      <w:r>
        <w:rPr>
          <w:rFonts w:hint="default" w:ascii="Times New Roman" w:hAnsi="Times New Roman" w:eastAsia="宋体" w:cs="Times New Roman"/>
          <w:smallCaps w:val="0"/>
          <w:color w:val="auto"/>
          <w:spacing w:val="0"/>
          <w:sz w:val="24"/>
          <w:szCs w:val="24"/>
          <w:lang w:val="en-US" w:eastAsia="zh-CN"/>
        </w:rPr>
        <w:fldChar w:fldCharType="begin"/>
      </w:r>
      <w:r>
        <w:rPr>
          <w:rFonts w:hint="default" w:ascii="Times New Roman" w:hAnsi="Times New Roman" w:eastAsia="宋体" w:cs="Times New Roman"/>
          <w:smallCaps w:val="0"/>
          <w:color w:val="auto"/>
          <w:spacing w:val="0"/>
          <w:sz w:val="24"/>
          <w:szCs w:val="24"/>
          <w:lang w:val="en-US" w:eastAsia="zh-CN"/>
        </w:rPr>
        <w:instrText xml:space="preserve"> = 2 \* GB3 \* MERGEFORMAT </w:instrText>
      </w:r>
      <w:r>
        <w:rPr>
          <w:rFonts w:hint="default" w:ascii="Times New Roman" w:hAnsi="Times New Roman" w:eastAsia="宋体" w:cs="Times New Roman"/>
          <w:smallCaps w:val="0"/>
          <w:color w:val="auto"/>
          <w:spacing w:val="0"/>
          <w:sz w:val="24"/>
          <w:szCs w:val="24"/>
          <w:lang w:val="en-US" w:eastAsia="zh-CN"/>
        </w:rPr>
        <w:fldChar w:fldCharType="separate"/>
      </w:r>
      <w:r>
        <w:rPr>
          <w:rFonts w:hint="default" w:ascii="Times New Roman" w:hAnsi="Times New Roman" w:cs="Times New Roman"/>
          <w:color w:val="auto"/>
          <w:sz w:val="24"/>
          <w:szCs w:val="24"/>
        </w:rPr>
        <w:t>②</w:t>
      </w:r>
      <w:r>
        <w:rPr>
          <w:rFonts w:hint="default" w:ascii="Times New Roman" w:hAnsi="Times New Roman" w:eastAsia="宋体" w:cs="Times New Roman"/>
          <w:smallCaps w:val="0"/>
          <w:color w:val="auto"/>
          <w:spacing w:val="0"/>
          <w:sz w:val="24"/>
          <w:szCs w:val="24"/>
          <w:lang w:val="en-US" w:eastAsia="zh-CN"/>
        </w:rPr>
        <w:fldChar w:fldCharType="end"/>
      </w:r>
      <w:r>
        <w:rPr>
          <w:rFonts w:hint="default" w:ascii="Times New Roman" w:hAnsi="Times New Roman" w:eastAsia="宋体" w:cs="Times New Roman"/>
          <w:smallCaps w:val="0"/>
          <w:color w:val="auto"/>
          <w:spacing w:val="0"/>
          <w:sz w:val="24"/>
          <w:szCs w:val="24"/>
          <w:lang w:val="en-US" w:eastAsia="zh-CN"/>
        </w:rPr>
        <w:t>屠宰加工车间</w:t>
      </w:r>
      <w:bookmarkEnd w:id="388"/>
      <w:bookmarkEnd w:id="389"/>
    </w:p>
    <w:p>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jc w:val="both"/>
        <w:textAlignment w:val="auto"/>
        <w:rPr>
          <w:rFonts w:hint="default" w:ascii="Times New Roman" w:hAnsi="Times New Roman" w:eastAsia="宋体" w:cs="Times New Roman"/>
          <w:smallCaps w:val="0"/>
          <w:color w:val="auto"/>
          <w:spacing w:val="0"/>
          <w:sz w:val="24"/>
          <w:szCs w:val="24"/>
        </w:rPr>
      </w:pPr>
      <w:r>
        <w:rPr>
          <w:rFonts w:hint="default" w:ascii="Times New Roman" w:hAnsi="Times New Roman" w:eastAsia="宋体" w:cs="Times New Roman"/>
          <w:color w:val="auto"/>
          <w:spacing w:val="0"/>
          <w:sz w:val="24"/>
          <w:szCs w:val="24"/>
          <w:highlight w:val="none"/>
        </w:rPr>
        <w:t>屠宰加工车间内许多作业都要是用热水，空气湿度很高，工作场所大，空气流动量相当大，各种牲畜的湿皮、血、胃内容物的臭气混杂在一起，产生刺鼻的腥臭味，如果有血、骨或脂肪残留而不及时处理，便会迅速腐烂，腥臭味更为严重，本项目设置专门岗位和人员进行监管，定时冲刷处理，并在产生较大异味工序屠宰烫毛、脱毛工序、开膛摘除内脏工序采用</w:t>
      </w:r>
      <w:r>
        <w:rPr>
          <w:rFonts w:hint="default" w:ascii="Times New Roman" w:hAnsi="Times New Roman" w:eastAsia="宋体" w:cs="Times New Roman"/>
          <w:color w:val="auto"/>
          <w:kern w:val="21"/>
          <w:sz w:val="24"/>
          <w:szCs w:val="24"/>
          <w:highlight w:val="none"/>
          <w:lang w:val="en-US" w:eastAsia="zh-CN"/>
        </w:rPr>
        <w:t>负压集中收集+活性炭吸附后，由15m高排气筒排放，风机风量3000m</w:t>
      </w:r>
      <w:r>
        <w:rPr>
          <w:rFonts w:hint="default" w:ascii="Times New Roman" w:hAnsi="Times New Roman" w:eastAsia="宋体" w:cs="Times New Roman"/>
          <w:color w:val="auto"/>
          <w:kern w:val="21"/>
          <w:sz w:val="24"/>
          <w:szCs w:val="24"/>
          <w:highlight w:val="none"/>
          <w:vertAlign w:val="superscript"/>
          <w:lang w:val="en-US" w:eastAsia="zh-CN"/>
        </w:rPr>
        <w:t>3</w:t>
      </w:r>
      <w:r>
        <w:rPr>
          <w:rFonts w:hint="default" w:ascii="Times New Roman" w:hAnsi="Times New Roman" w:eastAsia="宋体" w:cs="Times New Roman"/>
          <w:color w:val="auto"/>
          <w:kern w:val="21"/>
          <w:sz w:val="24"/>
          <w:szCs w:val="24"/>
          <w:highlight w:val="none"/>
          <w:lang w:val="en-US" w:eastAsia="zh-CN"/>
        </w:rPr>
        <w:t>/h，收集率约80%左右，净化效率70%。</w:t>
      </w:r>
      <w:r>
        <w:rPr>
          <w:rFonts w:hint="default" w:ascii="Times New Roman" w:hAnsi="Times New Roman" w:eastAsia="宋体" w:cs="Times New Roman"/>
          <w:smallCaps w:val="0"/>
          <w:color w:val="auto"/>
          <w:spacing w:val="0"/>
          <w:sz w:val="24"/>
          <w:szCs w:val="24"/>
        </w:rPr>
        <w:t>臭气经净化后满足《恶臭污染物排放标准》（GB14554-93）中15m高排气筒对应排放量的要求（</w:t>
      </w:r>
      <w:r>
        <w:rPr>
          <w:rFonts w:hint="default" w:ascii="Times New Roman" w:hAnsi="Times New Roman" w:eastAsia="宋体" w:cs="Times New Roman"/>
          <w:smallCaps w:val="0"/>
          <w:color w:val="auto"/>
          <w:spacing w:val="0"/>
          <w:sz w:val="24"/>
          <w:szCs w:val="24"/>
          <w:lang w:val="pt-BR"/>
        </w:rPr>
        <w:t>NH</w:t>
      </w:r>
      <w:r>
        <w:rPr>
          <w:rFonts w:hint="default" w:ascii="Times New Roman" w:hAnsi="Times New Roman" w:eastAsia="宋体" w:cs="Times New Roman"/>
          <w:smallCaps w:val="0"/>
          <w:color w:val="auto"/>
          <w:spacing w:val="0"/>
          <w:sz w:val="24"/>
          <w:szCs w:val="24"/>
          <w:vertAlign w:val="subscript"/>
          <w:lang w:val="pt-BR"/>
        </w:rPr>
        <w:t>3</w:t>
      </w:r>
      <w:r>
        <w:rPr>
          <w:rFonts w:hint="default" w:ascii="Times New Roman" w:hAnsi="Times New Roman" w:eastAsia="宋体" w:cs="Times New Roman"/>
          <w:smallCaps w:val="0"/>
          <w:color w:val="auto"/>
          <w:spacing w:val="0"/>
          <w:sz w:val="24"/>
          <w:szCs w:val="24"/>
        </w:rPr>
        <w:t>≤4.9kg/h，</w:t>
      </w:r>
      <w:r>
        <w:rPr>
          <w:rFonts w:hint="default" w:ascii="Times New Roman" w:hAnsi="Times New Roman" w:eastAsia="宋体" w:cs="Times New Roman"/>
          <w:smallCaps w:val="0"/>
          <w:color w:val="auto"/>
          <w:spacing w:val="0"/>
          <w:sz w:val="24"/>
          <w:szCs w:val="24"/>
          <w:lang w:val="pt-BR"/>
        </w:rPr>
        <w:t>H</w:t>
      </w:r>
      <w:r>
        <w:rPr>
          <w:rFonts w:hint="default" w:ascii="Times New Roman" w:hAnsi="Times New Roman" w:eastAsia="宋体" w:cs="Times New Roman"/>
          <w:smallCaps w:val="0"/>
          <w:color w:val="auto"/>
          <w:spacing w:val="0"/>
          <w:sz w:val="24"/>
          <w:szCs w:val="24"/>
          <w:vertAlign w:val="subscript"/>
          <w:lang w:val="pt-BR"/>
        </w:rPr>
        <w:t>2</w:t>
      </w:r>
      <w:r>
        <w:rPr>
          <w:rFonts w:hint="default" w:ascii="Times New Roman" w:hAnsi="Times New Roman" w:eastAsia="宋体" w:cs="Times New Roman"/>
          <w:smallCaps w:val="0"/>
          <w:color w:val="auto"/>
          <w:spacing w:val="0"/>
          <w:sz w:val="24"/>
          <w:szCs w:val="24"/>
          <w:lang w:val="pt-BR"/>
        </w:rPr>
        <w:t>S</w:t>
      </w:r>
      <w:r>
        <w:rPr>
          <w:rFonts w:hint="default" w:ascii="Times New Roman" w:hAnsi="Times New Roman" w:eastAsia="宋体" w:cs="Times New Roman"/>
          <w:smallCaps w:val="0"/>
          <w:color w:val="auto"/>
          <w:spacing w:val="0"/>
          <w:sz w:val="24"/>
          <w:szCs w:val="24"/>
        </w:rPr>
        <w:t>≤00.33kg/h</w:t>
      </w:r>
      <w:r>
        <w:rPr>
          <w:rFonts w:hint="default" w:ascii="Times New Roman" w:hAnsi="Times New Roman" w:eastAsia="宋体" w:cs="Times New Roman"/>
          <w:smallCaps w:val="0"/>
          <w:color w:val="auto"/>
          <w:spacing w:val="0"/>
          <w:sz w:val="24"/>
          <w:szCs w:val="24"/>
          <w:lang w:eastAsia="zh-CN"/>
        </w:rPr>
        <w:t>，臭气浓度</w:t>
      </w:r>
      <w:r>
        <w:rPr>
          <w:rFonts w:hint="default" w:ascii="Times New Roman" w:hAnsi="Times New Roman" w:eastAsia="宋体" w:cs="Times New Roman"/>
          <w:smallCaps w:val="0"/>
          <w:color w:val="auto"/>
          <w:spacing w:val="0"/>
          <w:sz w:val="24"/>
          <w:szCs w:val="24"/>
        </w:rPr>
        <w:t>≤</w:t>
      </w:r>
      <w:r>
        <w:rPr>
          <w:rFonts w:hint="default" w:ascii="Times New Roman" w:hAnsi="Times New Roman" w:eastAsia="宋体" w:cs="Times New Roman"/>
          <w:smallCaps w:val="0"/>
          <w:color w:val="auto"/>
          <w:spacing w:val="0"/>
          <w:sz w:val="24"/>
          <w:szCs w:val="24"/>
          <w:lang w:val="en-US" w:eastAsia="zh-CN"/>
        </w:rPr>
        <w:t>2000（无量纲）</w:t>
      </w:r>
      <w:r>
        <w:rPr>
          <w:rFonts w:hint="default" w:ascii="Times New Roman" w:hAnsi="Times New Roman" w:eastAsia="宋体" w:cs="Times New Roman"/>
          <w:smallCaps w:val="0"/>
          <w:color w:val="auto"/>
          <w:spacing w:val="0"/>
          <w:sz w:val="24"/>
          <w:szCs w:val="24"/>
        </w:rPr>
        <w:t>）。</w:t>
      </w:r>
    </w:p>
    <w:p>
      <w:pPr>
        <w:pStyle w:val="6"/>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smallCaps w:val="0"/>
          <w:color w:val="auto"/>
          <w:spacing w:val="0"/>
          <w:sz w:val="24"/>
          <w:szCs w:val="24"/>
          <w:lang w:val="en-US" w:eastAsia="zh-CN"/>
        </w:rPr>
      </w:pPr>
      <w:r>
        <w:rPr>
          <w:rFonts w:hint="default" w:ascii="Times New Roman" w:hAnsi="Times New Roman" w:eastAsia="宋体" w:cs="Times New Roman"/>
          <w:smallCaps w:val="0"/>
          <w:color w:val="auto"/>
          <w:spacing w:val="0"/>
          <w:sz w:val="24"/>
          <w:szCs w:val="24"/>
          <w:lang w:eastAsia="zh-CN"/>
        </w:rPr>
        <w:t>项目屠宰车间废气集中收集经活性炭吸附处理符合《排污许可证申请与核发技术规范农副食品加工工业—屠宰及肉类加工工业》（HJ860.3-2018）及《屠宰及肉类加工业污染防治可行技术指南》（HJ1285—2023）</w:t>
      </w:r>
      <w:r>
        <w:rPr>
          <w:rFonts w:hint="eastAsia" w:ascii="Times New Roman" w:hAnsi="Times New Roman" w:eastAsia="宋体" w:cs="Times New Roman"/>
          <w:smallCaps w:val="0"/>
          <w:color w:val="auto"/>
          <w:spacing w:val="0"/>
          <w:sz w:val="24"/>
          <w:szCs w:val="24"/>
          <w:lang w:val="en-US" w:eastAsia="zh-CN"/>
        </w:rPr>
        <w:t>措施</w:t>
      </w:r>
      <w:r>
        <w:rPr>
          <w:rFonts w:hint="default" w:ascii="Times New Roman" w:hAnsi="Times New Roman" w:eastAsia="宋体" w:cs="Times New Roman"/>
          <w:smallCaps w:val="0"/>
          <w:color w:val="auto"/>
          <w:spacing w:val="0"/>
          <w:sz w:val="24"/>
          <w:szCs w:val="24"/>
          <w:lang w:eastAsia="zh-CN"/>
        </w:rPr>
        <w:t>要求。</w:t>
      </w:r>
    </w:p>
    <w:p>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jc w:val="both"/>
        <w:textAlignment w:val="auto"/>
        <w:outlineLvl w:val="1"/>
        <w:rPr>
          <w:rFonts w:hint="default" w:ascii="Times New Roman" w:hAnsi="Times New Roman" w:eastAsia="宋体" w:cs="Times New Roman"/>
          <w:smallCaps w:val="0"/>
          <w:color w:val="auto"/>
          <w:spacing w:val="0"/>
          <w:sz w:val="24"/>
          <w:szCs w:val="24"/>
          <w:lang w:val="en-US" w:eastAsia="zh-CN"/>
        </w:rPr>
      </w:pPr>
      <w:bookmarkStart w:id="390" w:name="_Toc24962"/>
      <w:bookmarkStart w:id="391" w:name="_Toc3784"/>
      <w:r>
        <w:rPr>
          <w:rFonts w:hint="default" w:ascii="Times New Roman" w:hAnsi="Times New Roman" w:eastAsia="宋体" w:cs="Times New Roman"/>
          <w:smallCaps w:val="0"/>
          <w:color w:val="auto"/>
          <w:spacing w:val="0"/>
          <w:sz w:val="24"/>
          <w:szCs w:val="24"/>
          <w:lang w:val="en-US" w:eastAsia="zh-CN"/>
        </w:rPr>
        <w:fldChar w:fldCharType="begin"/>
      </w:r>
      <w:r>
        <w:rPr>
          <w:rFonts w:hint="default" w:ascii="Times New Roman" w:hAnsi="Times New Roman" w:eastAsia="宋体" w:cs="Times New Roman"/>
          <w:smallCaps w:val="0"/>
          <w:color w:val="auto"/>
          <w:spacing w:val="0"/>
          <w:sz w:val="24"/>
          <w:szCs w:val="24"/>
          <w:lang w:val="en-US" w:eastAsia="zh-CN"/>
        </w:rPr>
        <w:instrText xml:space="preserve"> = 3 \* GB3 \* MERGEFORMAT </w:instrText>
      </w:r>
      <w:r>
        <w:rPr>
          <w:rFonts w:hint="default" w:ascii="Times New Roman" w:hAnsi="Times New Roman" w:eastAsia="宋体" w:cs="Times New Roman"/>
          <w:smallCaps w:val="0"/>
          <w:color w:val="auto"/>
          <w:spacing w:val="0"/>
          <w:sz w:val="24"/>
          <w:szCs w:val="24"/>
          <w:lang w:val="en-US" w:eastAsia="zh-CN"/>
        </w:rPr>
        <w:fldChar w:fldCharType="separate"/>
      </w:r>
      <w:r>
        <w:rPr>
          <w:rFonts w:hint="default" w:ascii="Times New Roman" w:hAnsi="Times New Roman" w:cs="Times New Roman"/>
          <w:color w:val="auto"/>
        </w:rPr>
        <w:t>③</w:t>
      </w:r>
      <w:r>
        <w:rPr>
          <w:rFonts w:hint="default" w:ascii="Times New Roman" w:hAnsi="Times New Roman" w:eastAsia="宋体" w:cs="Times New Roman"/>
          <w:smallCaps w:val="0"/>
          <w:color w:val="auto"/>
          <w:spacing w:val="0"/>
          <w:sz w:val="24"/>
          <w:szCs w:val="24"/>
          <w:lang w:val="en-US" w:eastAsia="zh-CN"/>
        </w:rPr>
        <w:fldChar w:fldCharType="end"/>
      </w:r>
      <w:r>
        <w:rPr>
          <w:rFonts w:hint="default" w:ascii="Times New Roman" w:hAnsi="Times New Roman" w:eastAsia="宋体" w:cs="Times New Roman"/>
          <w:smallCaps w:val="0"/>
          <w:color w:val="auto"/>
          <w:spacing w:val="0"/>
          <w:sz w:val="24"/>
          <w:szCs w:val="24"/>
          <w:lang w:val="en-US" w:eastAsia="zh-CN"/>
        </w:rPr>
        <w:t>污水处理站</w:t>
      </w:r>
      <w:bookmarkEnd w:id="390"/>
      <w:bookmarkEnd w:id="391"/>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smallCaps w:val="0"/>
          <w:color w:val="auto"/>
          <w:spacing w:val="0"/>
          <w:sz w:val="24"/>
          <w:szCs w:val="24"/>
        </w:rPr>
      </w:pPr>
      <w:r>
        <w:rPr>
          <w:rFonts w:hint="default" w:ascii="Times New Roman" w:hAnsi="Times New Roman" w:eastAsia="宋体" w:cs="Times New Roman"/>
          <w:smallCaps w:val="0"/>
          <w:color w:val="auto"/>
          <w:spacing w:val="0"/>
          <w:sz w:val="24"/>
          <w:szCs w:val="24"/>
        </w:rPr>
        <w:t>为了有效地处理污水站恶臭气体，首先是要有效的收集。</w:t>
      </w:r>
      <w:r>
        <w:rPr>
          <w:rFonts w:hint="default" w:ascii="Times New Roman" w:hAnsi="Times New Roman" w:eastAsia="宋体" w:cs="Times New Roman"/>
          <w:bCs/>
          <w:color w:val="auto"/>
          <w:spacing w:val="0"/>
          <w:sz w:val="24"/>
          <w:szCs w:val="24"/>
        </w:rPr>
        <w:t>项目对污水处理站产生的污泥及时清理；加强污水处理站周边卫生，定时清扫、冲刷，同时加强厂区绿化，种植高大乔木隔离带，减轻臭味厂区外扩散。污水处理站的恶臭产生源强较大，</w:t>
      </w:r>
      <w:r>
        <w:rPr>
          <w:rFonts w:hint="default" w:ascii="Times New Roman" w:hAnsi="Times New Roman" w:eastAsia="宋体" w:cs="Times New Roman"/>
          <w:bCs/>
          <w:color w:val="auto"/>
          <w:spacing w:val="0"/>
          <w:sz w:val="24"/>
          <w:szCs w:val="24"/>
          <w:lang w:val="en-US" w:eastAsia="zh-CN"/>
        </w:rPr>
        <w:t>污水处理站封闭设置，沉淀池和调节池密闭收集气体，为地下式结构，其他池体为地上式结构，经密闭管道负压收集经活性炭吸附后，由15m高排气筒排放，收集率约90%左右，恶臭气体净化率不低于70%。</w:t>
      </w:r>
      <w:r>
        <w:rPr>
          <w:rFonts w:hint="default" w:ascii="Times New Roman" w:hAnsi="Times New Roman" w:eastAsia="宋体" w:cs="Times New Roman"/>
          <w:bCs/>
          <w:color w:val="auto"/>
          <w:spacing w:val="0"/>
          <w:sz w:val="24"/>
          <w:szCs w:val="24"/>
        </w:rPr>
        <w:t>风机风量</w:t>
      </w:r>
      <w:r>
        <w:rPr>
          <w:rFonts w:hint="default" w:ascii="Times New Roman" w:hAnsi="Times New Roman" w:eastAsia="宋体" w:cs="Times New Roman"/>
          <w:bCs/>
          <w:color w:val="auto"/>
          <w:spacing w:val="0"/>
          <w:sz w:val="24"/>
          <w:szCs w:val="24"/>
          <w:lang w:val="en-US" w:eastAsia="zh-CN"/>
        </w:rPr>
        <w:t>3000</w:t>
      </w:r>
      <w:r>
        <w:rPr>
          <w:rFonts w:hint="default" w:ascii="Times New Roman" w:hAnsi="Times New Roman" w:eastAsia="宋体" w:cs="Times New Roman"/>
          <w:bCs/>
          <w:color w:val="auto"/>
          <w:spacing w:val="0"/>
          <w:sz w:val="24"/>
          <w:szCs w:val="24"/>
        </w:rPr>
        <w:t>m</w:t>
      </w:r>
      <w:r>
        <w:rPr>
          <w:rFonts w:hint="default" w:ascii="Times New Roman" w:hAnsi="Times New Roman" w:eastAsia="宋体" w:cs="Times New Roman"/>
          <w:bCs/>
          <w:color w:val="auto"/>
          <w:spacing w:val="0"/>
          <w:sz w:val="24"/>
          <w:szCs w:val="24"/>
          <w:vertAlign w:val="superscript"/>
        </w:rPr>
        <w:t>3</w:t>
      </w:r>
      <w:r>
        <w:rPr>
          <w:rFonts w:hint="default" w:ascii="Times New Roman" w:hAnsi="Times New Roman" w:eastAsia="宋体" w:cs="Times New Roman"/>
          <w:bCs/>
          <w:color w:val="auto"/>
          <w:spacing w:val="0"/>
          <w:sz w:val="24"/>
          <w:szCs w:val="24"/>
        </w:rPr>
        <w:t>/h。</w:t>
      </w:r>
      <w:r>
        <w:rPr>
          <w:rFonts w:hint="default" w:ascii="Times New Roman" w:hAnsi="Times New Roman" w:eastAsia="宋体" w:cs="Times New Roman"/>
          <w:smallCaps w:val="0"/>
          <w:color w:val="auto"/>
          <w:spacing w:val="0"/>
          <w:sz w:val="24"/>
          <w:szCs w:val="24"/>
        </w:rPr>
        <w:t>臭气经净化后满足《恶臭污染物排放标准》（GB14554-93）中15m高排气筒对应排放量的要求（</w:t>
      </w:r>
      <w:r>
        <w:rPr>
          <w:rFonts w:hint="default" w:ascii="Times New Roman" w:hAnsi="Times New Roman" w:eastAsia="宋体" w:cs="Times New Roman"/>
          <w:smallCaps w:val="0"/>
          <w:color w:val="auto"/>
          <w:spacing w:val="0"/>
          <w:sz w:val="24"/>
          <w:szCs w:val="24"/>
          <w:lang w:val="pt-BR"/>
        </w:rPr>
        <w:t>NH</w:t>
      </w:r>
      <w:r>
        <w:rPr>
          <w:rFonts w:hint="default" w:ascii="Times New Roman" w:hAnsi="Times New Roman" w:eastAsia="宋体" w:cs="Times New Roman"/>
          <w:smallCaps w:val="0"/>
          <w:color w:val="auto"/>
          <w:spacing w:val="0"/>
          <w:sz w:val="24"/>
          <w:szCs w:val="24"/>
          <w:vertAlign w:val="subscript"/>
          <w:lang w:val="pt-BR"/>
        </w:rPr>
        <w:t>3</w:t>
      </w:r>
      <w:r>
        <w:rPr>
          <w:rFonts w:hint="default" w:ascii="Times New Roman" w:hAnsi="Times New Roman" w:eastAsia="宋体" w:cs="Times New Roman"/>
          <w:smallCaps w:val="0"/>
          <w:color w:val="auto"/>
          <w:spacing w:val="0"/>
          <w:sz w:val="24"/>
          <w:szCs w:val="24"/>
        </w:rPr>
        <w:t>≤4.9kg/h，</w:t>
      </w:r>
      <w:r>
        <w:rPr>
          <w:rFonts w:hint="default" w:ascii="Times New Roman" w:hAnsi="Times New Roman" w:eastAsia="宋体" w:cs="Times New Roman"/>
          <w:smallCaps w:val="0"/>
          <w:color w:val="auto"/>
          <w:spacing w:val="0"/>
          <w:sz w:val="24"/>
          <w:szCs w:val="24"/>
          <w:lang w:val="pt-BR"/>
        </w:rPr>
        <w:t>H</w:t>
      </w:r>
      <w:r>
        <w:rPr>
          <w:rFonts w:hint="default" w:ascii="Times New Roman" w:hAnsi="Times New Roman" w:eastAsia="宋体" w:cs="Times New Roman"/>
          <w:smallCaps w:val="0"/>
          <w:color w:val="auto"/>
          <w:spacing w:val="0"/>
          <w:sz w:val="24"/>
          <w:szCs w:val="24"/>
          <w:vertAlign w:val="subscript"/>
          <w:lang w:val="pt-BR"/>
        </w:rPr>
        <w:t>2</w:t>
      </w:r>
      <w:r>
        <w:rPr>
          <w:rFonts w:hint="default" w:ascii="Times New Roman" w:hAnsi="Times New Roman" w:eastAsia="宋体" w:cs="Times New Roman"/>
          <w:smallCaps w:val="0"/>
          <w:color w:val="auto"/>
          <w:spacing w:val="0"/>
          <w:sz w:val="24"/>
          <w:szCs w:val="24"/>
          <w:lang w:val="pt-BR"/>
        </w:rPr>
        <w:t>S</w:t>
      </w:r>
      <w:r>
        <w:rPr>
          <w:rFonts w:hint="default" w:ascii="Times New Roman" w:hAnsi="Times New Roman" w:eastAsia="宋体" w:cs="Times New Roman"/>
          <w:smallCaps w:val="0"/>
          <w:color w:val="auto"/>
          <w:spacing w:val="0"/>
          <w:sz w:val="24"/>
          <w:szCs w:val="24"/>
        </w:rPr>
        <w:t>≤0.33kg/h）。</w:t>
      </w:r>
    </w:p>
    <w:p>
      <w:pPr>
        <w:keepNext w:val="0"/>
        <w:keepLines w:val="0"/>
        <w:pageBreakBefore w:val="0"/>
        <w:wordWrap/>
        <w:overflowPunct/>
        <w:topLinePunct w:val="0"/>
        <w:bidi w:val="0"/>
        <w:spacing w:line="360" w:lineRule="auto"/>
        <w:ind w:firstLine="480" w:firstLineChars="200"/>
        <w:jc w:val="both"/>
        <w:rPr>
          <w:rFonts w:hint="default" w:ascii="Times New Roman" w:hAnsi="Times New Roman" w:cs="Times New Roman"/>
          <w:lang w:val="en-US" w:eastAsia="zh-CN"/>
        </w:rPr>
      </w:pPr>
      <w:r>
        <w:rPr>
          <w:rFonts w:hint="default" w:ascii="Times New Roman" w:hAnsi="Times New Roman" w:eastAsia="宋体" w:cs="Times New Roman"/>
          <w:smallCaps w:val="0"/>
          <w:color w:val="auto"/>
          <w:spacing w:val="0"/>
          <w:sz w:val="24"/>
          <w:szCs w:val="24"/>
          <w:lang w:eastAsia="zh-CN"/>
        </w:rPr>
        <w:t>项目污水处理站废气集中收集经活性炭吸附处理符合</w:t>
      </w:r>
      <w:r>
        <w:rPr>
          <w:rFonts w:hint="default" w:ascii="Times New Roman" w:hAnsi="Times New Roman" w:eastAsia="宋体" w:cs="Times New Roman"/>
          <w:b w:val="0"/>
          <w:bCs w:val="0"/>
          <w:color w:val="auto"/>
          <w:sz w:val="24"/>
          <w:szCs w:val="24"/>
        </w:rPr>
        <w:t>《排污许可证申请与核发技术规范农副食品加工工业—屠宰及肉类加工工业》（HJ860.3-2018）</w:t>
      </w:r>
      <w:r>
        <w:rPr>
          <w:rFonts w:hint="eastAsia" w:ascii="Times New Roman" w:hAnsi="Times New Roman" w:eastAsia="宋体" w:cs="Times New Roman"/>
          <w:b w:val="0"/>
          <w:bCs w:val="0"/>
          <w:color w:val="auto"/>
          <w:sz w:val="24"/>
          <w:szCs w:val="24"/>
          <w:lang w:val="en-US" w:eastAsia="zh-CN"/>
        </w:rPr>
        <w:t>中措施</w:t>
      </w:r>
      <w:r>
        <w:rPr>
          <w:rFonts w:hint="default" w:ascii="Times New Roman" w:hAnsi="Times New Roman" w:eastAsia="宋体" w:cs="Times New Roman"/>
          <w:b w:val="0"/>
          <w:bCs w:val="0"/>
          <w:color w:val="auto"/>
          <w:sz w:val="24"/>
          <w:szCs w:val="24"/>
        </w:rPr>
        <w:t>要求</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0"/>
        <w:rPr>
          <w:rFonts w:hint="default" w:ascii="Times New Roman" w:hAnsi="Times New Roman" w:cs="Times New Roman"/>
          <w:color w:val="auto"/>
          <w:spacing w:val="0"/>
          <w:kern w:val="2"/>
          <w:sz w:val="24"/>
          <w:szCs w:val="24"/>
        </w:rPr>
      </w:pPr>
      <w:bookmarkStart w:id="392" w:name="_Toc24560"/>
      <w:bookmarkStart w:id="393" w:name="_Toc4161"/>
      <w:bookmarkStart w:id="394" w:name="_Toc6255"/>
      <w:bookmarkStart w:id="395" w:name="_Toc2039"/>
      <w:r>
        <w:rPr>
          <w:rFonts w:hint="default" w:ascii="Times New Roman" w:hAnsi="Times New Roman" w:cs="Times New Roman"/>
          <w:color w:val="auto"/>
          <w:spacing w:val="0"/>
          <w:kern w:val="2"/>
          <w:sz w:val="24"/>
          <w:szCs w:val="24"/>
        </w:rPr>
        <w:t>2、无组织排放污染防治措施</w:t>
      </w:r>
      <w:bookmarkEnd w:id="392"/>
      <w:bookmarkEnd w:id="393"/>
      <w:bookmarkEnd w:id="394"/>
      <w:bookmarkEnd w:id="39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pacing w:val="0"/>
          <w:kern w:val="2"/>
          <w:sz w:val="24"/>
          <w:szCs w:val="24"/>
        </w:rPr>
      </w:pPr>
      <w:r>
        <w:rPr>
          <w:rFonts w:hint="default" w:ascii="Times New Roman" w:hAnsi="Times New Roman" w:cs="Times New Roman"/>
          <w:color w:val="auto"/>
          <w:spacing w:val="0"/>
          <w:kern w:val="2"/>
          <w:sz w:val="24"/>
          <w:szCs w:val="24"/>
        </w:rPr>
        <w:t>项目无组织恶臭气体来自于待宰</w:t>
      </w:r>
      <w:r>
        <w:rPr>
          <w:rFonts w:hint="default" w:ascii="Times New Roman" w:hAnsi="Times New Roman" w:cs="Times New Roman"/>
          <w:color w:val="auto"/>
          <w:spacing w:val="0"/>
          <w:kern w:val="2"/>
          <w:sz w:val="24"/>
          <w:szCs w:val="24"/>
          <w:lang w:val="en-US" w:eastAsia="zh-CN"/>
        </w:rPr>
        <w:t>圈</w:t>
      </w:r>
      <w:r>
        <w:rPr>
          <w:rFonts w:hint="default" w:ascii="Times New Roman" w:hAnsi="Times New Roman" w:cs="Times New Roman"/>
          <w:color w:val="auto"/>
          <w:spacing w:val="0"/>
          <w:kern w:val="2"/>
          <w:sz w:val="24"/>
          <w:szCs w:val="24"/>
        </w:rPr>
        <w:t>、屠宰</w:t>
      </w:r>
      <w:r>
        <w:rPr>
          <w:rFonts w:hint="default" w:ascii="Times New Roman" w:hAnsi="Times New Roman" w:eastAsia="宋体" w:cs="Times New Roman"/>
          <w:color w:val="auto"/>
          <w:spacing w:val="0"/>
          <w:kern w:val="2"/>
          <w:sz w:val="24"/>
          <w:szCs w:val="24"/>
          <w:lang w:val="en-US" w:eastAsia="zh-CN"/>
        </w:rPr>
        <w:t>加工</w:t>
      </w:r>
      <w:r>
        <w:rPr>
          <w:rFonts w:hint="default" w:ascii="Times New Roman" w:hAnsi="Times New Roman" w:cs="Times New Roman"/>
          <w:color w:val="auto"/>
          <w:spacing w:val="0"/>
          <w:kern w:val="2"/>
          <w:sz w:val="24"/>
          <w:szCs w:val="24"/>
        </w:rPr>
        <w:t>车间、污水处理站</w:t>
      </w:r>
      <w:r>
        <w:rPr>
          <w:rFonts w:hint="default" w:ascii="Times New Roman" w:hAnsi="Times New Roman" w:cs="Times New Roman"/>
          <w:color w:val="auto"/>
          <w:spacing w:val="0"/>
          <w:kern w:val="2"/>
          <w:sz w:val="24"/>
          <w:szCs w:val="24"/>
          <w:lang w:eastAsia="zh-CN"/>
        </w:rPr>
        <w:t>、固废暂存设施散发的恶臭</w:t>
      </w:r>
      <w:r>
        <w:rPr>
          <w:rFonts w:hint="default" w:ascii="Times New Roman" w:hAnsi="Times New Roman" w:cs="Times New Roman"/>
          <w:color w:val="auto"/>
          <w:spacing w:val="0"/>
          <w:kern w:val="2"/>
          <w:sz w:val="24"/>
          <w:szCs w:val="24"/>
        </w:rPr>
        <w:t>。</w:t>
      </w:r>
    </w:p>
    <w:p>
      <w:pPr>
        <w:keepNext w:val="0"/>
        <w:keepLines w:val="0"/>
        <w:pageBreakBefore w:val="0"/>
        <w:widowControl/>
        <w:wordWrap/>
        <w:overflowPunct/>
        <w:topLinePunct w:val="0"/>
        <w:autoSpaceDE w:val="0"/>
        <w:autoSpaceDN w:val="0"/>
        <w:bidi w:val="0"/>
        <w:spacing w:line="360" w:lineRule="auto"/>
        <w:ind w:firstLine="480" w:firstLineChars="200"/>
        <w:jc w:val="both"/>
        <w:outlineLvl w:val="1"/>
        <w:rPr>
          <w:rFonts w:hint="default" w:ascii="Times New Roman" w:hAnsi="Times New Roman" w:eastAsia="宋体" w:cs="Times New Roman"/>
          <w:smallCaps w:val="0"/>
          <w:color w:val="auto"/>
          <w:spacing w:val="0"/>
          <w:sz w:val="24"/>
          <w:szCs w:val="24"/>
          <w:lang w:eastAsia="zh-CN"/>
        </w:rPr>
      </w:pPr>
      <w:bookmarkStart w:id="396" w:name="_Toc32558"/>
      <w:bookmarkStart w:id="397" w:name="_Toc14634"/>
      <w:bookmarkStart w:id="398" w:name="_Toc17078"/>
      <w:r>
        <w:rPr>
          <w:rFonts w:hint="default" w:ascii="Times New Roman" w:hAnsi="Times New Roman" w:eastAsia="宋体" w:cs="Times New Roman"/>
          <w:smallCaps w:val="0"/>
          <w:color w:val="auto"/>
          <w:spacing w:val="0"/>
          <w:sz w:val="24"/>
          <w:szCs w:val="24"/>
          <w:lang w:eastAsia="zh-CN"/>
        </w:rPr>
        <w:t>（</w:t>
      </w:r>
      <w:r>
        <w:rPr>
          <w:rFonts w:hint="default" w:ascii="Times New Roman" w:hAnsi="Times New Roman" w:eastAsia="宋体" w:cs="Times New Roman"/>
          <w:smallCaps w:val="0"/>
          <w:color w:val="auto"/>
          <w:spacing w:val="0"/>
          <w:sz w:val="24"/>
          <w:szCs w:val="24"/>
          <w:lang w:val="en-US" w:eastAsia="zh-CN"/>
        </w:rPr>
        <w:t>1</w:t>
      </w:r>
      <w:r>
        <w:rPr>
          <w:rFonts w:hint="default" w:ascii="Times New Roman" w:hAnsi="Times New Roman" w:eastAsia="宋体" w:cs="Times New Roman"/>
          <w:smallCaps w:val="0"/>
          <w:color w:val="auto"/>
          <w:spacing w:val="0"/>
          <w:sz w:val="24"/>
          <w:szCs w:val="24"/>
          <w:lang w:eastAsia="zh-CN"/>
        </w:rPr>
        <w:t>）</w:t>
      </w:r>
      <w:r>
        <w:rPr>
          <w:rFonts w:hint="default" w:ascii="Times New Roman" w:hAnsi="Times New Roman" w:eastAsia="宋体" w:cs="Times New Roman"/>
          <w:smallCaps w:val="0"/>
          <w:color w:val="auto"/>
          <w:spacing w:val="0"/>
          <w:sz w:val="24"/>
          <w:szCs w:val="24"/>
        </w:rPr>
        <w:t>待宰</w:t>
      </w:r>
      <w:r>
        <w:rPr>
          <w:rFonts w:hint="default" w:ascii="Times New Roman" w:hAnsi="Times New Roman" w:eastAsia="宋体" w:cs="Times New Roman"/>
          <w:smallCaps w:val="0"/>
          <w:color w:val="auto"/>
          <w:spacing w:val="0"/>
          <w:sz w:val="24"/>
          <w:szCs w:val="24"/>
          <w:lang w:val="en-US" w:eastAsia="zh-CN"/>
        </w:rPr>
        <w:t>圈</w:t>
      </w:r>
      <w:bookmarkEnd w:id="396"/>
      <w:bookmarkEnd w:id="397"/>
      <w:bookmarkEnd w:id="398"/>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smallCaps w:val="0"/>
          <w:color w:val="auto"/>
          <w:spacing w:val="0"/>
          <w:sz w:val="24"/>
          <w:szCs w:val="24"/>
        </w:rPr>
      </w:pPr>
      <w:r>
        <w:rPr>
          <w:rFonts w:hint="default" w:ascii="Times New Roman" w:hAnsi="Times New Roman" w:eastAsia="宋体" w:cs="Times New Roman"/>
          <w:smallCaps w:val="0"/>
          <w:color w:val="auto"/>
          <w:spacing w:val="0"/>
          <w:sz w:val="24"/>
          <w:szCs w:val="24"/>
        </w:rPr>
        <w:t>项目待宰</w:t>
      </w:r>
      <w:r>
        <w:rPr>
          <w:rFonts w:hint="default" w:ascii="Times New Roman" w:hAnsi="Times New Roman" w:eastAsia="宋体" w:cs="Times New Roman"/>
          <w:smallCaps w:val="0"/>
          <w:color w:val="auto"/>
          <w:spacing w:val="0"/>
          <w:sz w:val="24"/>
          <w:szCs w:val="24"/>
          <w:lang w:val="en-US" w:eastAsia="zh-CN"/>
        </w:rPr>
        <w:t>圈</w:t>
      </w:r>
      <w:r>
        <w:rPr>
          <w:rFonts w:hint="default" w:ascii="Times New Roman" w:hAnsi="Times New Roman" w:eastAsia="宋体" w:cs="Times New Roman"/>
          <w:smallCaps w:val="0"/>
          <w:color w:val="auto"/>
          <w:spacing w:val="0"/>
          <w:sz w:val="24"/>
          <w:szCs w:val="24"/>
        </w:rPr>
        <w:t>的恶臭主要来自猪粪、尿，这些粪便会产生氨、H</w:t>
      </w:r>
      <w:r>
        <w:rPr>
          <w:rFonts w:hint="default" w:ascii="Times New Roman" w:hAnsi="Times New Roman" w:eastAsia="宋体" w:cs="Times New Roman"/>
          <w:smallCaps w:val="0"/>
          <w:color w:val="auto"/>
          <w:spacing w:val="0"/>
          <w:sz w:val="24"/>
          <w:szCs w:val="24"/>
          <w:vertAlign w:val="subscript"/>
        </w:rPr>
        <w:t>2</w:t>
      </w:r>
      <w:r>
        <w:rPr>
          <w:rFonts w:hint="default" w:ascii="Times New Roman" w:hAnsi="Times New Roman" w:eastAsia="宋体" w:cs="Times New Roman"/>
          <w:smallCaps w:val="0"/>
          <w:color w:val="auto"/>
          <w:spacing w:val="0"/>
          <w:sz w:val="24"/>
          <w:szCs w:val="24"/>
        </w:rPr>
        <w:t>S等恶臭气体，若未及时清除或清除后不能及时处理，将会使臭味成倍增加，并会孳生大量蚊蝇，影响环境卫生。本项目借鉴同行业生猪待宰圈臭气治理的成功经验，待宰</w:t>
      </w:r>
      <w:r>
        <w:rPr>
          <w:rFonts w:hint="default" w:ascii="Times New Roman" w:hAnsi="Times New Roman" w:eastAsia="宋体" w:cs="Times New Roman"/>
          <w:smallCaps w:val="0"/>
          <w:color w:val="auto"/>
          <w:spacing w:val="0"/>
          <w:sz w:val="24"/>
          <w:szCs w:val="24"/>
          <w:lang w:val="en-US" w:eastAsia="zh-CN"/>
        </w:rPr>
        <w:t>圈</w:t>
      </w:r>
      <w:r>
        <w:rPr>
          <w:rFonts w:hint="default" w:ascii="Times New Roman" w:hAnsi="Times New Roman" w:eastAsia="宋体" w:cs="Times New Roman"/>
          <w:smallCaps w:val="0"/>
          <w:color w:val="auto"/>
          <w:spacing w:val="0"/>
          <w:sz w:val="24"/>
          <w:szCs w:val="24"/>
        </w:rPr>
        <w:t>设置专人管理，及时冲刷待宰</w:t>
      </w:r>
      <w:r>
        <w:rPr>
          <w:rFonts w:hint="default" w:ascii="Times New Roman" w:hAnsi="Times New Roman" w:eastAsia="宋体" w:cs="Times New Roman"/>
          <w:smallCaps w:val="0"/>
          <w:color w:val="auto"/>
          <w:spacing w:val="0"/>
          <w:sz w:val="24"/>
          <w:szCs w:val="24"/>
          <w:lang w:val="en-US" w:eastAsia="zh-CN"/>
        </w:rPr>
        <w:t>圈</w:t>
      </w:r>
      <w:r>
        <w:rPr>
          <w:rFonts w:hint="default" w:ascii="Times New Roman" w:hAnsi="Times New Roman" w:eastAsia="宋体" w:cs="Times New Roman"/>
          <w:smallCaps w:val="0"/>
          <w:color w:val="auto"/>
          <w:spacing w:val="0"/>
          <w:sz w:val="24"/>
          <w:szCs w:val="24"/>
        </w:rPr>
        <w:t>，冲刷废水及时处理，并及时清扫猪粪，喷洒除臭剂，并将猪粪及时外运综合利用，减少恶臭源的散发。</w:t>
      </w:r>
      <w:r>
        <w:rPr>
          <w:rFonts w:hint="default" w:ascii="Times New Roman" w:hAnsi="Times New Roman" w:eastAsia="宋体" w:cs="Times New Roman"/>
          <w:b w:val="0"/>
          <w:bCs w:val="0"/>
          <w:color w:val="auto"/>
          <w:kern w:val="0"/>
          <w:sz w:val="24"/>
          <w:szCs w:val="24"/>
          <w:lang w:val="en-US" w:eastAsia="zh-CN" w:bidi="ar"/>
        </w:rPr>
        <w:t>生物除臭剂又叫微生物除臭剂，其主要原理是利用微生物把溶解水中的恶臭物质吸收于微生物自身体内，通过微生物的代谢活动使其降解的一种过程，能有效抑制厌氧菌或别的有害菌的数量，使其无法发生臭味，经过微生物和有益菌类等来分化掉有机物、杜绝有机物发生氨和硫化氢（臭味）以及有害菌的生成与繁殖，从源头上控制臭气；另配合喷洒高效安全的植物除臭剂 （又叫化学除臭剂），主要通过提取植物中的天然杀菌除臭因子而成，对氨、硫化氢等无机物恶臭成分有吸附、遮盖、良好的分解，或者与异味分子发生碰撞，进行反应，促使异味分子发生改变原有分子结构，使之失去臭味，达到去除臭味的效果。目前除臭剂的种类较多，主要有姜满添加剂、沸石、绿矾、高锰酸钾、磷酸钙、过氧化氢和Bio—G除臭剂等，这些除臭剂的除臭效果好，运行比较稳定。建议采用过氧化氢和Bio—G除臭剂，Bio—G除臭剂系沙果、香蕉、甜瓜、橙子、红萝卜、柿子、番茄、桔子、树叶、蜂蜜、草药等按一定配比制成的100%天然发酵液，这两种除臭剂使用过程无二次污染。本项目采用向待宰间地面喷洒 生物除臭剂的方式，屠宰间半空和周边喷洒植物除臭剂相结合的方式除臭。这种方法投资较小，简便易行，具有较好的效果。</w:t>
      </w:r>
      <w:r>
        <w:rPr>
          <w:rFonts w:hint="default" w:ascii="Times New Roman" w:hAnsi="Times New Roman" w:eastAsia="宋体" w:cs="Times New Roman"/>
          <w:smallCaps w:val="0"/>
          <w:color w:val="auto"/>
          <w:spacing w:val="0"/>
          <w:sz w:val="24"/>
          <w:szCs w:val="24"/>
        </w:rPr>
        <w:t>项目通过加强管理来降低这部分臭气对环境产生的影响。</w:t>
      </w:r>
    </w:p>
    <w:p>
      <w:pPr>
        <w:keepNext w:val="0"/>
        <w:keepLines w:val="0"/>
        <w:pageBreakBefore w:val="0"/>
        <w:wordWrap/>
        <w:overflowPunct/>
        <w:topLinePunct w:val="0"/>
        <w:bidi w:val="0"/>
        <w:spacing w:line="360" w:lineRule="auto"/>
        <w:ind w:firstLine="480" w:firstLineChars="200"/>
        <w:jc w:val="both"/>
        <w:outlineLvl w:val="1"/>
        <w:rPr>
          <w:rFonts w:hint="default" w:ascii="Times New Roman" w:hAnsi="Times New Roman" w:eastAsia="宋体" w:cs="Times New Roman"/>
          <w:smallCaps w:val="0"/>
          <w:color w:val="auto"/>
          <w:spacing w:val="0"/>
          <w:sz w:val="24"/>
          <w:szCs w:val="24"/>
          <w:lang w:eastAsia="zh-CN"/>
        </w:rPr>
      </w:pPr>
      <w:bookmarkStart w:id="399" w:name="_Toc28186"/>
      <w:bookmarkStart w:id="400" w:name="_Toc20689"/>
      <w:bookmarkStart w:id="401" w:name="_Toc16667"/>
      <w:r>
        <w:rPr>
          <w:rFonts w:hint="default" w:ascii="Times New Roman" w:hAnsi="Times New Roman" w:eastAsia="宋体" w:cs="Times New Roman"/>
          <w:smallCaps w:val="0"/>
          <w:color w:val="auto"/>
          <w:spacing w:val="0"/>
          <w:sz w:val="24"/>
          <w:szCs w:val="24"/>
        </w:rPr>
        <w:t>（</w:t>
      </w:r>
      <w:r>
        <w:rPr>
          <w:rFonts w:hint="default" w:ascii="Times New Roman" w:hAnsi="Times New Roman" w:eastAsia="宋体" w:cs="Times New Roman"/>
          <w:smallCaps w:val="0"/>
          <w:color w:val="auto"/>
          <w:spacing w:val="0"/>
          <w:sz w:val="24"/>
          <w:szCs w:val="24"/>
          <w:lang w:val="en-US" w:eastAsia="zh-CN"/>
        </w:rPr>
        <w:t>2</w:t>
      </w:r>
      <w:r>
        <w:rPr>
          <w:rFonts w:hint="default" w:ascii="Times New Roman" w:hAnsi="Times New Roman" w:eastAsia="宋体" w:cs="Times New Roman"/>
          <w:smallCaps w:val="0"/>
          <w:color w:val="auto"/>
          <w:spacing w:val="0"/>
          <w:sz w:val="24"/>
          <w:szCs w:val="24"/>
        </w:rPr>
        <w:t>）屠宰</w:t>
      </w:r>
      <w:r>
        <w:rPr>
          <w:rFonts w:hint="default" w:ascii="Times New Roman" w:hAnsi="Times New Roman" w:eastAsia="宋体" w:cs="Times New Roman"/>
          <w:smallCaps w:val="0"/>
          <w:color w:val="auto"/>
          <w:spacing w:val="0"/>
          <w:sz w:val="24"/>
          <w:szCs w:val="24"/>
          <w:lang w:val="en-US" w:eastAsia="zh-CN"/>
        </w:rPr>
        <w:t>加工</w:t>
      </w:r>
      <w:r>
        <w:rPr>
          <w:rFonts w:hint="default" w:ascii="Times New Roman" w:hAnsi="Times New Roman" w:eastAsia="宋体" w:cs="Times New Roman"/>
          <w:smallCaps w:val="0"/>
          <w:color w:val="auto"/>
          <w:spacing w:val="0"/>
          <w:sz w:val="24"/>
          <w:szCs w:val="24"/>
        </w:rPr>
        <w:t>车间、污水处理站</w:t>
      </w:r>
      <w:bookmarkEnd w:id="399"/>
      <w:bookmarkEnd w:id="400"/>
      <w:bookmarkEnd w:id="401"/>
    </w:p>
    <w:p>
      <w:pPr>
        <w:pStyle w:val="20"/>
        <w:keepNext w:val="0"/>
        <w:keepLines w:val="0"/>
        <w:pageBreakBefore w:val="0"/>
        <w:widowControl w:val="0"/>
        <w:kinsoku/>
        <w:wordWrap/>
        <w:overflowPunct/>
        <w:topLinePunct w:val="0"/>
        <w:bidi w:val="0"/>
        <w:adjustRightInd/>
        <w:snapToGrid/>
        <w:spacing w:line="360" w:lineRule="auto"/>
        <w:ind w:left="0" w:firstLine="480" w:firstLineChars="200"/>
        <w:jc w:val="both"/>
        <w:textAlignment w:val="auto"/>
        <w:rPr>
          <w:rFonts w:hint="eastAsia" w:ascii="Times New Roman" w:hAnsi="Times New Roman" w:eastAsia="宋体" w:cs="Times New Roman"/>
          <w:smallCaps w:val="0"/>
          <w:color w:val="auto"/>
          <w:spacing w:val="0"/>
          <w:sz w:val="24"/>
          <w:szCs w:val="24"/>
          <w:highlight w:val="magenta"/>
          <w:lang w:eastAsia="zh-CN"/>
        </w:rPr>
      </w:pPr>
      <w:r>
        <w:rPr>
          <w:rFonts w:hint="default" w:ascii="Times New Roman" w:hAnsi="Times New Roman" w:eastAsia="宋体" w:cs="Times New Roman"/>
          <w:smallCaps w:val="0"/>
          <w:color w:val="auto"/>
          <w:spacing w:val="0"/>
          <w:sz w:val="24"/>
          <w:szCs w:val="24"/>
        </w:rPr>
        <w:t>屠宰</w:t>
      </w:r>
      <w:r>
        <w:rPr>
          <w:rFonts w:hint="default" w:ascii="Times New Roman" w:hAnsi="Times New Roman" w:eastAsia="宋体" w:cs="Times New Roman"/>
          <w:smallCaps w:val="0"/>
          <w:color w:val="auto"/>
          <w:spacing w:val="0"/>
          <w:sz w:val="24"/>
          <w:szCs w:val="24"/>
          <w:lang w:val="en-US" w:eastAsia="zh-CN"/>
        </w:rPr>
        <w:t>加工</w:t>
      </w:r>
      <w:r>
        <w:rPr>
          <w:rFonts w:hint="default" w:ascii="Times New Roman" w:hAnsi="Times New Roman" w:eastAsia="宋体" w:cs="Times New Roman"/>
          <w:smallCaps w:val="0"/>
          <w:color w:val="auto"/>
          <w:spacing w:val="0"/>
          <w:sz w:val="24"/>
          <w:szCs w:val="24"/>
        </w:rPr>
        <w:t>车间、污水处理站风机收集不到的恶臭气体，建设方加强管理</w:t>
      </w:r>
      <w:r>
        <w:rPr>
          <w:rFonts w:hint="default" w:ascii="Times New Roman" w:hAnsi="Times New Roman" w:eastAsia="宋体" w:cs="Times New Roman"/>
          <w:smallCaps w:val="0"/>
          <w:color w:val="auto"/>
          <w:spacing w:val="0"/>
          <w:sz w:val="24"/>
          <w:szCs w:val="24"/>
          <w:lang w:eastAsia="zh-CN"/>
        </w:rPr>
        <w:t>，</w:t>
      </w:r>
      <w:r>
        <w:rPr>
          <w:rFonts w:hint="eastAsia" w:ascii="Times New Roman" w:hAnsi="Times New Roman" w:eastAsia="宋体" w:cs="Times New Roman"/>
          <w:smallCaps w:val="0"/>
          <w:color w:val="auto"/>
          <w:spacing w:val="0"/>
          <w:sz w:val="24"/>
          <w:szCs w:val="24"/>
          <w:lang w:val="en-US" w:eastAsia="zh-CN"/>
        </w:rPr>
        <w:t>喷洒除臭剂，</w:t>
      </w:r>
      <w:r>
        <w:rPr>
          <w:rFonts w:hint="default" w:ascii="Times New Roman" w:hAnsi="Times New Roman" w:eastAsia="宋体" w:cs="Times New Roman"/>
          <w:smallCaps w:val="0"/>
          <w:color w:val="auto"/>
          <w:spacing w:val="0"/>
          <w:sz w:val="24"/>
          <w:szCs w:val="24"/>
          <w:lang w:eastAsia="zh-CN"/>
        </w:rPr>
        <w:t>增加通风次数，加强气体的扩散</w:t>
      </w:r>
      <w:r>
        <w:rPr>
          <w:rFonts w:hint="default" w:ascii="Times New Roman" w:hAnsi="Times New Roman" w:eastAsia="宋体" w:cs="Times New Roman"/>
          <w:smallCaps w:val="0"/>
          <w:color w:val="auto"/>
          <w:spacing w:val="0"/>
          <w:sz w:val="24"/>
          <w:szCs w:val="24"/>
        </w:rPr>
        <w:t>。</w:t>
      </w:r>
    </w:p>
    <w:p>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jc w:val="both"/>
        <w:textAlignment w:val="auto"/>
        <w:outlineLvl w:val="1"/>
        <w:rPr>
          <w:rFonts w:hint="default" w:ascii="Times New Roman" w:hAnsi="Times New Roman" w:eastAsia="宋体" w:cs="Times New Roman"/>
          <w:b w:val="0"/>
          <w:bCs w:val="0"/>
          <w:color w:val="auto"/>
          <w:sz w:val="24"/>
          <w:szCs w:val="24"/>
          <w:lang w:eastAsia="zh-CN"/>
        </w:rPr>
      </w:pPr>
      <w:bookmarkStart w:id="402" w:name="_Toc16718"/>
      <w:bookmarkStart w:id="403" w:name="_Toc9901"/>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3</w:t>
      </w:r>
      <w:r>
        <w:rPr>
          <w:rFonts w:hint="default" w:ascii="Times New Roman" w:hAnsi="Times New Roman" w:eastAsia="宋体" w:cs="Times New Roman"/>
          <w:b w:val="0"/>
          <w:bCs w:val="0"/>
          <w:color w:val="auto"/>
          <w:sz w:val="24"/>
          <w:szCs w:val="24"/>
          <w:lang w:eastAsia="zh-CN"/>
        </w:rPr>
        <w:t>）固废暂存设施</w:t>
      </w:r>
      <w:bookmarkEnd w:id="402"/>
      <w:bookmarkEnd w:id="403"/>
    </w:p>
    <w:p>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jc w:val="both"/>
        <w:textAlignment w:val="auto"/>
        <w:rPr>
          <w:rFonts w:hint="default" w:ascii="Times New Roman" w:hAnsi="Times New Roman" w:eastAsia="宋体" w:cs="Times New Roman"/>
          <w:smallCaps w:val="0"/>
          <w:color w:val="auto"/>
          <w:spacing w:val="0"/>
          <w:sz w:val="24"/>
          <w:szCs w:val="24"/>
          <w:lang w:eastAsia="zh-CN"/>
        </w:rPr>
      </w:pPr>
      <w:r>
        <w:rPr>
          <w:rFonts w:hint="default" w:ascii="Times New Roman" w:hAnsi="Times New Roman" w:eastAsia="宋体" w:cs="Times New Roman"/>
          <w:b w:val="0"/>
          <w:bCs w:val="0"/>
          <w:color w:val="auto"/>
          <w:sz w:val="24"/>
          <w:szCs w:val="24"/>
        </w:rPr>
        <w:t>固体废物临时存放</w:t>
      </w:r>
      <w:r>
        <w:rPr>
          <w:rFonts w:hint="default" w:ascii="Times New Roman" w:hAnsi="Times New Roman" w:eastAsia="宋体" w:cs="Times New Roman"/>
          <w:b w:val="0"/>
          <w:bCs w:val="0"/>
          <w:color w:val="auto"/>
          <w:sz w:val="24"/>
          <w:szCs w:val="24"/>
          <w:lang w:eastAsia="zh-CN"/>
        </w:rPr>
        <w:t>于一般固废暂存间</w:t>
      </w:r>
      <w:r>
        <w:rPr>
          <w:rFonts w:hint="default" w:ascii="Times New Roman" w:hAnsi="Times New Roman" w:eastAsia="宋体" w:cs="Times New Roman"/>
          <w:b w:val="0"/>
          <w:bCs w:val="0"/>
          <w:color w:val="auto"/>
          <w:sz w:val="24"/>
          <w:szCs w:val="24"/>
        </w:rPr>
        <w:t>采用每天清运垃圾一次，并且每天清洗消毒，喷洒除臭剂，做好消毒台账</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color w:val="auto"/>
          <w:spacing w:val="0"/>
          <w:sz w:val="24"/>
          <w:szCs w:val="24"/>
          <w:lang w:eastAsia="zh-CN"/>
        </w:rPr>
        <w:t>猪粪防渗池密闭加盖贮存于待宰圈内；肠胃内</w:t>
      </w:r>
      <w:r>
        <w:rPr>
          <w:rFonts w:hint="default" w:ascii="Times New Roman" w:hAnsi="Times New Roman" w:eastAsia="宋体" w:cs="Times New Roman"/>
          <w:color w:val="auto"/>
          <w:spacing w:val="0"/>
          <w:sz w:val="24"/>
          <w:szCs w:val="24"/>
        </w:rPr>
        <w:t>容物</w:t>
      </w:r>
      <w:r>
        <w:rPr>
          <w:rFonts w:hint="default" w:ascii="Times New Roman" w:hAnsi="Times New Roman" w:eastAsia="宋体" w:cs="Times New Roman"/>
          <w:color w:val="auto"/>
          <w:spacing w:val="0"/>
          <w:sz w:val="24"/>
          <w:szCs w:val="24"/>
          <w:lang w:eastAsia="zh-CN"/>
        </w:rPr>
        <w:t>通过</w:t>
      </w:r>
      <w:r>
        <w:rPr>
          <w:rFonts w:hint="default" w:ascii="Times New Roman" w:hAnsi="Times New Roman" w:eastAsia="宋体" w:cs="Times New Roman"/>
          <w:color w:val="auto"/>
          <w:spacing w:val="0"/>
          <w:sz w:val="24"/>
          <w:szCs w:val="24"/>
        </w:rPr>
        <w:t>风送设备排至肠内物收集池</w:t>
      </w:r>
      <w:r>
        <w:rPr>
          <w:rFonts w:hint="default" w:ascii="Times New Roman" w:hAnsi="Times New Roman" w:eastAsia="宋体" w:cs="Times New Roman"/>
          <w:color w:val="auto"/>
          <w:spacing w:val="0"/>
          <w:sz w:val="24"/>
          <w:szCs w:val="24"/>
          <w:lang w:eastAsia="zh-CN"/>
        </w:rPr>
        <w:t>封闭贮存，污水处理站污泥和栅渣暂存于污泥暂存池内，密闭存储。</w:t>
      </w:r>
    </w:p>
    <w:p>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jc w:val="both"/>
        <w:textAlignment w:val="auto"/>
        <w:rPr>
          <w:rFonts w:hint="default" w:ascii="Times New Roman" w:hAnsi="Times New Roman" w:eastAsia="宋体" w:cs="Times New Roman"/>
          <w:smallCaps w:val="0"/>
          <w:color w:val="auto"/>
          <w:spacing w:val="0"/>
          <w:sz w:val="24"/>
          <w:szCs w:val="24"/>
        </w:rPr>
      </w:pPr>
      <w:r>
        <w:rPr>
          <w:rFonts w:hint="default" w:ascii="Times New Roman" w:hAnsi="Times New Roman" w:eastAsia="宋体" w:cs="Times New Roman"/>
          <w:smallCaps w:val="0"/>
          <w:color w:val="auto"/>
          <w:spacing w:val="0"/>
          <w:sz w:val="24"/>
          <w:szCs w:val="24"/>
        </w:rPr>
        <w:t>为了进一步减轻恶臭对厂内外环境的影响，建议项目方在厂界四周种植10m宽乔木类植物绿化隔离带，一方面可改善厂内环境，另一方面植被具有隔音、净化空气、杀菌、滞尘等功能，从一定程度上减少恶臭污染物对周围环境的影响。</w:t>
      </w:r>
    </w:p>
    <w:p>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jc w:val="both"/>
        <w:textAlignment w:val="auto"/>
        <w:rPr>
          <w:rFonts w:hint="default" w:ascii="Times New Roman" w:hAnsi="Times New Roman" w:eastAsia="宋体" w:cs="Times New Roman"/>
          <w:smallCaps w:val="0"/>
          <w:color w:val="auto"/>
          <w:spacing w:val="0"/>
          <w:sz w:val="24"/>
          <w:szCs w:val="24"/>
        </w:rPr>
      </w:pPr>
      <w:r>
        <w:rPr>
          <w:rFonts w:hint="default" w:ascii="Times New Roman" w:hAnsi="Times New Roman" w:eastAsia="宋体" w:cs="Times New Roman"/>
          <w:smallCaps w:val="0"/>
          <w:color w:val="auto"/>
          <w:spacing w:val="0"/>
          <w:sz w:val="24"/>
          <w:szCs w:val="24"/>
        </w:rPr>
        <w:t>通过采取上述措施，厂界氨气浓度可控制在1.5mg/m</w:t>
      </w:r>
      <w:r>
        <w:rPr>
          <w:rFonts w:hint="default" w:ascii="Times New Roman" w:hAnsi="Times New Roman" w:eastAsia="宋体" w:cs="Times New Roman"/>
          <w:smallCaps w:val="0"/>
          <w:color w:val="auto"/>
          <w:spacing w:val="0"/>
          <w:sz w:val="24"/>
          <w:szCs w:val="24"/>
          <w:vertAlign w:val="superscript"/>
        </w:rPr>
        <w:t>3</w:t>
      </w:r>
      <w:r>
        <w:rPr>
          <w:rFonts w:hint="default" w:ascii="Times New Roman" w:hAnsi="Times New Roman" w:eastAsia="宋体" w:cs="Times New Roman"/>
          <w:smallCaps w:val="0"/>
          <w:color w:val="auto"/>
          <w:spacing w:val="0"/>
          <w:sz w:val="24"/>
          <w:szCs w:val="24"/>
        </w:rPr>
        <w:t>以下，厂界硫化氢浓度可控制在0.06mg/m</w:t>
      </w:r>
      <w:r>
        <w:rPr>
          <w:rFonts w:hint="default" w:ascii="Times New Roman" w:hAnsi="Times New Roman" w:eastAsia="宋体" w:cs="Times New Roman"/>
          <w:smallCaps w:val="0"/>
          <w:color w:val="auto"/>
          <w:spacing w:val="0"/>
          <w:sz w:val="24"/>
          <w:szCs w:val="24"/>
          <w:vertAlign w:val="superscript"/>
        </w:rPr>
        <w:t>3</w:t>
      </w:r>
      <w:r>
        <w:rPr>
          <w:rFonts w:hint="default" w:ascii="Times New Roman" w:hAnsi="Times New Roman" w:eastAsia="宋体" w:cs="Times New Roman"/>
          <w:smallCaps w:val="0"/>
          <w:color w:val="auto"/>
          <w:spacing w:val="0"/>
          <w:sz w:val="24"/>
          <w:szCs w:val="24"/>
        </w:rPr>
        <w:t>以下，</w:t>
      </w:r>
      <w:r>
        <w:rPr>
          <w:rFonts w:hint="default" w:ascii="Times New Roman" w:hAnsi="Times New Roman" w:eastAsia="宋体" w:cs="Times New Roman"/>
          <w:smallCaps w:val="0"/>
          <w:color w:val="auto"/>
          <w:spacing w:val="0"/>
          <w:sz w:val="24"/>
          <w:szCs w:val="24"/>
          <w:lang w:eastAsia="zh-CN"/>
        </w:rPr>
        <w:t>臭气浓度控制在</w:t>
      </w:r>
      <w:r>
        <w:rPr>
          <w:rFonts w:hint="default" w:ascii="Times New Roman" w:hAnsi="Times New Roman" w:eastAsia="宋体" w:cs="Times New Roman"/>
          <w:smallCaps w:val="0"/>
          <w:color w:val="auto"/>
          <w:spacing w:val="0"/>
          <w:sz w:val="24"/>
          <w:szCs w:val="24"/>
          <w:lang w:val="en-US" w:eastAsia="zh-CN"/>
        </w:rPr>
        <w:t>20（无量纲）以下，</w:t>
      </w:r>
      <w:r>
        <w:rPr>
          <w:rFonts w:hint="default" w:ascii="Times New Roman" w:hAnsi="Times New Roman" w:eastAsia="宋体" w:cs="Times New Roman"/>
          <w:smallCaps w:val="0"/>
          <w:color w:val="auto"/>
          <w:spacing w:val="0"/>
          <w:sz w:val="24"/>
          <w:szCs w:val="24"/>
        </w:rPr>
        <w:t>能够达到《恶臭污染物排放标准》（GB14554-93）厂界标准值的</w:t>
      </w:r>
      <w:r>
        <w:rPr>
          <w:rFonts w:hint="eastAsia" w:ascii="Times New Roman" w:hAnsi="Times New Roman" w:eastAsia="宋体" w:cs="Times New Roman"/>
          <w:smallCaps w:val="0"/>
          <w:color w:val="auto"/>
          <w:spacing w:val="0"/>
          <w:sz w:val="24"/>
          <w:szCs w:val="24"/>
          <w:lang w:val="en-US" w:eastAsia="zh-CN"/>
        </w:rPr>
        <w:t>表1中</w:t>
      </w:r>
      <w:r>
        <w:rPr>
          <w:rFonts w:hint="default" w:ascii="Times New Roman" w:hAnsi="Times New Roman" w:eastAsia="宋体" w:cs="Times New Roman"/>
          <w:smallCaps w:val="0"/>
          <w:color w:val="auto"/>
          <w:spacing w:val="0"/>
          <w:sz w:val="24"/>
          <w:szCs w:val="24"/>
        </w:rPr>
        <w:t>二级标准要求。</w:t>
      </w:r>
    </w:p>
    <w:p>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left="0" w:leftChars="0" w:firstLine="480" w:firstLineChars="200"/>
        <w:jc w:val="both"/>
        <w:textAlignment w:val="auto"/>
        <w:outlineLvl w:val="0"/>
        <w:rPr>
          <w:rFonts w:hint="default" w:ascii="Times New Roman" w:hAnsi="Times New Roman" w:eastAsia="宋体" w:cs="Times New Roman"/>
          <w:smallCaps w:val="0"/>
          <w:color w:val="auto"/>
          <w:spacing w:val="0"/>
          <w:sz w:val="24"/>
          <w:szCs w:val="24"/>
          <w:lang w:eastAsia="zh-CN"/>
        </w:rPr>
      </w:pPr>
      <w:bookmarkStart w:id="404" w:name="_Toc13648"/>
      <w:bookmarkStart w:id="405" w:name="_Toc930"/>
      <w:r>
        <w:rPr>
          <w:rFonts w:hint="default" w:ascii="Times New Roman" w:hAnsi="Times New Roman" w:eastAsia="宋体" w:cs="Times New Roman"/>
          <w:smallCaps w:val="0"/>
          <w:color w:val="auto"/>
          <w:spacing w:val="0"/>
          <w:sz w:val="24"/>
          <w:szCs w:val="24"/>
          <w:lang w:val="en-US" w:eastAsia="zh-CN"/>
        </w:rPr>
        <w:t>3、生猪</w:t>
      </w:r>
      <w:r>
        <w:rPr>
          <w:rFonts w:hint="default" w:ascii="Times New Roman" w:hAnsi="Times New Roman" w:eastAsia="宋体" w:cs="Times New Roman"/>
          <w:smallCaps w:val="0"/>
          <w:color w:val="auto"/>
          <w:spacing w:val="0"/>
          <w:sz w:val="24"/>
          <w:szCs w:val="24"/>
          <w:lang w:eastAsia="zh-CN"/>
        </w:rPr>
        <w:t>运输沿线恶臭防范措施</w:t>
      </w:r>
      <w:bookmarkEnd w:id="404"/>
      <w:bookmarkEnd w:id="405"/>
    </w:p>
    <w:p>
      <w:pPr>
        <w:pStyle w:val="29"/>
        <w:keepNext w:val="0"/>
        <w:keepLines w:val="0"/>
        <w:pageBreakBefore w:val="0"/>
        <w:widowControl w:val="0"/>
        <w:numPr>
          <w:ilvl w:val="0"/>
          <w:numId w:val="0"/>
        </w:numPr>
        <w:kinsoku/>
        <w:wordWrap/>
        <w:overflowPunct/>
        <w:topLinePunct w:val="0"/>
        <w:bidi w:val="0"/>
        <w:adjustRightInd/>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 xml:space="preserve">生猪进场运输车辆对沿线居民的生活产生一定的影响。车辆运输对环境敏感点的影响主要是恶臭和道路扬尘。由于汽车流增加，地面扬尘也随之增加，生猪运输过程中产生的恶臭，对沿途居民会产生心理上及感官上的不良影响。为了减轻因商品猪车辆引起的交通噪声及运输过程产生的恶臭影响等，建议加强以下措施进行防范： </w:t>
      </w:r>
    </w:p>
    <w:p>
      <w:pPr>
        <w:pStyle w:val="29"/>
        <w:keepNext w:val="0"/>
        <w:keepLines w:val="0"/>
        <w:pageBreakBefore w:val="0"/>
        <w:widowControl w:val="0"/>
        <w:numPr>
          <w:ilvl w:val="0"/>
          <w:numId w:val="10"/>
        </w:numPr>
        <w:kinsoku/>
        <w:wordWrap/>
        <w:overflowPunct/>
        <w:topLinePunct w:val="0"/>
        <w:bidi w:val="0"/>
        <w:adjustRightInd/>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 xml:space="preserve">根据生产实际情况，合理调度汽车运输。汽车运输尽量选择工作时间运输， 尽量避开居民餐宿时间运输。 </w:t>
      </w:r>
    </w:p>
    <w:p>
      <w:pPr>
        <w:pStyle w:val="29"/>
        <w:keepNext w:val="0"/>
        <w:keepLines w:val="0"/>
        <w:pageBreakBefore w:val="0"/>
        <w:widowControl w:val="0"/>
        <w:numPr>
          <w:ilvl w:val="0"/>
          <w:numId w:val="10"/>
        </w:numPr>
        <w:kinsoku/>
        <w:wordWrap/>
        <w:overflowPunct/>
        <w:topLinePunct w:val="0"/>
        <w:bidi w:val="0"/>
        <w:adjustRightInd/>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优化运输路线，使运输路线尽量选择距离居民敏感点较远、地域比较开阔的 地段，尽量避开居民敏感点。</w:t>
      </w:r>
    </w:p>
    <w:p>
      <w:pPr>
        <w:pStyle w:val="29"/>
        <w:keepNext w:val="0"/>
        <w:keepLines w:val="0"/>
        <w:pageBreakBefore w:val="0"/>
        <w:widowControl w:val="0"/>
        <w:numPr>
          <w:ilvl w:val="0"/>
          <w:numId w:val="10"/>
        </w:numPr>
        <w:kinsoku/>
        <w:wordWrap/>
        <w:overflowPunct/>
        <w:topLinePunct w:val="0"/>
        <w:bidi w:val="0"/>
        <w:adjustRightInd/>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 xml:space="preserve">商品猪出栏装车前应进行彻底清洗，冲净粪便和身上的污物。 </w:t>
      </w:r>
    </w:p>
    <w:p>
      <w:pPr>
        <w:pStyle w:val="29"/>
        <w:keepNext w:val="0"/>
        <w:keepLines w:val="0"/>
        <w:pageBreakBefore w:val="0"/>
        <w:widowControl w:val="0"/>
        <w:numPr>
          <w:ilvl w:val="0"/>
          <w:numId w:val="10"/>
        </w:numPr>
        <w:kinsoku/>
        <w:wordWrap/>
        <w:overflowPunct/>
        <w:topLinePunct w:val="0"/>
        <w:bidi w:val="0"/>
        <w:adjustRightInd/>
        <w:snapToGrid/>
        <w:spacing w:line="360" w:lineRule="auto"/>
        <w:ind w:left="0" w:leftChars="0" w:firstLine="480" w:firstLineChars="200"/>
        <w:jc w:val="both"/>
        <w:textAlignment w:val="auto"/>
        <w:outlineLvl w:val="1"/>
        <w:rPr>
          <w:rFonts w:hint="default" w:ascii="Times New Roman" w:hAnsi="Times New Roman" w:eastAsia="宋体" w:cs="Times New Roman"/>
          <w:b w:val="0"/>
          <w:bCs w:val="0"/>
          <w:color w:val="auto"/>
          <w:sz w:val="24"/>
          <w:szCs w:val="24"/>
        </w:rPr>
      </w:pPr>
      <w:bookmarkStart w:id="406" w:name="_Toc21672"/>
      <w:bookmarkStart w:id="407" w:name="_Toc1388"/>
      <w:r>
        <w:rPr>
          <w:rFonts w:hint="default" w:ascii="Times New Roman" w:hAnsi="Times New Roman" w:eastAsia="宋体" w:cs="Times New Roman"/>
          <w:b w:val="0"/>
          <w:bCs w:val="0"/>
          <w:color w:val="auto"/>
          <w:sz w:val="24"/>
          <w:szCs w:val="24"/>
        </w:rPr>
        <w:t>猪只运输车辆注意消毒，保持清洁。</w:t>
      </w:r>
      <w:bookmarkEnd w:id="406"/>
      <w:bookmarkEnd w:id="407"/>
      <w:r>
        <w:rPr>
          <w:rFonts w:hint="default" w:ascii="Times New Roman" w:hAnsi="Times New Roman" w:eastAsia="宋体" w:cs="Times New Roman"/>
          <w:b w:val="0"/>
          <w:bCs w:val="0"/>
          <w:color w:val="auto"/>
          <w:sz w:val="24"/>
          <w:szCs w:val="24"/>
        </w:rPr>
        <w:t xml:space="preserve"> </w:t>
      </w:r>
    </w:p>
    <w:p>
      <w:pPr>
        <w:pStyle w:val="29"/>
        <w:keepNext w:val="0"/>
        <w:keepLines w:val="0"/>
        <w:pageBreakBefore w:val="0"/>
        <w:widowControl w:val="0"/>
        <w:numPr>
          <w:ilvl w:val="0"/>
          <w:numId w:val="10"/>
        </w:numPr>
        <w:kinsoku/>
        <w:wordWrap/>
        <w:overflowPunct/>
        <w:topLinePunct w:val="0"/>
        <w:bidi w:val="0"/>
        <w:adjustRightInd/>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应尽量选择半封闭式的运输车辆，最大可能地防止恶臭对城区运输路线两边 居民的影响。</w:t>
      </w:r>
    </w:p>
    <w:p>
      <w:pPr>
        <w:pStyle w:val="29"/>
        <w:keepNext w:val="0"/>
        <w:keepLines w:val="0"/>
        <w:pageBreakBefore w:val="0"/>
        <w:widowControl w:val="0"/>
        <w:numPr>
          <w:ilvl w:val="0"/>
          <w:numId w:val="0"/>
        </w:numPr>
        <w:kinsoku/>
        <w:wordWrap/>
        <w:overflowPunct/>
        <w:topLinePunct w:val="0"/>
        <w:bidi w:val="0"/>
        <w:adjustRightInd/>
        <w:snapToGrid/>
        <w:spacing w:line="360" w:lineRule="auto"/>
        <w:ind w:left="0" w:leftChars="0" w:firstLine="480" w:firstLineChars="200"/>
        <w:jc w:val="both"/>
        <w:textAlignment w:val="auto"/>
        <w:outlineLvl w:val="1"/>
        <w:rPr>
          <w:rFonts w:hint="default" w:ascii="Times New Roman" w:hAnsi="Times New Roman" w:cs="Times New Roman"/>
        </w:rPr>
      </w:pPr>
      <w:bookmarkStart w:id="408" w:name="_Toc30231"/>
      <w:bookmarkStart w:id="409" w:name="_Toc13023"/>
      <w:r>
        <w:rPr>
          <w:rFonts w:hint="default" w:ascii="Times New Roman" w:hAnsi="Times New Roman" w:eastAsia="宋体" w:cs="Times New Roman"/>
          <w:b w:val="0"/>
          <w:bCs w:val="0"/>
          <w:color w:val="auto"/>
          <w:sz w:val="24"/>
          <w:szCs w:val="24"/>
        </w:rPr>
        <w:t>（6）运输车辆必须按定额载重量运输，严禁超载行驶。</w:t>
      </w:r>
      <w:bookmarkEnd w:id="408"/>
      <w:bookmarkEnd w:id="409"/>
    </w:p>
    <w:p>
      <w:pPr>
        <w:keepNext w:val="0"/>
        <w:keepLines w:val="0"/>
        <w:pageBreakBefore w:val="0"/>
        <w:wordWrap/>
        <w:overflowPunct/>
        <w:topLinePunct w:val="0"/>
        <w:bidi w:val="0"/>
        <w:spacing w:line="360" w:lineRule="auto"/>
        <w:jc w:val="both"/>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snapToGrid w:val="0"/>
          <w:color w:val="auto"/>
          <w:kern w:val="0"/>
          <w:sz w:val="24"/>
          <w:szCs w:val="24"/>
          <w:lang w:val="en-US" w:eastAsia="zh-CN" w:bidi="ar-SA"/>
        </w:rPr>
        <w:fldChar w:fldCharType="begin"/>
      </w:r>
      <w:r>
        <w:rPr>
          <w:rFonts w:hint="default" w:ascii="Times New Roman" w:hAnsi="Times New Roman" w:eastAsia="宋体" w:cs="Times New Roman"/>
          <w:b/>
          <w:snapToGrid w:val="0"/>
          <w:color w:val="auto"/>
          <w:kern w:val="0"/>
          <w:sz w:val="24"/>
          <w:szCs w:val="24"/>
          <w:lang w:val="en-US" w:eastAsia="zh-CN" w:bidi="ar-SA"/>
        </w:rPr>
        <w:instrText xml:space="preserve"> HYPERLINK "6.2.2.2" </w:instrText>
      </w:r>
      <w:r>
        <w:rPr>
          <w:rFonts w:hint="default" w:ascii="Times New Roman" w:hAnsi="Times New Roman" w:eastAsia="宋体" w:cs="Times New Roman"/>
          <w:b/>
          <w:snapToGrid w:val="0"/>
          <w:color w:val="auto"/>
          <w:kern w:val="0"/>
          <w:sz w:val="24"/>
          <w:szCs w:val="24"/>
          <w:lang w:val="en-US" w:eastAsia="zh-CN" w:bidi="ar-SA"/>
        </w:rPr>
        <w:fldChar w:fldCharType="separate"/>
      </w:r>
      <w:r>
        <w:rPr>
          <w:rFonts w:hint="default" w:ascii="Times New Roman" w:hAnsi="Times New Roman" w:eastAsia="宋体" w:cs="Times New Roman"/>
          <w:b/>
          <w:snapToGrid w:val="0"/>
          <w:color w:val="auto"/>
          <w:kern w:val="0"/>
          <w:sz w:val="24"/>
          <w:szCs w:val="24"/>
          <w:lang w:val="en-US" w:eastAsia="zh-CN" w:bidi="ar-SA"/>
        </w:rPr>
        <w:t>6.2.2.2</w:t>
      </w:r>
      <w:r>
        <w:rPr>
          <w:rFonts w:hint="default" w:ascii="Times New Roman" w:hAnsi="Times New Roman" w:eastAsia="宋体" w:cs="Times New Roman"/>
          <w:b/>
          <w:snapToGrid w:val="0"/>
          <w:color w:val="auto"/>
          <w:kern w:val="0"/>
          <w:sz w:val="24"/>
          <w:szCs w:val="24"/>
          <w:lang w:val="en-US" w:eastAsia="zh-CN" w:bidi="ar-SA"/>
        </w:rPr>
        <w:fldChar w:fldCharType="end"/>
      </w:r>
      <w:r>
        <w:rPr>
          <w:rFonts w:hint="default" w:ascii="Times New Roman" w:hAnsi="Times New Roman" w:eastAsia="宋体" w:cs="Times New Roman"/>
          <w:b/>
          <w:snapToGrid w:val="0"/>
          <w:color w:val="auto"/>
          <w:kern w:val="0"/>
          <w:sz w:val="24"/>
          <w:szCs w:val="24"/>
          <w:lang w:val="en-US" w:eastAsia="zh-CN" w:bidi="ar-SA"/>
        </w:rPr>
        <w:t xml:space="preserve">  锅炉废气污染防治措施</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eastAsia" w:ascii="Times New Roman" w:hAnsi="Times New Roman" w:eastAsia="宋体" w:cs="Times New Roman"/>
          <w:color w:val="auto"/>
          <w:spacing w:val="0"/>
          <w:sz w:val="24"/>
          <w:szCs w:val="24"/>
          <w:highlight w:val="magenta"/>
          <w:lang w:val="en-US" w:eastAsia="zh-CN"/>
        </w:rPr>
      </w:pPr>
      <w:r>
        <w:rPr>
          <w:rFonts w:hint="default" w:ascii="Times New Roman" w:hAnsi="Times New Roman" w:eastAsia="宋体" w:cs="Times New Roman"/>
          <w:color w:val="auto"/>
          <w:spacing w:val="0"/>
          <w:kern w:val="2"/>
          <w:sz w:val="24"/>
          <w:szCs w:val="24"/>
        </w:rPr>
        <w:t>本项目设置1台</w:t>
      </w:r>
      <w:r>
        <w:rPr>
          <w:rFonts w:hint="eastAsia" w:ascii="Times New Roman" w:hAnsi="Times New Roman" w:eastAsia="宋体" w:cs="Times New Roman"/>
          <w:color w:val="auto"/>
          <w:spacing w:val="0"/>
          <w:kern w:val="2"/>
          <w:sz w:val="24"/>
          <w:szCs w:val="24"/>
          <w:lang w:val="en-US" w:eastAsia="zh-CN"/>
        </w:rPr>
        <w:t>1t/h燃油蒸汽锅炉</w:t>
      </w:r>
      <w:r>
        <w:rPr>
          <w:rFonts w:hint="default" w:ascii="Times New Roman" w:hAnsi="Times New Roman" w:eastAsia="宋体" w:cs="Times New Roman"/>
          <w:color w:val="auto"/>
          <w:spacing w:val="0"/>
          <w:kern w:val="2"/>
          <w:sz w:val="24"/>
          <w:szCs w:val="24"/>
        </w:rPr>
        <w:t>，</w:t>
      </w:r>
      <w:r>
        <w:rPr>
          <w:rFonts w:hint="default" w:ascii="Times New Roman" w:hAnsi="Times New Roman" w:eastAsia="宋体" w:cs="Times New Roman"/>
          <w:color w:val="auto"/>
          <w:spacing w:val="0"/>
          <w:kern w:val="2"/>
          <w:sz w:val="24"/>
          <w:szCs w:val="24"/>
          <w:lang w:val="en-US" w:eastAsia="zh-CN"/>
        </w:rPr>
        <w:t>燃油</w:t>
      </w:r>
      <w:r>
        <w:rPr>
          <w:rFonts w:hint="default" w:ascii="Times New Roman" w:hAnsi="Times New Roman" w:eastAsia="宋体" w:cs="Times New Roman"/>
          <w:color w:val="auto"/>
          <w:spacing w:val="0"/>
          <w:kern w:val="2"/>
          <w:sz w:val="24"/>
          <w:szCs w:val="24"/>
        </w:rPr>
        <w:t>锅炉</w:t>
      </w:r>
      <w:r>
        <w:rPr>
          <w:rFonts w:hint="default" w:ascii="Times New Roman" w:hAnsi="Times New Roman" w:eastAsia="宋体" w:cs="Times New Roman"/>
          <w:color w:val="auto"/>
          <w:spacing w:val="0"/>
          <w:kern w:val="2"/>
          <w:sz w:val="24"/>
          <w:szCs w:val="24"/>
          <w:lang w:eastAsia="zh-CN"/>
        </w:rPr>
        <w:t>采取低氮燃烧技术，</w:t>
      </w:r>
      <w:r>
        <w:rPr>
          <w:rFonts w:hint="default" w:ascii="Times New Roman" w:hAnsi="Times New Roman" w:eastAsia="宋体" w:cs="Times New Roman"/>
          <w:color w:val="auto"/>
          <w:spacing w:val="0"/>
          <w:kern w:val="2"/>
          <w:sz w:val="24"/>
          <w:szCs w:val="24"/>
        </w:rPr>
        <w:t>废气经</w:t>
      </w:r>
      <w:r>
        <w:rPr>
          <w:rFonts w:hint="default" w:ascii="Times New Roman" w:hAnsi="Times New Roman" w:eastAsia="宋体" w:cs="Times New Roman"/>
          <w:color w:val="auto"/>
          <w:spacing w:val="0"/>
          <w:kern w:val="2"/>
          <w:sz w:val="24"/>
          <w:szCs w:val="24"/>
          <w:lang w:val="en-US" w:eastAsia="zh-CN"/>
        </w:rPr>
        <w:t>12m</w:t>
      </w:r>
      <w:r>
        <w:rPr>
          <w:rFonts w:hint="default" w:ascii="Times New Roman" w:hAnsi="Times New Roman" w:eastAsia="宋体" w:cs="Times New Roman"/>
          <w:color w:val="auto"/>
          <w:spacing w:val="0"/>
          <w:kern w:val="2"/>
          <w:sz w:val="24"/>
          <w:szCs w:val="24"/>
        </w:rPr>
        <w:t>高烟囱排放。</w:t>
      </w:r>
      <w:r>
        <w:rPr>
          <w:rFonts w:hint="default" w:ascii="Times New Roman" w:hAnsi="Times New Roman" w:eastAsia="宋体" w:cs="Times New Roman"/>
          <w:color w:val="auto"/>
          <w:spacing w:val="0"/>
          <w:kern w:val="2"/>
          <w:sz w:val="24"/>
          <w:szCs w:val="24"/>
          <w:lang w:val="en-US" w:eastAsia="zh-CN"/>
        </w:rPr>
        <w:t>根据《工业锅炉污染防治可行性技术指南》（HJ1178-2021），锅炉自带低氮燃烧器，为规范要求的可行性技术。锅炉排放的颗粒物、二氧化硫、氮氧化物</w:t>
      </w:r>
      <w:r>
        <w:rPr>
          <w:rFonts w:hint="eastAsia" w:ascii="Times New Roman" w:hAnsi="Times New Roman" w:eastAsia="宋体" w:cs="Times New Roman"/>
          <w:color w:val="auto"/>
          <w:spacing w:val="0"/>
          <w:kern w:val="2"/>
          <w:sz w:val="24"/>
          <w:szCs w:val="24"/>
          <w:lang w:val="en-US" w:eastAsia="zh-CN"/>
        </w:rPr>
        <w:t>、林格曼黑度</w:t>
      </w:r>
      <w:r>
        <w:rPr>
          <w:rFonts w:hint="default" w:ascii="Times New Roman" w:hAnsi="Times New Roman" w:eastAsia="宋体" w:cs="Times New Roman"/>
          <w:color w:val="auto"/>
          <w:spacing w:val="0"/>
          <w:kern w:val="2"/>
          <w:sz w:val="24"/>
          <w:szCs w:val="24"/>
        </w:rPr>
        <w:t>排放浓度满足《锅炉大气污染物排放标准》（GB13271-2014）中</w:t>
      </w:r>
      <w:r>
        <w:rPr>
          <w:rFonts w:hint="default" w:ascii="Times New Roman" w:hAnsi="Times New Roman" w:eastAsia="宋体" w:cs="Times New Roman"/>
          <w:color w:val="auto"/>
          <w:spacing w:val="0"/>
          <w:kern w:val="2"/>
          <w:sz w:val="24"/>
          <w:szCs w:val="24"/>
          <w:lang w:val="en-US" w:eastAsia="zh-CN"/>
        </w:rPr>
        <w:t>表2</w:t>
      </w:r>
      <w:r>
        <w:rPr>
          <w:rFonts w:hint="default" w:ascii="Times New Roman" w:hAnsi="Times New Roman" w:eastAsia="宋体" w:cs="Times New Roman"/>
          <w:color w:val="auto"/>
          <w:spacing w:val="0"/>
          <w:kern w:val="2"/>
          <w:sz w:val="24"/>
          <w:szCs w:val="24"/>
        </w:rPr>
        <w:t>燃</w:t>
      </w:r>
      <w:r>
        <w:rPr>
          <w:rFonts w:hint="default" w:ascii="Times New Roman" w:hAnsi="Times New Roman" w:eastAsia="宋体" w:cs="Times New Roman"/>
          <w:color w:val="auto"/>
          <w:spacing w:val="0"/>
          <w:kern w:val="2"/>
          <w:sz w:val="24"/>
          <w:szCs w:val="24"/>
          <w:lang w:val="en-US" w:eastAsia="zh-CN"/>
        </w:rPr>
        <w:t>油</w:t>
      </w:r>
      <w:r>
        <w:rPr>
          <w:rFonts w:hint="default" w:ascii="Times New Roman" w:hAnsi="Times New Roman" w:eastAsia="宋体" w:cs="Times New Roman"/>
          <w:color w:val="auto"/>
          <w:spacing w:val="0"/>
          <w:kern w:val="2"/>
          <w:sz w:val="24"/>
          <w:szCs w:val="24"/>
        </w:rPr>
        <w:t>锅炉标准（颗粒物≤</w:t>
      </w:r>
      <w:r>
        <w:rPr>
          <w:rFonts w:hint="default" w:ascii="Times New Roman" w:hAnsi="Times New Roman" w:eastAsia="宋体" w:cs="Times New Roman"/>
          <w:color w:val="auto"/>
          <w:spacing w:val="0"/>
          <w:kern w:val="2"/>
          <w:sz w:val="24"/>
          <w:szCs w:val="24"/>
          <w:lang w:val="en-US" w:eastAsia="zh-CN"/>
        </w:rPr>
        <w:t>3</w:t>
      </w:r>
      <w:r>
        <w:rPr>
          <w:rFonts w:hint="default" w:ascii="Times New Roman" w:hAnsi="Times New Roman" w:eastAsia="宋体" w:cs="Times New Roman"/>
          <w:color w:val="auto"/>
          <w:spacing w:val="0"/>
          <w:kern w:val="2"/>
          <w:sz w:val="24"/>
          <w:szCs w:val="24"/>
        </w:rPr>
        <w:t>0mg/Nm</w:t>
      </w:r>
      <w:r>
        <w:rPr>
          <w:rFonts w:hint="default" w:ascii="Times New Roman" w:hAnsi="Times New Roman" w:eastAsia="宋体" w:cs="Times New Roman"/>
          <w:color w:val="auto"/>
          <w:spacing w:val="0"/>
          <w:kern w:val="2"/>
          <w:sz w:val="24"/>
          <w:szCs w:val="24"/>
          <w:vertAlign w:val="superscript"/>
        </w:rPr>
        <w:t>3</w:t>
      </w:r>
      <w:r>
        <w:rPr>
          <w:rFonts w:hint="default" w:ascii="Times New Roman" w:hAnsi="Times New Roman" w:eastAsia="宋体" w:cs="Times New Roman"/>
          <w:color w:val="auto"/>
          <w:spacing w:val="0"/>
          <w:kern w:val="2"/>
          <w:sz w:val="24"/>
          <w:szCs w:val="24"/>
        </w:rPr>
        <w:t>，SO</w:t>
      </w:r>
      <w:r>
        <w:rPr>
          <w:rFonts w:hint="default" w:ascii="Times New Roman" w:hAnsi="Times New Roman" w:eastAsia="宋体" w:cs="Times New Roman"/>
          <w:color w:val="auto"/>
          <w:spacing w:val="0"/>
          <w:kern w:val="2"/>
          <w:sz w:val="24"/>
          <w:szCs w:val="24"/>
          <w:vertAlign w:val="subscript"/>
        </w:rPr>
        <w:t>2</w:t>
      </w:r>
      <w:r>
        <w:rPr>
          <w:rFonts w:hint="default" w:ascii="Times New Roman" w:hAnsi="Times New Roman" w:eastAsia="宋体" w:cs="Times New Roman"/>
          <w:color w:val="auto"/>
          <w:spacing w:val="0"/>
          <w:kern w:val="2"/>
          <w:sz w:val="24"/>
          <w:szCs w:val="24"/>
        </w:rPr>
        <w:t>≤</w:t>
      </w:r>
      <w:r>
        <w:rPr>
          <w:rFonts w:hint="default" w:ascii="Times New Roman" w:hAnsi="Times New Roman" w:eastAsia="宋体" w:cs="Times New Roman"/>
          <w:color w:val="auto"/>
          <w:spacing w:val="0"/>
          <w:kern w:val="2"/>
          <w:sz w:val="24"/>
          <w:szCs w:val="24"/>
          <w:lang w:val="en-US" w:eastAsia="zh-CN"/>
        </w:rPr>
        <w:t>200</w:t>
      </w:r>
      <w:r>
        <w:rPr>
          <w:rFonts w:hint="default" w:ascii="Times New Roman" w:hAnsi="Times New Roman" w:eastAsia="宋体" w:cs="Times New Roman"/>
          <w:color w:val="auto"/>
          <w:spacing w:val="0"/>
          <w:kern w:val="2"/>
          <w:sz w:val="24"/>
          <w:szCs w:val="24"/>
        </w:rPr>
        <w:t>mg/Nm</w:t>
      </w:r>
      <w:r>
        <w:rPr>
          <w:rFonts w:hint="default" w:ascii="Times New Roman" w:hAnsi="Times New Roman" w:eastAsia="宋体" w:cs="Times New Roman"/>
          <w:color w:val="auto"/>
          <w:spacing w:val="0"/>
          <w:kern w:val="2"/>
          <w:sz w:val="24"/>
          <w:szCs w:val="24"/>
          <w:vertAlign w:val="superscript"/>
        </w:rPr>
        <w:t>3</w:t>
      </w:r>
      <w:r>
        <w:rPr>
          <w:rFonts w:hint="default" w:ascii="Times New Roman" w:hAnsi="Times New Roman" w:eastAsia="宋体" w:cs="Times New Roman"/>
          <w:color w:val="auto"/>
          <w:spacing w:val="0"/>
          <w:kern w:val="2"/>
          <w:sz w:val="24"/>
          <w:szCs w:val="24"/>
        </w:rPr>
        <w:t>，NO</w:t>
      </w:r>
      <w:r>
        <w:rPr>
          <w:rFonts w:hint="default" w:ascii="Times New Roman" w:hAnsi="Times New Roman" w:eastAsia="宋体" w:cs="Times New Roman"/>
          <w:color w:val="auto"/>
          <w:spacing w:val="0"/>
          <w:kern w:val="2"/>
          <w:sz w:val="24"/>
          <w:szCs w:val="24"/>
          <w:vertAlign w:val="subscript"/>
        </w:rPr>
        <w:t>2</w:t>
      </w:r>
      <w:r>
        <w:rPr>
          <w:rFonts w:hint="default" w:ascii="Times New Roman" w:hAnsi="Times New Roman" w:eastAsia="宋体" w:cs="Times New Roman"/>
          <w:color w:val="auto"/>
          <w:spacing w:val="0"/>
          <w:kern w:val="2"/>
          <w:sz w:val="24"/>
          <w:szCs w:val="24"/>
        </w:rPr>
        <w:t>≤</w:t>
      </w:r>
      <w:r>
        <w:rPr>
          <w:rFonts w:hint="default" w:ascii="Times New Roman" w:hAnsi="Times New Roman" w:eastAsia="宋体" w:cs="Times New Roman"/>
          <w:color w:val="auto"/>
          <w:spacing w:val="0"/>
          <w:kern w:val="2"/>
          <w:sz w:val="24"/>
          <w:szCs w:val="24"/>
          <w:lang w:val="en-US" w:eastAsia="zh-CN"/>
        </w:rPr>
        <w:t>25</w:t>
      </w:r>
      <w:r>
        <w:rPr>
          <w:rFonts w:hint="default" w:ascii="Times New Roman" w:hAnsi="Times New Roman" w:eastAsia="宋体" w:cs="Times New Roman"/>
          <w:color w:val="auto"/>
          <w:spacing w:val="0"/>
          <w:kern w:val="2"/>
          <w:sz w:val="24"/>
          <w:szCs w:val="24"/>
        </w:rPr>
        <w:t>0mg/Nm</w:t>
      </w:r>
      <w:r>
        <w:rPr>
          <w:rFonts w:hint="default" w:ascii="Times New Roman" w:hAnsi="Times New Roman" w:eastAsia="宋体" w:cs="Times New Roman"/>
          <w:color w:val="auto"/>
          <w:spacing w:val="0"/>
          <w:kern w:val="2"/>
          <w:sz w:val="24"/>
          <w:szCs w:val="24"/>
          <w:vertAlign w:val="superscript"/>
        </w:rPr>
        <w:t>3</w:t>
      </w:r>
      <w:r>
        <w:rPr>
          <w:rFonts w:hint="default" w:ascii="Times New Roman" w:hAnsi="Times New Roman" w:eastAsia="宋体" w:cs="Times New Roman"/>
          <w:color w:val="auto"/>
          <w:spacing w:val="0"/>
          <w:kern w:val="2"/>
          <w:sz w:val="24"/>
          <w:szCs w:val="24"/>
        </w:rPr>
        <w:t>）</w:t>
      </w:r>
      <w:r>
        <w:rPr>
          <w:rFonts w:hint="eastAsia" w:ascii="Times New Roman" w:hAnsi="Times New Roman" w:eastAsia="宋体" w:cs="Times New Roman"/>
          <w:color w:val="auto"/>
          <w:spacing w:val="0"/>
          <w:kern w:val="2"/>
          <w:sz w:val="24"/>
          <w:szCs w:val="24"/>
          <w:highlight w:val="none"/>
          <w:lang w:eastAsia="zh-CN"/>
        </w:rPr>
        <w:t>。</w:t>
      </w:r>
    </w:p>
    <w:p>
      <w:pPr>
        <w:keepNext w:val="0"/>
        <w:keepLines w:val="0"/>
        <w:pageBreakBefore w:val="0"/>
        <w:wordWrap/>
        <w:overflowPunct/>
        <w:topLinePunct w:val="0"/>
        <w:bidi w:val="0"/>
        <w:spacing w:line="360" w:lineRule="auto"/>
        <w:jc w:val="both"/>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snapToGrid w:val="0"/>
          <w:color w:val="auto"/>
          <w:kern w:val="0"/>
          <w:sz w:val="24"/>
          <w:szCs w:val="24"/>
          <w:lang w:val="en-US" w:eastAsia="zh-CN" w:bidi="ar-SA"/>
        </w:rPr>
        <w:fldChar w:fldCharType="begin"/>
      </w:r>
      <w:r>
        <w:rPr>
          <w:rFonts w:hint="default" w:ascii="Times New Roman" w:hAnsi="Times New Roman" w:eastAsia="宋体" w:cs="Times New Roman"/>
          <w:b/>
          <w:snapToGrid w:val="0"/>
          <w:color w:val="auto"/>
          <w:kern w:val="0"/>
          <w:sz w:val="24"/>
          <w:szCs w:val="24"/>
          <w:lang w:val="en-US" w:eastAsia="zh-CN" w:bidi="ar-SA"/>
        </w:rPr>
        <w:instrText xml:space="preserve"> HYPERLINK "6.2.2.3" </w:instrText>
      </w:r>
      <w:r>
        <w:rPr>
          <w:rFonts w:hint="default" w:ascii="Times New Roman" w:hAnsi="Times New Roman" w:eastAsia="宋体" w:cs="Times New Roman"/>
          <w:b/>
          <w:snapToGrid w:val="0"/>
          <w:color w:val="auto"/>
          <w:kern w:val="0"/>
          <w:sz w:val="24"/>
          <w:szCs w:val="24"/>
          <w:lang w:val="en-US" w:eastAsia="zh-CN" w:bidi="ar-SA"/>
        </w:rPr>
        <w:fldChar w:fldCharType="separate"/>
      </w:r>
      <w:r>
        <w:rPr>
          <w:rFonts w:hint="default" w:ascii="Times New Roman" w:hAnsi="Times New Roman" w:eastAsia="宋体" w:cs="Times New Roman"/>
          <w:b/>
          <w:snapToGrid w:val="0"/>
          <w:color w:val="auto"/>
          <w:kern w:val="0"/>
          <w:sz w:val="24"/>
          <w:szCs w:val="24"/>
          <w:lang w:val="en-US" w:eastAsia="zh-CN" w:bidi="ar-SA"/>
        </w:rPr>
        <w:t>6.2.2.3</w:t>
      </w:r>
      <w:r>
        <w:rPr>
          <w:rFonts w:hint="default" w:ascii="Times New Roman" w:hAnsi="Times New Roman" w:eastAsia="宋体" w:cs="Times New Roman"/>
          <w:b/>
          <w:snapToGrid w:val="0"/>
          <w:color w:val="auto"/>
          <w:kern w:val="0"/>
          <w:sz w:val="24"/>
          <w:szCs w:val="24"/>
          <w:lang w:val="en-US" w:eastAsia="zh-CN" w:bidi="ar-SA"/>
        </w:rPr>
        <w:fldChar w:fldCharType="end"/>
      </w:r>
      <w:r>
        <w:rPr>
          <w:rFonts w:hint="default" w:ascii="Times New Roman" w:hAnsi="Times New Roman" w:eastAsia="宋体" w:cs="Times New Roman"/>
          <w:b/>
          <w:snapToGrid w:val="0"/>
          <w:color w:val="auto"/>
          <w:kern w:val="0"/>
          <w:sz w:val="24"/>
          <w:szCs w:val="24"/>
          <w:lang w:val="en-US" w:eastAsia="zh-CN" w:bidi="ar-SA"/>
        </w:rPr>
        <w:t xml:space="preserve">  柴油储罐污染防治措施</w:t>
      </w:r>
    </w:p>
    <w:p>
      <w:pPr>
        <w:pStyle w:val="29"/>
        <w:keepNext w:val="0"/>
        <w:keepLines w:val="0"/>
        <w:pageBreakBefore w:val="0"/>
        <w:wordWrap/>
        <w:overflowPunct/>
        <w:topLinePunct w:val="0"/>
        <w:bidi w:val="0"/>
        <w:spacing w:line="360" w:lineRule="auto"/>
        <w:ind w:left="0" w:firstLine="480" w:firstLineChars="200"/>
        <w:jc w:val="both"/>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4"/>
          <w:szCs w:val="24"/>
          <w:highlight w:val="none"/>
          <w:lang w:val="en-US" w:eastAsia="zh-CN"/>
        </w:rPr>
        <w:t>柴油储罐配套一根气相平衡管</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卸油时产生非甲烷总烃</w:t>
      </w:r>
      <w:r>
        <w:rPr>
          <w:rFonts w:hint="eastAsia" w:ascii="Times New Roman" w:hAnsi="Times New Roman" w:eastAsia="宋体" w:cs="Times New Roman"/>
          <w:color w:val="auto"/>
          <w:sz w:val="24"/>
          <w:szCs w:val="24"/>
          <w:highlight w:val="none"/>
          <w:lang w:val="en-US" w:eastAsia="zh-CN"/>
        </w:rPr>
        <w:t>经管线排入加油车中</w:t>
      </w:r>
      <w:r>
        <w:rPr>
          <w:rFonts w:hint="default" w:ascii="Times New Roman" w:hAnsi="Times New Roman" w:eastAsia="宋体" w:cs="Times New Roman"/>
          <w:color w:val="auto"/>
          <w:sz w:val="24"/>
          <w:szCs w:val="24"/>
          <w:highlight w:val="none"/>
          <w:lang w:val="en-US" w:eastAsia="zh-CN"/>
        </w:rPr>
        <w:t>，油气回收效率90%</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kern w:val="2"/>
          <w:sz w:val="24"/>
          <w:szCs w:val="24"/>
          <w:highlight w:val="none"/>
          <w:lang w:val="en-US" w:eastAsia="zh-CN" w:bidi="ar-SA"/>
        </w:rPr>
        <w:t>收集后送入油罐车罐内，储油罐呼吸管排放口安装呼吸阀，排放口距地面高度1米。</w:t>
      </w:r>
    </w:p>
    <w:p>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snapToGrid w:val="0"/>
          <w:color w:val="auto"/>
          <w:kern w:val="0"/>
          <w:sz w:val="24"/>
          <w:szCs w:val="24"/>
          <w:lang w:val="en-US" w:eastAsia="zh-CN" w:bidi="ar-SA"/>
        </w:rPr>
        <w:fldChar w:fldCharType="begin"/>
      </w:r>
      <w:r>
        <w:rPr>
          <w:rFonts w:hint="default" w:ascii="Times New Roman" w:hAnsi="Times New Roman" w:eastAsia="宋体" w:cs="Times New Roman"/>
          <w:b/>
          <w:snapToGrid w:val="0"/>
          <w:color w:val="auto"/>
          <w:kern w:val="0"/>
          <w:sz w:val="24"/>
          <w:szCs w:val="24"/>
          <w:lang w:val="en-US" w:eastAsia="zh-CN" w:bidi="ar-SA"/>
        </w:rPr>
        <w:instrText xml:space="preserve"> HYPERLINK "6.2.2.4" </w:instrText>
      </w:r>
      <w:r>
        <w:rPr>
          <w:rFonts w:hint="default" w:ascii="Times New Roman" w:hAnsi="Times New Roman" w:eastAsia="宋体" w:cs="Times New Roman"/>
          <w:b/>
          <w:snapToGrid w:val="0"/>
          <w:color w:val="auto"/>
          <w:kern w:val="0"/>
          <w:sz w:val="24"/>
          <w:szCs w:val="24"/>
          <w:lang w:val="en-US" w:eastAsia="zh-CN" w:bidi="ar-SA"/>
        </w:rPr>
        <w:fldChar w:fldCharType="separate"/>
      </w:r>
      <w:r>
        <w:rPr>
          <w:rFonts w:hint="default" w:ascii="Times New Roman" w:hAnsi="Times New Roman" w:eastAsia="宋体" w:cs="Times New Roman"/>
          <w:b/>
          <w:snapToGrid w:val="0"/>
          <w:color w:val="auto"/>
          <w:kern w:val="0"/>
          <w:sz w:val="24"/>
          <w:szCs w:val="24"/>
          <w:lang w:val="en-US" w:eastAsia="zh-CN" w:bidi="ar-SA"/>
        </w:rPr>
        <w:t>6.2.2.4</w:t>
      </w:r>
      <w:r>
        <w:rPr>
          <w:rFonts w:hint="default" w:ascii="Times New Roman" w:hAnsi="Times New Roman" w:eastAsia="宋体" w:cs="Times New Roman"/>
          <w:b/>
          <w:snapToGrid w:val="0"/>
          <w:color w:val="auto"/>
          <w:kern w:val="0"/>
          <w:sz w:val="24"/>
          <w:szCs w:val="24"/>
          <w:lang w:val="en-US" w:eastAsia="zh-CN" w:bidi="ar-SA"/>
        </w:rPr>
        <w:fldChar w:fldCharType="end"/>
      </w:r>
      <w:r>
        <w:rPr>
          <w:rFonts w:hint="default" w:ascii="Times New Roman" w:hAnsi="Times New Roman" w:eastAsia="宋体" w:cs="Times New Roman"/>
          <w:b/>
          <w:snapToGrid w:val="0"/>
          <w:color w:val="auto"/>
          <w:kern w:val="0"/>
          <w:sz w:val="24"/>
          <w:szCs w:val="24"/>
          <w:lang w:val="en-US" w:eastAsia="zh-CN" w:bidi="ar-SA"/>
        </w:rPr>
        <w:t xml:space="preserve">  大气环境防护距离及卫生防护距离</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outlineLvl w:val="0"/>
        <w:rPr>
          <w:rFonts w:hint="default" w:ascii="Times New Roman" w:hAnsi="Times New Roman" w:eastAsia="宋体" w:cs="Times New Roman"/>
          <w:color w:val="auto"/>
          <w:kern w:val="2"/>
          <w:sz w:val="24"/>
          <w:szCs w:val="24"/>
          <w:lang w:val="en-US" w:eastAsia="zh-CN" w:bidi="ar-SA"/>
        </w:rPr>
      </w:pPr>
      <w:bookmarkStart w:id="410" w:name="_Toc10911"/>
      <w:bookmarkStart w:id="411" w:name="_Toc12216"/>
      <w:bookmarkStart w:id="412" w:name="_Toc11947"/>
      <w:bookmarkStart w:id="413" w:name="_Toc14111"/>
      <w:r>
        <w:rPr>
          <w:rFonts w:hint="default" w:ascii="Times New Roman" w:hAnsi="Times New Roman" w:eastAsia="宋体" w:cs="Times New Roman"/>
          <w:color w:val="auto"/>
          <w:kern w:val="2"/>
          <w:sz w:val="24"/>
          <w:szCs w:val="24"/>
          <w:lang w:val="en-US" w:eastAsia="zh-CN" w:bidi="ar-SA"/>
        </w:rPr>
        <w:t>1、大气环境防护距离</w:t>
      </w:r>
      <w:bookmarkEnd w:id="410"/>
      <w:bookmarkEnd w:id="411"/>
      <w:bookmarkEnd w:id="412"/>
      <w:bookmarkEnd w:id="413"/>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根据《环境影响评价技术导则 大气环境》（HJ 2.2-2018）中对于大气环境防护距离确定的相关内容，“采用进一步预测模型模拟评价基准年内，本项目所有污染源对厂界外主要污染物的短期贡献浓度分布。在底图上标注从厂界起所有超过环境质量短期浓度标准值的网格区域，以自厂界起至超标区域的最远垂直距离作为大气环境防护距离”。</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本项目环境空气评价工作等级为二级，根据《环境影响评价技术导则 大气环境》（HJ 2.2-2018），二级评价项目不进行进一步预测与评价，只对污染物排放量进行核算。且本次环境空气评价未进行进一步预测。故本次评价不设置大气环境防护距离。</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outlineLvl w:val="0"/>
        <w:rPr>
          <w:rFonts w:hint="default" w:ascii="Times New Roman" w:hAnsi="Times New Roman" w:eastAsia="宋体" w:cs="Times New Roman"/>
          <w:color w:val="auto"/>
          <w:kern w:val="2"/>
          <w:sz w:val="24"/>
          <w:szCs w:val="24"/>
          <w:lang w:val="en-US" w:eastAsia="zh-CN" w:bidi="ar-SA"/>
        </w:rPr>
      </w:pPr>
      <w:bookmarkStart w:id="414" w:name="_Toc24781"/>
      <w:bookmarkStart w:id="415" w:name="_Toc22198"/>
      <w:bookmarkStart w:id="416" w:name="_Toc30403"/>
      <w:bookmarkStart w:id="417" w:name="_Toc29452"/>
      <w:r>
        <w:rPr>
          <w:rFonts w:hint="default" w:ascii="Times New Roman" w:hAnsi="Times New Roman" w:eastAsia="宋体" w:cs="Times New Roman"/>
          <w:color w:val="auto"/>
          <w:kern w:val="2"/>
          <w:sz w:val="24"/>
          <w:szCs w:val="24"/>
          <w:lang w:val="en-US" w:eastAsia="zh-CN" w:bidi="ar-SA"/>
        </w:rPr>
        <w:t>2、卫生防护距离</w:t>
      </w:r>
      <w:bookmarkEnd w:id="414"/>
      <w:bookmarkEnd w:id="415"/>
      <w:bookmarkEnd w:id="416"/>
      <w:bookmarkEnd w:id="417"/>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根据《大气有害物质无组织排放卫生防护距离推导技术导则》（GB/T 39499-2020）规定，通过计算确定本项目以厂界为边界设置</w:t>
      </w:r>
      <w:r>
        <w:rPr>
          <w:rFonts w:hint="default" w:ascii="Times New Roman" w:hAnsi="Times New Roman" w:eastAsia="宋体" w:cs="Times New Roman"/>
          <w:color w:val="auto"/>
          <w:kern w:val="2"/>
          <w:sz w:val="24"/>
          <w:szCs w:val="24"/>
          <w:highlight w:val="none"/>
          <w:lang w:val="en-US" w:eastAsia="zh-CN" w:bidi="ar-SA"/>
        </w:rPr>
        <w:t>100m</w:t>
      </w:r>
      <w:r>
        <w:rPr>
          <w:rFonts w:hint="default" w:ascii="Times New Roman" w:hAnsi="Times New Roman" w:eastAsia="宋体" w:cs="Times New Roman"/>
          <w:color w:val="auto"/>
          <w:kern w:val="2"/>
          <w:sz w:val="24"/>
          <w:szCs w:val="24"/>
          <w:lang w:val="en-US" w:eastAsia="zh-CN" w:bidi="ar-SA"/>
        </w:rPr>
        <w:t>卫生防护距离。</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本项目最近的环境敏</w:t>
      </w:r>
      <w:r>
        <w:rPr>
          <w:rFonts w:hint="default" w:ascii="Times New Roman" w:hAnsi="Times New Roman" w:eastAsia="宋体" w:cs="Times New Roman"/>
          <w:color w:val="auto"/>
          <w:kern w:val="2"/>
          <w:sz w:val="24"/>
          <w:szCs w:val="24"/>
          <w:highlight w:val="none"/>
          <w:lang w:val="en-US" w:eastAsia="zh-CN" w:bidi="ar-SA"/>
        </w:rPr>
        <w:t>感目标为厂区</w:t>
      </w:r>
      <w:r>
        <w:rPr>
          <w:rFonts w:hint="eastAsia" w:ascii="Times New Roman" w:hAnsi="Times New Roman" w:eastAsia="宋体" w:cs="Times New Roman"/>
          <w:color w:val="auto"/>
          <w:kern w:val="2"/>
          <w:sz w:val="24"/>
          <w:szCs w:val="24"/>
          <w:highlight w:val="none"/>
          <w:lang w:val="en-US" w:eastAsia="zh-CN" w:bidi="ar-SA"/>
        </w:rPr>
        <w:t>北</w:t>
      </w:r>
      <w:r>
        <w:rPr>
          <w:rFonts w:hint="default" w:ascii="Times New Roman" w:hAnsi="Times New Roman" w:eastAsia="宋体" w:cs="Times New Roman"/>
          <w:color w:val="auto"/>
          <w:kern w:val="2"/>
          <w:sz w:val="24"/>
          <w:szCs w:val="24"/>
          <w:highlight w:val="none"/>
          <w:lang w:val="en-US" w:eastAsia="zh-CN" w:bidi="ar-SA"/>
        </w:rPr>
        <w:t>侧</w:t>
      </w:r>
      <w:r>
        <w:rPr>
          <w:rFonts w:hint="eastAsia" w:ascii="Times New Roman" w:hAnsi="Times New Roman" w:eastAsia="宋体" w:cs="Times New Roman"/>
          <w:color w:val="auto"/>
          <w:kern w:val="2"/>
          <w:sz w:val="24"/>
          <w:szCs w:val="24"/>
          <w:highlight w:val="none"/>
          <w:lang w:val="en-US" w:eastAsia="zh-CN" w:bidi="ar-SA"/>
        </w:rPr>
        <w:t>距离最近的兴隆镇居民</w:t>
      </w:r>
      <w:r>
        <w:rPr>
          <w:rFonts w:hint="default" w:ascii="Times New Roman" w:hAnsi="Times New Roman" w:eastAsia="宋体" w:cs="Times New Roman"/>
          <w:color w:val="auto"/>
          <w:kern w:val="2"/>
          <w:sz w:val="24"/>
          <w:szCs w:val="24"/>
          <w:highlight w:val="none"/>
          <w:lang w:val="en-US" w:eastAsia="zh-CN" w:bidi="ar-SA"/>
        </w:rPr>
        <w:t>，距离本项目厂界</w:t>
      </w:r>
      <w:r>
        <w:rPr>
          <w:rFonts w:hint="eastAsia" w:ascii="Times New Roman" w:hAnsi="Times New Roman" w:eastAsia="宋体" w:cs="Times New Roman"/>
          <w:color w:val="auto"/>
          <w:kern w:val="2"/>
          <w:sz w:val="24"/>
          <w:szCs w:val="24"/>
          <w:highlight w:val="none"/>
          <w:lang w:val="en-US" w:eastAsia="zh-CN" w:bidi="ar-SA"/>
        </w:rPr>
        <w:t>380</w:t>
      </w:r>
      <w:r>
        <w:rPr>
          <w:rFonts w:hint="default" w:ascii="Times New Roman" w:hAnsi="Times New Roman" w:eastAsia="宋体" w:cs="Times New Roman"/>
          <w:color w:val="auto"/>
          <w:kern w:val="2"/>
          <w:sz w:val="24"/>
          <w:szCs w:val="24"/>
          <w:highlight w:val="none"/>
          <w:lang w:val="en-US" w:eastAsia="zh-CN" w:bidi="ar-SA"/>
        </w:rPr>
        <w:t>m，因此在卫生防护</w:t>
      </w:r>
      <w:r>
        <w:rPr>
          <w:rFonts w:hint="default" w:ascii="Times New Roman" w:hAnsi="Times New Roman" w:eastAsia="宋体" w:cs="Times New Roman"/>
          <w:color w:val="auto"/>
          <w:kern w:val="2"/>
          <w:sz w:val="24"/>
          <w:szCs w:val="24"/>
          <w:lang w:val="en-US" w:eastAsia="zh-CN" w:bidi="ar-SA"/>
        </w:rPr>
        <w:t>距离内范围内无居民区、学校、医院等敏感目标，项目选址符合卫生防护距离的要求。</w:t>
      </w:r>
    </w:p>
    <w:p>
      <w:pPr>
        <w:pStyle w:val="11"/>
        <w:widowControl w:val="0"/>
        <w:numPr>
          <w:ilvl w:val="2"/>
          <w:numId w:val="0"/>
        </w:numPr>
        <w:kinsoku/>
        <w:autoSpaceDE/>
        <w:autoSpaceDN/>
        <w:adjustRightInd/>
        <w:snapToGrid/>
        <w:spacing w:before="0" w:after="0" w:line="360" w:lineRule="auto"/>
        <w:contextualSpacing/>
        <w:jc w:val="both"/>
        <w:textAlignment w:val="auto"/>
        <w:outlineLvl w:val="1"/>
        <w:rPr>
          <w:rFonts w:hint="default" w:ascii="Times New Roman" w:hAnsi="Times New Roman" w:eastAsia="宋体" w:cs="Times New Roman"/>
          <w:b/>
          <w:bCs w:val="0"/>
          <w:snapToGrid/>
          <w:color w:val="auto"/>
          <w:kern w:val="2"/>
          <w:sz w:val="28"/>
          <w:szCs w:val="28"/>
          <w:lang w:eastAsia="zh-CN"/>
        </w:rPr>
      </w:pPr>
      <w:bookmarkStart w:id="418" w:name="_Toc7434"/>
      <w:bookmarkStart w:id="419" w:name="_Toc23293"/>
      <w:r>
        <w:rPr>
          <w:rFonts w:hint="default" w:ascii="Times New Roman" w:hAnsi="Times New Roman" w:eastAsia="宋体" w:cs="Times New Roman"/>
          <w:b/>
          <w:bCs w:val="0"/>
          <w:snapToGrid/>
          <w:color w:val="auto"/>
          <w:kern w:val="2"/>
          <w:sz w:val="28"/>
          <w:szCs w:val="28"/>
          <w:lang w:eastAsia="zh-CN"/>
        </w:rPr>
        <w:t>6.2.3  噪声污染防治措施</w:t>
      </w:r>
      <w:bookmarkEnd w:id="418"/>
      <w:bookmarkEnd w:id="419"/>
    </w:p>
    <w:p>
      <w:pPr>
        <w:pStyle w:val="29"/>
        <w:keepNext w:val="0"/>
        <w:keepLines w:val="0"/>
        <w:pageBreakBefore w:val="0"/>
        <w:wordWrap/>
        <w:overflowPunct/>
        <w:topLinePunct w:val="0"/>
        <w:bidi w:val="0"/>
        <w:spacing w:line="360" w:lineRule="auto"/>
        <w:ind w:lef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本项目的主要噪声源为各种泵类、空压机、生产线、猪叫声等，其噪声值在</w:t>
      </w:r>
      <w:r>
        <w:rPr>
          <w:rFonts w:hint="default" w:ascii="Times New Roman" w:hAnsi="Times New Roman" w:eastAsia="宋体" w:cs="Times New Roman"/>
          <w:color w:val="auto"/>
          <w:kern w:val="2"/>
          <w:sz w:val="24"/>
          <w:szCs w:val="24"/>
          <w:highlight w:val="none"/>
          <w:lang w:val="en-US" w:eastAsia="zh-CN" w:bidi="ar-SA"/>
        </w:rPr>
        <w:t>7</w:t>
      </w:r>
      <w:r>
        <w:rPr>
          <w:rFonts w:hint="eastAsia" w:ascii="Times New Roman" w:hAnsi="Times New Roman" w:eastAsia="宋体"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90（</w:t>
      </w:r>
      <w:r>
        <w:rPr>
          <w:rFonts w:hint="default" w:ascii="Times New Roman" w:hAnsi="Times New Roman" w:eastAsia="宋体" w:cs="Times New Roman"/>
          <w:color w:val="auto"/>
          <w:kern w:val="2"/>
          <w:sz w:val="24"/>
          <w:szCs w:val="24"/>
          <w:highlight w:val="none"/>
          <w:lang w:val="en-US" w:eastAsia="zh-CN" w:bidi="ar-SA"/>
        </w:rPr>
        <w:t>dB（A）之间。为了减轻各类噪声对周围声环境影响，根据各类噪声的声源特征</w:t>
      </w:r>
      <w:r>
        <w:rPr>
          <w:rFonts w:hint="default" w:ascii="Times New Roman" w:hAnsi="Times New Roman" w:eastAsia="宋体" w:cs="Times New Roman"/>
          <w:color w:val="auto"/>
          <w:kern w:val="2"/>
          <w:sz w:val="24"/>
          <w:szCs w:val="24"/>
          <w:lang w:val="en-US" w:eastAsia="zh-CN" w:bidi="ar-SA"/>
        </w:rPr>
        <w:t>，提出以</w:t>
      </w:r>
    </w:p>
    <w:p>
      <w:pPr>
        <w:pStyle w:val="29"/>
        <w:keepNext w:val="0"/>
        <w:keepLines w:val="0"/>
        <w:pageBreakBefore w:val="0"/>
        <w:wordWrap/>
        <w:overflowPunct/>
        <w:topLinePunct w:val="0"/>
        <w:bidi w:val="0"/>
        <w:spacing w:line="360" w:lineRule="auto"/>
        <w:ind w:lef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下噪声防治措施：</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（1）加强待宰区隔音措施，采用性能更佳的隔音设施，加大待宰</w:t>
      </w:r>
      <w:r>
        <w:rPr>
          <w:rFonts w:hint="eastAsia" w:ascii="Times New Roman" w:hAnsi="Times New Roman" w:eastAsia="宋体" w:cs="Times New Roman"/>
          <w:color w:val="auto"/>
          <w:kern w:val="2"/>
          <w:sz w:val="24"/>
          <w:szCs w:val="24"/>
          <w:highlight w:val="none"/>
          <w:lang w:val="en-US" w:eastAsia="zh-CN" w:bidi="ar-SA"/>
        </w:rPr>
        <w:t>圈北</w:t>
      </w:r>
      <w:r>
        <w:rPr>
          <w:rFonts w:hint="default" w:ascii="Times New Roman" w:hAnsi="Times New Roman" w:eastAsia="宋体" w:cs="Times New Roman"/>
          <w:color w:val="auto"/>
          <w:kern w:val="2"/>
          <w:sz w:val="24"/>
          <w:szCs w:val="24"/>
          <w:highlight w:val="none"/>
          <w:lang w:val="en-US" w:eastAsia="zh-CN" w:bidi="ar-SA"/>
        </w:rPr>
        <w:t>侧的绿化密度。加强赶猪道的隔音降噪，比如在赶猪道两侧加装隔音板。待宰</w:t>
      </w:r>
      <w:r>
        <w:rPr>
          <w:rFonts w:hint="eastAsia" w:ascii="Times New Roman" w:hAnsi="Times New Roman" w:eastAsia="宋体" w:cs="Times New Roman"/>
          <w:color w:val="auto"/>
          <w:kern w:val="2"/>
          <w:sz w:val="24"/>
          <w:szCs w:val="24"/>
          <w:highlight w:val="none"/>
          <w:lang w:val="en-US" w:eastAsia="zh-CN" w:bidi="ar-SA"/>
        </w:rPr>
        <w:t>圈北</w:t>
      </w:r>
      <w:r>
        <w:rPr>
          <w:rFonts w:hint="default" w:ascii="Times New Roman" w:hAnsi="Times New Roman" w:eastAsia="宋体" w:cs="Times New Roman"/>
          <w:color w:val="auto"/>
          <w:kern w:val="2"/>
          <w:sz w:val="24"/>
          <w:szCs w:val="24"/>
          <w:highlight w:val="none"/>
          <w:lang w:val="en-US" w:eastAsia="zh-CN" w:bidi="ar-SA"/>
        </w:rPr>
        <w:t>侧</w:t>
      </w:r>
      <w:r>
        <w:rPr>
          <w:rFonts w:hint="default" w:ascii="Times New Roman" w:hAnsi="Times New Roman" w:eastAsia="宋体" w:cs="Times New Roman"/>
          <w:color w:val="auto"/>
          <w:kern w:val="2"/>
          <w:sz w:val="24"/>
          <w:szCs w:val="24"/>
          <w:lang w:val="en-US" w:eastAsia="zh-CN" w:bidi="ar-SA"/>
        </w:rPr>
        <w:t>多种植高大的植物。</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（2）对待宰区猪进行管理，避免猪之间互相咬叫，放音乐对生猪进行安抚，同时应减少外界噪声等对待宰区的干扰，以缓解动物的紧张情绪。</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（3）严格执行电麻屠宰制度，为防止畜类交易过程及待宰过程引起的嚎叫声影响 周围声环境，应避免用抽打方式赶牲畜；待宰区与电击间之间应设置专门封闭通道；机械设备摩擦部位经常涂抹</w:t>
      </w:r>
      <w:r>
        <w:rPr>
          <w:rFonts w:hint="default" w:ascii="Times New Roman" w:hAnsi="Times New Roman" w:eastAsia="宋体" w:cs="Times New Roman"/>
          <w:color w:val="auto"/>
          <w:kern w:val="2"/>
          <w:sz w:val="24"/>
          <w:szCs w:val="24"/>
          <w:highlight w:val="none"/>
          <w:lang w:val="en-US" w:eastAsia="zh-CN" w:bidi="ar-SA"/>
        </w:rPr>
        <w:t>润滑油。</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（4）在工艺设备选型时，应尽可能选用低噪声设备，并对发声设备采取减振、消声和隔音措施；</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（5）充分利用厂内建筑物的隔声作用，以减轻各类声源对周围环境的影响；</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（6）车间噪声源强较</w:t>
      </w:r>
      <w:r>
        <w:rPr>
          <w:rFonts w:hint="eastAsia" w:ascii="Times New Roman" w:hAnsi="Times New Roman" w:eastAsia="宋体" w:cs="Times New Roman"/>
          <w:color w:val="auto"/>
          <w:kern w:val="2"/>
          <w:sz w:val="24"/>
          <w:szCs w:val="24"/>
          <w:lang w:val="en-US" w:eastAsia="zh-CN" w:bidi="ar-SA"/>
        </w:rPr>
        <w:t>高</w:t>
      </w:r>
      <w:r>
        <w:rPr>
          <w:rFonts w:hint="default" w:ascii="Times New Roman" w:hAnsi="Times New Roman" w:eastAsia="宋体" w:cs="Times New Roman"/>
          <w:color w:val="auto"/>
          <w:kern w:val="2"/>
          <w:sz w:val="24"/>
          <w:szCs w:val="24"/>
          <w:lang w:val="en-US" w:eastAsia="zh-CN" w:bidi="ar-SA"/>
        </w:rPr>
        <w:t>，车间墙体和门窗采用吸隔声材料建设，在工作时门窗处于关闭状态；以减轻各种设备噪声向车间外传播；</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7）锅炉房、污水处理站的鼓风机、引风机出口安装消声器，风机和风管采用软接头连接，锅炉房门窗应采用吸隔声材料建设，锅炉房作业时门窗不得随意开启；水泵安装减振基座，出入口处装避振喉，降低设备噪声对声环境的影响；</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（8）加强厂内绿化，在厂界区内侧种植高大常绿树种，车间周围加大绿化力度，项目厂界设置不低于 2.4m 高的实体围墙，同时可在围墙上种植爬山虎之类的藤本植物，从而使噪声最大限度地随距离自然衰减；</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（9）货物运输车辆进入厂区时应做到不鸣或少鸣笛，以减轻交通噪声对声环境的</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影响。</w:t>
      </w:r>
    </w:p>
    <w:p>
      <w:pPr>
        <w:pStyle w:val="29"/>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采取以上措施后，项目噪声排放满足《工业企业厂界环境噪声排放标准》（GB12346-2008）2类区标准要求。</w:t>
      </w:r>
    </w:p>
    <w:p>
      <w:pPr>
        <w:pStyle w:val="11"/>
        <w:widowControl w:val="0"/>
        <w:numPr>
          <w:ilvl w:val="2"/>
          <w:numId w:val="0"/>
        </w:numPr>
        <w:kinsoku/>
        <w:autoSpaceDE/>
        <w:autoSpaceDN/>
        <w:adjustRightInd/>
        <w:snapToGrid/>
        <w:spacing w:before="0" w:after="0" w:line="360" w:lineRule="auto"/>
        <w:contextualSpacing/>
        <w:jc w:val="both"/>
        <w:textAlignment w:val="auto"/>
        <w:outlineLvl w:val="1"/>
        <w:rPr>
          <w:rFonts w:hint="default" w:ascii="Times New Roman" w:hAnsi="Times New Roman" w:eastAsia="宋体" w:cs="Times New Roman"/>
          <w:b/>
          <w:bCs w:val="0"/>
          <w:snapToGrid/>
          <w:color w:val="auto"/>
          <w:kern w:val="2"/>
          <w:sz w:val="28"/>
          <w:szCs w:val="28"/>
          <w:highlight w:val="none"/>
          <w:lang w:eastAsia="zh-CN"/>
        </w:rPr>
      </w:pPr>
      <w:bookmarkStart w:id="420" w:name="_Toc13141"/>
      <w:bookmarkStart w:id="421" w:name="_Toc23307"/>
      <w:r>
        <w:rPr>
          <w:rFonts w:hint="default" w:ascii="Times New Roman" w:hAnsi="Times New Roman" w:eastAsia="宋体" w:cs="Times New Roman"/>
          <w:b/>
          <w:bCs w:val="0"/>
          <w:snapToGrid/>
          <w:color w:val="auto"/>
          <w:kern w:val="2"/>
          <w:sz w:val="28"/>
          <w:szCs w:val="28"/>
          <w:highlight w:val="none"/>
          <w:lang w:eastAsia="zh-CN"/>
        </w:rPr>
        <w:t>6.2.4  地下水污染防治</w:t>
      </w:r>
      <w:r>
        <w:rPr>
          <w:rFonts w:hint="default" w:ascii="Times New Roman" w:hAnsi="Times New Roman" w:eastAsia="宋体" w:cs="Times New Roman"/>
          <w:b/>
          <w:bCs w:val="0"/>
          <w:snapToGrid/>
          <w:color w:val="auto"/>
          <w:kern w:val="2"/>
          <w:sz w:val="28"/>
          <w:szCs w:val="28"/>
          <w:highlight w:val="none"/>
          <w:lang w:val="en-US" w:eastAsia="zh-CN"/>
        </w:rPr>
        <w:t>措施</w:t>
      </w:r>
      <w:bookmarkEnd w:id="420"/>
      <w:bookmarkEnd w:id="421"/>
    </w:p>
    <w:p>
      <w:pPr>
        <w:keepNext w:val="0"/>
        <w:keepLines w:val="0"/>
        <w:pageBreakBefore w:val="0"/>
        <w:wordWrap/>
        <w:overflowPunct/>
        <w:topLinePunct w:val="0"/>
        <w:bidi w:val="0"/>
        <w:spacing w:line="360" w:lineRule="auto"/>
        <w:jc w:val="both"/>
        <w:outlineLvl w:val="9"/>
        <w:rPr>
          <w:rFonts w:hint="default" w:ascii="Times New Roman" w:hAnsi="Times New Roman" w:eastAsia="宋体" w:cs="Times New Roman"/>
          <w:b/>
          <w:snapToGrid w:val="0"/>
          <w:color w:val="auto"/>
          <w:kern w:val="0"/>
          <w:sz w:val="24"/>
          <w:szCs w:val="24"/>
          <w:lang w:val="en-US" w:eastAsia="zh-CN" w:bidi="ar-SA"/>
        </w:rPr>
      </w:pPr>
      <w:r>
        <w:rPr>
          <w:rFonts w:hint="default" w:ascii="Times New Roman" w:hAnsi="Times New Roman" w:eastAsia="宋体" w:cs="Times New Roman"/>
          <w:b/>
          <w:snapToGrid w:val="0"/>
          <w:color w:val="auto"/>
          <w:kern w:val="0"/>
          <w:sz w:val="24"/>
          <w:szCs w:val="24"/>
          <w:lang w:val="en-US" w:eastAsia="zh-CN" w:bidi="ar-SA"/>
        </w:rPr>
        <w:t>6.2.4.1 防控措施</w:t>
      </w:r>
    </w:p>
    <w:p>
      <w:pPr>
        <w:keepNext w:val="0"/>
        <w:keepLines w:val="0"/>
        <w:pageBreakBefore w:val="0"/>
        <w:widowControl w:val="0"/>
        <w:kinsoku/>
        <w:wordWrap/>
        <w:overflowPunct/>
        <w:topLinePunct w:val="0"/>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eastAsia" w:ascii="Times New Roman" w:hAnsi="Times New Roman" w:eastAsia="宋体" w:cs="Times New Roman"/>
          <w:color w:val="auto"/>
          <w:sz w:val="24"/>
          <w:szCs w:val="24"/>
          <w:lang w:val="en-US" w:eastAsia="zh-CN"/>
        </w:rPr>
        <w:t>扩建后</w:t>
      </w:r>
      <w:r>
        <w:rPr>
          <w:rFonts w:hint="default" w:ascii="Times New Roman" w:hAnsi="Times New Roman" w:eastAsia="宋体" w:cs="Times New Roman"/>
          <w:color w:val="auto"/>
          <w:sz w:val="24"/>
          <w:szCs w:val="24"/>
        </w:rPr>
        <w:t>废水产生量为</w:t>
      </w:r>
      <w:r>
        <w:rPr>
          <w:rFonts w:hint="eastAsia" w:ascii="Times New Roman" w:hAnsi="Times New Roman" w:eastAsia="宋体" w:cs="Times New Roman"/>
          <w:color w:val="auto"/>
          <w:sz w:val="24"/>
          <w:szCs w:val="24"/>
          <w:highlight w:val="none"/>
          <w:lang w:val="en-US" w:eastAsia="zh-CN"/>
        </w:rPr>
        <w:t>235.09</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w:t>
      </w:r>
      <w:r>
        <w:rPr>
          <w:rFonts w:hint="default" w:ascii="Times New Roman" w:hAnsi="Times New Roman" w:eastAsia="宋体" w:cs="Times New Roman"/>
          <w:color w:val="auto"/>
          <w:sz w:val="24"/>
          <w:szCs w:val="24"/>
        </w:rPr>
        <w:t>，其中含有SS、BOD</w:t>
      </w:r>
      <w:r>
        <w:rPr>
          <w:rFonts w:hint="default" w:ascii="Times New Roman" w:hAnsi="Times New Roman" w:eastAsia="宋体" w:cs="Times New Roman"/>
          <w:color w:val="auto"/>
          <w:sz w:val="24"/>
          <w:szCs w:val="24"/>
          <w:vertAlign w:val="subscript"/>
        </w:rPr>
        <w:t>5</w:t>
      </w:r>
      <w:r>
        <w:rPr>
          <w:rFonts w:hint="default" w:ascii="Times New Roman" w:hAnsi="Times New Roman" w:eastAsia="宋体" w:cs="Times New Roman"/>
          <w:color w:val="auto"/>
          <w:sz w:val="24"/>
          <w:szCs w:val="24"/>
        </w:rPr>
        <w:t>、COD、NH</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-N和</w:t>
      </w:r>
      <w:r>
        <w:rPr>
          <w:rFonts w:hint="default" w:ascii="Times New Roman" w:hAnsi="Times New Roman" w:eastAsia="宋体" w:cs="Times New Roman"/>
          <w:color w:val="auto"/>
          <w:sz w:val="24"/>
          <w:szCs w:val="24"/>
          <w:lang w:val="en-US" w:eastAsia="zh-CN"/>
        </w:rPr>
        <w:t>石油类</w:t>
      </w:r>
      <w:r>
        <w:rPr>
          <w:rFonts w:hint="default" w:ascii="Times New Roman" w:hAnsi="Times New Roman" w:eastAsia="宋体" w:cs="Times New Roman"/>
          <w:color w:val="auto"/>
          <w:sz w:val="24"/>
          <w:szCs w:val="24"/>
        </w:rPr>
        <w:t>等污染物，若项目废水外泄，将会对地下水造成污染。</w:t>
      </w:r>
    </w:p>
    <w:p>
      <w:pPr>
        <w:pStyle w:val="5"/>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color w:val="auto"/>
          <w:spacing w:val="0"/>
          <w:kern w:val="2"/>
          <w:sz w:val="24"/>
          <w:szCs w:val="24"/>
        </w:rPr>
      </w:pPr>
      <w:r>
        <w:rPr>
          <w:rFonts w:hint="default" w:ascii="Times New Roman" w:hAnsi="Times New Roman" w:eastAsia="宋体" w:cs="Times New Roman"/>
          <w:color w:val="auto"/>
          <w:spacing w:val="0"/>
          <w:kern w:val="2"/>
          <w:sz w:val="24"/>
          <w:szCs w:val="24"/>
        </w:rPr>
        <w:t>对本工程的地下水防控方案提出如下要求：</w:t>
      </w:r>
    </w:p>
    <w:p>
      <w:pPr>
        <w:pStyle w:val="5"/>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color w:val="auto"/>
          <w:spacing w:val="0"/>
          <w:kern w:val="2"/>
          <w:sz w:val="24"/>
          <w:szCs w:val="24"/>
        </w:rPr>
      </w:pPr>
      <w:r>
        <w:rPr>
          <w:rFonts w:hint="default" w:ascii="Times New Roman" w:hAnsi="Times New Roman" w:eastAsia="宋体" w:cs="Times New Roman"/>
          <w:color w:val="auto"/>
          <w:spacing w:val="0"/>
          <w:kern w:val="2"/>
          <w:sz w:val="24"/>
          <w:szCs w:val="24"/>
        </w:rPr>
        <w:t>（1）应以水平防渗为主，防控措施应满足相关规范。</w:t>
      </w:r>
    </w:p>
    <w:p>
      <w:pPr>
        <w:pStyle w:val="5"/>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color w:val="auto"/>
          <w:spacing w:val="0"/>
          <w:kern w:val="2"/>
          <w:sz w:val="24"/>
          <w:szCs w:val="24"/>
        </w:rPr>
      </w:pPr>
      <w:r>
        <w:rPr>
          <w:rFonts w:hint="default" w:ascii="Times New Roman" w:hAnsi="Times New Roman" w:eastAsia="宋体" w:cs="Times New Roman"/>
          <w:color w:val="auto"/>
          <w:spacing w:val="0"/>
          <w:kern w:val="2"/>
          <w:sz w:val="24"/>
          <w:szCs w:val="24"/>
        </w:rPr>
        <w:t>（2）根据建设项目场地天然包气带防污性能表6</w:t>
      </w:r>
      <w:r>
        <w:rPr>
          <w:rFonts w:hint="default" w:ascii="Times New Roman" w:hAnsi="Times New Roman" w:eastAsia="宋体" w:cs="Times New Roman"/>
          <w:color w:val="auto"/>
          <w:spacing w:val="0"/>
          <w:kern w:val="2"/>
          <w:sz w:val="24"/>
          <w:szCs w:val="24"/>
          <w:lang w:val="en-US" w:eastAsia="zh-CN"/>
        </w:rPr>
        <w:t>-</w:t>
      </w:r>
      <w:r>
        <w:rPr>
          <w:rFonts w:hint="default" w:ascii="Times New Roman" w:hAnsi="Times New Roman" w:eastAsia="宋体" w:cs="Times New Roman"/>
          <w:color w:val="auto"/>
          <w:spacing w:val="0"/>
          <w:kern w:val="2"/>
          <w:sz w:val="24"/>
          <w:szCs w:val="24"/>
        </w:rPr>
        <w:t>2-</w:t>
      </w:r>
      <w:r>
        <w:rPr>
          <w:rFonts w:hint="eastAsia" w:ascii="Times New Roman" w:hAnsi="Times New Roman" w:eastAsia="宋体" w:cs="Times New Roman"/>
          <w:color w:val="auto"/>
          <w:spacing w:val="0"/>
          <w:kern w:val="2"/>
          <w:sz w:val="24"/>
          <w:szCs w:val="24"/>
          <w:lang w:val="en-US" w:eastAsia="zh-CN"/>
        </w:rPr>
        <w:t>3</w:t>
      </w:r>
      <w:r>
        <w:rPr>
          <w:rFonts w:hint="default" w:ascii="Times New Roman" w:hAnsi="Times New Roman" w:eastAsia="宋体" w:cs="Times New Roman"/>
          <w:color w:val="auto"/>
          <w:spacing w:val="0"/>
          <w:kern w:val="2"/>
          <w:sz w:val="24"/>
          <w:szCs w:val="24"/>
        </w:rPr>
        <w:t>、污染控制难易程度表6</w:t>
      </w:r>
      <w:r>
        <w:rPr>
          <w:rFonts w:hint="default" w:ascii="Times New Roman" w:hAnsi="Times New Roman" w:eastAsia="宋体" w:cs="Times New Roman"/>
          <w:color w:val="auto"/>
          <w:spacing w:val="0"/>
          <w:kern w:val="2"/>
          <w:sz w:val="24"/>
          <w:szCs w:val="24"/>
          <w:lang w:val="en-US" w:eastAsia="zh-CN"/>
        </w:rPr>
        <w:t>-</w:t>
      </w:r>
      <w:r>
        <w:rPr>
          <w:rFonts w:hint="default" w:ascii="Times New Roman" w:hAnsi="Times New Roman" w:eastAsia="宋体" w:cs="Times New Roman"/>
          <w:color w:val="auto"/>
          <w:spacing w:val="0"/>
          <w:kern w:val="2"/>
          <w:sz w:val="24"/>
          <w:szCs w:val="24"/>
        </w:rPr>
        <w:t>2-</w:t>
      </w:r>
      <w:r>
        <w:rPr>
          <w:rFonts w:hint="eastAsia" w:ascii="Times New Roman" w:hAnsi="Times New Roman" w:eastAsia="宋体" w:cs="Times New Roman"/>
          <w:color w:val="auto"/>
          <w:spacing w:val="0"/>
          <w:kern w:val="2"/>
          <w:sz w:val="24"/>
          <w:szCs w:val="24"/>
          <w:lang w:val="en-US" w:eastAsia="zh-CN"/>
        </w:rPr>
        <w:t>4</w:t>
      </w:r>
      <w:r>
        <w:rPr>
          <w:rFonts w:hint="default" w:ascii="Times New Roman" w:hAnsi="Times New Roman" w:eastAsia="宋体" w:cs="Times New Roman"/>
          <w:color w:val="auto"/>
          <w:spacing w:val="0"/>
          <w:kern w:val="2"/>
          <w:sz w:val="24"/>
          <w:szCs w:val="24"/>
        </w:rPr>
        <w:t>和污染物特性，按表6</w:t>
      </w:r>
      <w:r>
        <w:rPr>
          <w:rFonts w:hint="default" w:ascii="Times New Roman" w:hAnsi="Times New Roman" w:eastAsia="宋体" w:cs="Times New Roman"/>
          <w:color w:val="auto"/>
          <w:spacing w:val="0"/>
          <w:kern w:val="2"/>
          <w:sz w:val="24"/>
          <w:szCs w:val="24"/>
          <w:lang w:val="en-US" w:eastAsia="zh-CN"/>
        </w:rPr>
        <w:t>-</w:t>
      </w:r>
      <w:r>
        <w:rPr>
          <w:rFonts w:hint="default" w:ascii="Times New Roman" w:hAnsi="Times New Roman" w:eastAsia="宋体" w:cs="Times New Roman"/>
          <w:color w:val="auto"/>
          <w:spacing w:val="0"/>
          <w:kern w:val="2"/>
          <w:sz w:val="24"/>
          <w:szCs w:val="24"/>
        </w:rPr>
        <w:t>2-</w:t>
      </w:r>
      <w:r>
        <w:rPr>
          <w:rFonts w:hint="eastAsia" w:ascii="Times New Roman" w:hAnsi="Times New Roman" w:eastAsia="宋体" w:cs="Times New Roman"/>
          <w:color w:val="auto"/>
          <w:spacing w:val="0"/>
          <w:kern w:val="2"/>
          <w:sz w:val="24"/>
          <w:szCs w:val="24"/>
          <w:lang w:val="en-US" w:eastAsia="zh-CN"/>
        </w:rPr>
        <w:t>5</w:t>
      </w:r>
      <w:r>
        <w:rPr>
          <w:rFonts w:hint="default" w:ascii="Times New Roman" w:hAnsi="Times New Roman" w:eastAsia="宋体" w:cs="Times New Roman"/>
          <w:color w:val="auto"/>
          <w:spacing w:val="0"/>
          <w:kern w:val="2"/>
          <w:sz w:val="24"/>
          <w:szCs w:val="24"/>
        </w:rPr>
        <w:t>采取防渗分区措施。</w:t>
      </w:r>
    </w:p>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auto"/>
          <w:spacing w:val="0"/>
          <w:kern w:val="2"/>
          <w:sz w:val="21"/>
          <w:szCs w:val="21"/>
        </w:rPr>
      </w:pPr>
      <w:r>
        <w:rPr>
          <w:rFonts w:hint="default" w:ascii="Times New Roman" w:hAnsi="Times New Roman" w:eastAsia="宋体" w:cs="Times New Roman"/>
          <w:b/>
          <w:bCs/>
          <w:color w:val="auto"/>
          <w:spacing w:val="0"/>
          <w:kern w:val="2"/>
          <w:sz w:val="21"/>
          <w:szCs w:val="21"/>
        </w:rPr>
        <w:t>表6</w:t>
      </w:r>
      <w:r>
        <w:rPr>
          <w:rFonts w:hint="default" w:ascii="Times New Roman" w:hAnsi="Times New Roman" w:eastAsia="宋体" w:cs="Times New Roman"/>
          <w:b/>
          <w:bCs/>
          <w:color w:val="auto"/>
          <w:spacing w:val="0"/>
          <w:kern w:val="2"/>
          <w:sz w:val="21"/>
          <w:szCs w:val="21"/>
          <w:lang w:val="en-US" w:eastAsia="zh-CN"/>
        </w:rPr>
        <w:t>-</w:t>
      </w:r>
      <w:r>
        <w:rPr>
          <w:rFonts w:hint="default" w:ascii="Times New Roman" w:hAnsi="Times New Roman" w:eastAsia="宋体" w:cs="Times New Roman"/>
          <w:b/>
          <w:bCs/>
          <w:color w:val="auto"/>
          <w:spacing w:val="0"/>
          <w:kern w:val="2"/>
          <w:sz w:val="21"/>
          <w:szCs w:val="21"/>
        </w:rPr>
        <w:t>2-</w:t>
      </w:r>
      <w:r>
        <w:rPr>
          <w:rFonts w:hint="eastAsia" w:ascii="Times New Roman" w:hAnsi="Times New Roman" w:eastAsia="宋体" w:cs="Times New Roman"/>
          <w:b/>
          <w:bCs/>
          <w:color w:val="auto"/>
          <w:spacing w:val="0"/>
          <w:kern w:val="2"/>
          <w:sz w:val="21"/>
          <w:szCs w:val="21"/>
          <w:lang w:val="en-US" w:eastAsia="zh-CN"/>
        </w:rPr>
        <w:t>3</w:t>
      </w:r>
      <w:r>
        <w:rPr>
          <w:rFonts w:hint="default" w:ascii="Times New Roman" w:hAnsi="Times New Roman" w:eastAsia="宋体" w:cs="Times New Roman"/>
          <w:b/>
          <w:bCs/>
          <w:color w:val="auto"/>
          <w:spacing w:val="0"/>
          <w:kern w:val="2"/>
          <w:sz w:val="21"/>
          <w:szCs w:val="21"/>
          <w:lang w:val="en-US" w:eastAsia="zh-CN"/>
        </w:rPr>
        <w:t xml:space="preserve"> </w:t>
      </w:r>
      <w:r>
        <w:rPr>
          <w:rFonts w:hint="default" w:ascii="Times New Roman" w:hAnsi="Times New Roman" w:eastAsia="宋体" w:cs="Times New Roman"/>
          <w:b/>
          <w:bCs/>
          <w:color w:val="auto"/>
          <w:spacing w:val="0"/>
          <w:kern w:val="2"/>
          <w:sz w:val="21"/>
          <w:szCs w:val="21"/>
        </w:rPr>
        <w:t xml:space="preserve"> 包气带防污性能分级</w:t>
      </w:r>
    </w:p>
    <w:tbl>
      <w:tblPr>
        <w:tblStyle w:val="24"/>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4"/>
        <w:gridCol w:w="6204"/>
        <w:gridCol w:w="20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分级</w:t>
            </w:r>
          </w:p>
        </w:tc>
        <w:tc>
          <w:tcPr>
            <w:tcW w:w="326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包气带岩土的渗透性能</w:t>
            </w:r>
          </w:p>
        </w:tc>
        <w:tc>
          <w:tcPr>
            <w:tcW w:w="10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评价结果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强</w:t>
            </w:r>
          </w:p>
        </w:tc>
        <w:tc>
          <w:tcPr>
            <w:tcW w:w="326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岩（土）层单层厚度Mb≥1.0m，渗透系数 K≤10</w:t>
            </w:r>
            <w:r>
              <w:rPr>
                <w:rFonts w:hint="default" w:ascii="Times New Roman" w:hAnsi="Times New Roman" w:eastAsia="宋体" w:cs="Times New Roman"/>
                <w:color w:val="auto"/>
                <w:spacing w:val="0"/>
                <w:kern w:val="0"/>
                <w:sz w:val="21"/>
                <w:szCs w:val="21"/>
                <w:vertAlign w:val="superscript"/>
              </w:rPr>
              <w:t>-6</w:t>
            </w:r>
            <w:r>
              <w:rPr>
                <w:rFonts w:hint="default" w:ascii="Times New Roman" w:hAnsi="Times New Roman" w:eastAsia="宋体" w:cs="Times New Roman"/>
                <w:color w:val="auto"/>
                <w:spacing w:val="0"/>
                <w:kern w:val="0"/>
                <w:sz w:val="21"/>
                <w:szCs w:val="21"/>
              </w:rPr>
              <w:t>cm/s，且分布连续、稳定。</w:t>
            </w:r>
          </w:p>
        </w:tc>
        <w:tc>
          <w:tcPr>
            <w:tcW w:w="10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中</w:t>
            </w:r>
          </w:p>
        </w:tc>
        <w:tc>
          <w:tcPr>
            <w:tcW w:w="326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岩（土）层单层厚度0.5m≤Mb﹤1.0m，渗透系数K≤10</w:t>
            </w:r>
            <w:r>
              <w:rPr>
                <w:rFonts w:hint="default" w:ascii="Times New Roman" w:hAnsi="Times New Roman" w:eastAsia="宋体" w:cs="Times New Roman"/>
                <w:color w:val="auto"/>
                <w:spacing w:val="0"/>
                <w:kern w:val="0"/>
                <w:sz w:val="21"/>
                <w:szCs w:val="21"/>
                <w:vertAlign w:val="superscript"/>
              </w:rPr>
              <w:t>-6</w:t>
            </w:r>
            <w:r>
              <w:rPr>
                <w:rFonts w:hint="default" w:ascii="Times New Roman" w:hAnsi="Times New Roman" w:eastAsia="宋体" w:cs="Times New Roman"/>
                <w:color w:val="auto"/>
                <w:spacing w:val="0"/>
                <w:kern w:val="0"/>
                <w:sz w:val="21"/>
                <w:szCs w:val="21"/>
              </w:rPr>
              <w:t xml:space="preserve"> cm/s，且分布连续、稳定。</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岩（土）层单层厚度 Mb≥1.0m，渗透系数 10</w:t>
            </w:r>
            <w:r>
              <w:rPr>
                <w:rFonts w:hint="default" w:ascii="Times New Roman" w:hAnsi="Times New Roman" w:eastAsia="宋体" w:cs="Times New Roman"/>
                <w:color w:val="auto"/>
                <w:spacing w:val="0"/>
                <w:kern w:val="0"/>
                <w:sz w:val="21"/>
                <w:szCs w:val="21"/>
                <w:vertAlign w:val="superscript"/>
              </w:rPr>
              <w:t>-6</w:t>
            </w:r>
            <w:r>
              <w:rPr>
                <w:rFonts w:hint="default" w:ascii="Times New Roman" w:hAnsi="Times New Roman" w:eastAsia="宋体" w:cs="Times New Roman"/>
                <w:color w:val="auto"/>
                <w:spacing w:val="0"/>
                <w:kern w:val="0"/>
                <w:sz w:val="21"/>
                <w:szCs w:val="21"/>
              </w:rPr>
              <w:t>cm/s﹤K≤10</w:t>
            </w:r>
            <w:r>
              <w:rPr>
                <w:rFonts w:hint="default" w:ascii="Times New Roman" w:hAnsi="Times New Roman" w:eastAsia="宋体" w:cs="Times New Roman"/>
                <w:color w:val="auto"/>
                <w:spacing w:val="0"/>
                <w:kern w:val="0"/>
                <w:sz w:val="21"/>
                <w:szCs w:val="21"/>
                <w:vertAlign w:val="superscript"/>
              </w:rPr>
              <w:t>-4</w:t>
            </w:r>
            <w:r>
              <w:rPr>
                <w:rFonts w:hint="default" w:ascii="Times New Roman" w:hAnsi="Times New Roman" w:eastAsia="宋体" w:cs="Times New Roman"/>
                <w:color w:val="auto"/>
                <w:spacing w:val="0"/>
                <w:kern w:val="0"/>
                <w:sz w:val="21"/>
                <w:szCs w:val="21"/>
              </w:rPr>
              <w:t>cm/s，且分布连续、稳定。</w:t>
            </w:r>
          </w:p>
        </w:tc>
        <w:tc>
          <w:tcPr>
            <w:tcW w:w="10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弱</w:t>
            </w:r>
          </w:p>
        </w:tc>
        <w:tc>
          <w:tcPr>
            <w:tcW w:w="326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岩（土）层不满足上述”强”和”中”条件。</w:t>
            </w:r>
          </w:p>
        </w:tc>
        <w:tc>
          <w:tcPr>
            <w:tcW w:w="10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p>
        </w:tc>
      </w:tr>
    </w:tbl>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2"/>
          <w:sz w:val="21"/>
          <w:szCs w:val="21"/>
        </w:rPr>
      </w:pPr>
      <w:r>
        <w:rPr>
          <w:rFonts w:hint="default" w:ascii="Times New Roman" w:hAnsi="Times New Roman" w:eastAsia="宋体" w:cs="Times New Roman"/>
          <w:b/>
          <w:bCs/>
          <w:color w:val="auto"/>
          <w:spacing w:val="0"/>
          <w:kern w:val="2"/>
          <w:sz w:val="21"/>
          <w:szCs w:val="21"/>
        </w:rPr>
        <w:t>表6-2-</w:t>
      </w:r>
      <w:r>
        <w:rPr>
          <w:rFonts w:hint="eastAsia" w:ascii="Times New Roman" w:hAnsi="Times New Roman" w:eastAsia="宋体" w:cs="Times New Roman"/>
          <w:b/>
          <w:bCs/>
          <w:color w:val="auto"/>
          <w:spacing w:val="0"/>
          <w:kern w:val="2"/>
          <w:sz w:val="21"/>
          <w:szCs w:val="21"/>
          <w:lang w:val="en-US" w:eastAsia="zh-CN"/>
        </w:rPr>
        <w:t>4</w:t>
      </w:r>
      <w:r>
        <w:rPr>
          <w:rFonts w:hint="default" w:ascii="Times New Roman" w:hAnsi="Times New Roman" w:eastAsia="宋体" w:cs="Times New Roman"/>
          <w:b/>
          <w:bCs/>
          <w:color w:val="auto"/>
          <w:spacing w:val="0"/>
          <w:kern w:val="2"/>
          <w:sz w:val="21"/>
          <w:szCs w:val="21"/>
          <w:lang w:val="en-US" w:eastAsia="zh-CN"/>
        </w:rPr>
        <w:t xml:space="preserve">  </w:t>
      </w:r>
      <w:r>
        <w:rPr>
          <w:rFonts w:hint="default" w:ascii="Times New Roman" w:hAnsi="Times New Roman" w:eastAsia="宋体" w:cs="Times New Roman"/>
          <w:b/>
          <w:bCs/>
          <w:color w:val="auto"/>
          <w:spacing w:val="0"/>
          <w:kern w:val="2"/>
          <w:sz w:val="21"/>
          <w:szCs w:val="21"/>
        </w:rPr>
        <w:t>污染控制难易程度分级参照表</w:t>
      </w:r>
    </w:p>
    <w:tbl>
      <w:tblPr>
        <w:tblStyle w:val="2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22"/>
        <w:gridCol w:w="5020"/>
        <w:gridCol w:w="20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4" w:type="pct"/>
            <w:tcBorders>
              <w:top w:val="single" w:color="auto" w:sz="12" w:space="0"/>
              <w:left w:val="nil"/>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污染控制难易程度</w:t>
            </w:r>
          </w:p>
        </w:tc>
        <w:tc>
          <w:tcPr>
            <w:tcW w:w="2640" w:type="pct"/>
            <w:tcBorders>
              <w:top w:val="single" w:color="auto" w:sz="12"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主要特征</w:t>
            </w:r>
          </w:p>
        </w:tc>
        <w:tc>
          <w:tcPr>
            <w:tcW w:w="1085" w:type="pct"/>
            <w:tcBorders>
              <w:top w:val="single" w:color="auto" w:sz="12" w:space="0"/>
              <w:bottom w:val="single" w:color="auto" w:sz="4" w:space="0"/>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评价结果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4" w:type="pct"/>
            <w:tcBorders>
              <w:top w:val="single" w:color="auto" w:sz="4" w:space="0"/>
              <w:left w:val="nil"/>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难</w:t>
            </w:r>
          </w:p>
        </w:tc>
        <w:tc>
          <w:tcPr>
            <w:tcW w:w="2640" w:type="pct"/>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对地下水环境有污染的物料或污染物泄漏后，不能及时发现和处理</w:t>
            </w:r>
          </w:p>
        </w:tc>
        <w:tc>
          <w:tcPr>
            <w:tcW w:w="1085" w:type="pct"/>
            <w:vMerge w:val="restart"/>
            <w:tcBorders>
              <w:top w:val="single" w:color="auto" w:sz="4" w:space="0"/>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4" w:type="pct"/>
            <w:tcBorders>
              <w:top w:val="single" w:color="auto" w:sz="4" w:space="0"/>
              <w:left w:val="nil"/>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易</w:t>
            </w:r>
          </w:p>
        </w:tc>
        <w:tc>
          <w:tcPr>
            <w:tcW w:w="2640" w:type="pct"/>
            <w:tcBorders>
              <w:top w:val="single" w:color="auto" w:sz="4" w:space="0"/>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对地下水环境有污染的物料或污染物泄漏后，能及时发现和处理</w:t>
            </w:r>
          </w:p>
        </w:tc>
        <w:tc>
          <w:tcPr>
            <w:tcW w:w="1085" w:type="pct"/>
            <w:vMerge w:val="continue"/>
            <w:tcBorders>
              <w:bottom w:val="single" w:color="auto" w:sz="12" w:space="0"/>
              <w:right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rPr>
            </w:pPr>
          </w:p>
        </w:tc>
      </w:tr>
    </w:tbl>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2"/>
          <w:sz w:val="21"/>
          <w:szCs w:val="21"/>
        </w:rPr>
      </w:pPr>
      <w:r>
        <w:rPr>
          <w:rFonts w:hint="default" w:ascii="Times New Roman" w:hAnsi="Times New Roman" w:eastAsia="宋体" w:cs="Times New Roman"/>
          <w:b/>
          <w:bCs/>
          <w:color w:val="auto"/>
          <w:spacing w:val="0"/>
          <w:kern w:val="2"/>
          <w:sz w:val="21"/>
          <w:szCs w:val="21"/>
        </w:rPr>
        <w:t>表6</w:t>
      </w:r>
      <w:r>
        <w:rPr>
          <w:rFonts w:hint="default" w:ascii="Times New Roman" w:hAnsi="Times New Roman" w:eastAsia="宋体" w:cs="Times New Roman"/>
          <w:b/>
          <w:bCs/>
          <w:color w:val="auto"/>
          <w:spacing w:val="0"/>
          <w:kern w:val="2"/>
          <w:sz w:val="21"/>
          <w:szCs w:val="21"/>
          <w:lang w:val="en-US" w:eastAsia="zh-CN"/>
        </w:rPr>
        <w:t>.</w:t>
      </w:r>
      <w:r>
        <w:rPr>
          <w:rFonts w:hint="default" w:ascii="Times New Roman" w:hAnsi="Times New Roman" w:eastAsia="宋体" w:cs="Times New Roman"/>
          <w:b/>
          <w:bCs/>
          <w:color w:val="auto"/>
          <w:spacing w:val="0"/>
          <w:kern w:val="2"/>
          <w:sz w:val="21"/>
          <w:szCs w:val="21"/>
        </w:rPr>
        <w:t>2-</w:t>
      </w:r>
      <w:r>
        <w:rPr>
          <w:rFonts w:hint="eastAsia" w:ascii="Times New Roman" w:hAnsi="Times New Roman" w:eastAsia="宋体" w:cs="Times New Roman"/>
          <w:b/>
          <w:bCs/>
          <w:color w:val="auto"/>
          <w:spacing w:val="0"/>
          <w:kern w:val="2"/>
          <w:sz w:val="21"/>
          <w:szCs w:val="21"/>
          <w:lang w:val="en-US" w:eastAsia="zh-CN"/>
        </w:rPr>
        <w:t>5</w:t>
      </w:r>
      <w:r>
        <w:rPr>
          <w:rFonts w:hint="default" w:ascii="Times New Roman" w:hAnsi="Times New Roman" w:eastAsia="宋体" w:cs="Times New Roman"/>
          <w:b/>
          <w:bCs/>
          <w:color w:val="auto"/>
          <w:spacing w:val="0"/>
          <w:kern w:val="2"/>
          <w:sz w:val="21"/>
          <w:szCs w:val="21"/>
        </w:rPr>
        <w:t xml:space="preserve">  地下水污染防渗分区参照表</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32"/>
        <w:gridCol w:w="1761"/>
        <w:gridCol w:w="1468"/>
        <w:gridCol w:w="1764"/>
        <w:gridCol w:w="30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5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防渗分区</w:t>
            </w:r>
          </w:p>
        </w:tc>
        <w:tc>
          <w:tcPr>
            <w:tcW w:w="9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天然包气带防</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污性能</w:t>
            </w:r>
          </w:p>
        </w:tc>
        <w:tc>
          <w:tcPr>
            <w:tcW w:w="77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污染控制难</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易程度</w:t>
            </w:r>
          </w:p>
        </w:tc>
        <w:tc>
          <w:tcPr>
            <w:tcW w:w="92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污染物类型</w:t>
            </w:r>
          </w:p>
        </w:tc>
        <w:tc>
          <w:tcPr>
            <w:tcW w:w="161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防渗技术要求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53"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重点防渗区</w:t>
            </w:r>
          </w:p>
        </w:tc>
        <w:tc>
          <w:tcPr>
            <w:tcW w:w="9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弱</w:t>
            </w:r>
          </w:p>
        </w:tc>
        <w:tc>
          <w:tcPr>
            <w:tcW w:w="77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难</w:t>
            </w:r>
          </w:p>
        </w:tc>
        <w:tc>
          <w:tcPr>
            <w:tcW w:w="928"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重金属、持久性有机污染物</w:t>
            </w:r>
          </w:p>
        </w:tc>
        <w:tc>
          <w:tcPr>
            <w:tcW w:w="161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等效黏土防渗层Mb≥6.0m， K≤10</w:t>
            </w:r>
            <w:r>
              <w:rPr>
                <w:rFonts w:hint="default" w:ascii="Times New Roman" w:hAnsi="Times New Roman" w:eastAsia="宋体" w:cs="Times New Roman"/>
                <w:color w:val="auto"/>
                <w:spacing w:val="0"/>
                <w:sz w:val="21"/>
                <w:szCs w:val="21"/>
                <w:vertAlign w:val="superscript"/>
              </w:rPr>
              <w:t>-7</w:t>
            </w:r>
            <w:r>
              <w:rPr>
                <w:rFonts w:hint="default" w:ascii="Times New Roman" w:hAnsi="Times New Roman" w:eastAsia="宋体" w:cs="Times New Roman"/>
                <w:color w:val="auto"/>
                <w:spacing w:val="0"/>
                <w:sz w:val="21"/>
                <w:szCs w:val="21"/>
              </w:rPr>
              <w:t>cm/s；或参照 GB18598 执行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5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p>
        </w:tc>
        <w:tc>
          <w:tcPr>
            <w:tcW w:w="9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中-强</w:t>
            </w:r>
          </w:p>
        </w:tc>
        <w:tc>
          <w:tcPr>
            <w:tcW w:w="77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难</w:t>
            </w:r>
          </w:p>
        </w:tc>
        <w:tc>
          <w:tcPr>
            <w:tcW w:w="92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p>
        </w:tc>
        <w:tc>
          <w:tcPr>
            <w:tcW w:w="161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53"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一般防渗区</w:t>
            </w:r>
          </w:p>
        </w:tc>
        <w:tc>
          <w:tcPr>
            <w:tcW w:w="9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中-强</w:t>
            </w:r>
          </w:p>
        </w:tc>
        <w:tc>
          <w:tcPr>
            <w:tcW w:w="77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易</w:t>
            </w:r>
          </w:p>
        </w:tc>
        <w:tc>
          <w:tcPr>
            <w:tcW w:w="92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重金属、持久性有机污染物</w:t>
            </w:r>
          </w:p>
        </w:tc>
        <w:tc>
          <w:tcPr>
            <w:tcW w:w="161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等效黏土防渗层 Mb≥1.5m，K≤10</w:t>
            </w:r>
            <w:r>
              <w:rPr>
                <w:rFonts w:hint="default" w:ascii="Times New Roman" w:hAnsi="Times New Roman" w:eastAsia="宋体" w:cs="Times New Roman"/>
                <w:color w:val="auto"/>
                <w:spacing w:val="0"/>
                <w:sz w:val="21"/>
                <w:szCs w:val="21"/>
                <w:vertAlign w:val="superscript"/>
              </w:rPr>
              <w:t>-7</w:t>
            </w:r>
            <w:r>
              <w:rPr>
                <w:rFonts w:hint="default" w:ascii="Times New Roman" w:hAnsi="Times New Roman" w:eastAsia="宋体" w:cs="Times New Roman"/>
                <w:color w:val="auto"/>
                <w:spacing w:val="0"/>
                <w:sz w:val="21"/>
                <w:szCs w:val="21"/>
              </w:rPr>
              <w:t>cm/s；或参照 GB18598 执行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5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p>
        </w:tc>
        <w:tc>
          <w:tcPr>
            <w:tcW w:w="9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弱</w:t>
            </w:r>
          </w:p>
        </w:tc>
        <w:tc>
          <w:tcPr>
            <w:tcW w:w="77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易-难</w:t>
            </w:r>
          </w:p>
        </w:tc>
        <w:tc>
          <w:tcPr>
            <w:tcW w:w="928"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其他类型</w:t>
            </w:r>
          </w:p>
        </w:tc>
        <w:tc>
          <w:tcPr>
            <w:tcW w:w="161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5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p>
        </w:tc>
        <w:tc>
          <w:tcPr>
            <w:tcW w:w="9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中</w:t>
            </w:r>
            <w:r>
              <w:rPr>
                <w:rFonts w:hint="default" w:ascii="Times New Roman" w:hAnsi="Times New Roman" w:eastAsia="宋体" w:cs="Times New Roman"/>
                <w:color w:val="auto"/>
                <w:spacing w:val="0"/>
                <w:sz w:val="21"/>
                <w:szCs w:val="21"/>
                <w:lang w:val="en-US" w:eastAsia="zh-CN"/>
              </w:rPr>
              <w:t>-强</w:t>
            </w:r>
          </w:p>
        </w:tc>
        <w:tc>
          <w:tcPr>
            <w:tcW w:w="77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难</w:t>
            </w:r>
          </w:p>
        </w:tc>
        <w:tc>
          <w:tcPr>
            <w:tcW w:w="92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p>
        </w:tc>
        <w:tc>
          <w:tcPr>
            <w:tcW w:w="161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5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简单防渗区</w:t>
            </w:r>
          </w:p>
        </w:tc>
        <w:tc>
          <w:tcPr>
            <w:tcW w:w="9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eastAsia="zh-CN"/>
              </w:rPr>
              <w:t>中</w:t>
            </w:r>
            <w:r>
              <w:rPr>
                <w:rFonts w:hint="default" w:ascii="Times New Roman" w:hAnsi="Times New Roman" w:eastAsia="宋体" w:cs="Times New Roman"/>
                <w:color w:val="auto"/>
                <w:spacing w:val="0"/>
                <w:sz w:val="21"/>
                <w:szCs w:val="21"/>
                <w:lang w:val="en-US" w:eastAsia="zh-CN"/>
              </w:rPr>
              <w:t>-强</w:t>
            </w:r>
          </w:p>
        </w:tc>
        <w:tc>
          <w:tcPr>
            <w:tcW w:w="77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易</w:t>
            </w:r>
          </w:p>
        </w:tc>
        <w:tc>
          <w:tcPr>
            <w:tcW w:w="92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其他类型</w:t>
            </w:r>
          </w:p>
        </w:tc>
        <w:tc>
          <w:tcPr>
            <w:tcW w:w="161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一般地面硬化</w:t>
            </w:r>
          </w:p>
        </w:tc>
      </w:tr>
    </w:tbl>
    <w:p>
      <w:pPr>
        <w:pStyle w:val="5"/>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pacing w:val="0"/>
          <w:sz w:val="24"/>
          <w:szCs w:val="24"/>
        </w:rPr>
      </w:pPr>
      <w:r>
        <w:rPr>
          <w:rFonts w:hint="default" w:ascii="Times New Roman" w:hAnsi="Times New Roman" w:cs="Times New Roman"/>
          <w:color w:val="auto"/>
          <w:spacing w:val="0"/>
          <w:kern w:val="2"/>
          <w:sz w:val="24"/>
          <w:szCs w:val="24"/>
        </w:rPr>
        <w:t>为了进一步保护地下水资源，本工程在设计上对污水处理站、事故池</w:t>
      </w:r>
      <w:r>
        <w:rPr>
          <w:rFonts w:hint="default" w:ascii="Times New Roman" w:hAnsi="Times New Roman" w:eastAsia="宋体" w:cs="Times New Roman"/>
          <w:color w:val="auto"/>
          <w:spacing w:val="0"/>
          <w:kern w:val="2"/>
          <w:sz w:val="24"/>
          <w:szCs w:val="24"/>
          <w:lang w:eastAsia="zh-CN"/>
        </w:rPr>
        <w:t>、</w:t>
      </w:r>
      <w:r>
        <w:rPr>
          <w:rFonts w:hint="default" w:ascii="Times New Roman" w:hAnsi="Times New Roman" w:eastAsia="宋体" w:cs="Times New Roman"/>
          <w:color w:val="auto"/>
          <w:spacing w:val="0"/>
          <w:kern w:val="2"/>
          <w:sz w:val="24"/>
          <w:szCs w:val="24"/>
          <w:lang w:val="en-US" w:eastAsia="zh-CN"/>
        </w:rPr>
        <w:t>柴油储罐周边</w:t>
      </w:r>
      <w:r>
        <w:rPr>
          <w:rFonts w:hint="default" w:ascii="Times New Roman" w:hAnsi="Times New Roman" w:cs="Times New Roman"/>
          <w:color w:val="auto"/>
          <w:spacing w:val="0"/>
          <w:kern w:val="2"/>
          <w:sz w:val="24"/>
          <w:szCs w:val="24"/>
        </w:rPr>
        <w:t>等采取以下防渗处理措施：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本项目对厂区进行分区防渗：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sz w:val="24"/>
          <w:highlight w:val="none"/>
        </w:rPr>
      </w:pPr>
      <w:r>
        <w:rPr>
          <w:rFonts w:hint="default" w:ascii="Times New Roman" w:hAnsi="Times New Roman" w:eastAsia="宋体" w:cs="Times New Roman"/>
          <w:color w:val="auto"/>
          <w:sz w:val="24"/>
          <w:highlight w:val="none"/>
          <w:lang w:val="en-US" w:eastAsia="zh-CN"/>
        </w:rPr>
        <w:t>重点防渗区：</w:t>
      </w:r>
      <w:r>
        <w:rPr>
          <w:rFonts w:hint="eastAsia" w:ascii="Times New Roman" w:hAnsi="Times New Roman" w:cs="Times New Roman"/>
          <w:bCs/>
          <w:color w:val="auto"/>
          <w:sz w:val="24"/>
          <w:highlight w:val="none"/>
          <w:lang w:val="en-US" w:eastAsia="zh-CN"/>
        </w:rPr>
        <w:t>柴油储罐周边</w:t>
      </w:r>
      <w:r>
        <w:rPr>
          <w:rFonts w:hint="eastAsia" w:ascii="Times New Roman" w:hAnsi="Times New Roman" w:eastAsia="宋体" w:cs="Times New Roman"/>
          <w:bCs/>
          <w:color w:val="auto"/>
          <w:sz w:val="24"/>
          <w:highlight w:val="none"/>
          <w:lang w:val="en-US" w:eastAsia="zh-CN"/>
        </w:rPr>
        <w:t>设置20cm高围堰，</w:t>
      </w:r>
      <w:r>
        <w:rPr>
          <w:rFonts w:hint="default" w:ascii="Times New Roman" w:hAnsi="Times New Roman" w:cs="Times New Roman"/>
          <w:bCs/>
          <w:color w:val="auto"/>
          <w:sz w:val="24"/>
          <w:highlight w:val="none"/>
        </w:rPr>
        <w:t>采用至少1m厚粘土层（渗透系数K≤10</w:t>
      </w:r>
      <w:r>
        <w:rPr>
          <w:rFonts w:hint="default" w:ascii="Times New Roman" w:hAnsi="Times New Roman" w:cs="Times New Roman"/>
          <w:bCs/>
          <w:color w:val="auto"/>
          <w:sz w:val="24"/>
          <w:highlight w:val="none"/>
          <w:vertAlign w:val="superscript"/>
        </w:rPr>
        <w:t>-7</w:t>
      </w:r>
      <w:r>
        <w:rPr>
          <w:rFonts w:hint="default" w:ascii="Times New Roman" w:hAnsi="Times New Roman" w:cs="Times New Roman"/>
          <w:bCs/>
          <w:color w:val="auto"/>
          <w:sz w:val="24"/>
          <w:highlight w:val="none"/>
        </w:rPr>
        <w:t>cm/s）或2mm厚高密度聚乙烯或至少2mm厚的其他人工材料（渗透系数K≤10</w:t>
      </w:r>
      <w:r>
        <w:rPr>
          <w:rFonts w:hint="default" w:ascii="Times New Roman" w:hAnsi="Times New Roman" w:cs="Times New Roman"/>
          <w:bCs/>
          <w:color w:val="auto"/>
          <w:sz w:val="24"/>
          <w:highlight w:val="none"/>
          <w:vertAlign w:val="superscript"/>
        </w:rPr>
        <w:t>-10</w:t>
      </w:r>
      <w:r>
        <w:rPr>
          <w:rFonts w:hint="default" w:ascii="Times New Roman" w:hAnsi="Times New Roman" w:cs="Times New Roman"/>
          <w:bCs/>
          <w:color w:val="auto"/>
          <w:sz w:val="24"/>
          <w:highlight w:val="none"/>
        </w:rPr>
        <w:t>cm/s）。</w:t>
      </w:r>
    </w:p>
    <w:p>
      <w:pPr>
        <w:pageBreakBefore w:val="0"/>
        <w:wordWrap/>
        <w:overflowPunct/>
        <w:topLinePunct w:val="0"/>
        <w:bidi w:val="0"/>
        <w:spacing w:line="360" w:lineRule="auto"/>
        <w:ind w:firstLine="480" w:firstLineChars="200"/>
        <w:jc w:val="both"/>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一般防渗区：</w:t>
      </w:r>
      <w:r>
        <w:rPr>
          <w:rFonts w:hint="default" w:ascii="Times New Roman" w:hAnsi="Times New Roman" w:cs="Times New Roman"/>
          <w:bCs/>
          <w:color w:val="auto"/>
          <w:sz w:val="24"/>
          <w:highlight w:val="none"/>
        </w:rPr>
        <w:t>待宰</w:t>
      </w:r>
      <w:r>
        <w:rPr>
          <w:rFonts w:hint="eastAsia" w:ascii="Times New Roman" w:hAnsi="Times New Roman" w:eastAsia="宋体" w:cs="Times New Roman"/>
          <w:bCs/>
          <w:color w:val="auto"/>
          <w:sz w:val="24"/>
          <w:highlight w:val="none"/>
          <w:lang w:val="en-US" w:eastAsia="zh-CN"/>
        </w:rPr>
        <w:t>圈</w:t>
      </w: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val="en-US" w:eastAsia="zh-CN"/>
        </w:rPr>
        <w:t>急宰间、</w:t>
      </w:r>
      <w:r>
        <w:rPr>
          <w:rFonts w:hint="default" w:ascii="Times New Roman" w:hAnsi="Times New Roman" w:cs="Times New Roman"/>
          <w:bCs/>
          <w:color w:val="auto"/>
          <w:sz w:val="24"/>
          <w:highlight w:val="none"/>
        </w:rPr>
        <w:t>屠宰车间、</w:t>
      </w:r>
      <w:r>
        <w:rPr>
          <w:rFonts w:hint="default" w:ascii="Times New Roman" w:hAnsi="Times New Roman" w:cs="Times New Roman"/>
          <w:bCs/>
          <w:color w:val="auto"/>
          <w:sz w:val="24"/>
          <w:highlight w:val="none"/>
          <w:lang w:val="en-GB"/>
        </w:rPr>
        <w:t>冷库、</w:t>
      </w:r>
      <w:r>
        <w:rPr>
          <w:rFonts w:hint="default" w:ascii="Times New Roman" w:hAnsi="Times New Roman" w:cs="Times New Roman"/>
          <w:bCs/>
          <w:color w:val="auto"/>
          <w:sz w:val="24"/>
          <w:highlight w:val="none"/>
        </w:rPr>
        <w:t>污水处理站、事故池池体</w:t>
      </w:r>
      <w:r>
        <w:rPr>
          <w:rFonts w:hint="eastAsia" w:ascii="Times New Roman" w:hAnsi="Times New Roman" w:eastAsia="宋体" w:cs="Times New Roman"/>
          <w:bCs/>
          <w:color w:val="auto"/>
          <w:sz w:val="24"/>
          <w:highlight w:val="none"/>
          <w:lang w:eastAsia="zh-CN"/>
        </w:rPr>
        <w:t>、</w:t>
      </w:r>
      <w:r>
        <w:rPr>
          <w:rFonts w:hint="eastAsia" w:ascii="Times New Roman" w:hAnsi="Times New Roman" w:eastAsia="宋体" w:cs="Times New Roman"/>
          <w:bCs/>
          <w:color w:val="auto"/>
          <w:sz w:val="24"/>
          <w:highlight w:val="none"/>
          <w:lang w:val="en-US" w:eastAsia="zh-CN"/>
        </w:rPr>
        <w:t>固废暂存间</w:t>
      </w:r>
      <w:r>
        <w:rPr>
          <w:rFonts w:hint="default" w:ascii="Times New Roman" w:hAnsi="Times New Roman" w:cs="Times New Roman"/>
          <w:bCs/>
          <w:color w:val="auto"/>
          <w:sz w:val="24"/>
          <w:highlight w:val="none"/>
        </w:rPr>
        <w:t>及</w:t>
      </w:r>
      <w:r>
        <w:rPr>
          <w:rFonts w:hint="default" w:ascii="Times New Roman" w:hAnsi="Times New Roman" w:cs="Times New Roman"/>
          <w:bCs/>
          <w:color w:val="auto"/>
          <w:sz w:val="24"/>
          <w:highlight w:val="none"/>
          <w:lang w:val="en-GB"/>
        </w:rPr>
        <w:t>地面</w:t>
      </w:r>
      <w:r>
        <w:rPr>
          <w:rFonts w:hint="eastAsia" w:ascii="Times New Roman" w:hAnsi="Times New Roman" w:eastAsia="宋体" w:cs="Times New Roman"/>
          <w:bCs/>
          <w:color w:val="auto"/>
          <w:sz w:val="24"/>
          <w:highlight w:val="none"/>
          <w:lang w:val="en-US" w:eastAsia="zh-CN"/>
        </w:rPr>
        <w:t>进行</w:t>
      </w:r>
      <w:r>
        <w:rPr>
          <w:rFonts w:hint="default" w:ascii="Times New Roman" w:hAnsi="Times New Roman" w:cs="Times New Roman"/>
          <w:bCs/>
          <w:color w:val="auto"/>
          <w:sz w:val="24"/>
          <w:highlight w:val="none"/>
          <w:lang w:val="en-GB"/>
        </w:rPr>
        <w:t>基础防渗，防渗层为至少1m厚粘土层或2mm厚高密度聚乙烯，需满足等效黏土防渗层Mb≥1.5m，K≤1×10</w:t>
      </w:r>
      <w:r>
        <w:rPr>
          <w:rFonts w:hint="default" w:ascii="Times New Roman" w:hAnsi="Times New Roman" w:cs="Times New Roman"/>
          <w:bCs/>
          <w:color w:val="auto"/>
          <w:sz w:val="24"/>
          <w:highlight w:val="none"/>
          <w:vertAlign w:val="superscript"/>
          <w:lang w:val="en-GB"/>
        </w:rPr>
        <w:t>-7</w:t>
      </w:r>
      <w:r>
        <w:rPr>
          <w:rFonts w:hint="default" w:ascii="Times New Roman" w:hAnsi="Times New Roman" w:cs="Times New Roman"/>
          <w:bCs/>
          <w:color w:val="auto"/>
          <w:sz w:val="24"/>
          <w:highlight w:val="none"/>
          <w:lang w:val="en-GB"/>
        </w:rPr>
        <w:t>cm/s的要求</w:t>
      </w:r>
      <w:r>
        <w:rPr>
          <w:rFonts w:hint="eastAsia" w:ascii="Times New Roman" w:hAnsi="Times New Roman" w:eastAsia="宋体" w:cs="Times New Roman"/>
          <w:bCs/>
          <w:color w:val="auto"/>
          <w:sz w:val="24"/>
          <w:highlight w:val="none"/>
          <w:lang w:val="en-GB"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简单防渗区：</w:t>
      </w:r>
      <w:r>
        <w:rPr>
          <w:rFonts w:hint="default" w:ascii="Times New Roman" w:hAnsi="Times New Roman" w:cs="Times New Roman"/>
          <w:bCs/>
          <w:color w:val="auto"/>
          <w:sz w:val="24"/>
          <w:highlight w:val="none"/>
          <w:lang w:val="en-GB" w:eastAsia="zh-CN"/>
        </w:rPr>
        <w:t>办公楼</w:t>
      </w:r>
      <w:r>
        <w:rPr>
          <w:rFonts w:hint="default" w:ascii="Times New Roman" w:hAnsi="Times New Roman" w:cs="Times New Roman"/>
          <w:bCs/>
          <w:color w:val="auto"/>
          <w:sz w:val="24"/>
          <w:highlight w:val="none"/>
          <w:lang w:val="en-GB"/>
        </w:rPr>
        <w:t>、</w:t>
      </w:r>
      <w:r>
        <w:rPr>
          <w:rFonts w:hint="eastAsia" w:ascii="Times New Roman" w:hAnsi="Times New Roman" w:eastAsia="宋体" w:cs="Times New Roman"/>
          <w:bCs/>
          <w:color w:val="auto"/>
          <w:sz w:val="24"/>
          <w:highlight w:val="none"/>
          <w:lang w:val="en-US" w:eastAsia="zh-CN"/>
        </w:rPr>
        <w:t>宿舍、</w:t>
      </w:r>
      <w:r>
        <w:rPr>
          <w:rFonts w:hint="default" w:ascii="Times New Roman" w:hAnsi="Times New Roman" w:cs="Times New Roman"/>
          <w:bCs/>
          <w:color w:val="auto"/>
          <w:sz w:val="24"/>
          <w:highlight w:val="none"/>
          <w:lang w:val="en-GB"/>
        </w:rPr>
        <w:t>库房等</w:t>
      </w:r>
      <w:r>
        <w:rPr>
          <w:rFonts w:hint="default" w:ascii="Times New Roman" w:hAnsi="Times New Roman" w:cs="Times New Roman"/>
          <w:bCs/>
          <w:color w:val="auto"/>
          <w:sz w:val="24"/>
          <w:highlight w:val="none"/>
        </w:rPr>
        <w:t>对其地面采用混凝土进行一般地面硬化。</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综上分析，厂址所在地含水层渗透性为中等，厂址附近村庄</w:t>
      </w:r>
      <w:r>
        <w:rPr>
          <w:rFonts w:hint="default" w:ascii="Times New Roman" w:hAnsi="Times New Roman" w:eastAsia="宋体" w:cs="Times New Roman"/>
          <w:color w:val="auto"/>
          <w:sz w:val="24"/>
          <w:szCs w:val="24"/>
          <w:lang w:val="en-US" w:eastAsia="zh-CN"/>
        </w:rPr>
        <w:t>有分散式</w:t>
      </w:r>
      <w:r>
        <w:rPr>
          <w:rFonts w:hint="default" w:ascii="Times New Roman" w:hAnsi="Times New Roman" w:eastAsia="宋体" w:cs="Times New Roman"/>
          <w:color w:val="auto"/>
          <w:sz w:val="24"/>
          <w:szCs w:val="24"/>
        </w:rPr>
        <w:t>居民饮用水源，项目所在区域的地下水环境敏感程度属于</w:t>
      </w:r>
      <w:r>
        <w:rPr>
          <w:rFonts w:hint="default" w:ascii="Times New Roman" w:hAnsi="Times New Roman" w:eastAsia="宋体" w:cs="Times New Roman"/>
          <w:color w:val="auto"/>
          <w:sz w:val="24"/>
          <w:szCs w:val="24"/>
          <w:lang w:eastAsia="zh-CN"/>
        </w:rPr>
        <w:t>较</w:t>
      </w:r>
      <w:r>
        <w:rPr>
          <w:rFonts w:hint="default" w:ascii="Times New Roman" w:hAnsi="Times New Roman" w:eastAsia="宋体" w:cs="Times New Roman"/>
          <w:color w:val="auto"/>
          <w:sz w:val="24"/>
          <w:szCs w:val="24"/>
        </w:rPr>
        <w:t>敏感。因此本工程在落实好防渗、防污措施后，污染物能得到有效处理，对地下水水质影响较小，项目的建设不会产生其他环境地质问题，因此对地下水环境质量影响较小。</w:t>
      </w:r>
    </w:p>
    <w:p>
      <w:pPr>
        <w:pStyle w:val="20"/>
        <w:keepNext w:val="0"/>
        <w:keepLines w:val="0"/>
        <w:pageBreakBefore w:val="0"/>
        <w:widowControl w:val="0"/>
        <w:kinsoku/>
        <w:wordWrap/>
        <w:overflowPunct/>
        <w:topLinePunct w:val="0"/>
        <w:bidi w:val="0"/>
        <w:adjustRightInd/>
        <w:snapToGrid/>
        <w:spacing w:line="360" w:lineRule="auto"/>
        <w:ind w:left="0" w:leftChars="0" w:firstLine="480" w:firstLineChars="200"/>
        <w:jc w:val="both"/>
        <w:textAlignment w:val="auto"/>
        <w:rPr>
          <w:rFonts w:hint="default" w:ascii="Times New Roman" w:hAnsi="Times New Roman" w:eastAsia="宋体" w:cs="Times New Roman"/>
          <w:smallCaps w:val="0"/>
          <w:color w:val="auto"/>
          <w:sz w:val="24"/>
          <w:szCs w:val="24"/>
        </w:rPr>
      </w:pPr>
      <w:r>
        <w:rPr>
          <w:rFonts w:hint="default" w:ascii="Times New Roman" w:hAnsi="Times New Roman" w:eastAsia="宋体" w:cs="Times New Roman"/>
          <w:smallCaps w:val="0"/>
          <w:color w:val="auto"/>
          <w:sz w:val="24"/>
          <w:szCs w:val="24"/>
        </w:rPr>
        <w:t>建设方运营时加强管理，在污水处理站东北侧设置地下水监测井座（地下水流向下游约80m处）。</w:t>
      </w:r>
    </w:p>
    <w:p>
      <w:pPr>
        <w:keepNext w:val="0"/>
        <w:keepLines w:val="0"/>
        <w:pageBreakBefore w:val="0"/>
        <w:widowControl w:val="0"/>
        <w:kinsoku/>
        <w:wordWrap/>
        <w:overflowPunct/>
        <w:topLinePunct w:val="0"/>
        <w:bidi w:val="0"/>
        <w:adjustRightInd/>
        <w:snapToGrid/>
        <w:spacing w:line="360" w:lineRule="auto"/>
        <w:ind w:left="0" w:leftChars="0"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t>项目分区防渗情况及内容见表6</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2-</w:t>
      </w:r>
      <w:r>
        <w:rPr>
          <w:rFonts w:hint="eastAsia"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6-2-</w:t>
      </w:r>
      <w:r>
        <w:rPr>
          <w:rFonts w:hint="eastAsia" w:ascii="Times New Roman" w:hAnsi="Times New Roman" w:eastAsia="宋体" w:cs="Times New Roman"/>
          <w:b/>
          <w:bCs/>
          <w:color w:val="auto"/>
          <w:sz w:val="21"/>
          <w:szCs w:val="21"/>
          <w:highlight w:val="none"/>
          <w:lang w:val="en-US" w:eastAsia="zh-CN"/>
        </w:rPr>
        <w:t>6</w:t>
      </w:r>
      <w:r>
        <w:rPr>
          <w:rFonts w:hint="default" w:ascii="Times New Roman" w:hAnsi="Times New Roman" w:eastAsia="宋体" w:cs="Times New Roman"/>
          <w:b/>
          <w:bCs/>
          <w:color w:val="auto"/>
          <w:sz w:val="21"/>
          <w:szCs w:val="21"/>
          <w:highlight w:val="none"/>
        </w:rPr>
        <w:t xml:space="preserve">  防渗区域及防渗内容</w:t>
      </w:r>
    </w:p>
    <w:tbl>
      <w:tblPr>
        <w:tblStyle w:val="24"/>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08"/>
        <w:gridCol w:w="66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478" w:type="pct"/>
            <w:tcBorders>
              <w:tl2br w:val="nil"/>
              <w:tr2bl w:val="nil"/>
            </w:tcBorders>
            <w:noWrap w:val="0"/>
            <w:vAlign w:val="center"/>
          </w:tcPr>
          <w:p>
            <w:pPr>
              <w:pStyle w:val="4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防渗区域</w:t>
            </w:r>
          </w:p>
        </w:tc>
        <w:tc>
          <w:tcPr>
            <w:tcW w:w="3521" w:type="pct"/>
            <w:tcBorders>
              <w:tl2br w:val="nil"/>
              <w:tr2bl w:val="nil"/>
            </w:tcBorders>
            <w:noWrap w:val="0"/>
            <w:vAlign w:val="center"/>
          </w:tcPr>
          <w:p>
            <w:pPr>
              <w:pStyle w:val="4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防渗内容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478" w:type="pct"/>
            <w:tcBorders>
              <w:tl2br w:val="nil"/>
              <w:tr2bl w:val="nil"/>
            </w:tcBorders>
            <w:noWrap w:val="0"/>
            <w:vAlign w:val="center"/>
          </w:tcPr>
          <w:p>
            <w:pPr>
              <w:pStyle w:val="4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事故池池体</w:t>
            </w:r>
          </w:p>
        </w:tc>
        <w:tc>
          <w:tcPr>
            <w:tcW w:w="3521" w:type="pct"/>
            <w:tcBorders>
              <w:tl2br w:val="nil"/>
              <w:tr2bl w:val="nil"/>
            </w:tcBorders>
            <w:noWrap w:val="0"/>
            <w:vAlign w:val="center"/>
          </w:tcPr>
          <w:p>
            <w:pPr>
              <w:pStyle w:val="4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bCs/>
                <w:color w:val="auto"/>
                <w:sz w:val="21"/>
                <w:szCs w:val="21"/>
                <w:highlight w:val="none"/>
                <w:lang w:val="en-GB"/>
              </w:rPr>
              <w:t>防渗层为至少1m厚粘土层或2mm厚高密度聚乙烯，需满足等效黏土防渗层Mb≥1.5m，K≤1×10</w:t>
            </w:r>
            <w:r>
              <w:rPr>
                <w:rFonts w:hint="default" w:ascii="Times New Roman" w:hAnsi="Times New Roman" w:cs="Times New Roman"/>
                <w:bCs/>
                <w:color w:val="auto"/>
                <w:sz w:val="21"/>
                <w:szCs w:val="21"/>
                <w:highlight w:val="none"/>
                <w:vertAlign w:val="superscript"/>
                <w:lang w:val="en-GB"/>
              </w:rPr>
              <w:t>-7</w:t>
            </w:r>
            <w:r>
              <w:rPr>
                <w:rFonts w:hint="default" w:ascii="Times New Roman" w:hAnsi="Times New Roman" w:cs="Times New Roman"/>
                <w:bCs/>
                <w:color w:val="auto"/>
                <w:sz w:val="21"/>
                <w:szCs w:val="21"/>
                <w:highlight w:val="none"/>
                <w:lang w:val="en-GB"/>
              </w:rPr>
              <w:t>cm/s的要求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478" w:type="pct"/>
            <w:tcBorders>
              <w:tl2br w:val="nil"/>
              <w:tr2bl w:val="nil"/>
            </w:tcBorders>
            <w:noWrap w:val="0"/>
            <w:vAlign w:val="center"/>
          </w:tcPr>
          <w:p>
            <w:pPr>
              <w:pStyle w:val="4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柴油储罐</w:t>
            </w:r>
          </w:p>
        </w:tc>
        <w:tc>
          <w:tcPr>
            <w:tcW w:w="3521" w:type="pct"/>
            <w:tcBorders>
              <w:tl2br w:val="nil"/>
              <w:tr2bl w:val="nil"/>
            </w:tcBorders>
            <w:noWrap w:val="0"/>
            <w:vAlign w:val="center"/>
          </w:tcPr>
          <w:p>
            <w:pPr>
              <w:pStyle w:val="4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bCs/>
                <w:color w:val="auto"/>
                <w:sz w:val="21"/>
                <w:szCs w:val="21"/>
                <w:highlight w:val="none"/>
                <w:lang w:val="en-US" w:eastAsia="zh-CN"/>
              </w:rPr>
              <w:t>柴油储罐周边</w:t>
            </w:r>
            <w:r>
              <w:rPr>
                <w:rFonts w:hint="default" w:ascii="Times New Roman" w:hAnsi="Times New Roman" w:cs="Times New Roman"/>
                <w:bCs/>
                <w:color w:val="auto"/>
                <w:sz w:val="21"/>
                <w:szCs w:val="21"/>
                <w:highlight w:val="none"/>
              </w:rPr>
              <w:t>采用至少1m厚粘土层（渗透系数K≤10</w:t>
            </w:r>
            <w:r>
              <w:rPr>
                <w:rFonts w:hint="default" w:ascii="Times New Roman" w:hAnsi="Times New Roman" w:cs="Times New Roman"/>
                <w:bCs/>
                <w:color w:val="auto"/>
                <w:sz w:val="21"/>
                <w:szCs w:val="21"/>
                <w:highlight w:val="none"/>
                <w:vertAlign w:val="superscript"/>
              </w:rPr>
              <w:t>-7</w:t>
            </w:r>
            <w:r>
              <w:rPr>
                <w:rFonts w:hint="default" w:ascii="Times New Roman" w:hAnsi="Times New Roman" w:cs="Times New Roman"/>
                <w:bCs/>
                <w:color w:val="auto"/>
                <w:sz w:val="21"/>
                <w:szCs w:val="21"/>
                <w:highlight w:val="none"/>
              </w:rPr>
              <w:t>cm/s）或2mm厚高密度聚乙烯或至少2mm厚的其他人工材料（渗透系数K≤10</w:t>
            </w:r>
            <w:r>
              <w:rPr>
                <w:rFonts w:hint="default" w:ascii="Times New Roman" w:hAnsi="Times New Roman" w:cs="Times New Roman"/>
                <w:bCs/>
                <w:color w:val="auto"/>
                <w:sz w:val="21"/>
                <w:szCs w:val="21"/>
                <w:highlight w:val="none"/>
                <w:vertAlign w:val="superscript"/>
              </w:rPr>
              <w:t>-10</w:t>
            </w:r>
            <w:r>
              <w:rPr>
                <w:rFonts w:hint="default" w:ascii="Times New Roman" w:hAnsi="Times New Roman" w:cs="Times New Roman"/>
                <w:bCs/>
                <w:color w:val="auto"/>
                <w:sz w:val="21"/>
                <w:szCs w:val="21"/>
                <w:highlight w:val="none"/>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478" w:type="pct"/>
            <w:tcBorders>
              <w:tl2br w:val="nil"/>
              <w:tr2bl w:val="nil"/>
            </w:tcBorders>
            <w:noWrap w:val="0"/>
            <w:vAlign w:val="center"/>
          </w:tcPr>
          <w:p>
            <w:pPr>
              <w:pStyle w:val="4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GB" w:eastAsia="zh-CN"/>
              </w:rPr>
              <w:t>办公楼、</w:t>
            </w:r>
            <w:r>
              <w:rPr>
                <w:rFonts w:hint="eastAsia" w:ascii="Times New Roman" w:hAnsi="Times New Roman" w:eastAsia="宋体" w:cs="Times New Roman"/>
                <w:color w:val="auto"/>
                <w:sz w:val="21"/>
                <w:szCs w:val="21"/>
                <w:lang w:val="en-US" w:eastAsia="zh-CN"/>
              </w:rPr>
              <w:t>宿舍、</w:t>
            </w:r>
            <w:r>
              <w:rPr>
                <w:rFonts w:hint="default" w:ascii="Times New Roman" w:hAnsi="Times New Roman" w:eastAsia="宋体" w:cs="Times New Roman"/>
                <w:color w:val="auto"/>
                <w:sz w:val="21"/>
                <w:szCs w:val="21"/>
                <w:lang w:val="en-GB" w:eastAsia="zh-CN"/>
              </w:rPr>
              <w:t>库房</w:t>
            </w:r>
            <w:r>
              <w:rPr>
                <w:rFonts w:hint="default" w:ascii="Times New Roman" w:hAnsi="Times New Roman" w:eastAsia="宋体" w:cs="Times New Roman"/>
                <w:color w:val="auto"/>
                <w:sz w:val="21"/>
                <w:szCs w:val="21"/>
                <w:lang w:val="en-US" w:eastAsia="zh-CN"/>
              </w:rPr>
              <w:t>及厂区地面</w:t>
            </w:r>
          </w:p>
        </w:tc>
        <w:tc>
          <w:tcPr>
            <w:tcW w:w="3521" w:type="pct"/>
            <w:tcBorders>
              <w:tl2br w:val="nil"/>
              <w:tr2bl w:val="nil"/>
            </w:tcBorders>
            <w:noWrap w:val="0"/>
            <w:vAlign w:val="center"/>
          </w:tcPr>
          <w:p>
            <w:pPr>
              <w:pStyle w:val="4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地面硬化</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rPr>
      </w:pPr>
      <w:r>
        <w:rPr>
          <w:rFonts w:hint="default" w:ascii="Times New Roman" w:hAnsi="Times New Roman" w:cs="Times New Roman"/>
          <w:color w:val="auto"/>
          <w:sz w:val="24"/>
        </w:rPr>
        <w:t>经调查，上述防渗措施在肉食品屠宰加工工程中应用广泛，效果很好。项目采取以上措施后，对地下水环境影响较小，措施可行。</w:t>
      </w:r>
    </w:p>
    <w:p>
      <w:pPr>
        <w:widowControl w:val="0"/>
        <w:kinsoku/>
        <w:autoSpaceDE/>
        <w:autoSpaceDN/>
        <w:adjustRightInd/>
        <w:snapToGrid/>
        <w:spacing w:line="360" w:lineRule="auto"/>
        <w:contextualSpacing/>
        <w:jc w:val="both"/>
        <w:textAlignment w:val="auto"/>
        <w:outlineLvl w:val="9"/>
        <w:rPr>
          <w:rFonts w:hint="default" w:ascii="Times New Roman" w:hAnsi="Times New Roman" w:eastAsia="宋体" w:cs="Times New Roman"/>
          <w:b/>
          <w:snapToGrid/>
          <w:color w:val="auto"/>
          <w:kern w:val="2"/>
          <w:sz w:val="24"/>
          <w:szCs w:val="24"/>
          <w:lang w:eastAsia="zh-CN"/>
        </w:rPr>
      </w:pPr>
      <w:bookmarkStart w:id="422" w:name="_Toc3364"/>
      <w:r>
        <w:rPr>
          <w:rFonts w:hint="default" w:ascii="Times New Roman" w:hAnsi="Times New Roman" w:eastAsia="宋体" w:cs="Times New Roman"/>
          <w:b/>
          <w:snapToGrid/>
          <w:color w:val="auto"/>
          <w:kern w:val="2"/>
          <w:sz w:val="24"/>
          <w:szCs w:val="24"/>
          <w:lang w:val="en-US" w:eastAsia="zh-CN"/>
        </w:rPr>
        <w:t xml:space="preserve">6.2.4.2 </w:t>
      </w:r>
      <w:bookmarkEnd w:id="422"/>
      <w:r>
        <w:rPr>
          <w:rFonts w:hint="default" w:ascii="Times New Roman" w:hAnsi="Times New Roman" w:eastAsia="宋体" w:cs="Times New Roman"/>
          <w:b/>
          <w:snapToGrid/>
          <w:color w:val="auto"/>
          <w:kern w:val="2"/>
          <w:sz w:val="24"/>
          <w:szCs w:val="24"/>
          <w:lang w:val="en-US" w:eastAsia="zh-CN"/>
        </w:rPr>
        <w:t>跟踪监测</w:t>
      </w:r>
    </w:p>
    <w:p>
      <w:pPr>
        <w:keepNext w:val="0"/>
        <w:keepLines w:val="0"/>
        <w:pageBreakBefore w:val="0"/>
        <w:wordWrap/>
        <w:overflowPunct/>
        <w:topLinePunct w:val="0"/>
        <w:bidi w:val="0"/>
        <w:spacing w:line="360" w:lineRule="auto"/>
        <w:ind w:firstLine="480" w:firstLineChars="200"/>
        <w:jc w:val="both"/>
        <w:outlineLvl w:val="0"/>
        <w:rPr>
          <w:rFonts w:hint="default" w:ascii="Times New Roman" w:hAnsi="Times New Roman" w:cs="Times New Roman"/>
          <w:sz w:val="24"/>
          <w:szCs w:val="24"/>
          <w:lang w:val="en-US" w:eastAsia="zh-CN"/>
        </w:rPr>
      </w:pPr>
      <w:bookmarkStart w:id="423" w:name="_Toc4744"/>
      <w:bookmarkStart w:id="424" w:name="_Toc32723"/>
      <w:bookmarkStart w:id="425" w:name="_Toc23998"/>
      <w:bookmarkStart w:id="426" w:name="_Toc12952"/>
      <w:bookmarkStart w:id="427" w:name="_Toc8970"/>
      <w:bookmarkStart w:id="428" w:name="_Toc2159"/>
      <w:r>
        <w:rPr>
          <w:rFonts w:hint="default" w:ascii="Times New Roman" w:hAnsi="Times New Roman" w:cs="Times New Roman"/>
          <w:sz w:val="24"/>
          <w:szCs w:val="24"/>
          <w:lang w:val="en-US" w:eastAsia="zh-CN"/>
        </w:rPr>
        <w:t>1、监测井布设</w:t>
      </w:r>
      <w:bookmarkEnd w:id="423"/>
      <w:bookmarkEnd w:id="424"/>
      <w:bookmarkEnd w:id="425"/>
      <w:bookmarkEnd w:id="426"/>
      <w:bookmarkEnd w:id="427"/>
      <w:bookmarkEnd w:id="42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评价建议建立区域地下水监控，其主要内容包括监测点位与监测项目、监测频次与监测因子、监测设备与监测人员等，本项目设置地下水跟踪监测井一眼，位于厂区地下水流向下游位置处，跟踪监测布点计划见下表。</w:t>
      </w:r>
    </w:p>
    <w:p>
      <w:pPr>
        <w:pStyle w:val="50"/>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表6-2-</w:t>
      </w:r>
      <w:r>
        <w:rPr>
          <w:rFonts w:hint="eastAsia" w:ascii="Times New Roman" w:hAnsi="Times New Roman" w:eastAsia="宋体" w:cs="Times New Roman"/>
          <w:b/>
          <w:bCs/>
          <w:color w:val="auto"/>
          <w:sz w:val="21"/>
          <w:szCs w:val="21"/>
          <w:lang w:val="en-US" w:eastAsia="zh-CN"/>
        </w:rPr>
        <w:t>7</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地下水环境监测井相关参数</w:t>
      </w:r>
    </w:p>
    <w:tbl>
      <w:tblPr>
        <w:tblStyle w:val="5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39"/>
        <w:gridCol w:w="957"/>
        <w:gridCol w:w="1927"/>
        <w:gridCol w:w="1740"/>
        <w:gridCol w:w="17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51"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rPr>
              <w:t>点位</w:t>
            </w:r>
          </w:p>
        </w:tc>
        <w:tc>
          <w:tcPr>
            <w:tcW w:w="503"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rPr>
              <w:t>井深</w:t>
            </w:r>
          </w:p>
        </w:tc>
        <w:tc>
          <w:tcPr>
            <w:tcW w:w="1013"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rPr>
              <w:t>监测层位</w:t>
            </w:r>
          </w:p>
        </w:tc>
        <w:tc>
          <w:tcPr>
            <w:tcW w:w="915"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rPr>
              <w:t>基本功能</w:t>
            </w:r>
          </w:p>
        </w:tc>
        <w:tc>
          <w:tcPr>
            <w:tcW w:w="915"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napToGrid w:val="0"/>
                <w:color w:val="auto"/>
                <w:kern w:val="0"/>
                <w:sz w:val="21"/>
                <w:szCs w:val="21"/>
                <w:lang w:eastAsia="zh-CN"/>
              </w:rPr>
            </w:pPr>
            <w:r>
              <w:rPr>
                <w:rFonts w:hint="default" w:ascii="Times New Roman" w:hAnsi="Times New Roman" w:eastAsia="宋体" w:cs="Times New Roman"/>
                <w:snapToGrid w:val="0"/>
                <w:color w:val="auto"/>
                <w:kern w:val="0"/>
                <w:sz w:val="21"/>
                <w:szCs w:val="21"/>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651"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rPr>
              <w:t>地下水跟踪监测井</w:t>
            </w:r>
          </w:p>
        </w:tc>
        <w:tc>
          <w:tcPr>
            <w:tcW w:w="503"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napToGrid w:val="0"/>
                <w:color w:val="auto"/>
                <w:kern w:val="0"/>
                <w:sz w:val="21"/>
                <w:szCs w:val="21"/>
              </w:rPr>
            </w:pPr>
            <w:r>
              <w:rPr>
                <w:rFonts w:hint="default" w:ascii="Times New Roman" w:hAnsi="Times New Roman" w:cs="Times New Roman"/>
                <w:snapToGrid w:val="0"/>
                <w:color w:val="auto"/>
                <w:kern w:val="0"/>
                <w:sz w:val="21"/>
                <w:szCs w:val="21"/>
                <w:lang w:val="en-US" w:eastAsia="zh-CN"/>
              </w:rPr>
              <w:t>20</w:t>
            </w:r>
            <w:r>
              <w:rPr>
                <w:rFonts w:hint="default" w:ascii="Times New Roman" w:hAnsi="Times New Roman" w:eastAsia="宋体" w:cs="Times New Roman"/>
                <w:snapToGrid w:val="0"/>
                <w:color w:val="auto"/>
                <w:kern w:val="0"/>
                <w:sz w:val="21"/>
                <w:szCs w:val="21"/>
              </w:rPr>
              <w:t>m</w:t>
            </w:r>
          </w:p>
        </w:tc>
        <w:tc>
          <w:tcPr>
            <w:tcW w:w="1013"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napToGrid w:val="0"/>
                <w:color w:val="auto"/>
                <w:kern w:val="0"/>
                <w:sz w:val="21"/>
                <w:szCs w:val="21"/>
                <w:lang w:eastAsia="zh-CN"/>
              </w:rPr>
            </w:pPr>
            <w:r>
              <w:rPr>
                <w:rFonts w:hint="default" w:ascii="Times New Roman" w:hAnsi="Times New Roman" w:cs="Times New Roman"/>
                <w:snapToGrid w:val="0"/>
                <w:color w:val="auto"/>
                <w:kern w:val="0"/>
                <w:sz w:val="21"/>
                <w:szCs w:val="21"/>
                <w:lang w:val="en-US" w:eastAsia="zh-CN"/>
              </w:rPr>
              <w:t>潜水含水层</w:t>
            </w:r>
          </w:p>
        </w:tc>
        <w:tc>
          <w:tcPr>
            <w:tcW w:w="915"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rPr>
              <w:t>污染监视井</w:t>
            </w:r>
          </w:p>
        </w:tc>
        <w:tc>
          <w:tcPr>
            <w:tcW w:w="915"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napToGrid w:val="0"/>
                <w:color w:val="auto"/>
                <w:kern w:val="0"/>
                <w:sz w:val="21"/>
                <w:szCs w:val="21"/>
                <w:lang w:val="en-US" w:eastAsia="zh-CN"/>
              </w:rPr>
            </w:pPr>
            <w:r>
              <w:rPr>
                <w:rFonts w:hint="eastAsia" w:ascii="Times New Roman" w:hAnsi="Times New Roman" w:eastAsia="宋体" w:cs="Times New Roman"/>
                <w:snapToGrid w:val="0"/>
                <w:color w:val="auto"/>
                <w:kern w:val="0"/>
                <w:sz w:val="21"/>
                <w:szCs w:val="21"/>
                <w:highlight w:val="none"/>
                <w:lang w:val="en-US" w:eastAsia="zh-CN"/>
              </w:rPr>
              <w:t>新建</w:t>
            </w:r>
          </w:p>
        </w:tc>
      </w:tr>
    </w:tbl>
    <w:p>
      <w:pPr>
        <w:pStyle w:val="5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p>
    <w:p>
      <w:pPr>
        <w:pStyle w:val="5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表6-2-</w:t>
      </w:r>
      <w:r>
        <w:rPr>
          <w:rFonts w:hint="eastAsia" w:ascii="Times New Roman" w:hAnsi="Times New Roman" w:eastAsia="宋体" w:cs="Times New Roman"/>
          <w:b/>
          <w:bCs/>
          <w:color w:val="auto"/>
          <w:sz w:val="21"/>
          <w:szCs w:val="21"/>
          <w:lang w:val="en-US" w:eastAsia="zh-CN"/>
        </w:rPr>
        <w:t>8</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地下水环境监测频次与监测因子</w:t>
      </w:r>
    </w:p>
    <w:tbl>
      <w:tblPr>
        <w:tblStyle w:val="5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94"/>
        <w:gridCol w:w="3456"/>
        <w:gridCol w:w="33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417"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rPr>
              <w:t>点位</w:t>
            </w:r>
          </w:p>
        </w:tc>
        <w:tc>
          <w:tcPr>
            <w:tcW w:w="1818"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rPr>
              <w:t>监测因子</w:t>
            </w:r>
          </w:p>
        </w:tc>
        <w:tc>
          <w:tcPr>
            <w:tcW w:w="1764"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417"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rPr>
              <w:t>地下水跟踪监测井</w:t>
            </w:r>
          </w:p>
        </w:tc>
        <w:tc>
          <w:tcPr>
            <w:tcW w:w="1818"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氨氮</w:t>
            </w:r>
            <w:r>
              <w:rPr>
                <w:rFonts w:hint="default" w:ascii="Times New Roman" w:hAnsi="Times New Roman" w:cs="Times New Roman"/>
                <w:snapToGrid w:val="0"/>
                <w:color w:val="auto"/>
                <w:kern w:val="0"/>
                <w:sz w:val="21"/>
                <w:szCs w:val="21"/>
                <w:lang w:eastAsia="zh-CN"/>
              </w:rPr>
              <w:t>、</w:t>
            </w:r>
            <w:r>
              <w:rPr>
                <w:rFonts w:hint="default" w:ascii="Times New Roman" w:hAnsi="Times New Roman" w:cs="Times New Roman"/>
                <w:snapToGrid w:val="0"/>
                <w:color w:val="auto"/>
                <w:kern w:val="0"/>
                <w:sz w:val="21"/>
                <w:szCs w:val="21"/>
                <w:lang w:val="en-US" w:eastAsia="zh-CN"/>
              </w:rPr>
              <w:t>COD</w:t>
            </w:r>
            <w:r>
              <w:rPr>
                <w:rFonts w:hint="eastAsia" w:ascii="Times New Roman" w:hAnsi="Times New Roman" w:cs="Times New Roman"/>
                <w:snapToGrid w:val="0"/>
                <w:color w:val="auto"/>
                <w:kern w:val="0"/>
                <w:sz w:val="21"/>
                <w:szCs w:val="21"/>
                <w:lang w:val="en-US" w:eastAsia="zh-CN"/>
              </w:rPr>
              <w:t>、石油类</w:t>
            </w:r>
          </w:p>
        </w:tc>
        <w:tc>
          <w:tcPr>
            <w:tcW w:w="1764"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rPr>
              <w:t>1次/季度</w:t>
            </w:r>
          </w:p>
        </w:tc>
      </w:tr>
    </w:tbl>
    <w:p>
      <w:pPr>
        <w:keepNext w:val="0"/>
        <w:keepLines w:val="0"/>
        <w:pageBreakBefore w:val="0"/>
        <w:wordWrap/>
        <w:overflowPunct/>
        <w:topLinePunct w:val="0"/>
        <w:bidi w:val="0"/>
        <w:spacing w:line="360" w:lineRule="auto"/>
        <w:ind w:left="0" w:firstLine="480" w:firstLineChars="200"/>
        <w:jc w:val="both"/>
        <w:outlineLvl w:val="0"/>
        <w:rPr>
          <w:rFonts w:hint="default" w:ascii="Times New Roman" w:hAnsi="Times New Roman" w:cs="Times New Roman"/>
          <w:sz w:val="24"/>
          <w:szCs w:val="24"/>
          <w:lang w:val="en-US" w:eastAsia="zh-CN"/>
        </w:rPr>
      </w:pPr>
      <w:bookmarkStart w:id="429" w:name="_Toc8235"/>
      <w:bookmarkStart w:id="430" w:name="_Toc12508"/>
      <w:bookmarkStart w:id="431" w:name="_Toc16308"/>
      <w:bookmarkStart w:id="432" w:name="_Toc15030"/>
      <w:bookmarkStart w:id="433" w:name="_Toc10129"/>
      <w:bookmarkStart w:id="434" w:name="_Toc25787"/>
      <w:r>
        <w:rPr>
          <w:rFonts w:hint="default" w:ascii="Times New Roman" w:hAnsi="Times New Roman" w:cs="Times New Roman"/>
          <w:sz w:val="24"/>
          <w:szCs w:val="24"/>
          <w:lang w:val="en-US" w:eastAsia="zh-CN"/>
        </w:rPr>
        <w:t>2、数据管理</w:t>
      </w:r>
      <w:bookmarkEnd w:id="429"/>
      <w:bookmarkEnd w:id="430"/>
      <w:bookmarkEnd w:id="431"/>
      <w:bookmarkEnd w:id="432"/>
      <w:bookmarkEnd w:id="433"/>
      <w:bookmarkEnd w:id="434"/>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建设单位应按照相关规定对监测结果及时建立档案，并按照国家环保部门相关规定定期向相关部门汇报并报备。如发现污染物浓度异常升高，加密监测频次，并分析污染原因，确定泄漏污染源，及时采取应急措施。建设单位应建立完善的质量管理体系，实现“质量、安全、环境”三位一体的全面质量管理目标。设立地下水动态监测小组，负责对地下水环境监测和管理，或者委托专业的资质机构完成。建立有关规章制度和岗位责任制。制定风险预警方案，设立应急设施减少环境污染影响。</w:t>
      </w:r>
    </w:p>
    <w:p>
      <w:pPr>
        <w:keepNext w:val="0"/>
        <w:keepLines w:val="0"/>
        <w:pageBreakBefore w:val="0"/>
        <w:wordWrap/>
        <w:overflowPunct/>
        <w:topLinePunct w:val="0"/>
        <w:bidi w:val="0"/>
        <w:spacing w:line="360" w:lineRule="auto"/>
        <w:ind w:left="0" w:firstLine="480" w:firstLineChars="200"/>
        <w:jc w:val="both"/>
        <w:outlineLvl w:val="1"/>
        <w:rPr>
          <w:rFonts w:hint="default" w:ascii="Times New Roman" w:hAnsi="Times New Roman" w:cs="Times New Roman"/>
          <w:sz w:val="24"/>
          <w:szCs w:val="24"/>
          <w:lang w:val="en-US" w:eastAsia="zh-CN"/>
        </w:rPr>
      </w:pPr>
      <w:bookmarkStart w:id="435" w:name="_Toc16097"/>
      <w:bookmarkStart w:id="436" w:name="_Toc28717"/>
      <w:bookmarkStart w:id="437" w:name="_Toc31147"/>
      <w:bookmarkStart w:id="438" w:name="_Toc21127"/>
      <w:bookmarkStart w:id="439" w:name="_Toc1135"/>
      <w:r>
        <w:rPr>
          <w:rFonts w:hint="default" w:ascii="Times New Roman" w:hAnsi="Times New Roman" w:cs="Times New Roman"/>
          <w:sz w:val="24"/>
          <w:szCs w:val="24"/>
          <w:lang w:val="en-US" w:eastAsia="zh-CN"/>
        </w:rPr>
        <w:t>（1）管理措施</w:t>
      </w:r>
      <w:bookmarkEnd w:id="435"/>
      <w:bookmarkEnd w:id="436"/>
      <w:bookmarkEnd w:id="437"/>
      <w:bookmarkEnd w:id="438"/>
      <w:bookmarkEnd w:id="439"/>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建设单位应委托具有监测资质的单位负责地下水监测工作，按要求及时分析整理原始资料、监测报告的编写工作。</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建立地下水监测数据信息管理系统，根据实际情况，按事故的性质、类型、影响范围、严重后果分等级制定相应预案。在制定预案时要根据本场环境污染事故潜在威胁的情况，认真细致地考虑各项影响因素，适当的时候组织有关部门、人员进行演练，不断补充完善。</w:t>
      </w:r>
    </w:p>
    <w:p>
      <w:pPr>
        <w:keepNext w:val="0"/>
        <w:keepLines w:val="0"/>
        <w:pageBreakBefore w:val="0"/>
        <w:wordWrap/>
        <w:overflowPunct/>
        <w:topLinePunct w:val="0"/>
        <w:bidi w:val="0"/>
        <w:spacing w:line="360" w:lineRule="auto"/>
        <w:ind w:left="0" w:firstLine="480" w:firstLineChars="200"/>
        <w:jc w:val="both"/>
        <w:outlineLvl w:val="1"/>
        <w:rPr>
          <w:rFonts w:hint="default" w:ascii="Times New Roman" w:hAnsi="Times New Roman" w:cs="Times New Roman"/>
          <w:sz w:val="24"/>
          <w:szCs w:val="24"/>
          <w:lang w:val="en-US" w:eastAsia="zh-CN"/>
        </w:rPr>
      </w:pPr>
      <w:bookmarkStart w:id="440" w:name="_Toc28277"/>
      <w:bookmarkStart w:id="441" w:name="_Toc9930"/>
      <w:bookmarkStart w:id="442" w:name="_Toc22418"/>
      <w:bookmarkStart w:id="443" w:name="_Toc17484"/>
      <w:bookmarkStart w:id="444" w:name="_Toc9811"/>
      <w:r>
        <w:rPr>
          <w:rFonts w:hint="default" w:ascii="Times New Roman" w:hAnsi="Times New Roman" w:cs="Times New Roman"/>
          <w:sz w:val="24"/>
          <w:szCs w:val="24"/>
          <w:lang w:val="en-US" w:eastAsia="zh-CN"/>
        </w:rPr>
        <w:t>（2）技术措施</w:t>
      </w:r>
      <w:bookmarkEnd w:id="440"/>
      <w:bookmarkEnd w:id="441"/>
      <w:bookmarkEnd w:id="442"/>
      <w:bookmarkEnd w:id="443"/>
      <w:bookmarkEnd w:id="444"/>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按照《地下水环境监测技术规范》（HJ/T164-2020）要求，及时上报监测数据和有关表格。</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在日常例行监测中，一旦发现地下水水质监测数据异常，应尽快核查数据，确保数据的正确性。并将核查过的监测数据通告公司安全环保部门，由专人负责对数据进行分析、核实，并密切关注生产设施的运行情况，为防止地下水污染采取措施提供正确的依据。应采取措施如下：</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了解全场生产是否出现异常情况，出现异常情况的装置、原因。加大监测密度，分析变化动向；周期性地编写地下水动态监测报告；定期对污染区的生产装置进行检查</w:t>
      </w:r>
    </w:p>
    <w:p>
      <w:pPr>
        <w:keepNext w:val="0"/>
        <w:keepLines w:val="0"/>
        <w:pageBreakBefore w:val="0"/>
        <w:wordWrap/>
        <w:overflowPunct/>
        <w:topLinePunct w:val="0"/>
        <w:bidi w:val="0"/>
        <w:spacing w:line="360" w:lineRule="auto"/>
        <w:ind w:left="0" w:firstLine="480" w:firstLineChars="200"/>
        <w:jc w:val="both"/>
        <w:outlineLvl w:val="0"/>
        <w:rPr>
          <w:rFonts w:hint="default" w:ascii="Times New Roman" w:hAnsi="Times New Roman" w:cs="Times New Roman"/>
          <w:sz w:val="24"/>
          <w:szCs w:val="24"/>
          <w:lang w:val="en-US" w:eastAsia="zh-CN"/>
        </w:rPr>
      </w:pPr>
      <w:bookmarkStart w:id="445" w:name="_Toc3063"/>
      <w:bookmarkStart w:id="446" w:name="_Toc2758"/>
      <w:bookmarkStart w:id="447" w:name="_Toc4965"/>
      <w:bookmarkStart w:id="448" w:name="_Toc29174"/>
      <w:bookmarkStart w:id="449" w:name="_Toc31881"/>
      <w:bookmarkStart w:id="450" w:name="_Toc24627"/>
      <w:r>
        <w:rPr>
          <w:rFonts w:hint="default" w:ascii="Times New Roman" w:hAnsi="Times New Roman" w:cs="Times New Roman"/>
          <w:sz w:val="24"/>
          <w:szCs w:val="24"/>
          <w:lang w:val="en-US" w:eastAsia="zh-CN"/>
        </w:rPr>
        <w:t>3、信息公开</w:t>
      </w:r>
      <w:bookmarkEnd w:id="445"/>
      <w:bookmarkEnd w:id="446"/>
      <w:bookmarkEnd w:id="447"/>
      <w:bookmarkEnd w:id="448"/>
      <w:bookmarkEnd w:id="449"/>
      <w:bookmarkEnd w:id="450"/>
    </w:p>
    <w:p>
      <w:pPr>
        <w:spacing w:line="360" w:lineRule="auto"/>
        <w:ind w:firstLine="523" w:firstLineChars="218"/>
        <w:contextualSpacing/>
        <w:rPr>
          <w:rFonts w:hint="default" w:ascii="Times New Roman" w:hAnsi="Times New Roman" w:cs="Times New Roman"/>
          <w:color w:val="auto"/>
          <w:sz w:val="24"/>
        </w:rPr>
      </w:pPr>
      <w:r>
        <w:rPr>
          <w:rFonts w:hint="default" w:ascii="Times New Roman" w:hAnsi="Times New Roman" w:cs="Times New Roman"/>
          <w:color w:val="auto"/>
          <w:sz w:val="24"/>
        </w:rPr>
        <w:t>建设单位在开展地下水跟踪监测的同时要进行地下水跟踪监测信息公开工作，每一期的地下水跟踪监测的数据结果要以公告的形式在场区内张贴出来，公告版应展示近3期的地下水跟踪监测结果，包括污染物的名称、监测数值和监测日期等信息。公众参与的主体是本项目的建设单位，需要对公示的监测数据负责。</w:t>
      </w:r>
    </w:p>
    <w:p>
      <w:pPr>
        <w:pStyle w:val="11"/>
        <w:widowControl w:val="0"/>
        <w:numPr>
          <w:ilvl w:val="2"/>
          <w:numId w:val="0"/>
        </w:numPr>
        <w:kinsoku/>
        <w:autoSpaceDE/>
        <w:autoSpaceDN/>
        <w:adjustRightInd/>
        <w:snapToGrid/>
        <w:spacing w:before="0" w:after="0" w:line="360" w:lineRule="auto"/>
        <w:contextualSpacing/>
        <w:jc w:val="both"/>
        <w:textAlignment w:val="auto"/>
        <w:outlineLvl w:val="1"/>
        <w:rPr>
          <w:rFonts w:hint="default" w:ascii="Times New Roman" w:hAnsi="Times New Roman" w:eastAsia="宋体" w:cs="Times New Roman"/>
          <w:b/>
          <w:bCs w:val="0"/>
          <w:snapToGrid/>
          <w:color w:val="auto"/>
          <w:kern w:val="2"/>
          <w:sz w:val="28"/>
          <w:szCs w:val="28"/>
          <w:highlight w:val="magenta"/>
          <w:lang w:eastAsia="zh-CN"/>
        </w:rPr>
      </w:pPr>
      <w:bookmarkStart w:id="451" w:name="_Toc9638"/>
      <w:bookmarkStart w:id="452" w:name="_Toc9854"/>
      <w:r>
        <w:rPr>
          <w:rFonts w:hint="default" w:ascii="Times New Roman" w:hAnsi="Times New Roman" w:eastAsia="宋体" w:cs="Times New Roman"/>
          <w:b/>
          <w:bCs w:val="0"/>
          <w:snapToGrid/>
          <w:color w:val="auto"/>
          <w:kern w:val="2"/>
          <w:sz w:val="28"/>
          <w:szCs w:val="28"/>
          <w:highlight w:val="none"/>
          <w:lang w:eastAsia="zh-CN"/>
        </w:rPr>
        <w:t>6.2.5  固废物污染防治措施</w:t>
      </w:r>
      <w:bookmarkEnd w:id="451"/>
      <w:bookmarkEnd w:id="452"/>
    </w:p>
    <w:p>
      <w:pPr>
        <w:keepNext w:val="0"/>
        <w:keepLines w:val="0"/>
        <w:pageBreakBefore w:val="0"/>
        <w:wordWrap/>
        <w:overflowPunct/>
        <w:topLinePunct w:val="0"/>
        <w:bidi w:val="0"/>
        <w:spacing w:line="360" w:lineRule="auto"/>
        <w:jc w:val="both"/>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snapToGrid w:val="0"/>
          <w:color w:val="auto"/>
          <w:kern w:val="0"/>
          <w:sz w:val="24"/>
          <w:szCs w:val="24"/>
          <w:lang w:val="en-US" w:eastAsia="zh-CN" w:bidi="ar-SA"/>
        </w:rPr>
        <w:fldChar w:fldCharType="begin"/>
      </w:r>
      <w:r>
        <w:rPr>
          <w:rFonts w:hint="default" w:ascii="Times New Roman" w:hAnsi="Times New Roman" w:eastAsia="宋体" w:cs="Times New Roman"/>
          <w:b/>
          <w:snapToGrid w:val="0"/>
          <w:color w:val="auto"/>
          <w:kern w:val="0"/>
          <w:sz w:val="24"/>
          <w:szCs w:val="24"/>
          <w:lang w:val="en-US" w:eastAsia="zh-CN" w:bidi="ar-SA"/>
        </w:rPr>
        <w:instrText xml:space="preserve"> HYPERLINK "6.2.5.1" </w:instrText>
      </w:r>
      <w:r>
        <w:rPr>
          <w:rFonts w:hint="default" w:ascii="Times New Roman" w:hAnsi="Times New Roman" w:eastAsia="宋体" w:cs="Times New Roman"/>
          <w:b/>
          <w:snapToGrid w:val="0"/>
          <w:color w:val="auto"/>
          <w:kern w:val="0"/>
          <w:sz w:val="24"/>
          <w:szCs w:val="24"/>
          <w:lang w:val="en-US" w:eastAsia="zh-CN" w:bidi="ar-SA"/>
        </w:rPr>
        <w:fldChar w:fldCharType="separate"/>
      </w:r>
      <w:r>
        <w:rPr>
          <w:rFonts w:hint="default" w:ascii="Times New Roman" w:hAnsi="Times New Roman" w:eastAsia="宋体" w:cs="Times New Roman"/>
          <w:b/>
          <w:snapToGrid w:val="0"/>
          <w:color w:val="auto"/>
          <w:kern w:val="0"/>
          <w:sz w:val="24"/>
          <w:szCs w:val="24"/>
          <w:lang w:val="en-US" w:eastAsia="zh-CN" w:bidi="ar-SA"/>
        </w:rPr>
        <w:t>6.2.5.1</w:t>
      </w:r>
      <w:r>
        <w:rPr>
          <w:rFonts w:hint="default" w:ascii="Times New Roman" w:hAnsi="Times New Roman" w:eastAsia="宋体" w:cs="Times New Roman"/>
          <w:b/>
          <w:snapToGrid w:val="0"/>
          <w:color w:val="auto"/>
          <w:kern w:val="0"/>
          <w:sz w:val="24"/>
          <w:szCs w:val="24"/>
          <w:lang w:val="en-US" w:eastAsia="zh-CN" w:bidi="ar-SA"/>
        </w:rPr>
        <w:fldChar w:fldCharType="end"/>
      </w:r>
      <w:r>
        <w:rPr>
          <w:rFonts w:hint="default" w:ascii="Times New Roman" w:hAnsi="Times New Roman" w:eastAsia="宋体" w:cs="Times New Roman"/>
          <w:b/>
          <w:snapToGrid w:val="0"/>
          <w:color w:val="auto"/>
          <w:kern w:val="0"/>
          <w:sz w:val="24"/>
          <w:szCs w:val="24"/>
          <w:lang w:val="en-US" w:eastAsia="zh-CN" w:bidi="ar-SA"/>
        </w:rPr>
        <w:t xml:space="preserve">  项目固体废物产生和治理情况</w:t>
      </w:r>
    </w:p>
    <w:p>
      <w:pPr>
        <w:keepNext w:val="0"/>
        <w:keepLines w:val="0"/>
        <w:pageBreakBefore w:val="0"/>
        <w:wordWrap/>
        <w:overflowPunct/>
        <w:topLinePunct w:val="0"/>
        <w:bidi w:val="0"/>
        <w:spacing w:line="360" w:lineRule="auto"/>
        <w:ind w:left="0"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highlight w:val="none"/>
          <w:lang w:val="en-US" w:eastAsia="zh-CN"/>
        </w:rPr>
        <w:t>项目正常工况下产生的一般固体废物主要有待宰圈产生的猪粪；检疫室产生的检疫废物；屠宰加工车间产生的猪毛、肠胃内容物、病变腺体、内脏及</w:t>
      </w:r>
      <w:r>
        <w:rPr>
          <w:rFonts w:hint="eastAsia" w:ascii="Times New Roman" w:hAnsi="Times New Roman" w:eastAsia="宋体" w:cs="Times New Roman"/>
          <w:color w:val="auto"/>
          <w:sz w:val="24"/>
          <w:szCs w:val="24"/>
          <w:highlight w:val="none"/>
          <w:lang w:val="en-US" w:eastAsia="zh-CN"/>
        </w:rPr>
        <w:t>废气</w:t>
      </w:r>
      <w:r>
        <w:rPr>
          <w:rFonts w:hint="default" w:ascii="Times New Roman" w:hAnsi="Times New Roman" w:eastAsia="宋体" w:cs="Times New Roman"/>
          <w:color w:val="auto"/>
          <w:sz w:val="24"/>
          <w:szCs w:val="24"/>
          <w:highlight w:val="none"/>
          <w:lang w:val="en-US" w:eastAsia="zh-CN"/>
        </w:rPr>
        <w:t>脂肪；污水处理站产生的污泥、栅渣、废油脂及落地油；废活性炭；锅炉房产生的废离子交换树脂；生活垃圾</w:t>
      </w:r>
      <w:r>
        <w:rPr>
          <w:rFonts w:hint="eastAsia" w:ascii="Times New Roman" w:hAnsi="Times New Roman" w:eastAsia="宋体" w:cs="Times New Roman"/>
          <w:color w:val="auto"/>
          <w:sz w:val="24"/>
          <w:szCs w:val="24"/>
          <w:highlight w:val="none"/>
          <w:lang w:val="en-US" w:eastAsia="zh-CN"/>
        </w:rPr>
        <w:t>，废外包装，废润滑油及油桶等</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lang w:val="en-US" w:eastAsia="zh-CN"/>
        </w:rPr>
        <w:t>非正常工况下产生的病死猪。</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猪粪便在待宰圈防渗池内临时贮存，每天清运一次，外售有机肥厂进行堆肥处理；屠宰加工车间产生的猪毛在专用容器内储存，外售至毛刷厂</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肠胃内容物</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通过</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风送设备排至肠内物收集池</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封闭贮存，</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外运有机肥厂堆肥处理；修整过程中产生的脂肪进行外售处理</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；分割过程产生的病变内脏、腺体送至巴彦县燊缘无害化处理有限公司处理；</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吸附恶臭气体的废活性炭作为一般工业固体废物暂存于一般固废暂存间封闭塑料箱内，</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由活性炭厂家回收再生处理</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检疫室产生的检疫废物属于危险废物（类别HW01，代码841-005-01），单独收集，用有明显标识的塑料袋盛装，暂存于危险废物贮存点，交由哈尔滨国环医疗固体废物无害化集中处置中心有限公司进行处理；</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非正常工况下对发现的病猪进行急宰；送至</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巴彦县燊缘无害化处理有限公司</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处理</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污水处理站污泥和栅渣</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(HW01)经离心式脱水机脱水、漂白粉消毒后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送垃圾填埋场填埋</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锅炉房产生的废离子交换树脂由厂家回收。隔油工段废油脂和落地油委托巴彦县燊缘无害化处理有限公司进行处置。生活垃圾交由环卫部门处置。</w:t>
      </w:r>
    </w:p>
    <w:p>
      <w:pPr>
        <w:widowControl w:val="0"/>
        <w:kinsoku/>
        <w:autoSpaceDE/>
        <w:autoSpaceDN/>
        <w:adjustRightInd/>
        <w:snapToGrid/>
        <w:spacing w:line="360" w:lineRule="auto"/>
        <w:jc w:val="left"/>
        <w:textAlignment w:val="auto"/>
        <w:outlineLvl w:val="1"/>
        <w:rPr>
          <w:rFonts w:hint="default" w:ascii="Times New Roman" w:hAnsi="Times New Roman" w:eastAsia="宋体" w:cs="Times New Roman"/>
          <w:b/>
          <w:bCs/>
          <w:snapToGrid/>
          <w:color w:val="auto"/>
          <w:kern w:val="44"/>
          <w:sz w:val="30"/>
          <w:szCs w:val="30"/>
          <w:highlight w:val="magenta"/>
          <w:lang w:eastAsia="zh-CN"/>
        </w:rPr>
      </w:pPr>
      <w:bookmarkStart w:id="453" w:name="_Toc16442"/>
      <w:r>
        <w:rPr>
          <w:rFonts w:hint="default" w:ascii="Times New Roman" w:hAnsi="Times New Roman" w:eastAsia="宋体" w:cs="Times New Roman"/>
          <w:b/>
          <w:bCs/>
          <w:snapToGrid/>
          <w:color w:val="auto"/>
          <w:kern w:val="44"/>
          <w:sz w:val="30"/>
          <w:szCs w:val="30"/>
          <w:lang w:eastAsia="zh-CN"/>
        </w:rPr>
        <w:t>6.3  环境风险防范措施</w:t>
      </w:r>
      <w:bookmarkEnd w:id="453"/>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针对本项目可能产生的风险类别，建设单位应考虑采取一系列防范和应急措施，预防环境风险事故的发生，降低风险事故可能产生的环境影响。</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outlineLvl w:val="0"/>
        <w:rPr>
          <w:rFonts w:hint="default" w:ascii="Times New Roman" w:hAnsi="Times New Roman" w:eastAsia="宋体" w:cs="Times New Roman"/>
          <w:color w:val="auto"/>
          <w:sz w:val="24"/>
          <w:szCs w:val="24"/>
        </w:rPr>
      </w:pPr>
      <w:bookmarkStart w:id="454" w:name="_Toc1867"/>
      <w:bookmarkStart w:id="455" w:name="_Toc1875"/>
      <w:bookmarkStart w:id="456" w:name="_Toc25480"/>
      <w:bookmarkStart w:id="457" w:name="_Toc12190"/>
      <w:r>
        <w:rPr>
          <w:rFonts w:hint="default" w:ascii="Times New Roman" w:hAnsi="Times New Roman" w:eastAsia="宋体" w:cs="Times New Roman"/>
          <w:color w:val="auto"/>
          <w:kern w:val="0"/>
          <w:sz w:val="24"/>
          <w:szCs w:val="24"/>
          <w:lang w:val="en-US" w:eastAsia="zh-CN" w:bidi="ar"/>
        </w:rPr>
        <w:t>1、风险管理和风险防范措施</w:t>
      </w:r>
      <w:bookmarkEnd w:id="454"/>
      <w:bookmarkEnd w:id="455"/>
      <w:bookmarkEnd w:id="456"/>
      <w:bookmarkEnd w:id="457"/>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加强安全环保教育与培训工作，强化职工风险意识，使职工掌握必要的安全环保知识和应急处理能力；操作人员应熟悉自己的岗位，树立严谨规范的操作作风，并且在任何紧急状况下都能及时、独立、正确的实施相关应急措施。</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（2）加强安全环保管理，将“安全第一、环保优先、预防为主”作为企业经营的基本原则；指定安全环保负责人负责全厂的安全环保管理。</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（3）建立预警及预防机制，进行各种日常的、定期的、专业的安全防火检查，对于可能引起事故的异常状况，应及时向企业安全环保主管领导汇报，并将发现的问题落实到人、限期整改到位。</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（4）</w:t>
      </w:r>
      <w:r>
        <w:rPr>
          <w:rFonts w:hint="default" w:ascii="Times New Roman" w:hAnsi="Times New Roman" w:cs="Times New Roman"/>
          <w:color w:val="auto"/>
          <w:kern w:val="0"/>
          <w:sz w:val="24"/>
          <w:szCs w:val="24"/>
          <w:highlight w:val="none"/>
          <w:lang w:val="en-US" w:eastAsia="zh-CN" w:bidi="ar"/>
        </w:rPr>
        <w:t>次</w:t>
      </w:r>
      <w:r>
        <w:rPr>
          <w:rFonts w:hint="default" w:ascii="Times New Roman" w:hAnsi="Times New Roman" w:eastAsia="宋体" w:cs="Times New Roman"/>
          <w:color w:val="auto"/>
          <w:kern w:val="0"/>
          <w:sz w:val="24"/>
          <w:szCs w:val="24"/>
          <w:highlight w:val="none"/>
          <w:lang w:val="en-US" w:eastAsia="zh-CN" w:bidi="ar"/>
        </w:rPr>
        <w:t>氯酸钠</w:t>
      </w:r>
      <w:r>
        <w:rPr>
          <w:rFonts w:hint="default" w:ascii="Times New Roman" w:hAnsi="Times New Roman" w:eastAsia="宋体" w:cs="Times New Roman"/>
          <w:color w:val="auto"/>
          <w:kern w:val="0"/>
          <w:sz w:val="24"/>
          <w:szCs w:val="24"/>
          <w:lang w:val="en-US" w:eastAsia="zh-CN" w:bidi="ar"/>
        </w:rPr>
        <w:t>的储存必须配备有专业知识的技术人员，应设专人管理，</w:t>
      </w:r>
      <w:r>
        <w:rPr>
          <w:rFonts w:hint="default" w:ascii="Times New Roman" w:hAnsi="Times New Roman" w:cs="Times New Roman"/>
          <w:color w:val="auto"/>
          <w:kern w:val="0"/>
          <w:sz w:val="24"/>
          <w:szCs w:val="24"/>
          <w:lang w:val="en-US" w:eastAsia="zh-CN" w:bidi="ar"/>
        </w:rPr>
        <w:t>次</w:t>
      </w:r>
      <w:r>
        <w:rPr>
          <w:rFonts w:hint="default" w:ascii="Times New Roman" w:hAnsi="Times New Roman" w:eastAsia="宋体" w:cs="Times New Roman"/>
          <w:color w:val="auto"/>
          <w:kern w:val="0"/>
          <w:sz w:val="24"/>
          <w:szCs w:val="24"/>
          <w:lang w:val="en-US" w:eastAsia="zh-CN" w:bidi="ar"/>
        </w:rPr>
        <w:t>氯酸钠入库时，应严格检验物品质量、数量、有无泄漏；</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w:t>
      </w:r>
      <w:r>
        <w:rPr>
          <w:rFonts w:hint="eastAsia" w:ascii="Times New Roman" w:hAnsi="Times New Roman" w:eastAsia="宋体" w:cs="Times New Roman"/>
          <w:color w:val="auto"/>
          <w:kern w:val="0"/>
          <w:sz w:val="24"/>
          <w:szCs w:val="24"/>
          <w:lang w:val="en-US" w:eastAsia="zh-CN" w:bidi="ar"/>
        </w:rPr>
        <w:t>5</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次</w:t>
      </w:r>
      <w:r>
        <w:rPr>
          <w:rFonts w:hint="default" w:ascii="Times New Roman" w:hAnsi="Times New Roman" w:eastAsia="宋体" w:cs="Times New Roman"/>
          <w:color w:val="auto"/>
          <w:kern w:val="0"/>
          <w:sz w:val="24"/>
          <w:szCs w:val="24"/>
          <w:lang w:val="en-US" w:eastAsia="zh-CN" w:bidi="ar"/>
        </w:rPr>
        <w:t>氯酸钠储存区应当符合有关安全、防火规定，设置相应的通风、防火、灭火等安全设施；应设明显的危险化学品标示，并注明危险品的种类、物料特性、防护措施等。非工作人员严禁入库，储存库内外严禁吸烟，进入储存库不得穿戴钉鞋，不得带打火机、火柴。管理人员、操作人员必须配备可靠的个人安全防护用品，并执行持证上岗制。</w:t>
      </w:r>
    </w:p>
    <w:p>
      <w:pPr>
        <w:pStyle w:val="29"/>
        <w:rPr>
          <w:rFonts w:hint="default"/>
          <w:highlight w:val="magenta"/>
          <w:lang w:val="en-US"/>
        </w:rPr>
      </w:pPr>
      <w:r>
        <w:rPr>
          <w:rFonts w:hint="eastAsia" w:ascii="Times New Roman" w:hAnsi="Times New Roman" w:eastAsia="宋体" w:cs="Times New Roman"/>
          <w:color w:val="auto"/>
          <w:kern w:val="0"/>
          <w:sz w:val="24"/>
          <w:szCs w:val="24"/>
          <w:highlight w:val="none"/>
          <w:lang w:val="en-US" w:eastAsia="zh-CN" w:bidi="ar"/>
        </w:rPr>
        <w:t>（6）柴油储罐周边设置围堰，</w:t>
      </w:r>
      <w:r>
        <w:rPr>
          <w:rFonts w:hint="default" w:ascii="Times New Roman" w:hAnsi="Times New Roman" w:eastAsia="宋体" w:cs="Times New Roman"/>
          <w:color w:val="auto"/>
          <w:kern w:val="0"/>
          <w:sz w:val="24"/>
          <w:szCs w:val="24"/>
          <w:lang w:val="en-US" w:eastAsia="zh-CN" w:bidi="ar"/>
        </w:rPr>
        <w:t>储存、使用、运输过程发生泄漏，应立即进行回收、清理。</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w:t>
      </w:r>
      <w:r>
        <w:rPr>
          <w:rFonts w:hint="eastAsia" w:ascii="Times New Roman" w:hAnsi="Times New Roman" w:eastAsia="宋体" w:cs="Times New Roman"/>
          <w:color w:val="auto"/>
          <w:kern w:val="0"/>
          <w:sz w:val="24"/>
          <w:szCs w:val="24"/>
          <w:lang w:val="en-US" w:eastAsia="zh-CN" w:bidi="ar"/>
        </w:rPr>
        <w:t>7</w:t>
      </w:r>
      <w:r>
        <w:rPr>
          <w:rFonts w:hint="default" w:ascii="Times New Roman" w:hAnsi="Times New Roman" w:eastAsia="宋体" w:cs="Times New Roman"/>
          <w:color w:val="auto"/>
          <w:kern w:val="0"/>
          <w:sz w:val="24"/>
          <w:szCs w:val="24"/>
          <w:lang w:val="en-US" w:eastAsia="zh-CN" w:bidi="ar"/>
        </w:rPr>
        <w:t>）加强用设备管理和维护，严格杜绝跑、冒、滴、漏现象的发生，采取防火、防爆、防雷击措施，配备报警和消防器材、通讯工具，一旦发生火情及时报警和扑救。</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（8）采取分区防渗措施，防止物料、污水、危险废物等泄漏污染地下水。在污水处理站地下水下游设置1个地下水跟踪监测井，一旦发现监测水质发生变化，立即停止生产，并采取补救措施。</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9）加强废水、废气污染防治设施的运行管理和维护，确保设施正常运行，并配备足够的备件、药剂；建立严格的操作规程，加强操作管理，防止错误操作引起的超标排放。恶臭治理活性炭吸附效果下降时，及时更换活性炭。</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（10）严格落实固体废物污染防治措施，不得擅自倾倒、堆放、丢弃、遗撒固体废物。</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11）制定环境风险应急预案，明确风险管理应急组织机构组成及其职责实施事故应急处理分级责任制，落实责任人，并建立应对事故的机制和措施；定期进行应急预案演练，对于应急演练中发现的不完善之处，及时进行改进。</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（11）做好事故的应急支援与保障工作；针对环境污染事故的影响特点，建立完善的后期处理机制，妥善安排，降低事故发生时的影响范围，防止次生/伴生事故发生。</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outlineLvl w:val="0"/>
        <w:rPr>
          <w:rFonts w:hint="default" w:ascii="Times New Roman" w:hAnsi="Times New Roman" w:eastAsia="宋体" w:cs="Times New Roman"/>
          <w:color w:val="auto"/>
          <w:sz w:val="24"/>
          <w:szCs w:val="24"/>
        </w:rPr>
      </w:pPr>
      <w:bookmarkStart w:id="458" w:name="_Toc10688"/>
      <w:bookmarkStart w:id="459" w:name="_Toc21080"/>
      <w:bookmarkStart w:id="460" w:name="_Toc18310"/>
      <w:bookmarkStart w:id="461" w:name="_Toc25694"/>
      <w:r>
        <w:rPr>
          <w:rFonts w:hint="default" w:ascii="Times New Roman" w:hAnsi="Times New Roman" w:eastAsia="宋体" w:cs="Times New Roman"/>
          <w:color w:val="auto"/>
          <w:kern w:val="0"/>
          <w:sz w:val="24"/>
          <w:szCs w:val="24"/>
          <w:lang w:val="en-US" w:eastAsia="zh-CN" w:bidi="ar"/>
        </w:rPr>
        <w:t>2、应急处置措施</w:t>
      </w:r>
      <w:bookmarkEnd w:id="458"/>
      <w:bookmarkEnd w:id="459"/>
      <w:bookmarkEnd w:id="460"/>
      <w:bookmarkEnd w:id="461"/>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magenta"/>
        </w:rPr>
      </w:pPr>
      <w:r>
        <w:rPr>
          <w:rFonts w:hint="default" w:ascii="Times New Roman" w:hAnsi="Times New Roman" w:eastAsia="宋体" w:cs="Times New Roman"/>
          <w:color w:val="auto"/>
          <w:kern w:val="0"/>
          <w:sz w:val="24"/>
          <w:szCs w:val="24"/>
          <w:lang w:val="en-US" w:eastAsia="zh-CN" w:bidi="ar"/>
        </w:rPr>
        <w:t>（1）柴油</w:t>
      </w:r>
      <w:r>
        <w:rPr>
          <w:rFonts w:hint="eastAsia" w:ascii="Times New Roman" w:hAnsi="Times New Roman" w:eastAsia="宋体" w:cs="Times New Roman"/>
          <w:color w:val="auto"/>
          <w:kern w:val="0"/>
          <w:sz w:val="24"/>
          <w:szCs w:val="24"/>
          <w:lang w:val="en-US" w:eastAsia="zh-CN" w:bidi="ar"/>
        </w:rPr>
        <w:t>储罐</w:t>
      </w:r>
      <w:r>
        <w:rPr>
          <w:rFonts w:hint="eastAsia" w:ascii="Times New Roman" w:hAnsi="Times New Roman" w:eastAsia="宋体" w:cs="Times New Roman"/>
          <w:color w:val="auto"/>
          <w:kern w:val="0"/>
          <w:sz w:val="24"/>
          <w:szCs w:val="24"/>
          <w:highlight w:val="none"/>
          <w:lang w:val="en-US" w:eastAsia="zh-CN" w:bidi="ar"/>
        </w:rPr>
        <w:t>周边设置围堰，</w:t>
      </w:r>
      <w:r>
        <w:rPr>
          <w:rFonts w:hint="default" w:ascii="Times New Roman" w:hAnsi="Times New Roman" w:eastAsia="宋体" w:cs="Times New Roman"/>
          <w:color w:val="auto"/>
          <w:kern w:val="0"/>
          <w:sz w:val="24"/>
          <w:szCs w:val="24"/>
          <w:lang w:val="en-US" w:eastAsia="zh-CN" w:bidi="ar"/>
        </w:rPr>
        <w:t>的储存、使用、运输过程发生泄漏，应立即进行回收、清理。对泄漏的</w:t>
      </w:r>
      <w:r>
        <w:rPr>
          <w:rFonts w:hint="default" w:ascii="Times New Roman" w:hAnsi="Times New Roman" w:cs="Times New Roman"/>
          <w:color w:val="auto"/>
          <w:kern w:val="0"/>
          <w:sz w:val="24"/>
          <w:szCs w:val="24"/>
          <w:lang w:val="en-US" w:eastAsia="zh-CN" w:bidi="ar"/>
        </w:rPr>
        <w:t>次</w:t>
      </w:r>
      <w:r>
        <w:rPr>
          <w:rFonts w:hint="default" w:ascii="Times New Roman" w:hAnsi="Times New Roman" w:eastAsia="宋体" w:cs="Times New Roman"/>
          <w:color w:val="auto"/>
          <w:kern w:val="0"/>
          <w:sz w:val="24"/>
          <w:szCs w:val="24"/>
          <w:lang w:val="en-US" w:eastAsia="zh-CN" w:bidi="ar"/>
        </w:rPr>
        <w:t>氯酸钠，可采用不燃材料混合吸收；</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2）一旦发生火灾事故，灾情轻、完全可以控制的，当事人应马上进行扑救。一旦火灾有蔓延的苗头，不能控制时，要及时切断电源，拨打火警电话119通知消防人员灭火。消防废水应导入事故池，构筑临时围堤，将消防废水控制在厂区内。</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bCs/>
          <w:color w:val="auto"/>
          <w:kern w:val="0"/>
          <w:sz w:val="24"/>
          <w:szCs w:val="24"/>
          <w:lang w:val="zh-CN" w:eastAsia="zh-CN" w:bidi="ar"/>
        </w:rPr>
      </w:pPr>
      <w:r>
        <w:rPr>
          <w:rFonts w:hint="default" w:ascii="Times New Roman" w:hAnsi="Times New Roman" w:eastAsia="宋体" w:cs="Times New Roman"/>
          <w:color w:val="auto"/>
          <w:kern w:val="0"/>
          <w:sz w:val="24"/>
          <w:szCs w:val="24"/>
          <w:lang w:val="en-US" w:eastAsia="zh-CN" w:bidi="ar"/>
        </w:rPr>
        <w:t>（3）污水处理装置、恶臭收集治理系统发生故障时，应立即组织抢修改、及时恢复装置正常运行。对于废水，当不能达标排放时，废水先排入事故池，待污水处理站运行正常后分批返回处理达到排放标准再排放，必要时停止生产。</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环境风险事故主要为污水泄漏风险、化学品泄漏风险、柴油储罐泄露风险，建设单位运营过程中应从多方面积极采取防护措施，制订环境突发事故应急预案，一旦突发环境风险事故，立即按应急预案提到的紧急处理、救援、监测方案等进行紧急救援，项目可以有效的防范风险事故发生或对事故的发生进行有效处置，项目发生的环境风险可以控制在较低水平。</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lang w:eastAsia="zh-CN"/>
        </w:rPr>
      </w:pPr>
      <w:r>
        <w:rPr>
          <w:rFonts w:hint="default" w:ascii="Times New Roman" w:hAnsi="Times New Roman" w:eastAsia="宋体" w:cs="Times New Roman"/>
          <w:color w:val="auto"/>
          <w:kern w:val="0"/>
          <w:sz w:val="24"/>
          <w:szCs w:val="24"/>
          <w:lang w:val="en-US" w:eastAsia="zh-CN" w:bidi="ar"/>
        </w:rPr>
        <w:t>综上所述，建设项目的事故风险处于可接受水平。本工程建设从环境风险角度分析是可行的。</w:t>
      </w:r>
    </w:p>
    <w:p>
      <w:pPr>
        <w:widowControl w:val="0"/>
        <w:kinsoku/>
        <w:autoSpaceDE/>
        <w:autoSpaceDN/>
        <w:adjustRightInd/>
        <w:snapToGrid/>
        <w:spacing w:line="360" w:lineRule="auto"/>
        <w:jc w:val="left"/>
        <w:textAlignment w:val="auto"/>
        <w:outlineLvl w:val="1"/>
        <w:rPr>
          <w:rFonts w:hint="default" w:ascii="Times New Roman" w:hAnsi="Times New Roman" w:eastAsia="宋体" w:cs="Times New Roman"/>
          <w:sz w:val="24"/>
          <w:szCs w:val="24"/>
        </w:rPr>
      </w:pPr>
      <w:bookmarkStart w:id="462" w:name="_Toc21318"/>
      <w:r>
        <w:rPr>
          <w:rFonts w:hint="default" w:ascii="Times New Roman" w:hAnsi="Times New Roman" w:eastAsia="宋体" w:cs="Times New Roman"/>
          <w:b/>
          <w:bCs/>
          <w:snapToGrid/>
          <w:color w:val="auto"/>
          <w:kern w:val="44"/>
          <w:sz w:val="30"/>
          <w:szCs w:val="30"/>
          <w:lang w:eastAsia="zh-CN"/>
        </w:rPr>
        <w:t>6.4 环保投资及主要环保设施</w:t>
      </w:r>
      <w:bookmarkEnd w:id="462"/>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jc w:val="both"/>
        <w:textAlignment w:val="baseline"/>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rPr>
        <w:t>环保投资比按下式计算：</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center"/>
        <w:textAlignment w:val="baseline"/>
        <w:rPr>
          <w:rFonts w:hint="default" w:ascii="Times New Roman" w:hAnsi="Times New Roman" w:cs="Times New Roman"/>
          <w:snapToGrid w:val="0"/>
          <w:color w:val="auto"/>
          <w:kern w:val="0"/>
          <w:sz w:val="24"/>
        </w:rPr>
      </w:pPr>
      <w:r>
        <w:rPr>
          <w:rFonts w:hint="default" w:ascii="Times New Roman" w:hAnsi="Times New Roman" w:cs="Times New Roman"/>
          <w:color w:val="auto"/>
          <w:kern w:val="0"/>
          <w:sz w:val="24"/>
        </w:rPr>
        <w:drawing>
          <wp:inline distT="0" distB="0" distL="0" distR="0">
            <wp:extent cx="1132840" cy="409575"/>
            <wp:effectExtent l="0" t="0" r="10160" b="8890"/>
            <wp:docPr id="2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1"/>
                    <pic:cNvPicPr>
                      <a:picLocks noChangeAspect="1" noChangeArrowheads="1"/>
                    </pic:cNvPicPr>
                  </pic:nvPicPr>
                  <pic:blipFill>
                    <a:blip r:embed="rId79" cstate="print"/>
                    <a:srcRect/>
                    <a:stretch>
                      <a:fillRect/>
                    </a:stretch>
                  </pic:blipFill>
                  <pic:spPr>
                    <a:xfrm>
                      <a:off x="0" y="0"/>
                      <a:ext cx="1132840" cy="409575"/>
                    </a:xfrm>
                    <a:prstGeom prst="rect">
                      <a:avLst/>
                    </a:prstGeom>
                    <a:noFill/>
                    <a:ln w="9525">
                      <a:noFill/>
                      <a:miter lim="800000"/>
                      <a:headEnd/>
                      <a:tailEnd/>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rPr>
        <w:t>式中：</w:t>
      </w:r>
      <w:r>
        <w:rPr>
          <w:rFonts w:hint="default" w:ascii="Times New Roman" w:hAnsi="Times New Roman" w:cs="Times New Roman"/>
          <w:i/>
          <w:snapToGrid w:val="0"/>
          <w:color w:val="auto"/>
          <w:kern w:val="0"/>
          <w:sz w:val="24"/>
        </w:rPr>
        <w:t>HJ</w:t>
      </w:r>
      <w:r>
        <w:rPr>
          <w:rFonts w:hint="default" w:ascii="Times New Roman" w:hAnsi="Times New Roman" w:cs="Times New Roman"/>
          <w:snapToGrid w:val="0"/>
          <w:color w:val="auto"/>
          <w:kern w:val="0"/>
          <w:sz w:val="24"/>
        </w:rPr>
        <w:t>—环保费用投资比，100％；</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snapToGrid w:val="0"/>
          <w:color w:val="auto"/>
          <w:kern w:val="0"/>
          <w:sz w:val="24"/>
        </w:rPr>
      </w:pPr>
      <w:r>
        <w:rPr>
          <w:rFonts w:hint="default" w:ascii="Times New Roman" w:hAnsi="Times New Roman" w:cs="Times New Roman"/>
          <w:i/>
          <w:snapToGrid w:val="0"/>
          <w:color w:val="auto"/>
          <w:kern w:val="0"/>
          <w:sz w:val="24"/>
        </w:rPr>
        <w:t>HT</w:t>
      </w:r>
      <w:r>
        <w:rPr>
          <w:rFonts w:hint="default" w:ascii="Times New Roman" w:hAnsi="Times New Roman" w:cs="Times New Roman"/>
          <w:snapToGrid w:val="0"/>
          <w:color w:val="auto"/>
          <w:kern w:val="0"/>
          <w:sz w:val="24"/>
        </w:rPr>
        <w:t>—环保投资，万元；</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snapToGrid w:val="0"/>
          <w:color w:val="auto"/>
          <w:kern w:val="0"/>
          <w:sz w:val="24"/>
        </w:rPr>
      </w:pPr>
      <w:r>
        <w:rPr>
          <w:rFonts w:hint="default" w:ascii="Times New Roman" w:hAnsi="Times New Roman" w:cs="Times New Roman"/>
          <w:i/>
          <w:snapToGrid w:val="0"/>
          <w:color w:val="auto"/>
          <w:kern w:val="0"/>
          <w:sz w:val="24"/>
        </w:rPr>
        <w:t>JI</w:t>
      </w:r>
      <w:r>
        <w:rPr>
          <w:rFonts w:hint="default" w:ascii="Times New Roman" w:hAnsi="Times New Roman" w:cs="Times New Roman"/>
          <w:snapToGrid w:val="0"/>
          <w:color w:val="auto"/>
          <w:kern w:val="0"/>
          <w:sz w:val="24"/>
        </w:rPr>
        <w:t>—项目总投资，万元。</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rPr>
        <w:t>根据工程分析和环境影响预测及评价结果，本项目产生的污水、固废、</w:t>
      </w:r>
      <w:r>
        <w:rPr>
          <w:rFonts w:hint="default" w:ascii="Times New Roman" w:hAnsi="Times New Roman" w:cs="Times New Roman"/>
          <w:snapToGrid w:val="0"/>
          <w:color w:val="auto"/>
          <w:kern w:val="0"/>
          <w:sz w:val="24"/>
          <w:lang w:val="en-US" w:eastAsia="zh-CN"/>
        </w:rPr>
        <w:t>废气</w:t>
      </w:r>
      <w:r>
        <w:rPr>
          <w:rFonts w:hint="default" w:ascii="Times New Roman" w:hAnsi="Times New Roman" w:cs="Times New Roman"/>
          <w:snapToGrid w:val="0"/>
          <w:color w:val="auto"/>
          <w:kern w:val="0"/>
          <w:sz w:val="24"/>
        </w:rPr>
        <w:t>、噪声等对周围环境将会产生一定的影响，因此，必须采取相应的环境保护措施加以控制，并保证相应环保投资的投入，以使项目建成后生产过程中产生的各类污染物对周围环境的影响降低到最小程度。根据初步估算，本项目的环保投资见表6-4-1。</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snapToGrid w:val="0"/>
          <w:color w:val="auto"/>
          <w:kern w:val="0"/>
        </w:rPr>
      </w:pPr>
      <w:bookmarkStart w:id="463" w:name="_Hlk480428871"/>
      <w:r>
        <w:rPr>
          <w:rFonts w:hint="default" w:ascii="Times New Roman" w:hAnsi="Times New Roman" w:cs="Times New Roman"/>
          <w:snapToGrid w:val="0"/>
          <w:color w:val="auto"/>
          <w:kern w:val="0"/>
          <w:sz w:val="24"/>
        </w:rPr>
        <w:t>本工程总投资为</w:t>
      </w:r>
      <w:r>
        <w:rPr>
          <w:rFonts w:hint="default" w:ascii="Times New Roman" w:hAnsi="Times New Roman" w:cs="Times New Roman"/>
          <w:snapToGrid w:val="0"/>
          <w:color w:val="auto"/>
          <w:kern w:val="0"/>
          <w:sz w:val="24"/>
          <w:lang w:val="en-US" w:eastAsia="zh-CN"/>
        </w:rPr>
        <w:t>12000</w:t>
      </w:r>
      <w:r>
        <w:rPr>
          <w:rFonts w:hint="default" w:ascii="Times New Roman" w:hAnsi="Times New Roman" w:cs="Times New Roman"/>
          <w:snapToGrid w:val="0"/>
          <w:color w:val="auto"/>
          <w:kern w:val="0"/>
          <w:sz w:val="24"/>
          <w:lang w:eastAsia="zh-CN"/>
        </w:rPr>
        <w:t>万</w:t>
      </w:r>
      <w:r>
        <w:rPr>
          <w:rFonts w:hint="default" w:ascii="Times New Roman" w:hAnsi="Times New Roman" w:cs="Times New Roman"/>
          <w:snapToGrid w:val="0"/>
          <w:color w:val="auto"/>
          <w:kern w:val="0"/>
          <w:sz w:val="24"/>
        </w:rPr>
        <w:t>元，环保投资估算</w:t>
      </w:r>
      <w:r>
        <w:rPr>
          <w:rFonts w:hint="default" w:ascii="Times New Roman" w:hAnsi="Times New Roman" w:cs="Times New Roman"/>
          <w:snapToGrid w:val="0"/>
          <w:color w:val="auto"/>
          <w:kern w:val="0"/>
          <w:sz w:val="24"/>
          <w:highlight w:val="none"/>
        </w:rPr>
        <w:t>为</w:t>
      </w:r>
      <w:r>
        <w:rPr>
          <w:rFonts w:hint="eastAsia" w:ascii="Times New Roman" w:hAnsi="Times New Roman" w:cs="Times New Roman"/>
          <w:snapToGrid w:val="0"/>
          <w:color w:val="auto"/>
          <w:kern w:val="0"/>
          <w:sz w:val="24"/>
          <w:highlight w:val="none"/>
          <w:lang w:val="en-US" w:eastAsia="zh-CN"/>
        </w:rPr>
        <w:t>200</w:t>
      </w:r>
      <w:r>
        <w:rPr>
          <w:rFonts w:hint="default" w:ascii="Times New Roman" w:hAnsi="Times New Roman" w:cs="Times New Roman"/>
          <w:snapToGrid w:val="0"/>
          <w:color w:val="auto"/>
          <w:kern w:val="0"/>
          <w:sz w:val="24"/>
          <w:highlight w:val="none"/>
        </w:rPr>
        <w:t>万元，占总投资的</w:t>
      </w:r>
      <w:r>
        <w:rPr>
          <w:rFonts w:hint="eastAsia" w:ascii="Times New Roman" w:hAnsi="Times New Roman" w:cs="Times New Roman"/>
          <w:snapToGrid w:val="0"/>
          <w:color w:val="auto"/>
          <w:kern w:val="0"/>
          <w:sz w:val="24"/>
          <w:highlight w:val="none"/>
          <w:lang w:val="en-US" w:eastAsia="zh-CN"/>
        </w:rPr>
        <w:t>2</w:t>
      </w:r>
      <w:r>
        <w:rPr>
          <w:rFonts w:hint="default" w:ascii="Times New Roman" w:hAnsi="Times New Roman" w:cs="Times New Roman"/>
          <w:snapToGrid w:val="0"/>
          <w:color w:val="auto"/>
          <w:kern w:val="0"/>
          <w:sz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snapToGrid w:val="0"/>
          <w:color w:val="auto"/>
          <w:kern w:val="0"/>
          <w:sz w:val="24"/>
          <w:lang w:val="zh-CN"/>
        </w:rPr>
      </w:pPr>
      <w:r>
        <w:rPr>
          <w:rFonts w:hint="default" w:ascii="Times New Roman" w:hAnsi="Times New Roman" w:cs="Times New Roman"/>
          <w:b/>
          <w:snapToGrid w:val="0"/>
          <w:color w:val="auto"/>
          <w:kern w:val="0"/>
          <w:sz w:val="24"/>
          <w:lang w:val="zh-CN"/>
        </w:rPr>
        <w:t>表6-4-1环保投资明细表</w:t>
      </w:r>
    </w:p>
    <w:tbl>
      <w:tblPr>
        <w:tblStyle w:val="24"/>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05"/>
        <w:gridCol w:w="6223"/>
        <w:gridCol w:w="14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0"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项目</w:t>
            </w:r>
          </w:p>
        </w:tc>
        <w:tc>
          <w:tcPr>
            <w:tcW w:w="3275"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治理设施内容</w:t>
            </w:r>
          </w:p>
        </w:tc>
        <w:tc>
          <w:tcPr>
            <w:tcW w:w="774"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金额（万元）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950"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废水治理</w:t>
            </w:r>
          </w:p>
        </w:tc>
        <w:tc>
          <w:tcPr>
            <w:tcW w:w="3275" w:type="pct"/>
            <w:shd w:val="clear" w:color="auto" w:fill="auto"/>
            <w:vAlign w:val="center"/>
          </w:tcPr>
          <w:p>
            <w:pPr>
              <w:spacing w:line="0" w:lineRule="atLeast"/>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cs="Times New Roman"/>
                <w:snapToGrid w:val="0"/>
                <w:color w:val="auto"/>
                <w:kern w:val="0"/>
                <w:sz w:val="21"/>
                <w:szCs w:val="21"/>
                <w:lang w:val="en-US" w:eastAsia="zh-CN"/>
              </w:rPr>
              <w:t>事故池</w:t>
            </w:r>
          </w:p>
        </w:tc>
        <w:tc>
          <w:tcPr>
            <w:tcW w:w="774" w:type="pct"/>
            <w:shd w:val="clear" w:color="auto" w:fill="auto"/>
            <w:vAlign w:val="center"/>
          </w:tcPr>
          <w:p>
            <w:pPr>
              <w:spacing w:line="0" w:lineRule="atLeast"/>
              <w:jc w:val="center"/>
              <w:rPr>
                <w:rFonts w:hint="default" w:ascii="Times New Roman" w:hAnsi="Times New Roman" w:eastAsia="宋体" w:cs="Times New Roman"/>
                <w:snapToGrid w:val="0"/>
                <w:color w:val="auto"/>
                <w:kern w:val="0"/>
                <w:sz w:val="21"/>
                <w:szCs w:val="21"/>
                <w:lang w:val="en-US" w:eastAsia="zh-CN"/>
              </w:rPr>
            </w:pPr>
            <w:r>
              <w:rPr>
                <w:rFonts w:hint="eastAsia" w:ascii="Times New Roman" w:hAnsi="Times New Roman" w:cs="Times New Roman"/>
                <w:snapToGrid w:val="0"/>
                <w:color w:val="auto"/>
                <w:kern w:val="0"/>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0"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防渗工程</w:t>
            </w:r>
          </w:p>
        </w:tc>
        <w:tc>
          <w:tcPr>
            <w:tcW w:w="3275" w:type="pct"/>
            <w:shd w:val="clear" w:color="auto" w:fill="auto"/>
            <w:vAlign w:val="center"/>
          </w:tcPr>
          <w:p>
            <w:pPr>
              <w:pStyle w:val="36"/>
              <w:rPr>
                <w:rFonts w:hint="default" w:ascii="Times New Roman" w:hAnsi="Times New Roman" w:cs="Times New Roman"/>
                <w:color w:val="auto"/>
                <w:sz w:val="21"/>
                <w:szCs w:val="21"/>
              </w:rPr>
            </w:pPr>
            <w:r>
              <w:rPr>
                <w:rFonts w:hint="default" w:ascii="Times New Roman" w:hAnsi="Times New Roman" w:eastAsia="宋体" w:cs="Times New Roman"/>
                <w:spacing w:val="9"/>
                <w:sz w:val="21"/>
                <w:szCs w:val="21"/>
              </w:rPr>
              <w:t>事故池、</w:t>
            </w:r>
            <w:r>
              <w:rPr>
                <w:rFonts w:hint="default" w:ascii="Times New Roman" w:hAnsi="Times New Roman" w:eastAsia="宋体" w:cs="Times New Roman"/>
                <w:spacing w:val="9"/>
                <w:sz w:val="21"/>
                <w:szCs w:val="21"/>
                <w:lang w:val="en-US" w:eastAsia="zh-CN"/>
              </w:rPr>
              <w:t>柴油储罐</w:t>
            </w:r>
            <w:r>
              <w:rPr>
                <w:rFonts w:hint="default" w:ascii="Times New Roman" w:hAnsi="Times New Roman" w:eastAsia="宋体" w:cs="Times New Roman"/>
                <w:spacing w:val="9"/>
                <w:sz w:val="21"/>
                <w:szCs w:val="21"/>
              </w:rPr>
              <w:t>等区</w:t>
            </w:r>
            <w:r>
              <w:rPr>
                <w:rFonts w:hint="default" w:ascii="Times New Roman" w:hAnsi="Times New Roman" w:eastAsia="宋体" w:cs="Times New Roman"/>
                <w:spacing w:val="7"/>
                <w:sz w:val="21"/>
                <w:szCs w:val="21"/>
              </w:rPr>
              <w:t>域</w:t>
            </w:r>
            <w:r>
              <w:rPr>
                <w:rFonts w:hint="default" w:ascii="Times New Roman" w:hAnsi="Times New Roman" w:eastAsia="宋体" w:cs="Times New Roman"/>
                <w:spacing w:val="7"/>
                <w:sz w:val="21"/>
                <w:szCs w:val="21"/>
                <w:lang w:val="en-US" w:eastAsia="zh-CN"/>
              </w:rPr>
              <w:t>分区</w:t>
            </w:r>
            <w:r>
              <w:rPr>
                <w:rFonts w:hint="default" w:ascii="Times New Roman" w:hAnsi="Times New Roman" w:eastAsia="宋体" w:cs="Times New Roman"/>
                <w:spacing w:val="7"/>
                <w:sz w:val="21"/>
                <w:szCs w:val="21"/>
              </w:rPr>
              <w:t>防渗</w:t>
            </w:r>
          </w:p>
        </w:tc>
        <w:tc>
          <w:tcPr>
            <w:tcW w:w="774" w:type="pct"/>
            <w:shd w:val="clear" w:color="auto" w:fill="auto"/>
            <w:vAlign w:val="center"/>
          </w:tcPr>
          <w:p>
            <w:pPr>
              <w:spacing w:line="0" w:lineRule="atLeast"/>
              <w:jc w:val="center"/>
              <w:rPr>
                <w:rFonts w:hint="default" w:ascii="Times New Roman" w:hAnsi="Times New Roman" w:eastAsia="宋体" w:cs="Times New Roman"/>
                <w:snapToGrid w:val="0"/>
                <w:color w:val="auto"/>
                <w:kern w:val="0"/>
                <w:sz w:val="21"/>
                <w:szCs w:val="21"/>
                <w:lang w:val="en-US" w:eastAsia="zh-CN"/>
              </w:rPr>
            </w:pPr>
            <w:r>
              <w:rPr>
                <w:rFonts w:hint="eastAsia" w:ascii="Times New Roman" w:hAnsi="Times New Roman" w:eastAsia="宋体" w:cs="Times New Roman"/>
                <w:snapToGrid w:val="0"/>
                <w:color w:val="auto"/>
                <w:kern w:val="0"/>
                <w:sz w:val="21"/>
                <w:szCs w:val="21"/>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950"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废气治理</w:t>
            </w:r>
          </w:p>
        </w:tc>
        <w:tc>
          <w:tcPr>
            <w:tcW w:w="3275" w:type="pct"/>
            <w:shd w:val="clear" w:color="auto" w:fill="auto"/>
            <w:vAlign w:val="center"/>
          </w:tcPr>
          <w:p>
            <w:pPr>
              <w:spacing w:line="0" w:lineRule="atLeast"/>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cs="Times New Roman"/>
                <w:snapToGrid w:val="0"/>
                <w:color w:val="auto"/>
                <w:kern w:val="0"/>
                <w:sz w:val="21"/>
                <w:szCs w:val="21"/>
                <w:lang w:val="zh-CN"/>
              </w:rPr>
              <w:t>活性炭吸附装置3台、15m高排气筒</w:t>
            </w:r>
            <w:r>
              <w:rPr>
                <w:rFonts w:hint="eastAsia" w:ascii="Times New Roman" w:hAnsi="Times New Roman" w:eastAsia="宋体" w:cs="Times New Roman"/>
                <w:snapToGrid w:val="0"/>
                <w:color w:val="auto"/>
                <w:kern w:val="0"/>
                <w:sz w:val="21"/>
                <w:szCs w:val="21"/>
                <w:highlight w:val="none"/>
                <w:lang w:val="en-US" w:eastAsia="zh-CN"/>
              </w:rPr>
              <w:t>3</w:t>
            </w:r>
            <w:r>
              <w:rPr>
                <w:rFonts w:hint="default" w:ascii="Times New Roman" w:hAnsi="Times New Roman" w:cs="Times New Roman"/>
                <w:snapToGrid w:val="0"/>
                <w:color w:val="auto"/>
                <w:kern w:val="0"/>
                <w:sz w:val="21"/>
                <w:szCs w:val="21"/>
                <w:highlight w:val="none"/>
                <w:lang w:val="zh-CN"/>
              </w:rPr>
              <w:t>根、除臭剂</w:t>
            </w:r>
            <w:r>
              <w:rPr>
                <w:rFonts w:hint="default" w:ascii="Times New Roman" w:hAnsi="Times New Roman" w:cs="Times New Roman"/>
                <w:snapToGrid w:val="0"/>
                <w:color w:val="auto"/>
                <w:kern w:val="0"/>
                <w:sz w:val="21"/>
                <w:szCs w:val="21"/>
                <w:lang w:val="zh-CN"/>
              </w:rPr>
              <w:t>、</w:t>
            </w:r>
            <w:r>
              <w:rPr>
                <w:rFonts w:hint="default" w:ascii="Times New Roman" w:hAnsi="Times New Roman" w:cs="Times New Roman"/>
                <w:snapToGrid w:val="0"/>
                <w:color w:val="auto"/>
                <w:kern w:val="0"/>
                <w:sz w:val="21"/>
                <w:szCs w:val="21"/>
                <w:lang w:val="en-US" w:eastAsia="zh-CN"/>
              </w:rPr>
              <w:t>12m高烟囱一根、低氮燃烧器一台、气相平衡管一套</w:t>
            </w:r>
          </w:p>
        </w:tc>
        <w:tc>
          <w:tcPr>
            <w:tcW w:w="774" w:type="pct"/>
            <w:shd w:val="clear" w:color="auto" w:fill="auto"/>
            <w:vAlign w:val="center"/>
          </w:tcPr>
          <w:p>
            <w:pPr>
              <w:spacing w:line="0" w:lineRule="atLeast"/>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cs="Times New Roman"/>
                <w:snapToGrid w:val="0"/>
                <w:color w:val="auto"/>
                <w:kern w:val="0"/>
                <w:sz w:val="21"/>
                <w:szCs w:val="21"/>
                <w:lang w:val="en-US" w:eastAsia="zh-CN"/>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0"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固废治理</w:t>
            </w:r>
          </w:p>
        </w:tc>
        <w:tc>
          <w:tcPr>
            <w:tcW w:w="3275" w:type="pct"/>
            <w:shd w:val="clear" w:color="auto" w:fill="auto"/>
            <w:vAlign w:val="center"/>
          </w:tcPr>
          <w:p>
            <w:pPr>
              <w:spacing w:line="0" w:lineRule="atLeast"/>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分类收集、一般固废收集</w:t>
            </w:r>
          </w:p>
        </w:tc>
        <w:tc>
          <w:tcPr>
            <w:tcW w:w="774" w:type="pct"/>
            <w:shd w:val="clear" w:color="auto" w:fill="auto"/>
            <w:vAlign w:val="center"/>
          </w:tcPr>
          <w:p>
            <w:pPr>
              <w:spacing w:line="0" w:lineRule="atLeast"/>
              <w:jc w:val="center"/>
              <w:rPr>
                <w:rFonts w:hint="default" w:ascii="Times New Roman" w:hAnsi="Times New Roman" w:eastAsia="宋体" w:cs="Times New Roman"/>
                <w:snapToGrid w:val="0"/>
                <w:color w:val="auto"/>
                <w:kern w:val="0"/>
                <w:sz w:val="21"/>
                <w:szCs w:val="21"/>
                <w:lang w:val="en-US" w:eastAsia="zh-CN"/>
              </w:rPr>
            </w:pPr>
            <w:r>
              <w:rPr>
                <w:rFonts w:hint="eastAsia" w:ascii="Times New Roman" w:hAnsi="Times New Roman" w:eastAsia="宋体" w:cs="Times New Roman"/>
                <w:snapToGrid w:val="0"/>
                <w:color w:val="auto"/>
                <w:kern w:val="0"/>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0"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噪声治理</w:t>
            </w:r>
          </w:p>
        </w:tc>
        <w:tc>
          <w:tcPr>
            <w:tcW w:w="3275"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噪声设备减振措施</w:t>
            </w:r>
          </w:p>
        </w:tc>
        <w:tc>
          <w:tcPr>
            <w:tcW w:w="774" w:type="pct"/>
            <w:shd w:val="clear" w:color="auto" w:fill="auto"/>
            <w:vAlign w:val="center"/>
          </w:tcPr>
          <w:p>
            <w:pPr>
              <w:spacing w:line="0" w:lineRule="atLeast"/>
              <w:jc w:val="center"/>
              <w:rPr>
                <w:rFonts w:hint="default" w:ascii="Times New Roman" w:hAnsi="Times New Roman" w:eastAsia="宋体" w:cs="Times New Roman"/>
                <w:snapToGrid w:val="0"/>
                <w:color w:val="auto"/>
                <w:kern w:val="0"/>
                <w:sz w:val="21"/>
                <w:szCs w:val="21"/>
                <w:lang w:val="en-US" w:eastAsia="zh-CN"/>
              </w:rPr>
            </w:pPr>
            <w:r>
              <w:rPr>
                <w:rFonts w:hint="eastAsia" w:ascii="Times New Roman" w:hAnsi="Times New Roman" w:eastAsia="宋体" w:cs="Times New Roman"/>
                <w:snapToGrid w:val="0"/>
                <w:color w:val="auto"/>
                <w:kern w:val="0"/>
                <w:sz w:val="21"/>
                <w:szCs w:val="21"/>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0"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绿化工程</w:t>
            </w:r>
          </w:p>
        </w:tc>
        <w:tc>
          <w:tcPr>
            <w:tcW w:w="3275"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场内道路、场区内空地及</w:t>
            </w:r>
            <w:r>
              <w:rPr>
                <w:rFonts w:hint="default" w:ascii="Times New Roman" w:hAnsi="Times New Roman" w:cs="Times New Roman"/>
                <w:snapToGrid w:val="0"/>
                <w:color w:val="auto"/>
                <w:kern w:val="0"/>
                <w:sz w:val="21"/>
                <w:szCs w:val="21"/>
              </w:rPr>
              <w:t>厂界</w:t>
            </w:r>
            <w:r>
              <w:rPr>
                <w:rFonts w:hint="default" w:ascii="Times New Roman" w:hAnsi="Times New Roman" w:cs="Times New Roman"/>
                <w:snapToGrid w:val="0"/>
                <w:color w:val="auto"/>
                <w:kern w:val="0"/>
                <w:sz w:val="21"/>
                <w:szCs w:val="21"/>
                <w:lang w:val="zh-CN"/>
              </w:rPr>
              <w:t>植树种草</w:t>
            </w:r>
          </w:p>
        </w:tc>
        <w:tc>
          <w:tcPr>
            <w:tcW w:w="774"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950"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环境监测管理</w:t>
            </w:r>
          </w:p>
        </w:tc>
        <w:tc>
          <w:tcPr>
            <w:tcW w:w="3275" w:type="pct"/>
            <w:shd w:val="clear" w:color="auto" w:fill="auto"/>
            <w:vAlign w:val="center"/>
          </w:tcPr>
          <w:p>
            <w:pPr>
              <w:spacing w:line="0" w:lineRule="atLeast"/>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cs="Times New Roman"/>
                <w:snapToGrid w:val="0"/>
                <w:color w:val="auto"/>
                <w:kern w:val="0"/>
                <w:sz w:val="21"/>
                <w:szCs w:val="21"/>
                <w:lang w:val="zh-CN"/>
              </w:rPr>
              <w:t>地下水监测井及委托监测</w:t>
            </w:r>
            <w:r>
              <w:rPr>
                <w:rFonts w:hint="eastAsia" w:ascii="Times New Roman" w:hAnsi="Times New Roman" w:cs="Times New Roman"/>
                <w:snapToGrid w:val="0"/>
                <w:color w:val="auto"/>
                <w:kern w:val="0"/>
                <w:sz w:val="21"/>
                <w:szCs w:val="21"/>
                <w:lang w:val="zh-CN"/>
              </w:rPr>
              <w:t>、</w:t>
            </w:r>
            <w:r>
              <w:rPr>
                <w:rFonts w:hint="eastAsia" w:ascii="Times New Roman" w:hAnsi="Times New Roman" w:eastAsia="宋体" w:cs="Times New Roman"/>
                <w:snapToGrid w:val="0"/>
                <w:color w:val="auto"/>
                <w:kern w:val="0"/>
                <w:sz w:val="21"/>
                <w:szCs w:val="21"/>
                <w:lang w:val="en-US" w:eastAsia="zh-CN"/>
              </w:rPr>
              <w:t>在线监测设备</w:t>
            </w:r>
          </w:p>
        </w:tc>
        <w:tc>
          <w:tcPr>
            <w:tcW w:w="774" w:type="pct"/>
            <w:shd w:val="clear" w:color="auto" w:fill="auto"/>
            <w:vAlign w:val="center"/>
          </w:tcPr>
          <w:p>
            <w:pPr>
              <w:spacing w:line="0" w:lineRule="atLeast"/>
              <w:jc w:val="center"/>
              <w:rPr>
                <w:rFonts w:hint="default" w:ascii="Times New Roman" w:hAnsi="Times New Roman" w:eastAsia="宋体" w:cs="Times New Roman"/>
                <w:snapToGrid w:val="0"/>
                <w:color w:val="auto"/>
                <w:kern w:val="0"/>
                <w:sz w:val="21"/>
                <w:szCs w:val="21"/>
                <w:lang w:val="en-US" w:eastAsia="zh-CN"/>
              </w:rPr>
            </w:pPr>
            <w:r>
              <w:rPr>
                <w:rFonts w:hint="eastAsia" w:ascii="Times New Roman" w:hAnsi="Times New Roman" w:eastAsia="宋体" w:cs="Times New Roman"/>
                <w:snapToGrid w:val="0"/>
                <w:color w:val="auto"/>
                <w:kern w:val="0"/>
                <w:sz w:val="21"/>
                <w:szCs w:val="21"/>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0"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风险</w:t>
            </w:r>
          </w:p>
        </w:tc>
        <w:tc>
          <w:tcPr>
            <w:tcW w:w="3275"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sz w:val="21"/>
                <w:szCs w:val="21"/>
              </w:rPr>
              <w:t>编制突发环境事件应急预案</w:t>
            </w:r>
          </w:p>
        </w:tc>
        <w:tc>
          <w:tcPr>
            <w:tcW w:w="774" w:type="pct"/>
            <w:shd w:val="clear" w:color="auto" w:fill="auto"/>
            <w:vAlign w:val="center"/>
          </w:tcPr>
          <w:p>
            <w:pPr>
              <w:spacing w:line="0" w:lineRule="atLeast"/>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950"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环保设施运行维护维修费用</w:t>
            </w:r>
          </w:p>
        </w:tc>
        <w:tc>
          <w:tcPr>
            <w:tcW w:w="3275"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运行期各环保设施的运行维护维修费用</w:t>
            </w:r>
          </w:p>
        </w:tc>
        <w:tc>
          <w:tcPr>
            <w:tcW w:w="774" w:type="pct"/>
            <w:shd w:val="clear" w:color="auto" w:fill="auto"/>
            <w:vAlign w:val="center"/>
          </w:tcPr>
          <w:p>
            <w:pPr>
              <w:spacing w:line="0" w:lineRule="atLeast"/>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cs="Times New Roman"/>
                <w:snapToGrid w:val="0"/>
                <w:color w:val="auto"/>
                <w:kern w:val="0"/>
                <w:sz w:val="21"/>
                <w:szCs w:val="21"/>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0"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合计</w:t>
            </w:r>
          </w:p>
        </w:tc>
        <w:tc>
          <w:tcPr>
            <w:tcW w:w="3275" w:type="pct"/>
            <w:shd w:val="clear" w:color="auto" w:fill="auto"/>
            <w:vAlign w:val="center"/>
          </w:tcPr>
          <w:p>
            <w:pPr>
              <w:spacing w:line="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snapToGrid w:val="0"/>
                <w:color w:val="auto"/>
                <w:kern w:val="0"/>
                <w:sz w:val="21"/>
                <w:szCs w:val="21"/>
                <w:lang w:val="zh-CN"/>
              </w:rPr>
              <w:t>/</w:t>
            </w:r>
          </w:p>
        </w:tc>
        <w:tc>
          <w:tcPr>
            <w:tcW w:w="774" w:type="pct"/>
            <w:shd w:val="clear" w:color="auto" w:fill="auto"/>
            <w:vAlign w:val="center"/>
          </w:tcPr>
          <w:p>
            <w:pPr>
              <w:spacing w:line="0" w:lineRule="atLeast"/>
              <w:jc w:val="center"/>
              <w:rPr>
                <w:rFonts w:hint="default" w:ascii="Times New Roman" w:hAnsi="Times New Roman" w:eastAsia="宋体" w:cs="Times New Roman"/>
                <w:snapToGrid w:val="0"/>
                <w:color w:val="auto"/>
                <w:kern w:val="0"/>
                <w:sz w:val="21"/>
                <w:szCs w:val="21"/>
                <w:lang w:val="en-US" w:eastAsia="zh-CN"/>
              </w:rPr>
            </w:pPr>
            <w:r>
              <w:rPr>
                <w:rFonts w:hint="eastAsia" w:ascii="Times New Roman" w:hAnsi="Times New Roman" w:eastAsia="宋体" w:cs="Times New Roman"/>
                <w:snapToGrid w:val="0"/>
                <w:color w:val="auto"/>
                <w:kern w:val="0"/>
                <w:sz w:val="21"/>
                <w:szCs w:val="21"/>
                <w:lang w:val="en-US" w:eastAsia="zh-CN"/>
              </w:rPr>
              <w:t>200</w:t>
            </w:r>
          </w:p>
        </w:tc>
      </w:tr>
      <w:bookmarkEnd w:id="463"/>
    </w:tbl>
    <w:p>
      <w:pPr>
        <w:pStyle w:val="29"/>
        <w:rPr>
          <w:rFonts w:hint="default" w:ascii="Times New Roman" w:hAnsi="Times New Roman" w:cs="Times New Roman"/>
        </w:rPr>
        <w:sectPr>
          <w:headerReference r:id="rId21" w:type="default"/>
          <w:pgSz w:w="11906" w:h="16839"/>
          <w:pgMar w:top="1259" w:right="1308" w:bottom="1037" w:left="1307" w:header="1019" w:footer="872" w:gutter="0"/>
          <w:pgBorders>
            <w:top w:val="none" w:sz="0" w:space="0"/>
            <w:left w:val="none" w:sz="0" w:space="0"/>
            <w:bottom w:val="none" w:sz="0" w:space="0"/>
            <w:right w:val="none" w:sz="0" w:space="0"/>
          </w:pgBorders>
          <w:pgNumType w:fmt="decimal"/>
          <w:cols w:space="720" w:num="1"/>
        </w:sectPr>
      </w:pPr>
    </w:p>
    <w:p>
      <w:pPr>
        <w:pStyle w:val="6"/>
        <w:spacing w:line="242" w:lineRule="auto"/>
        <w:rPr>
          <w:rFonts w:hint="default" w:ascii="Times New Roman" w:hAnsi="Times New Roman" w:cs="Times New Roman"/>
        </w:rPr>
      </w:pPr>
    </w:p>
    <w:p>
      <w:pPr>
        <w:pStyle w:val="6"/>
        <w:spacing w:line="243" w:lineRule="auto"/>
        <w:rPr>
          <w:rFonts w:hint="default" w:ascii="Times New Roman" w:hAnsi="Times New Roman" w:cs="Times New Roman"/>
        </w:rPr>
      </w:pPr>
    </w:p>
    <w:p>
      <w:pPr>
        <w:widowControl/>
        <w:tabs>
          <w:tab w:val="left" w:leader="middleDot" w:pos="7371"/>
        </w:tabs>
        <w:kinsoku/>
        <w:autoSpaceDE/>
        <w:autoSpaceDN/>
        <w:adjustRightInd/>
        <w:snapToGrid/>
        <w:spacing w:line="360" w:lineRule="auto"/>
        <w:contextualSpacing/>
        <w:jc w:val="left"/>
        <w:textAlignment w:val="auto"/>
        <w:outlineLvl w:val="0"/>
        <w:rPr>
          <w:rFonts w:hint="default" w:ascii="Times New Roman" w:hAnsi="Times New Roman" w:eastAsia="宋体" w:cs="Times New Roman"/>
          <w:b/>
          <w:snapToGrid/>
          <w:color w:val="auto"/>
          <w:kern w:val="0"/>
          <w:sz w:val="32"/>
          <w:szCs w:val="32"/>
          <w:lang w:eastAsia="zh-CN"/>
        </w:rPr>
      </w:pPr>
      <w:bookmarkStart w:id="464" w:name="_Toc23874"/>
      <w:r>
        <w:rPr>
          <w:rFonts w:hint="default" w:ascii="Times New Roman" w:hAnsi="Times New Roman" w:eastAsia="宋体" w:cs="Times New Roman"/>
          <w:b/>
          <w:snapToGrid/>
          <w:color w:val="auto"/>
          <w:kern w:val="0"/>
          <w:sz w:val="32"/>
          <w:szCs w:val="32"/>
          <w:lang w:eastAsia="zh-CN"/>
        </w:rPr>
        <w:t>7  环境影响经济损益分析</w:t>
      </w:r>
      <w:bookmarkEnd w:id="464"/>
    </w:p>
    <w:p>
      <w:pPr>
        <w:widowControl w:val="0"/>
        <w:kinsoku/>
        <w:autoSpaceDE/>
        <w:autoSpaceDN/>
        <w:adjustRightInd/>
        <w:snapToGrid/>
        <w:spacing w:line="360" w:lineRule="auto"/>
        <w:contextualSpacing/>
        <w:jc w:val="left"/>
        <w:textAlignment w:val="auto"/>
        <w:outlineLvl w:val="1"/>
        <w:rPr>
          <w:rFonts w:hint="default" w:ascii="Times New Roman" w:hAnsi="Times New Roman" w:eastAsia="宋体" w:cs="Times New Roman"/>
          <w:b/>
          <w:bCs/>
          <w:snapToGrid/>
          <w:color w:val="auto"/>
          <w:kern w:val="44"/>
          <w:sz w:val="30"/>
          <w:szCs w:val="30"/>
          <w:lang w:eastAsia="zh-CN"/>
        </w:rPr>
      </w:pPr>
      <w:bookmarkStart w:id="465" w:name="_Toc166"/>
      <w:r>
        <w:rPr>
          <w:rFonts w:hint="default" w:ascii="Times New Roman" w:hAnsi="Times New Roman" w:eastAsia="宋体" w:cs="Times New Roman"/>
          <w:b/>
          <w:bCs/>
          <w:snapToGrid/>
          <w:color w:val="auto"/>
          <w:kern w:val="44"/>
          <w:sz w:val="30"/>
          <w:szCs w:val="30"/>
          <w:lang w:eastAsia="zh-CN"/>
        </w:rPr>
        <w:t>7. 1 环境经济效益分析</w:t>
      </w:r>
      <w:bookmarkEnd w:id="465"/>
    </w:p>
    <w:p>
      <w:pPr>
        <w:spacing w:line="360" w:lineRule="auto"/>
        <w:ind w:firstLine="480" w:firstLineChars="200"/>
        <w:contextualSpacing/>
        <w:rPr>
          <w:rFonts w:hint="default" w:ascii="Times New Roman" w:hAnsi="Times New Roman" w:cs="Times New Roman"/>
          <w:color w:val="auto"/>
          <w:sz w:val="24"/>
          <w:highlight w:val="none"/>
        </w:rPr>
      </w:pPr>
      <w:r>
        <w:rPr>
          <w:rFonts w:hint="default" w:ascii="Times New Roman" w:hAnsi="Times New Roman" w:cs="Times New Roman"/>
          <w:color w:val="auto"/>
          <w:sz w:val="24"/>
        </w:rPr>
        <w:t>本项目的实施不仅能促进周边地区养殖业的发展，而且还将促进相关辅助产业的发展。如促进养殖、饲料加工、包装材料、物资流通等方面的发展，同时还可解决剩余劳动力和下岗职</w:t>
      </w:r>
      <w:r>
        <w:rPr>
          <w:rFonts w:hint="default" w:ascii="Times New Roman" w:hAnsi="Times New Roman" w:cs="Times New Roman"/>
          <w:color w:val="auto"/>
          <w:sz w:val="24"/>
          <w:highlight w:val="none"/>
        </w:rPr>
        <w:t>工的再就业问题。对促进</w:t>
      </w:r>
      <w:r>
        <w:rPr>
          <w:rFonts w:hint="eastAsia" w:ascii="Times New Roman" w:hAnsi="Times New Roman" w:cs="Times New Roman"/>
          <w:color w:val="auto"/>
          <w:sz w:val="24"/>
          <w:highlight w:val="none"/>
          <w:lang w:val="en-US" w:eastAsia="zh-CN"/>
        </w:rPr>
        <w:t>巴彦县</w:t>
      </w:r>
      <w:r>
        <w:rPr>
          <w:rFonts w:hint="default" w:ascii="Times New Roman" w:hAnsi="Times New Roman" w:cs="Times New Roman"/>
          <w:color w:val="auto"/>
          <w:sz w:val="24"/>
          <w:highlight w:val="none"/>
        </w:rPr>
        <w:t>的经济发展和稳定社会秩序具有重要意义。</w:t>
      </w:r>
    </w:p>
    <w:p>
      <w:pPr>
        <w:spacing w:line="360" w:lineRule="auto"/>
        <w:ind w:firstLine="480" w:firstLineChars="200"/>
        <w:contextualSpacing/>
        <w:rPr>
          <w:rFonts w:hint="default" w:ascii="Times New Roman" w:hAnsi="Times New Roman" w:eastAsia="宋体" w:cs="Times New Roman"/>
          <w:sz w:val="24"/>
          <w:szCs w:val="24"/>
        </w:rPr>
      </w:pPr>
      <w:r>
        <w:rPr>
          <w:rFonts w:hint="default" w:ascii="Times New Roman" w:hAnsi="Times New Roman" w:cs="Times New Roman"/>
          <w:color w:val="auto"/>
          <w:sz w:val="24"/>
          <w:highlight w:val="none"/>
        </w:rPr>
        <w:t>本项目利用当地资源进行加工，减少了运输成本，提高了原料质量，产品将进一步占领</w:t>
      </w:r>
      <w:r>
        <w:rPr>
          <w:rFonts w:hint="eastAsia" w:ascii="Times New Roman" w:hAnsi="Times New Roman" w:cs="Times New Roman"/>
          <w:color w:val="auto"/>
          <w:sz w:val="24"/>
          <w:highlight w:val="none"/>
          <w:lang w:val="en-US" w:eastAsia="zh-CN"/>
        </w:rPr>
        <w:t>巴彦县</w:t>
      </w:r>
      <w:r>
        <w:rPr>
          <w:rFonts w:hint="default" w:ascii="Times New Roman" w:hAnsi="Times New Roman" w:cs="Times New Roman"/>
          <w:color w:val="auto"/>
          <w:sz w:val="24"/>
          <w:highlight w:val="none"/>
        </w:rPr>
        <w:t>等</w:t>
      </w:r>
      <w:r>
        <w:rPr>
          <w:rFonts w:hint="default" w:ascii="Times New Roman" w:hAnsi="Times New Roman" w:cs="Times New Roman"/>
          <w:color w:val="auto"/>
          <w:sz w:val="24"/>
        </w:rPr>
        <w:t>地市场，扩大了产品的覆盖面。该项目的实施后，其经济效益和社会效益都十分显著。因此，本项目的建设实施是非常必要。</w:t>
      </w:r>
    </w:p>
    <w:p>
      <w:pPr>
        <w:pageBreakBefore w:val="0"/>
        <w:widowControl w:val="0"/>
        <w:kinsoku/>
        <w:wordWrap/>
        <w:overflowPunct/>
        <w:topLinePunct w:val="0"/>
        <w:autoSpaceDE/>
        <w:autoSpaceDN/>
        <w:bidi w:val="0"/>
        <w:adjustRightInd/>
        <w:snapToGrid/>
        <w:spacing w:line="360" w:lineRule="auto"/>
        <w:contextualSpacing/>
        <w:jc w:val="both"/>
        <w:textAlignment w:val="auto"/>
        <w:outlineLvl w:val="1"/>
        <w:rPr>
          <w:rFonts w:hint="default" w:ascii="Times New Roman" w:hAnsi="Times New Roman" w:eastAsia="宋体" w:cs="Times New Roman"/>
          <w:b/>
          <w:bCs/>
          <w:snapToGrid/>
          <w:color w:val="auto"/>
          <w:kern w:val="44"/>
          <w:sz w:val="30"/>
          <w:szCs w:val="30"/>
          <w:lang w:eastAsia="zh-CN"/>
        </w:rPr>
      </w:pPr>
      <w:bookmarkStart w:id="466" w:name="_Toc16931"/>
      <w:r>
        <w:rPr>
          <w:rFonts w:hint="default" w:ascii="Times New Roman" w:hAnsi="Times New Roman" w:eastAsia="宋体" w:cs="Times New Roman"/>
          <w:b/>
          <w:bCs/>
          <w:snapToGrid/>
          <w:color w:val="auto"/>
          <w:kern w:val="44"/>
          <w:sz w:val="30"/>
          <w:szCs w:val="30"/>
          <w:lang w:eastAsia="zh-CN"/>
        </w:rPr>
        <w:t xml:space="preserve">7.2 </w:t>
      </w:r>
      <w:r>
        <w:rPr>
          <w:rFonts w:hint="default" w:ascii="Times New Roman" w:hAnsi="Times New Roman" w:cs="Times New Roman"/>
          <w:b/>
          <w:bCs/>
          <w:color w:val="auto"/>
          <w:kern w:val="44"/>
          <w:sz w:val="30"/>
          <w:szCs w:val="30"/>
        </w:rPr>
        <w:t>经济效益分析</w:t>
      </w:r>
      <w:bookmarkEnd w:id="466"/>
    </w:p>
    <w:p>
      <w:pPr>
        <w:pStyle w:val="45"/>
        <w:pageBreakBefore w:val="0"/>
        <w:wordWrap/>
        <w:overflowPunct/>
        <w:topLinePunct w:val="0"/>
        <w:bidi w:val="0"/>
        <w:adjustRightInd/>
        <w:snapToGrid/>
        <w:spacing w:line="360" w:lineRule="auto"/>
        <w:contextualSpacing/>
        <w:jc w:val="both"/>
        <w:rPr>
          <w:rFonts w:hint="default" w:ascii="Times New Roman" w:hAnsi="Times New Roman" w:cs="Times New Roman"/>
        </w:rPr>
      </w:pPr>
      <w:r>
        <w:rPr>
          <w:rFonts w:hint="default" w:ascii="Times New Roman" w:hAnsi="Times New Roman" w:eastAsia="宋体" w:cs="Times New Roman"/>
          <w:color w:val="auto"/>
          <w:kern w:val="0"/>
          <w:sz w:val="24"/>
          <w:szCs w:val="24"/>
          <w:lang w:val="en-US" w:eastAsia="zh-CN" w:bidi="ar"/>
        </w:rPr>
        <w:t>本项目总投资12000万元，项目建成后，可拉动区域GDP增长，增加地方和国家财政收入，带动地方农牧业发展，促进地方经济发展，具有显著的经济效益。项目的落户，带动了周围地区交通运输业、第三产业等行业的发展。同时，项目的建设为吸引外来投资提供了一个良好的环保基础设施保障，改善了当地和周围地区的投资环境，有利于吸引外来投资。</w:t>
      </w:r>
    </w:p>
    <w:p>
      <w:pPr>
        <w:pageBreakBefore w:val="0"/>
        <w:widowControl w:val="0"/>
        <w:kinsoku/>
        <w:wordWrap/>
        <w:overflowPunct/>
        <w:topLinePunct w:val="0"/>
        <w:autoSpaceDE/>
        <w:autoSpaceDN/>
        <w:bidi w:val="0"/>
        <w:adjustRightInd/>
        <w:snapToGrid/>
        <w:spacing w:line="360" w:lineRule="auto"/>
        <w:contextualSpacing/>
        <w:jc w:val="both"/>
        <w:textAlignment w:val="auto"/>
        <w:outlineLvl w:val="1"/>
        <w:rPr>
          <w:rFonts w:hint="default" w:ascii="Times New Roman" w:hAnsi="Times New Roman" w:eastAsia="宋体" w:cs="Times New Roman"/>
          <w:b/>
          <w:bCs/>
          <w:snapToGrid/>
          <w:color w:val="auto"/>
          <w:kern w:val="44"/>
          <w:sz w:val="30"/>
          <w:szCs w:val="30"/>
          <w:lang w:eastAsia="zh-CN"/>
        </w:rPr>
      </w:pPr>
      <w:bookmarkStart w:id="467" w:name="_Toc27557"/>
      <w:r>
        <w:rPr>
          <w:rFonts w:hint="default" w:ascii="Times New Roman" w:hAnsi="Times New Roman" w:eastAsia="宋体" w:cs="Times New Roman"/>
          <w:b/>
          <w:bCs/>
          <w:snapToGrid/>
          <w:color w:val="auto"/>
          <w:kern w:val="44"/>
          <w:sz w:val="30"/>
          <w:szCs w:val="30"/>
          <w:lang w:eastAsia="zh-CN"/>
        </w:rPr>
        <w:t>7.3 环境</w:t>
      </w:r>
      <w:r>
        <w:rPr>
          <w:rFonts w:hint="default" w:ascii="Times New Roman" w:hAnsi="Times New Roman" w:eastAsia="宋体" w:cs="Times New Roman"/>
          <w:b/>
          <w:bCs/>
          <w:snapToGrid/>
          <w:color w:val="auto"/>
          <w:kern w:val="44"/>
          <w:sz w:val="30"/>
          <w:szCs w:val="30"/>
          <w:lang w:val="en-US" w:eastAsia="zh-CN"/>
        </w:rPr>
        <w:t>效益</w:t>
      </w:r>
      <w:r>
        <w:rPr>
          <w:rFonts w:hint="default" w:ascii="Times New Roman" w:hAnsi="Times New Roman" w:eastAsia="宋体" w:cs="Times New Roman"/>
          <w:b/>
          <w:bCs/>
          <w:snapToGrid/>
          <w:color w:val="auto"/>
          <w:kern w:val="44"/>
          <w:sz w:val="30"/>
          <w:szCs w:val="30"/>
          <w:lang w:eastAsia="zh-CN"/>
        </w:rPr>
        <w:t>分析</w:t>
      </w:r>
      <w:bookmarkEnd w:id="467"/>
    </w:p>
    <w:p>
      <w:pPr>
        <w:pStyle w:val="11"/>
        <w:pageBreakBefore w:val="0"/>
        <w:widowControl w:val="0"/>
        <w:numPr>
          <w:ilvl w:val="2"/>
          <w:numId w:val="0"/>
        </w:numPr>
        <w:kinsoku/>
        <w:wordWrap/>
        <w:overflowPunct/>
        <w:topLinePunct w:val="0"/>
        <w:autoSpaceDE/>
        <w:autoSpaceDN/>
        <w:bidi w:val="0"/>
        <w:adjustRightInd/>
        <w:snapToGrid/>
        <w:spacing w:before="0" w:after="0" w:line="360" w:lineRule="auto"/>
        <w:contextualSpacing/>
        <w:jc w:val="both"/>
        <w:textAlignment w:val="auto"/>
        <w:rPr>
          <w:rFonts w:hint="default" w:ascii="Times New Roman" w:hAnsi="Times New Roman" w:eastAsia="宋体" w:cs="Times New Roman"/>
          <w:b/>
          <w:bCs w:val="0"/>
          <w:snapToGrid/>
          <w:color w:val="auto"/>
          <w:kern w:val="2"/>
          <w:sz w:val="28"/>
          <w:szCs w:val="28"/>
          <w:lang w:eastAsia="zh-CN"/>
        </w:rPr>
      </w:pPr>
      <w:r>
        <w:rPr>
          <w:rFonts w:hint="default" w:ascii="Times New Roman" w:hAnsi="Times New Roman" w:eastAsia="宋体" w:cs="Times New Roman"/>
          <w:b/>
          <w:bCs w:val="0"/>
          <w:snapToGrid/>
          <w:color w:val="auto"/>
          <w:kern w:val="2"/>
          <w:sz w:val="28"/>
          <w:szCs w:val="28"/>
          <w:lang w:eastAsia="zh-CN"/>
        </w:rPr>
        <w:t xml:space="preserve">7.3.1 </w:t>
      </w:r>
      <w:r>
        <w:rPr>
          <w:rFonts w:hint="default" w:ascii="Times New Roman" w:hAnsi="Times New Roman" w:eastAsia="宋体" w:cs="Times New Roman"/>
          <w:b/>
          <w:bCs w:val="0"/>
          <w:snapToGrid/>
          <w:color w:val="auto"/>
          <w:kern w:val="2"/>
          <w:sz w:val="28"/>
          <w:szCs w:val="28"/>
          <w:lang w:val="en-US" w:eastAsia="zh-CN"/>
        </w:rPr>
        <w:t>有利影响</w:t>
      </w:r>
    </w:p>
    <w:p>
      <w:pPr>
        <w:pStyle w:val="45"/>
        <w:pageBreakBefore w:val="0"/>
        <w:wordWrap/>
        <w:overflowPunct/>
        <w:topLinePunct w:val="0"/>
        <w:bidi w:val="0"/>
        <w:adjustRightInd/>
        <w:snapToGrid/>
        <w:spacing w:line="360" w:lineRule="auto"/>
        <w:contextualSpacing/>
        <w:jc w:val="both"/>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在设计中充分考虑了环境保护的要求，严格执行各项环境保护标准。遵循清洁生产的原则和循环经济理念，针对在生产过程中产生的污染物，从实际出发采取多种相应的治理措施，确保达标排放和总量控制要求。与此同时，采用先进的生产技术和设备，最大限度地提高水资源利用率，降低单位产品的水污染物产生量。</w:t>
      </w:r>
    </w:p>
    <w:p>
      <w:pPr>
        <w:pStyle w:val="11"/>
        <w:pageBreakBefore w:val="0"/>
        <w:widowControl w:val="0"/>
        <w:numPr>
          <w:ilvl w:val="2"/>
          <w:numId w:val="0"/>
        </w:numPr>
        <w:kinsoku/>
        <w:wordWrap/>
        <w:overflowPunct/>
        <w:topLinePunct w:val="0"/>
        <w:autoSpaceDE/>
        <w:autoSpaceDN/>
        <w:bidi w:val="0"/>
        <w:adjustRightInd/>
        <w:snapToGrid/>
        <w:spacing w:before="0" w:after="0" w:line="360" w:lineRule="auto"/>
        <w:contextualSpacing/>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eastAsia="zh-CN"/>
        </w:rPr>
        <w:t xml:space="preserve">7.3.2 </w:t>
      </w:r>
      <w:r>
        <w:rPr>
          <w:rFonts w:hint="default" w:ascii="Times New Roman" w:hAnsi="Times New Roman" w:eastAsia="宋体" w:cs="Times New Roman"/>
          <w:b/>
          <w:bCs w:val="0"/>
          <w:snapToGrid/>
          <w:color w:val="auto"/>
          <w:kern w:val="2"/>
          <w:sz w:val="28"/>
          <w:szCs w:val="28"/>
          <w:lang w:val="en-US" w:eastAsia="zh-CN"/>
        </w:rPr>
        <w:t>不利影响</w:t>
      </w:r>
    </w:p>
    <w:p>
      <w:pPr>
        <w:pStyle w:val="45"/>
        <w:pageBreakBefore w:val="0"/>
        <w:wordWrap/>
        <w:overflowPunct/>
        <w:topLinePunct w:val="0"/>
        <w:bidi w:val="0"/>
        <w:adjustRightInd/>
        <w:snapToGrid/>
        <w:spacing w:line="360" w:lineRule="auto"/>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（1）本项目产生的废水经厂区污水处理站处理后达到《肉类加工工业水污染物排放标准》（GB13457-92）表3三级畜类屠宰加工</w:t>
      </w:r>
      <w:r>
        <w:rPr>
          <w:rFonts w:hint="default" w:ascii="Times New Roman" w:hAnsi="Times New Roman" w:eastAsia="宋体" w:cs="Times New Roman"/>
          <w:color w:val="auto"/>
          <w:lang w:val="en-US" w:eastAsia="zh-CN"/>
        </w:rPr>
        <w:t>三级</w:t>
      </w:r>
      <w:r>
        <w:rPr>
          <w:rFonts w:hint="default" w:ascii="Times New Roman" w:hAnsi="Times New Roman" w:eastAsia="宋体" w:cs="Times New Roman"/>
          <w:color w:val="auto"/>
        </w:rPr>
        <w:t>标准限值及</w:t>
      </w:r>
      <w:r>
        <w:rPr>
          <w:rFonts w:hint="default" w:ascii="Times New Roman" w:hAnsi="Times New Roman" w:eastAsia="宋体" w:cs="Times New Roman"/>
          <w:color w:val="auto"/>
          <w:lang w:val="en-US" w:eastAsia="zh-CN"/>
        </w:rPr>
        <w:t>兴隆镇</w:t>
      </w:r>
      <w:r>
        <w:rPr>
          <w:rFonts w:hint="default" w:ascii="Times New Roman" w:hAnsi="Times New Roman" w:eastAsia="宋体" w:cs="Times New Roman"/>
          <w:color w:val="auto"/>
        </w:rPr>
        <w:t>污水处理厂进水指标</w:t>
      </w:r>
      <w:r>
        <w:rPr>
          <w:rFonts w:hint="default" w:ascii="Times New Roman" w:hAnsi="Times New Roman" w:eastAsia="宋体" w:cs="Times New Roman"/>
          <w:color w:val="auto"/>
          <w:lang w:val="en-US" w:eastAsia="zh-CN"/>
        </w:rPr>
        <w:t>后，排入兴隆镇污水处理厂，</w:t>
      </w:r>
      <w:r>
        <w:rPr>
          <w:rFonts w:hint="default" w:ascii="Times New Roman" w:hAnsi="Times New Roman" w:eastAsia="宋体" w:cs="Times New Roman"/>
          <w:color w:val="auto"/>
          <w:lang w:eastAsia="zh-CN"/>
        </w:rPr>
        <w:t>排入泥河。</w:t>
      </w:r>
      <w:r>
        <w:rPr>
          <w:rFonts w:hint="default" w:ascii="Times New Roman" w:hAnsi="Times New Roman" w:eastAsia="宋体" w:cs="Times New Roman"/>
          <w:color w:val="auto"/>
        </w:rPr>
        <w:t>因此正常情况下对地表水无不利影响。</w:t>
      </w:r>
    </w:p>
    <w:p>
      <w:pPr>
        <w:pStyle w:val="45"/>
        <w:pageBreakBefore w:val="0"/>
        <w:wordWrap/>
        <w:overflowPunct/>
        <w:topLinePunct w:val="0"/>
        <w:bidi w:val="0"/>
        <w:adjustRightInd/>
        <w:snapToGrid/>
        <w:spacing w:line="360" w:lineRule="auto"/>
        <w:contextualSpacing/>
        <w:jc w:val="both"/>
        <w:rPr>
          <w:rFonts w:hint="default" w:ascii="Times New Roman" w:hAnsi="Times New Roman" w:eastAsia="宋体" w:cs="Times New Roman"/>
          <w:snapToGrid w:val="0"/>
          <w:color w:val="auto"/>
        </w:rPr>
      </w:pPr>
      <w:r>
        <w:rPr>
          <w:rFonts w:hint="default" w:ascii="Times New Roman" w:hAnsi="Times New Roman" w:eastAsia="宋体" w:cs="Times New Roman"/>
          <w:color w:val="auto"/>
        </w:rPr>
        <w:t>（2）项目在运行后，所有污染物均可达标排放，对敏感点的影响很小。</w:t>
      </w:r>
    </w:p>
    <w:p>
      <w:pPr>
        <w:pageBreakBefore w:val="0"/>
        <w:wordWrap/>
        <w:overflowPunct/>
        <w:topLinePunct w:val="0"/>
        <w:bidi w:val="0"/>
        <w:spacing w:line="360" w:lineRule="auto"/>
        <w:ind w:firstLine="480" w:firstLineChars="200"/>
        <w:contextualSpacing/>
        <w:jc w:val="both"/>
        <w:rPr>
          <w:rFonts w:hint="default" w:ascii="Times New Roman" w:hAnsi="Times New Roman" w:cs="Times New Roman"/>
          <w:color w:val="auto"/>
          <w:sz w:val="24"/>
        </w:rPr>
      </w:pPr>
      <w:r>
        <w:rPr>
          <w:rFonts w:hint="default" w:ascii="Times New Roman" w:hAnsi="Times New Roman" w:cs="Times New Roman"/>
          <w:color w:val="auto"/>
          <w:sz w:val="24"/>
        </w:rPr>
        <w:t>（3）项目产生的固体废物大部分可以综合利用。</w:t>
      </w:r>
    </w:p>
    <w:p>
      <w:pPr>
        <w:pageBreakBefore w:val="0"/>
        <w:wordWrap/>
        <w:overflowPunct/>
        <w:topLinePunct w:val="0"/>
        <w:bidi w:val="0"/>
        <w:spacing w:line="360" w:lineRule="auto"/>
        <w:ind w:firstLine="480" w:firstLineChars="200"/>
        <w:contextualSpacing/>
        <w:jc w:val="both"/>
        <w:rPr>
          <w:rFonts w:hint="default" w:ascii="Times New Roman" w:hAnsi="Times New Roman" w:cs="Times New Roman"/>
          <w:color w:val="auto"/>
          <w:sz w:val="24"/>
        </w:rPr>
      </w:pPr>
      <w:r>
        <w:rPr>
          <w:rFonts w:hint="default" w:ascii="Times New Roman" w:hAnsi="Times New Roman" w:cs="Times New Roman"/>
          <w:color w:val="auto"/>
          <w:sz w:val="24"/>
        </w:rPr>
        <w:t>（4）在设备选型时，选用低噪声设备，并采取隔声、减振等措施，减少噪声对环境的影响。</w:t>
      </w:r>
    </w:p>
    <w:p>
      <w:pPr>
        <w:pageBreakBefore w:val="0"/>
        <w:wordWrap/>
        <w:overflowPunct/>
        <w:topLinePunct w:val="0"/>
        <w:bidi w:val="0"/>
        <w:spacing w:line="360" w:lineRule="auto"/>
        <w:ind w:firstLine="480" w:firstLineChars="200"/>
        <w:contextualSpacing/>
        <w:jc w:val="both"/>
        <w:rPr>
          <w:rFonts w:hint="default" w:ascii="Times New Roman" w:hAnsi="Times New Roman" w:cs="Times New Roman"/>
          <w:color w:val="auto"/>
        </w:rPr>
      </w:pPr>
      <w:r>
        <w:rPr>
          <w:rFonts w:hint="default" w:ascii="Times New Roman" w:hAnsi="Times New Roman" w:cs="Times New Roman"/>
          <w:color w:val="auto"/>
          <w:sz w:val="24"/>
        </w:rPr>
        <w:t>由此可见，本项目的环境效益明显，满足达标排放和总量控制要求，并为现有环境所接受。并且，环保设施的经济效益不仅表现在其创造了多少产值，还表现在它的间接经济效益即环保设施的有效运行保证了人类良好的生活条件、生存环境和生产活动的可持续发展以及由此创造的可观经济效益。从该意义上讲，项目环保设施的间接经济效益是非常明显的。</w:t>
      </w:r>
    </w:p>
    <w:p>
      <w:pPr>
        <w:pStyle w:val="11"/>
        <w:pageBreakBefore w:val="0"/>
        <w:widowControl w:val="0"/>
        <w:numPr>
          <w:ilvl w:val="2"/>
          <w:numId w:val="0"/>
        </w:numPr>
        <w:kinsoku/>
        <w:wordWrap/>
        <w:overflowPunct/>
        <w:topLinePunct w:val="0"/>
        <w:autoSpaceDE/>
        <w:autoSpaceDN/>
        <w:bidi w:val="0"/>
        <w:adjustRightInd/>
        <w:snapToGrid/>
        <w:spacing w:before="0" w:after="0" w:line="360" w:lineRule="auto"/>
        <w:contextualSpacing/>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eastAsia="zh-CN"/>
        </w:rPr>
        <w:t xml:space="preserve">7.3.3 </w:t>
      </w:r>
      <w:r>
        <w:rPr>
          <w:rFonts w:hint="default" w:ascii="Times New Roman" w:hAnsi="Times New Roman" w:eastAsia="宋体" w:cs="Times New Roman"/>
          <w:b/>
          <w:bCs w:val="0"/>
          <w:snapToGrid/>
          <w:color w:val="auto"/>
          <w:kern w:val="2"/>
          <w:sz w:val="28"/>
          <w:szCs w:val="28"/>
          <w:lang w:val="en-US" w:eastAsia="zh-CN"/>
        </w:rPr>
        <w:t>环境效益分析</w:t>
      </w:r>
    </w:p>
    <w:p>
      <w:pPr>
        <w:spacing w:line="360" w:lineRule="auto"/>
        <w:ind w:firstLine="480" w:firstLineChars="200"/>
        <w:contextualSpacing/>
        <w:rPr>
          <w:rFonts w:hint="default" w:ascii="Times New Roman" w:hAnsi="Times New Roman" w:cs="Times New Roman"/>
          <w:color w:val="auto"/>
          <w:sz w:val="24"/>
        </w:rPr>
      </w:pPr>
      <w:r>
        <w:rPr>
          <w:rFonts w:hint="default" w:ascii="Times New Roman" w:hAnsi="Times New Roman" w:cs="Times New Roman"/>
          <w:color w:val="auto"/>
          <w:sz w:val="24"/>
        </w:rPr>
        <w:t>本项目工程环境保护投资约</w:t>
      </w:r>
      <w:r>
        <w:rPr>
          <w:rFonts w:hint="default" w:ascii="Times New Roman" w:hAnsi="Times New Roman" w:cs="Times New Roman"/>
          <w:color w:val="auto"/>
          <w:sz w:val="24"/>
          <w:highlight w:val="none"/>
        </w:rPr>
        <w:t>为</w:t>
      </w:r>
      <w:r>
        <w:rPr>
          <w:rFonts w:hint="eastAsia" w:ascii="Times New Roman" w:hAnsi="Times New Roman" w:cs="Times New Roman"/>
          <w:color w:val="auto"/>
          <w:sz w:val="24"/>
          <w:highlight w:val="none"/>
          <w:lang w:val="en-US" w:eastAsia="zh-CN"/>
        </w:rPr>
        <w:t>150</w:t>
      </w:r>
      <w:r>
        <w:rPr>
          <w:rFonts w:hint="default" w:ascii="Times New Roman" w:hAnsi="Times New Roman" w:cs="Times New Roman"/>
          <w:color w:val="auto"/>
          <w:sz w:val="24"/>
          <w:highlight w:val="none"/>
        </w:rPr>
        <w:t>万元，</w:t>
      </w:r>
      <w:r>
        <w:rPr>
          <w:rFonts w:hint="default" w:ascii="Times New Roman" w:hAnsi="Times New Roman" w:cs="Times New Roman"/>
          <w:color w:val="auto"/>
          <w:sz w:val="24"/>
        </w:rPr>
        <w:t>通过采取可行的环境保护措施，项目建设的环境影响可以接受，环保投资比较明显。</w:t>
      </w:r>
    </w:p>
    <w:p>
      <w:pPr>
        <w:spacing w:line="360" w:lineRule="auto"/>
        <w:ind w:firstLine="480" w:firstLineChars="200"/>
        <w:contextualSpacing/>
        <w:rPr>
          <w:rFonts w:hint="default" w:ascii="Times New Roman" w:hAnsi="Times New Roman" w:cs="Times New Roman"/>
          <w:color w:val="auto"/>
          <w:sz w:val="24"/>
        </w:rPr>
      </w:pPr>
      <w:r>
        <w:rPr>
          <w:rFonts w:hint="default" w:ascii="Times New Roman" w:hAnsi="Times New Roman" w:cs="Times New Roman"/>
          <w:color w:val="auto"/>
          <w:sz w:val="24"/>
        </w:rPr>
        <w:t>（1）废气处置</w:t>
      </w:r>
    </w:p>
    <w:p>
      <w:pPr>
        <w:spacing w:line="360" w:lineRule="auto"/>
        <w:ind w:firstLine="480" w:firstLineChars="200"/>
        <w:contextualSpacing/>
        <w:jc w:val="both"/>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本项目待宰</w:t>
      </w:r>
      <w:r>
        <w:rPr>
          <w:rFonts w:hint="eastAsia" w:ascii="Times New Roman" w:hAnsi="Times New Roman" w:eastAsia="宋体" w:cs="Times New Roman"/>
          <w:color w:val="auto"/>
          <w:sz w:val="24"/>
          <w:lang w:val="en-US" w:eastAsia="zh-CN"/>
        </w:rPr>
        <w:t>圈猪</w:t>
      </w:r>
      <w:r>
        <w:rPr>
          <w:rFonts w:hint="default" w:ascii="Times New Roman" w:hAnsi="Times New Roman" w:cs="Times New Roman"/>
          <w:color w:val="auto"/>
          <w:sz w:val="24"/>
        </w:rPr>
        <w:t>粪日产日清，并投加或喷洒除臭剂可有效去除恶臭污染物浓度，且待宰间封闭，</w:t>
      </w:r>
      <w:r>
        <w:rPr>
          <w:rFonts w:hint="default" w:ascii="Times New Roman" w:hAnsi="Times New Roman" w:cs="Times New Roman"/>
          <w:bCs/>
          <w:color w:val="auto"/>
          <w:sz w:val="24"/>
        </w:rPr>
        <w:t>产生的恶臭气体经负压集中收集后，通过活性炭吸附净化后由15m高排气筒排放</w:t>
      </w:r>
      <w:r>
        <w:rPr>
          <w:rFonts w:hint="default" w:ascii="Times New Roman" w:hAnsi="Times New Roman" w:cs="Times New Roman"/>
          <w:color w:val="auto"/>
          <w:sz w:val="24"/>
        </w:rPr>
        <w:t>。屠宰车间封闭建设，</w:t>
      </w:r>
      <w:r>
        <w:rPr>
          <w:rFonts w:hint="default" w:ascii="Times New Roman" w:hAnsi="Times New Roman" w:cs="Times New Roman"/>
          <w:bCs/>
          <w:color w:val="auto"/>
          <w:sz w:val="24"/>
        </w:rPr>
        <w:t>产生的恶臭气体经负压集中收集后，通过活性炭吸附净化后由15m高排气筒排放</w:t>
      </w:r>
      <w:r>
        <w:rPr>
          <w:rFonts w:hint="default" w:ascii="Times New Roman" w:hAnsi="Times New Roman" w:cs="Times New Roman"/>
          <w:color w:val="auto"/>
          <w:sz w:val="24"/>
        </w:rPr>
        <w:t>。</w:t>
      </w:r>
      <w:r>
        <w:rPr>
          <w:rFonts w:hint="default" w:ascii="Times New Roman" w:hAnsi="Times New Roman" w:cs="Times New Roman"/>
          <w:bCs/>
          <w:color w:val="auto"/>
          <w:sz w:val="24"/>
        </w:rPr>
        <w:t>污水处理站封闭，产生的恶臭气体经负压集中收集后，通过活性炭吸附净化后由15m高排气筒排放</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锅炉烟气通过</w:t>
      </w:r>
      <w:r>
        <w:rPr>
          <w:rFonts w:hint="eastAsia" w:ascii="Times New Roman" w:hAnsi="Times New Roman" w:cs="Times New Roman"/>
          <w:color w:val="auto"/>
          <w:sz w:val="24"/>
          <w:lang w:val="en-US" w:eastAsia="zh-CN"/>
        </w:rPr>
        <w:t>低氮燃烧</w:t>
      </w:r>
      <w:r>
        <w:rPr>
          <w:rFonts w:hint="default" w:ascii="Times New Roman" w:hAnsi="Times New Roman" w:cs="Times New Roman"/>
          <w:color w:val="auto"/>
          <w:sz w:val="24"/>
          <w:lang w:val="en-US" w:eastAsia="zh-CN"/>
        </w:rPr>
        <w:t>处理后</w:t>
      </w:r>
      <w:r>
        <w:rPr>
          <w:rFonts w:hint="default" w:ascii="Times New Roman" w:hAnsi="Times New Roman" w:cs="Times New Roman"/>
          <w:bCs/>
          <w:color w:val="auto"/>
          <w:sz w:val="24"/>
          <w:lang w:val="en-US" w:eastAsia="zh-CN"/>
        </w:rPr>
        <w:t>经</w:t>
      </w:r>
      <w:r>
        <w:rPr>
          <w:rFonts w:hint="eastAsia" w:ascii="Times New Roman" w:hAnsi="Times New Roman" w:cs="Times New Roman"/>
          <w:bCs/>
          <w:color w:val="auto"/>
          <w:sz w:val="24"/>
          <w:lang w:val="en-US" w:eastAsia="zh-CN"/>
        </w:rPr>
        <w:t>12</w:t>
      </w:r>
      <w:r>
        <w:rPr>
          <w:rFonts w:hint="default" w:ascii="Times New Roman" w:hAnsi="Times New Roman" w:cs="Times New Roman"/>
          <w:bCs/>
          <w:color w:val="auto"/>
          <w:sz w:val="24"/>
          <w:lang w:val="en-US" w:eastAsia="zh-CN"/>
        </w:rPr>
        <w:t>m高烟囱排放。</w:t>
      </w:r>
    </w:p>
    <w:p>
      <w:pPr>
        <w:spacing w:line="360" w:lineRule="auto"/>
        <w:ind w:firstLine="480" w:firstLineChars="200"/>
        <w:contextualSpacing/>
        <w:jc w:val="both"/>
        <w:rPr>
          <w:rFonts w:hint="default" w:ascii="Times New Roman" w:hAnsi="Times New Roman" w:cs="Times New Roman"/>
          <w:color w:val="auto"/>
          <w:sz w:val="24"/>
        </w:rPr>
      </w:pPr>
      <w:r>
        <w:rPr>
          <w:rFonts w:hint="default" w:ascii="Times New Roman" w:hAnsi="Times New Roman" w:cs="Times New Roman"/>
          <w:color w:val="auto"/>
          <w:sz w:val="24"/>
        </w:rPr>
        <w:t>（2）水环境保护</w:t>
      </w:r>
    </w:p>
    <w:p>
      <w:pPr>
        <w:pStyle w:val="30"/>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21"/>
          <w:sz w:val="24"/>
          <w:szCs w:val="24"/>
          <w:highlight w:val="none"/>
          <w:u w:val="none"/>
          <w:lang w:val="en-US" w:eastAsia="zh-CN" w:bidi="ar-SA"/>
        </w:rPr>
        <w:t>项目产生的废水经管道送入厂内污水处理站，处理后的废水满足《肉类加工工业水污染物排放标准》</w:t>
      </w:r>
      <w:r>
        <w:rPr>
          <w:rFonts w:hint="default" w:ascii="Times New Roman" w:hAnsi="Times New Roman" w:eastAsia="宋体" w:cs="Times New Roman"/>
          <w:color w:val="auto"/>
          <w:sz w:val="24"/>
        </w:rPr>
        <w:t>（GB13457-92）表3</w:t>
      </w:r>
      <w:r>
        <w:rPr>
          <w:rFonts w:hint="default" w:ascii="Times New Roman" w:hAnsi="Times New Roman" w:eastAsia="宋体" w:cs="Times New Roman"/>
          <w:color w:val="auto"/>
          <w:kern w:val="21"/>
          <w:sz w:val="24"/>
          <w:szCs w:val="24"/>
          <w:highlight w:val="none"/>
          <w:u w:val="none"/>
          <w:lang w:val="en-US" w:eastAsia="zh-CN" w:bidi="ar-SA"/>
        </w:rPr>
        <w:t>中畜类屠宰加工及肉制品加工三级标准及兴隆镇污水处理厂设计进水水质指标的要求后排入兴隆镇污水处理厂处理，</w:t>
      </w:r>
      <w:r>
        <w:rPr>
          <w:rFonts w:hint="eastAsia" w:ascii="Times New Roman" w:hAnsi="Times New Roman" w:eastAsia="宋体" w:cs="Times New Roman"/>
          <w:color w:val="auto"/>
          <w:kern w:val="21"/>
          <w:sz w:val="24"/>
          <w:szCs w:val="24"/>
          <w:highlight w:val="none"/>
          <w:u w:val="none"/>
          <w:lang w:val="en-US" w:eastAsia="zh-CN" w:bidi="ar-SA"/>
        </w:rPr>
        <w:t>排入泥河</w:t>
      </w:r>
      <w:r>
        <w:rPr>
          <w:rFonts w:hint="default" w:ascii="Times New Roman" w:hAnsi="Times New Roman" w:eastAsia="宋体" w:cs="Times New Roman"/>
          <w:color w:val="auto"/>
          <w:kern w:val="21"/>
          <w:sz w:val="24"/>
          <w:szCs w:val="24"/>
          <w:highlight w:val="none"/>
          <w:u w:val="none"/>
          <w:lang w:val="en-US" w:eastAsia="zh-CN" w:bidi="ar-SA"/>
        </w:rPr>
        <w:t>，</w:t>
      </w:r>
      <w:r>
        <w:rPr>
          <w:rFonts w:hint="default" w:ascii="Times New Roman" w:hAnsi="Times New Roman" w:eastAsia="宋体" w:cs="Times New Roman"/>
          <w:color w:val="auto"/>
        </w:rPr>
        <w:t>水污染物大幅度减少，对地表水体的影响降低到最小程度。</w:t>
      </w:r>
    </w:p>
    <w:p>
      <w:pPr>
        <w:spacing w:line="360" w:lineRule="auto"/>
        <w:ind w:firstLine="480" w:firstLineChars="200"/>
        <w:contextualSpacing/>
        <w:jc w:val="both"/>
        <w:rPr>
          <w:rFonts w:hint="default" w:ascii="Times New Roman" w:hAnsi="Times New Roman" w:cs="Times New Roman"/>
          <w:color w:val="auto"/>
          <w:sz w:val="24"/>
        </w:rPr>
      </w:pPr>
      <w:r>
        <w:rPr>
          <w:rFonts w:hint="default" w:ascii="Times New Roman" w:hAnsi="Times New Roman" w:cs="Times New Roman"/>
          <w:color w:val="auto"/>
          <w:sz w:val="24"/>
        </w:rPr>
        <w:t>（3）地下水防渗</w:t>
      </w:r>
    </w:p>
    <w:p>
      <w:pPr>
        <w:spacing w:line="360" w:lineRule="auto"/>
        <w:ind w:firstLine="480" w:firstLineChars="200"/>
        <w:contextualSpacing/>
        <w:jc w:val="both"/>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柴油储罐周边及围堰</w:t>
      </w:r>
      <w:r>
        <w:rPr>
          <w:rFonts w:hint="default" w:ascii="Times New Roman" w:hAnsi="Times New Roman" w:cs="Times New Roman"/>
          <w:color w:val="auto"/>
          <w:sz w:val="24"/>
        </w:rPr>
        <w:t>按重点防渗区采取防渗措施；</w:t>
      </w:r>
      <w:r>
        <w:rPr>
          <w:rFonts w:hint="default" w:ascii="Times New Roman" w:hAnsi="Times New Roman" w:cs="Times New Roman"/>
          <w:color w:val="auto"/>
          <w:sz w:val="24"/>
          <w:lang w:val="en-US" w:eastAsia="zh-CN"/>
        </w:rPr>
        <w:t>急宰间、</w:t>
      </w:r>
      <w:r>
        <w:rPr>
          <w:rFonts w:hint="default" w:ascii="Times New Roman" w:hAnsi="Times New Roman" w:cs="Times New Roman"/>
          <w:color w:val="auto"/>
          <w:sz w:val="24"/>
        </w:rPr>
        <w:t>待宰间、屠宰</w:t>
      </w:r>
      <w:r>
        <w:rPr>
          <w:rFonts w:hint="default" w:ascii="Times New Roman" w:hAnsi="Times New Roman" w:eastAsia="宋体" w:cs="Times New Roman"/>
          <w:color w:val="auto"/>
          <w:sz w:val="24"/>
          <w:lang w:val="en-US" w:eastAsia="zh-CN"/>
        </w:rPr>
        <w:t>加工</w:t>
      </w:r>
      <w:r>
        <w:rPr>
          <w:rFonts w:hint="default" w:ascii="Times New Roman" w:hAnsi="Times New Roman" w:cs="Times New Roman"/>
          <w:color w:val="auto"/>
          <w:sz w:val="24"/>
        </w:rPr>
        <w:t>车间、</w:t>
      </w:r>
      <w:r>
        <w:rPr>
          <w:rFonts w:hint="default" w:ascii="Times New Roman" w:hAnsi="Times New Roman" w:cs="Times New Roman"/>
          <w:color w:val="auto"/>
          <w:sz w:val="24"/>
          <w:lang w:val="en-GB"/>
        </w:rPr>
        <w:t>冷库、</w:t>
      </w:r>
      <w:r>
        <w:rPr>
          <w:rFonts w:hint="default" w:ascii="Times New Roman" w:hAnsi="Times New Roman" w:cs="Times New Roman"/>
          <w:color w:val="auto"/>
          <w:sz w:val="24"/>
        </w:rPr>
        <w:t>污水处理站、事故池按一般防渗区采取防渗措施；</w:t>
      </w:r>
      <w:r>
        <w:rPr>
          <w:rFonts w:hint="default" w:ascii="Times New Roman" w:hAnsi="Times New Roman" w:cs="Times New Roman"/>
          <w:color w:val="auto"/>
          <w:sz w:val="24"/>
          <w:lang w:val="en-GB" w:eastAsia="zh-CN"/>
        </w:rPr>
        <w:t>办公楼</w:t>
      </w:r>
      <w:r>
        <w:rPr>
          <w:rFonts w:hint="default" w:ascii="Times New Roman" w:hAnsi="Times New Roman" w:cs="Times New Roman"/>
          <w:color w:val="auto"/>
          <w:sz w:val="24"/>
          <w:lang w:val="en-GB"/>
        </w:rPr>
        <w:t>、库房等</w:t>
      </w:r>
      <w:r>
        <w:rPr>
          <w:rFonts w:hint="default" w:ascii="Times New Roman" w:hAnsi="Times New Roman" w:cs="Times New Roman"/>
          <w:color w:val="auto"/>
          <w:sz w:val="24"/>
        </w:rPr>
        <w:t>采取简单防渗，对其地面采用混凝土进行一般地面硬化，避免了对地下水的污染。</w:t>
      </w:r>
    </w:p>
    <w:p>
      <w:pPr>
        <w:spacing w:line="360" w:lineRule="auto"/>
        <w:ind w:firstLine="480" w:firstLineChars="200"/>
        <w:contextualSpacing/>
        <w:jc w:val="both"/>
        <w:rPr>
          <w:rFonts w:hint="default" w:ascii="Times New Roman" w:hAnsi="Times New Roman" w:cs="Times New Roman"/>
          <w:color w:val="auto"/>
          <w:sz w:val="24"/>
        </w:rPr>
      </w:pPr>
      <w:r>
        <w:rPr>
          <w:rFonts w:hint="default" w:ascii="Times New Roman" w:hAnsi="Times New Roman" w:cs="Times New Roman"/>
          <w:color w:val="auto"/>
          <w:sz w:val="24"/>
        </w:rPr>
        <w:t>（4）噪声治理</w:t>
      </w:r>
    </w:p>
    <w:p>
      <w:pPr>
        <w:spacing w:line="360" w:lineRule="auto"/>
        <w:ind w:firstLine="480" w:firstLineChars="200"/>
        <w:contextualSpacing/>
        <w:jc w:val="both"/>
        <w:rPr>
          <w:rFonts w:hint="default" w:ascii="Times New Roman" w:hAnsi="Times New Roman" w:cs="Times New Roman"/>
          <w:color w:val="auto"/>
          <w:sz w:val="24"/>
        </w:rPr>
      </w:pPr>
      <w:r>
        <w:rPr>
          <w:rFonts w:hint="default" w:ascii="Times New Roman" w:hAnsi="Times New Roman" w:cs="Times New Roman"/>
          <w:color w:val="auto"/>
          <w:sz w:val="24"/>
        </w:rPr>
        <w:t>本项目通过选用低噪声设备、厂房隔声、基础减振、绿化降噪措施，可降低噪声对周围环境的影响。</w:t>
      </w:r>
    </w:p>
    <w:p>
      <w:pPr>
        <w:spacing w:line="360" w:lineRule="auto"/>
        <w:ind w:firstLine="480" w:firstLineChars="200"/>
        <w:contextualSpacing/>
        <w:jc w:val="both"/>
        <w:rPr>
          <w:rFonts w:hint="default" w:ascii="Times New Roman" w:hAnsi="Times New Roman" w:cs="Times New Roman"/>
          <w:color w:val="auto"/>
          <w:sz w:val="24"/>
        </w:rPr>
      </w:pPr>
      <w:r>
        <w:rPr>
          <w:rFonts w:hint="default" w:ascii="Times New Roman" w:hAnsi="Times New Roman" w:cs="Times New Roman"/>
          <w:color w:val="auto"/>
          <w:sz w:val="24"/>
        </w:rPr>
        <w:t>（5）固废处理措施</w:t>
      </w:r>
    </w:p>
    <w:p>
      <w:pPr>
        <w:spacing w:line="360" w:lineRule="auto"/>
        <w:ind w:firstLine="480" w:firstLineChars="200"/>
        <w:contextualSpacing/>
        <w:jc w:val="both"/>
        <w:rPr>
          <w:rFonts w:hint="default" w:ascii="Times New Roman" w:hAnsi="Times New Roman" w:cs="Times New Roman"/>
          <w:color w:val="auto"/>
          <w:sz w:val="24"/>
        </w:rPr>
      </w:pPr>
      <w:r>
        <w:rPr>
          <w:rFonts w:hint="default" w:ascii="Times New Roman" w:hAnsi="Times New Roman" w:cs="Times New Roman"/>
          <w:color w:val="auto"/>
          <w:sz w:val="24"/>
        </w:rPr>
        <w:t>本项目固体废物分类收集、分类妥善处理，避免了对周边环境卫生的影响，有利于人群健康和景观的改善。</w:t>
      </w:r>
    </w:p>
    <w:p>
      <w:pPr>
        <w:spacing w:line="360" w:lineRule="auto"/>
        <w:ind w:firstLine="480" w:firstLineChars="200"/>
        <w:contextualSpacing/>
        <w:jc w:val="both"/>
        <w:rPr>
          <w:rFonts w:hint="default" w:ascii="Times New Roman" w:hAnsi="Times New Roman" w:cs="Times New Roman"/>
          <w:color w:val="auto"/>
          <w:sz w:val="24"/>
        </w:rPr>
      </w:pPr>
      <w:r>
        <w:rPr>
          <w:rFonts w:hint="default" w:ascii="Times New Roman" w:hAnsi="Times New Roman" w:cs="Times New Roman"/>
          <w:color w:val="auto"/>
          <w:sz w:val="24"/>
        </w:rPr>
        <w:t>综上所述，由环境影响导致的经济损失较拟建项目带来的环境效益和经济效益要小的多，工程的建设将产生广泛的经济效益，拉动地区经济增长和社会发展，同时在环境保护方面也是可以接受的。</w:t>
      </w:r>
    </w:p>
    <w:p>
      <w:pPr>
        <w:pageBreakBefore w:val="0"/>
        <w:widowControl w:val="0"/>
        <w:kinsoku/>
        <w:wordWrap/>
        <w:overflowPunct/>
        <w:topLinePunct w:val="0"/>
        <w:autoSpaceDE/>
        <w:autoSpaceDN/>
        <w:bidi w:val="0"/>
        <w:adjustRightInd/>
        <w:snapToGrid/>
        <w:spacing w:line="360" w:lineRule="auto"/>
        <w:contextualSpacing/>
        <w:jc w:val="both"/>
        <w:textAlignment w:val="auto"/>
        <w:outlineLvl w:val="1"/>
        <w:rPr>
          <w:rFonts w:hint="default" w:ascii="Times New Roman" w:hAnsi="Times New Roman" w:eastAsia="宋体" w:cs="Times New Roman"/>
          <w:b/>
          <w:bCs/>
          <w:snapToGrid/>
          <w:color w:val="auto"/>
          <w:kern w:val="44"/>
          <w:sz w:val="30"/>
          <w:szCs w:val="30"/>
          <w:lang w:eastAsia="zh-CN"/>
        </w:rPr>
      </w:pPr>
      <w:bookmarkStart w:id="468" w:name="_Toc4706"/>
      <w:r>
        <w:rPr>
          <w:rFonts w:hint="default" w:ascii="Times New Roman" w:hAnsi="Times New Roman" w:eastAsia="宋体" w:cs="Times New Roman"/>
          <w:b/>
          <w:bCs/>
          <w:snapToGrid/>
          <w:color w:val="auto"/>
          <w:kern w:val="44"/>
          <w:sz w:val="30"/>
          <w:szCs w:val="30"/>
          <w:lang w:eastAsia="zh-CN"/>
        </w:rPr>
        <w:t>7.4 小结</w:t>
      </w:r>
      <w:bookmarkEnd w:id="468"/>
    </w:p>
    <w:p>
      <w:pPr>
        <w:spacing w:line="360" w:lineRule="auto"/>
        <w:ind w:firstLine="480" w:firstLineChars="200"/>
        <w:contextualSpacing/>
        <w:jc w:val="both"/>
        <w:rPr>
          <w:rFonts w:hint="default" w:ascii="Times New Roman" w:hAnsi="Times New Roman" w:cs="Times New Roman"/>
          <w:color w:val="auto"/>
          <w:sz w:val="24"/>
          <w:lang w:val="en-US" w:eastAsia="zh-CN"/>
        </w:rPr>
      </w:pPr>
      <w:r>
        <w:rPr>
          <w:rFonts w:hint="default" w:ascii="Times New Roman" w:hAnsi="Times New Roman" w:cs="Times New Roman"/>
          <w:color w:val="auto"/>
          <w:sz w:val="24"/>
        </w:rPr>
        <w:t>综上所述，在落实本评价提出的各项污染防治措施的前提下，本项目的建设能够达到经济效益、社会效益和环境效益的统一，既为地方经济发展做出贡献，又使污染物排放量在环境容量容许的范围内降低到最低。</w:t>
      </w:r>
      <w:r>
        <w:rPr>
          <w:rFonts w:hint="default" w:ascii="Times New Roman" w:hAnsi="Times New Roman" w:cs="Times New Roman"/>
          <w:color w:val="auto"/>
          <w:sz w:val="24"/>
          <w:lang w:val="en-US" w:eastAsia="zh-CN"/>
        </w:rPr>
        <w:t>因此本项目的建设从环境影响经济损益的角度分析是可行的。</w:t>
      </w:r>
    </w:p>
    <w:p>
      <w:pPr>
        <w:jc w:val="both"/>
        <w:rPr>
          <w:rStyle w:val="65"/>
          <w:rFonts w:hint="default" w:ascii="Times New Roman" w:hAnsi="Times New Roman" w:eastAsia="宋体" w:cs="Times New Roman"/>
          <w:color w:val="auto"/>
          <w:lang w:val="en-US" w:eastAsia="zh-CN"/>
        </w:rPr>
      </w:pPr>
      <w:r>
        <w:rPr>
          <w:rStyle w:val="65"/>
          <w:rFonts w:hint="default" w:ascii="Times New Roman" w:hAnsi="Times New Roman" w:eastAsia="宋体" w:cs="Times New Roman"/>
          <w:color w:val="auto"/>
          <w:lang w:val="en-US" w:eastAsia="zh-CN"/>
        </w:rPr>
        <w:br w:type="page"/>
      </w:r>
    </w:p>
    <w:p>
      <w:pPr>
        <w:widowControl/>
        <w:tabs>
          <w:tab w:val="left" w:leader="middleDot" w:pos="7371"/>
        </w:tabs>
        <w:kinsoku/>
        <w:autoSpaceDE/>
        <w:autoSpaceDN/>
        <w:adjustRightInd/>
        <w:snapToGrid/>
        <w:spacing w:line="360" w:lineRule="auto"/>
        <w:contextualSpacing/>
        <w:jc w:val="left"/>
        <w:textAlignment w:val="auto"/>
        <w:outlineLvl w:val="0"/>
        <w:rPr>
          <w:rFonts w:hint="default" w:ascii="Times New Roman" w:hAnsi="Times New Roman" w:eastAsia="宋体" w:cs="Times New Roman"/>
          <w:b/>
          <w:snapToGrid/>
          <w:color w:val="auto"/>
          <w:kern w:val="0"/>
          <w:sz w:val="32"/>
          <w:szCs w:val="32"/>
          <w:lang w:eastAsia="zh-CN"/>
        </w:rPr>
      </w:pPr>
      <w:bookmarkStart w:id="469" w:name="_Toc11471"/>
      <w:r>
        <w:rPr>
          <w:rFonts w:hint="default" w:ascii="Times New Roman" w:hAnsi="Times New Roman" w:eastAsia="宋体" w:cs="Times New Roman"/>
          <w:b/>
          <w:snapToGrid/>
          <w:color w:val="auto"/>
          <w:kern w:val="0"/>
          <w:sz w:val="32"/>
          <w:szCs w:val="32"/>
          <w:lang w:eastAsia="zh-CN"/>
        </w:rPr>
        <w:t>8  环境管理与监测计划</w:t>
      </w:r>
      <w:bookmarkEnd w:id="469"/>
    </w:p>
    <w:p>
      <w:pPr>
        <w:keepNext/>
        <w:keepLines/>
        <w:pageBreakBefore w:val="0"/>
        <w:widowControl w:val="0"/>
        <w:kinsoku/>
        <w:wordWrap/>
        <w:overflowPunct/>
        <w:topLinePunct w:val="0"/>
        <w:autoSpaceDE/>
        <w:autoSpaceDN/>
        <w:bidi w:val="0"/>
        <w:adjustRightInd/>
        <w:snapToGrid/>
        <w:spacing w:line="360" w:lineRule="auto"/>
        <w:ind w:firstLine="602" w:firstLineChars="200"/>
        <w:contextualSpacing/>
        <w:jc w:val="both"/>
        <w:textAlignment w:val="auto"/>
        <w:outlineLvl w:val="1"/>
        <w:rPr>
          <w:rFonts w:hint="default" w:ascii="Times New Roman" w:hAnsi="Times New Roman" w:eastAsia="宋体" w:cs="Times New Roman"/>
          <w:b/>
          <w:bCs/>
          <w:snapToGrid w:val="0"/>
          <w:color w:val="auto"/>
          <w:kern w:val="0"/>
          <w:sz w:val="30"/>
          <w:szCs w:val="30"/>
          <w:lang w:eastAsia="zh-CN"/>
        </w:rPr>
      </w:pPr>
      <w:bookmarkStart w:id="470" w:name="_Toc2119"/>
      <w:r>
        <w:rPr>
          <w:rFonts w:hint="default" w:ascii="Times New Roman" w:hAnsi="Times New Roman" w:eastAsia="宋体" w:cs="Times New Roman"/>
          <w:b/>
          <w:bCs/>
          <w:snapToGrid w:val="0"/>
          <w:color w:val="auto"/>
          <w:kern w:val="0"/>
          <w:sz w:val="30"/>
          <w:szCs w:val="30"/>
          <w:lang w:eastAsia="zh-CN"/>
        </w:rPr>
        <w:t>8. 1 环境管理</w:t>
      </w:r>
      <w:bookmarkEnd w:id="470"/>
    </w:p>
    <w:p>
      <w:pPr>
        <w:pageBreakBefore w:val="0"/>
        <w:wordWrap/>
        <w:overflowPunct/>
        <w:topLinePunct w:val="0"/>
        <w:bidi w:val="0"/>
        <w:spacing w:line="360" w:lineRule="auto"/>
        <w:ind w:firstLine="480" w:firstLineChars="200"/>
        <w:contextualSpacing/>
        <w:jc w:val="both"/>
        <w:rPr>
          <w:rFonts w:hint="default" w:ascii="Times New Roman" w:hAnsi="Times New Roman" w:cs="Times New Roman"/>
          <w:color w:val="auto"/>
          <w:sz w:val="24"/>
        </w:rPr>
      </w:pPr>
      <w:r>
        <w:rPr>
          <w:rFonts w:hint="default" w:ascii="Times New Roman" w:hAnsi="Times New Roman" w:cs="Times New Roman"/>
          <w:color w:val="auto"/>
          <w:sz w:val="24"/>
        </w:rPr>
        <w:t>环境管理是以环境科学理论为基础，运用经济、法律、技术、行政、教育等手段对经济、社会发展过程中施加给环境的污染和破坏影响进行调节控制，实现经济、社会和环境效益的和谐统一。</w:t>
      </w:r>
    </w:p>
    <w:p>
      <w:pPr>
        <w:pageBreakBefore w:val="0"/>
        <w:wordWrap/>
        <w:overflowPunct/>
        <w:topLinePunct w:val="0"/>
        <w:bidi w:val="0"/>
        <w:spacing w:line="360" w:lineRule="auto"/>
        <w:ind w:firstLine="480" w:firstLineChars="200"/>
        <w:contextualSpacing/>
        <w:jc w:val="both"/>
        <w:rPr>
          <w:rFonts w:hint="default" w:ascii="Times New Roman" w:hAnsi="Times New Roman" w:cs="Times New Roman"/>
          <w:color w:val="auto"/>
          <w:sz w:val="24"/>
        </w:rPr>
      </w:pPr>
      <w:r>
        <w:rPr>
          <w:rFonts w:hint="default" w:ascii="Times New Roman" w:hAnsi="Times New Roman" w:cs="Times New Roman"/>
          <w:color w:val="auto"/>
          <w:sz w:val="24"/>
        </w:rPr>
        <w:t>为全面贯彻和落实国家及地方环保法律、法规，加强企业内部污染物排放监督控制，本项目将环境保护纳入企业管理和生产计划之中，企业内部必须建立相应的环境管理机构及监控计划。</w:t>
      </w:r>
    </w:p>
    <w:p>
      <w:pPr>
        <w:pStyle w:val="45"/>
        <w:pageBreakBefore w:val="0"/>
        <w:wordWrap/>
        <w:overflowPunct/>
        <w:topLinePunct w:val="0"/>
        <w:bidi w:val="0"/>
        <w:adjustRightInd/>
        <w:snapToGrid/>
        <w:spacing w:line="360" w:lineRule="auto"/>
        <w:ind w:firstLine="480" w:firstLineChars="200"/>
        <w:contextualSpacing/>
        <w:jc w:val="both"/>
        <w:outlineLvl w:val="0"/>
        <w:rPr>
          <w:rFonts w:hint="default" w:ascii="Times New Roman" w:hAnsi="Times New Roman" w:eastAsia="宋体" w:cs="Times New Roman"/>
          <w:color w:val="auto"/>
        </w:rPr>
      </w:pPr>
      <w:bookmarkStart w:id="471" w:name="_Toc14859"/>
      <w:bookmarkStart w:id="472" w:name="_Toc12693"/>
      <w:r>
        <w:rPr>
          <w:rFonts w:hint="default" w:ascii="Times New Roman" w:hAnsi="Times New Roman" w:eastAsia="宋体" w:cs="Times New Roman"/>
          <w:color w:val="auto"/>
        </w:rPr>
        <w:t>1、管理机构</w:t>
      </w:r>
      <w:bookmarkEnd w:id="471"/>
      <w:bookmarkEnd w:id="472"/>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工业企业环境管理，就是以管理工程和环境科学的理论为基础，运用技术、经济、法律、行政和教育手段，对损害环境质量的生产经营活动加以限制，协调发展生产与保护环境的关系，使生产目标与环境目标统一起来，经济效益与环境效益统一起来。</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根据本项目的污染特点，建设单位应有一名副经理负责环保工作，设立环境保护管理机构，配备专职环保管理人员两人。</w:t>
      </w:r>
    </w:p>
    <w:p>
      <w:pPr>
        <w:pStyle w:val="45"/>
        <w:pageBreakBefore w:val="0"/>
        <w:wordWrap/>
        <w:overflowPunct/>
        <w:topLinePunct w:val="0"/>
        <w:bidi w:val="0"/>
        <w:adjustRightInd/>
        <w:snapToGrid/>
        <w:spacing w:line="360" w:lineRule="auto"/>
        <w:ind w:firstLine="480" w:firstLineChars="200"/>
        <w:contextualSpacing/>
        <w:jc w:val="both"/>
        <w:outlineLvl w:val="0"/>
        <w:rPr>
          <w:rFonts w:hint="default" w:ascii="Times New Roman" w:hAnsi="Times New Roman" w:eastAsia="宋体" w:cs="Times New Roman"/>
          <w:color w:val="auto"/>
        </w:rPr>
      </w:pPr>
      <w:bookmarkStart w:id="473" w:name="_Toc7966"/>
      <w:bookmarkStart w:id="474" w:name="_Toc3772"/>
      <w:r>
        <w:rPr>
          <w:rFonts w:hint="default" w:ascii="Times New Roman" w:hAnsi="Times New Roman" w:eastAsia="宋体" w:cs="Times New Roman"/>
          <w:color w:val="auto"/>
        </w:rPr>
        <w:t>2、企业环境管理机构的基本职能与职责</w:t>
      </w:r>
      <w:bookmarkEnd w:id="473"/>
      <w:bookmarkEnd w:id="474"/>
    </w:p>
    <w:p>
      <w:pPr>
        <w:pStyle w:val="45"/>
        <w:pageBreakBefore w:val="0"/>
        <w:wordWrap/>
        <w:overflowPunct/>
        <w:topLinePunct w:val="0"/>
        <w:bidi w:val="0"/>
        <w:adjustRightInd/>
        <w:snapToGrid/>
        <w:spacing w:line="360" w:lineRule="auto"/>
        <w:ind w:firstLine="480" w:firstLineChars="200"/>
        <w:contextualSpacing/>
        <w:jc w:val="both"/>
        <w:outlineLvl w:val="1"/>
        <w:rPr>
          <w:rFonts w:hint="default" w:ascii="Times New Roman" w:hAnsi="Times New Roman" w:eastAsia="宋体" w:cs="Times New Roman"/>
          <w:color w:val="auto"/>
        </w:rPr>
      </w:pPr>
      <w:bookmarkStart w:id="475" w:name="_Toc11549"/>
      <w:bookmarkStart w:id="476" w:name="_Toc1925"/>
      <w:r>
        <w:rPr>
          <w:rFonts w:hint="default" w:ascii="Times New Roman" w:hAnsi="Times New Roman" w:eastAsia="宋体" w:cs="Times New Roman"/>
          <w:color w:val="auto"/>
        </w:rPr>
        <w:t>（1）基本职能</w:t>
      </w:r>
      <w:bookmarkEnd w:id="475"/>
      <w:bookmarkEnd w:id="476"/>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企业环境管理机构是企业管理工作的职能部门，其基本职能有以下三方面：</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①组织编制环境计划（包括规划）；</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②组织环境保护工作的协调；</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③实施企业环境监督。</w:t>
      </w:r>
    </w:p>
    <w:p>
      <w:pPr>
        <w:pStyle w:val="45"/>
        <w:pageBreakBefore w:val="0"/>
        <w:wordWrap/>
        <w:overflowPunct/>
        <w:topLinePunct w:val="0"/>
        <w:bidi w:val="0"/>
        <w:adjustRightInd/>
        <w:snapToGrid/>
        <w:spacing w:line="360" w:lineRule="auto"/>
        <w:ind w:firstLine="480" w:firstLineChars="200"/>
        <w:contextualSpacing/>
        <w:jc w:val="both"/>
        <w:outlineLvl w:val="1"/>
        <w:rPr>
          <w:rFonts w:hint="default" w:ascii="Times New Roman" w:hAnsi="Times New Roman" w:eastAsia="宋体" w:cs="Times New Roman"/>
          <w:color w:val="auto"/>
        </w:rPr>
      </w:pPr>
      <w:bookmarkStart w:id="477" w:name="_Toc10472"/>
      <w:bookmarkStart w:id="478" w:name="_Toc23069"/>
      <w:r>
        <w:rPr>
          <w:rFonts w:hint="default" w:ascii="Times New Roman" w:hAnsi="Times New Roman" w:eastAsia="宋体" w:cs="Times New Roman"/>
          <w:color w:val="auto"/>
        </w:rPr>
        <w:t>（2）主要工作职责</w:t>
      </w:r>
      <w:bookmarkEnd w:id="477"/>
      <w:bookmarkEnd w:id="478"/>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a、督促、检查本企业执行国家环境保护方针、政策、法规及本企业环境保护制度；</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b、拟定本企业环境管理办法，按照国家和地区的规定指定本企业污染物排放指标和污染综合防治的经济技术原则，做好企业升级环保考核工作；</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c、负责组织污染源调查，填写环保报表；</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d、组织推动本企业在基本建设、技术改造中，贯彻执行“三同时”的规定，并参加有关方案的审定及竣工验收工作；</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e、加强与主管环保部们的联系，会同有关单位做好环境预测，制定企业环境保护长远规划和年度计划，并督促实施；</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f、组织有关部门和人员，检查企业环境质量状况及发展趋势；</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g、监督全厂环境保护设施的运行与污染物的排放；</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h、会同有关单位组织和开展企业环境科研工作；</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i、负责组织本企业污染事故的调查与处理；</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j、做好企业环境统计工作，建立环境保护档案；</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k、会同有关单位组织开展清洁生产活动，负责广泛开展环境宣传教育活动，普及环境科学知识，推动清洁生产活动的深度开展。</w:t>
      </w:r>
    </w:p>
    <w:p>
      <w:pPr>
        <w:pStyle w:val="45"/>
        <w:pageBreakBefore w:val="0"/>
        <w:wordWrap/>
        <w:overflowPunct/>
        <w:topLinePunct w:val="0"/>
        <w:bidi w:val="0"/>
        <w:adjustRightInd/>
        <w:snapToGrid/>
        <w:spacing w:line="360" w:lineRule="auto"/>
        <w:ind w:firstLine="480" w:firstLineChars="200"/>
        <w:contextualSpacing/>
        <w:jc w:val="both"/>
        <w:outlineLvl w:val="0"/>
        <w:rPr>
          <w:rFonts w:hint="default" w:ascii="Times New Roman" w:hAnsi="Times New Roman" w:eastAsia="宋体" w:cs="Times New Roman"/>
          <w:color w:val="auto"/>
        </w:rPr>
      </w:pPr>
      <w:bookmarkStart w:id="479" w:name="_Toc27621"/>
      <w:bookmarkStart w:id="480" w:name="_Toc8817"/>
      <w:r>
        <w:rPr>
          <w:rFonts w:hint="default" w:ascii="Times New Roman" w:hAnsi="Times New Roman" w:eastAsia="宋体" w:cs="Times New Roman"/>
          <w:color w:val="auto"/>
        </w:rPr>
        <w:t>3、企业管理</w:t>
      </w:r>
      <w:bookmarkEnd w:id="479"/>
      <w:bookmarkEnd w:id="480"/>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（1）确保各项环保设施的正常运转，负责日常维护，并制定事故的应急处理方法；</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（2）加强生产原材料管理，提出清洁生产方案，降低了污染物的可能产生量；</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（3）加强对生产设备的管理和维护，杜绝跑、冒、滴、漏现象的发生；</w:t>
      </w:r>
    </w:p>
    <w:p>
      <w:pPr>
        <w:pStyle w:val="45"/>
        <w:pageBreakBefore w:val="0"/>
        <w:wordWrap/>
        <w:overflowPunct/>
        <w:topLinePunct w:val="0"/>
        <w:bidi w:val="0"/>
        <w:adjustRightInd/>
        <w:snapToGrid/>
        <w:spacing w:line="360" w:lineRule="auto"/>
        <w:ind w:firstLine="480" w:firstLineChars="200"/>
        <w:contextualSpacing/>
        <w:jc w:val="both"/>
        <w:outlineLvl w:val="1"/>
        <w:rPr>
          <w:rFonts w:hint="default" w:ascii="Times New Roman" w:hAnsi="Times New Roman" w:eastAsia="宋体" w:cs="Times New Roman"/>
          <w:color w:val="auto"/>
        </w:rPr>
      </w:pPr>
      <w:bookmarkStart w:id="481" w:name="_Toc18628"/>
      <w:bookmarkStart w:id="482" w:name="_Toc25678"/>
      <w:r>
        <w:rPr>
          <w:rFonts w:hint="default" w:ascii="Times New Roman" w:hAnsi="Times New Roman" w:eastAsia="宋体" w:cs="Times New Roman"/>
          <w:color w:val="auto"/>
        </w:rPr>
        <w:t>（4）负责企业的日常环境监测工作。</w:t>
      </w:r>
      <w:bookmarkEnd w:id="481"/>
      <w:bookmarkEnd w:id="482"/>
    </w:p>
    <w:p>
      <w:pPr>
        <w:pStyle w:val="11"/>
        <w:pageBreakBefore w:val="0"/>
        <w:widowControl w:val="0"/>
        <w:numPr>
          <w:ilvl w:val="2"/>
          <w:numId w:val="0"/>
        </w:numPr>
        <w:kinsoku/>
        <w:wordWrap/>
        <w:overflowPunct/>
        <w:topLinePunct w:val="0"/>
        <w:autoSpaceDE/>
        <w:autoSpaceDN/>
        <w:bidi w:val="0"/>
        <w:adjustRightInd/>
        <w:snapToGrid/>
        <w:spacing w:before="0" w:after="0" w:line="360" w:lineRule="auto"/>
        <w:ind w:left="0"/>
        <w:contextualSpacing/>
        <w:jc w:val="both"/>
        <w:textAlignment w:val="auto"/>
        <w:rPr>
          <w:rFonts w:hint="default" w:ascii="Times New Roman" w:hAnsi="Times New Roman" w:eastAsia="宋体" w:cs="Times New Roman"/>
          <w:b/>
          <w:bCs w:val="0"/>
          <w:snapToGrid/>
          <w:color w:val="auto"/>
          <w:kern w:val="2"/>
          <w:sz w:val="28"/>
          <w:szCs w:val="28"/>
          <w:lang w:val="en-US" w:eastAsia="zh-CN"/>
        </w:rPr>
      </w:pPr>
      <w:r>
        <w:rPr>
          <w:rFonts w:hint="default" w:ascii="Times New Roman" w:hAnsi="Times New Roman" w:eastAsia="宋体" w:cs="Times New Roman"/>
          <w:b/>
          <w:bCs w:val="0"/>
          <w:snapToGrid/>
          <w:color w:val="auto"/>
          <w:kern w:val="2"/>
          <w:sz w:val="28"/>
          <w:szCs w:val="28"/>
          <w:lang w:eastAsia="zh-CN"/>
        </w:rPr>
        <w:t xml:space="preserve">8.1.1  </w:t>
      </w:r>
      <w:r>
        <w:rPr>
          <w:rFonts w:hint="default" w:ascii="Times New Roman" w:hAnsi="Times New Roman" w:eastAsia="宋体" w:cs="Times New Roman"/>
          <w:b/>
          <w:bCs w:val="0"/>
          <w:snapToGrid/>
          <w:color w:val="auto"/>
          <w:kern w:val="2"/>
          <w:sz w:val="28"/>
          <w:szCs w:val="28"/>
          <w:lang w:val="en-US" w:eastAsia="zh-CN"/>
        </w:rPr>
        <w:t>环境管理计划</w:t>
      </w:r>
    </w:p>
    <w:p>
      <w:pPr>
        <w:pStyle w:val="45"/>
        <w:pageBreakBefore w:val="0"/>
        <w:wordWrap/>
        <w:overflowPunct/>
        <w:topLinePunct w:val="0"/>
        <w:bidi w:val="0"/>
        <w:adjustRightInd/>
        <w:snapToGrid/>
        <w:spacing w:line="360" w:lineRule="auto"/>
        <w:ind w:left="0" w:firstLine="480" w:firstLineChars="200"/>
        <w:jc w:val="both"/>
        <w:rPr>
          <w:rFonts w:hint="default" w:ascii="Times New Roman" w:hAnsi="Times New Roman" w:eastAsia="宋体" w:cs="Times New Roman"/>
          <w:color w:val="auto"/>
        </w:rPr>
      </w:pPr>
      <w:r>
        <w:rPr>
          <w:rFonts w:hint="default" w:ascii="Times New Roman" w:hAnsi="Times New Roman" w:eastAsia="宋体" w:cs="Times New Roman"/>
          <w:color w:val="auto"/>
        </w:rPr>
        <w:t>1、环保管理机构应对厂内环保实行统一管理，并对厂区的环境质量全面进行监测。</w:t>
      </w:r>
    </w:p>
    <w:p>
      <w:pPr>
        <w:pStyle w:val="45"/>
        <w:pageBreakBefore w:val="0"/>
        <w:wordWrap/>
        <w:overflowPunct/>
        <w:topLinePunct w:val="0"/>
        <w:bidi w:val="0"/>
        <w:adjustRightInd/>
        <w:snapToGrid/>
        <w:spacing w:line="360" w:lineRule="auto"/>
        <w:ind w:left="0" w:firstLine="480" w:firstLineChars="200"/>
        <w:jc w:val="both"/>
        <w:rPr>
          <w:rFonts w:hint="default" w:ascii="Times New Roman" w:hAnsi="Times New Roman" w:eastAsia="宋体" w:cs="Times New Roman"/>
          <w:color w:val="auto"/>
        </w:rPr>
      </w:pPr>
      <w:r>
        <w:rPr>
          <w:rFonts w:hint="default" w:ascii="Times New Roman" w:hAnsi="Times New Roman" w:eastAsia="宋体" w:cs="Times New Roman"/>
          <w:color w:val="auto"/>
        </w:rPr>
        <w:t>2、环保管理机构应做好日常环保设施与生产主体设备的统一管理，加强维护、定期检查，确保污染治理设施与主体设备正常运行。当治理设施发生故障时，应启动应急预案，防止污染事故的发生。</w:t>
      </w:r>
    </w:p>
    <w:p>
      <w:pPr>
        <w:pStyle w:val="45"/>
        <w:pageBreakBefore w:val="0"/>
        <w:wordWrap/>
        <w:overflowPunct/>
        <w:topLinePunct w:val="0"/>
        <w:bidi w:val="0"/>
        <w:adjustRightInd/>
        <w:snapToGrid/>
        <w:spacing w:line="360" w:lineRule="auto"/>
        <w:ind w:left="0" w:firstLine="480" w:firstLineChars="200"/>
        <w:jc w:val="both"/>
        <w:rPr>
          <w:rFonts w:hint="default" w:ascii="Times New Roman" w:hAnsi="Times New Roman" w:eastAsia="宋体" w:cs="Times New Roman"/>
          <w:color w:val="auto"/>
        </w:rPr>
      </w:pPr>
      <w:r>
        <w:rPr>
          <w:rFonts w:hint="default" w:ascii="Times New Roman" w:hAnsi="Times New Roman" w:eastAsia="宋体" w:cs="Times New Roman"/>
          <w:color w:val="auto"/>
        </w:rPr>
        <w:t>3、定期对各项环保工作情况进行考核，制定考核与奖惩的具体办法，将环保考核纳入生产考核的主要部分。</w:t>
      </w:r>
    </w:p>
    <w:p>
      <w:pPr>
        <w:pStyle w:val="45"/>
        <w:pageBreakBefore w:val="0"/>
        <w:wordWrap/>
        <w:overflowPunct/>
        <w:topLinePunct w:val="0"/>
        <w:bidi w:val="0"/>
        <w:adjustRightInd/>
        <w:snapToGrid/>
        <w:spacing w:line="360" w:lineRule="auto"/>
        <w:ind w:left="0" w:firstLine="480" w:firstLineChars="200"/>
        <w:jc w:val="both"/>
        <w:rPr>
          <w:rFonts w:hint="default" w:ascii="Times New Roman" w:hAnsi="Times New Roman" w:eastAsia="宋体" w:cs="Times New Roman"/>
          <w:color w:val="auto"/>
        </w:rPr>
      </w:pPr>
      <w:r>
        <w:rPr>
          <w:rFonts w:hint="default" w:ascii="Times New Roman" w:hAnsi="Times New Roman" w:eastAsia="宋体" w:cs="Times New Roman"/>
          <w:color w:val="auto"/>
        </w:rPr>
        <w:t>4、对主要污染源进行定期监测，建立污染源档案。发现污染物非正常排放时，应分析原因，并及时采取相应措施，以控制污染，使污染物满足达标排放要求。</w:t>
      </w:r>
    </w:p>
    <w:p>
      <w:pPr>
        <w:pStyle w:val="45"/>
        <w:pageBreakBefore w:val="0"/>
        <w:wordWrap/>
        <w:overflowPunct/>
        <w:topLinePunct w:val="0"/>
        <w:bidi w:val="0"/>
        <w:adjustRightInd/>
        <w:snapToGrid/>
        <w:spacing w:line="360" w:lineRule="auto"/>
        <w:ind w:left="0" w:firstLine="480" w:firstLineChars="200"/>
        <w:jc w:val="both"/>
        <w:rPr>
          <w:rFonts w:hint="default" w:ascii="Times New Roman" w:hAnsi="Times New Roman" w:eastAsia="宋体" w:cs="Times New Roman"/>
          <w:color w:val="auto"/>
        </w:rPr>
      </w:pPr>
      <w:r>
        <w:rPr>
          <w:rFonts w:hint="default" w:ascii="Times New Roman" w:hAnsi="Times New Roman" w:eastAsia="宋体" w:cs="Times New Roman"/>
          <w:color w:val="auto"/>
        </w:rPr>
        <w:t>5、接受省市环保部门的检查、指导，参加有关会议及经验交流活动。</w:t>
      </w:r>
    </w:p>
    <w:p>
      <w:pPr>
        <w:pStyle w:val="11"/>
        <w:pageBreakBefore w:val="0"/>
        <w:widowControl w:val="0"/>
        <w:numPr>
          <w:ilvl w:val="2"/>
          <w:numId w:val="0"/>
        </w:numPr>
        <w:kinsoku/>
        <w:wordWrap/>
        <w:overflowPunct/>
        <w:topLinePunct w:val="0"/>
        <w:autoSpaceDE/>
        <w:autoSpaceDN/>
        <w:bidi w:val="0"/>
        <w:adjustRightInd/>
        <w:snapToGrid/>
        <w:spacing w:before="0" w:after="0" w:line="360" w:lineRule="auto"/>
        <w:ind w:left="0"/>
        <w:contextualSpacing/>
        <w:jc w:val="both"/>
        <w:textAlignment w:val="auto"/>
        <w:rPr>
          <w:rFonts w:hint="default" w:ascii="Times New Roman" w:hAnsi="Times New Roman" w:eastAsia="宋体" w:cs="Times New Roman"/>
          <w:b/>
          <w:bCs w:val="0"/>
          <w:snapToGrid/>
          <w:color w:val="auto"/>
          <w:kern w:val="2"/>
          <w:sz w:val="28"/>
          <w:szCs w:val="28"/>
          <w:lang w:eastAsia="zh-CN"/>
        </w:rPr>
      </w:pPr>
      <w:r>
        <w:rPr>
          <w:rFonts w:hint="default" w:ascii="Times New Roman" w:hAnsi="Times New Roman" w:eastAsia="宋体" w:cs="Times New Roman"/>
          <w:b/>
          <w:bCs w:val="0"/>
          <w:snapToGrid/>
          <w:color w:val="auto"/>
          <w:kern w:val="2"/>
          <w:sz w:val="28"/>
          <w:szCs w:val="28"/>
          <w:lang w:eastAsia="zh-CN"/>
        </w:rPr>
        <w:t>8.1.2  污染物排放的环境管理要求</w:t>
      </w:r>
    </w:p>
    <w:p>
      <w:pPr>
        <w:keepNext/>
        <w:keepLines/>
        <w:spacing w:line="360" w:lineRule="auto"/>
        <w:outlineLvl w:val="9"/>
        <w:rPr>
          <w:rFonts w:hint="default" w:ascii="Times New Roman" w:hAnsi="Times New Roman" w:cs="Times New Roman"/>
          <w:b/>
          <w:color w:val="auto"/>
          <w:sz w:val="24"/>
          <w:lang w:val="zh-CN"/>
        </w:rPr>
      </w:pPr>
      <w:r>
        <w:rPr>
          <w:rFonts w:hint="default" w:ascii="Times New Roman" w:hAnsi="Times New Roman" w:cs="Times New Roman"/>
          <w:b/>
          <w:color w:val="auto"/>
          <w:sz w:val="24"/>
          <w:lang w:val="zh-CN"/>
        </w:rPr>
        <w:t>8.1.</w:t>
      </w:r>
      <w:r>
        <w:rPr>
          <w:rFonts w:hint="default" w:ascii="Times New Roman" w:hAnsi="Times New Roman" w:eastAsia="宋体" w:cs="Times New Roman"/>
          <w:b/>
          <w:color w:val="auto"/>
          <w:sz w:val="24"/>
          <w:lang w:val="en-US" w:eastAsia="zh-CN"/>
        </w:rPr>
        <w:t>2</w:t>
      </w:r>
      <w:r>
        <w:rPr>
          <w:rFonts w:hint="default" w:ascii="Times New Roman" w:hAnsi="Times New Roman" w:cs="Times New Roman"/>
          <w:b/>
          <w:color w:val="auto"/>
          <w:sz w:val="24"/>
          <w:lang w:val="zh-CN"/>
        </w:rPr>
        <w:t>.1污染物排放清单</w:t>
      </w:r>
    </w:p>
    <w:p>
      <w:pPr>
        <w:pageBreakBefore w:val="0"/>
        <w:wordWrap/>
        <w:overflowPunct/>
        <w:topLinePunct w:val="0"/>
        <w:bidi w:val="0"/>
        <w:spacing w:line="360" w:lineRule="auto"/>
        <w:ind w:left="0" w:firstLine="476"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改扩建后全厂污染物排放管理要求详见下表：</w:t>
      </w:r>
    </w:p>
    <w:p>
      <w:pPr>
        <w:pageBreakBefore w:val="0"/>
        <w:wordWrap/>
        <w:overflowPunct/>
        <w:topLinePunct w:val="0"/>
        <w:bidi w:val="0"/>
        <w:spacing w:line="360" w:lineRule="auto"/>
        <w:ind w:left="0"/>
        <w:jc w:val="both"/>
        <w:rPr>
          <w:rFonts w:hint="default" w:ascii="Times New Roman" w:hAnsi="Times New Roman" w:eastAsia="宋体" w:cs="Times New Roman"/>
          <w:sz w:val="24"/>
          <w:szCs w:val="24"/>
        </w:rPr>
        <w:sectPr>
          <w:headerReference r:id="rId22" w:type="default"/>
          <w:pgSz w:w="11906" w:h="16839"/>
          <w:pgMar w:top="1259" w:right="1409" w:bottom="1037" w:left="1417" w:header="1019" w:footer="872" w:gutter="0"/>
          <w:pgBorders>
            <w:top w:val="none" w:sz="0" w:space="0"/>
            <w:left w:val="none" w:sz="0" w:space="0"/>
            <w:bottom w:val="none" w:sz="0" w:space="0"/>
            <w:right w:val="none" w:sz="0" w:space="0"/>
          </w:pgBorders>
          <w:pgNumType w:fmt="decimal"/>
          <w:cols w:space="720" w:num="1"/>
        </w:sectPr>
      </w:pPr>
    </w:p>
    <w:p>
      <w:pPr>
        <w:spacing w:before="31" w:line="228" w:lineRule="auto"/>
        <w:ind w:left="5571"/>
        <w:rPr>
          <w:rFonts w:hint="eastAsia" w:ascii="Times New Roman" w:hAnsi="Times New Roman" w:eastAsia="宋体" w:cs="Times New Roman"/>
          <w:highlight w:val="magenta"/>
          <w:lang w:eastAsia="zh-CN"/>
        </w:rPr>
      </w:pP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spacing w:val="-29"/>
          <w:sz w:val="20"/>
          <w:szCs w:val="20"/>
          <w:highlight w:val="none"/>
        </w:rPr>
        <w:t xml:space="preserve"> </w:t>
      </w:r>
      <w:r>
        <w:rPr>
          <w:rFonts w:hint="default" w:ascii="Times New Roman" w:hAnsi="Times New Roman" w:eastAsia="Times New Roman" w:cs="Times New Roman"/>
          <w:b/>
          <w:bCs/>
          <w:spacing w:val="6"/>
          <w:sz w:val="20"/>
          <w:szCs w:val="20"/>
          <w:highlight w:val="none"/>
        </w:rPr>
        <w:t>8</w:t>
      </w:r>
      <w:r>
        <w:rPr>
          <w:rFonts w:hint="eastAsia" w:ascii="Times New Roman" w:hAnsi="Times New Roman" w:eastAsia="宋体" w:cs="Times New Roman"/>
          <w:b/>
          <w:bCs/>
          <w:spacing w:val="6"/>
          <w:sz w:val="20"/>
          <w:szCs w:val="20"/>
          <w:highlight w:val="none"/>
          <w:lang w:val="en-US" w:eastAsia="zh-CN"/>
        </w:rPr>
        <w:t>-</w:t>
      </w:r>
      <w:r>
        <w:rPr>
          <w:rFonts w:hint="default" w:ascii="Times New Roman" w:hAnsi="Times New Roman" w:eastAsia="Times New Roman" w:cs="Times New Roman"/>
          <w:b/>
          <w:bCs/>
          <w:spacing w:val="6"/>
          <w:sz w:val="20"/>
          <w:szCs w:val="20"/>
          <w:highlight w:val="none"/>
        </w:rPr>
        <w:t xml:space="preserve">1-2    </w:t>
      </w:r>
      <w:r>
        <w:rPr>
          <w:rFonts w:hint="default" w:ascii="Times New Roman" w:hAnsi="Times New Roman" w:eastAsia="宋体" w:cs="Times New Roman"/>
          <w:spacing w:val="6"/>
          <w:sz w:val="20"/>
          <w:szCs w:val="20"/>
          <w:highlight w:val="none"/>
          <w14:textOutline w14:w="3795" w14:cap="sq" w14:cmpd="sng">
            <w14:solidFill>
              <w14:srgbClr w14:val="000000"/>
            </w14:solidFill>
            <w14:prstDash w14:val="solid"/>
            <w14:bevel/>
          </w14:textOutline>
        </w:rPr>
        <w:t>污染物排放清单一览表</w:t>
      </w:r>
    </w:p>
    <w:tbl>
      <w:tblPr>
        <w:tblStyle w:val="24"/>
        <w:tblW w:w="14732" w:type="dxa"/>
        <w:tblInd w:w="-46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0"/>
        <w:gridCol w:w="421"/>
        <w:gridCol w:w="1273"/>
        <w:gridCol w:w="1122"/>
        <w:gridCol w:w="3289"/>
        <w:gridCol w:w="1693"/>
        <w:gridCol w:w="1134"/>
        <w:gridCol w:w="2977"/>
        <w:gridCol w:w="1674"/>
        <w:gridCol w:w="1"/>
        <w:gridCol w:w="145"/>
        <w:gridCol w:w="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228" w:hRule="atLeast"/>
        </w:trPr>
        <w:tc>
          <w:tcPr>
            <w:tcW w:w="1000" w:type="dxa"/>
            <w:tcBorders>
              <w:top w:val="single" w:color="auto" w:sz="12" w:space="0"/>
              <w:bottom w:val="single" w:color="auto" w:sz="4" w:space="0"/>
            </w:tcBorders>
            <w:shd w:val="clear" w:color="auto" w:fill="DDD9C3"/>
            <w:vAlign w:val="center"/>
          </w:tcPr>
          <w:p>
            <w:pPr>
              <w:tabs>
                <w:tab w:val="left" w:pos="360"/>
              </w:tabs>
              <w:autoSpaceDE w:val="0"/>
              <w:autoSpaceDN w:val="0"/>
              <w:spacing w:line="0" w:lineRule="atLeast"/>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类别</w:t>
            </w:r>
          </w:p>
        </w:tc>
        <w:tc>
          <w:tcPr>
            <w:tcW w:w="1694" w:type="dxa"/>
            <w:gridSpan w:val="2"/>
            <w:tcBorders>
              <w:top w:val="single" w:color="auto" w:sz="12" w:space="0"/>
              <w:bottom w:val="single" w:color="auto" w:sz="4" w:space="0"/>
            </w:tcBorders>
            <w:shd w:val="clear" w:color="auto" w:fill="DDD9C3"/>
            <w:vAlign w:val="center"/>
          </w:tcPr>
          <w:p>
            <w:pPr>
              <w:tabs>
                <w:tab w:val="left" w:pos="360"/>
              </w:tabs>
              <w:autoSpaceDE w:val="0"/>
              <w:autoSpaceDN w:val="0"/>
              <w:spacing w:line="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项目</w:t>
            </w:r>
          </w:p>
        </w:tc>
        <w:tc>
          <w:tcPr>
            <w:tcW w:w="1122" w:type="dxa"/>
            <w:tcBorders>
              <w:top w:val="single" w:color="auto" w:sz="12" w:space="0"/>
              <w:bottom w:val="single" w:color="auto" w:sz="4" w:space="0"/>
            </w:tcBorders>
            <w:shd w:val="clear" w:color="auto" w:fill="DDD9C3"/>
            <w:vAlign w:val="center"/>
          </w:tcPr>
          <w:p>
            <w:pPr>
              <w:tabs>
                <w:tab w:val="left" w:pos="360"/>
              </w:tabs>
              <w:autoSpaceDE w:val="0"/>
              <w:autoSpaceDN w:val="0"/>
              <w:spacing w:line="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污染因子</w:t>
            </w:r>
          </w:p>
        </w:tc>
        <w:tc>
          <w:tcPr>
            <w:tcW w:w="3289" w:type="dxa"/>
            <w:tcBorders>
              <w:top w:val="single" w:color="auto" w:sz="12" w:space="0"/>
              <w:bottom w:val="single" w:color="auto" w:sz="4" w:space="0"/>
            </w:tcBorders>
            <w:shd w:val="clear" w:color="auto" w:fill="DDD9C3"/>
            <w:vAlign w:val="center"/>
          </w:tcPr>
          <w:p>
            <w:pPr>
              <w:tabs>
                <w:tab w:val="left" w:pos="360"/>
              </w:tabs>
              <w:autoSpaceDE w:val="0"/>
              <w:autoSpaceDN w:val="0"/>
              <w:spacing w:line="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污染防治措施</w:t>
            </w:r>
          </w:p>
        </w:tc>
        <w:tc>
          <w:tcPr>
            <w:tcW w:w="1693" w:type="dxa"/>
            <w:tcBorders>
              <w:top w:val="single" w:color="auto" w:sz="12" w:space="0"/>
              <w:bottom w:val="single" w:color="auto" w:sz="4" w:space="0"/>
            </w:tcBorders>
            <w:shd w:val="clear" w:color="auto" w:fill="DDD9C3"/>
            <w:vAlign w:val="center"/>
          </w:tcPr>
          <w:p>
            <w:pPr>
              <w:tabs>
                <w:tab w:val="left" w:pos="360"/>
              </w:tabs>
              <w:autoSpaceDE w:val="0"/>
              <w:autoSpaceDN w:val="0"/>
              <w:spacing w:line="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排放浓度</w:t>
            </w:r>
          </w:p>
        </w:tc>
        <w:tc>
          <w:tcPr>
            <w:tcW w:w="1134" w:type="dxa"/>
            <w:tcBorders>
              <w:top w:val="single" w:color="auto" w:sz="12" w:space="0"/>
              <w:bottom w:val="single" w:color="auto" w:sz="4" w:space="0"/>
            </w:tcBorders>
            <w:shd w:val="clear" w:color="auto" w:fill="DDD9C3"/>
            <w:vAlign w:val="center"/>
          </w:tcPr>
          <w:p>
            <w:pPr>
              <w:tabs>
                <w:tab w:val="left" w:pos="360"/>
              </w:tabs>
              <w:autoSpaceDE w:val="0"/>
              <w:autoSpaceDN w:val="0"/>
              <w:spacing w:line="0" w:lineRule="atLeast"/>
              <w:jc w:val="center"/>
              <w:rPr>
                <w:rFonts w:hint="default" w:ascii="Times New Roman" w:hAnsi="Times New Roman" w:cs="Times New Roman"/>
                <w:b/>
                <w:bCs/>
                <w:color w:val="auto"/>
                <w:spacing w:val="-20"/>
                <w:szCs w:val="21"/>
                <w:highlight w:val="none"/>
              </w:rPr>
            </w:pPr>
            <w:r>
              <w:rPr>
                <w:rFonts w:hint="default" w:ascii="Times New Roman" w:hAnsi="Times New Roman" w:cs="Times New Roman"/>
                <w:b/>
                <w:bCs/>
                <w:color w:val="auto"/>
                <w:spacing w:val="-20"/>
                <w:szCs w:val="21"/>
                <w:highlight w:val="none"/>
              </w:rPr>
              <w:t>总量指标</w:t>
            </w:r>
          </w:p>
        </w:tc>
        <w:tc>
          <w:tcPr>
            <w:tcW w:w="2977" w:type="dxa"/>
            <w:tcBorders>
              <w:top w:val="single" w:color="auto" w:sz="12" w:space="0"/>
              <w:bottom w:val="single" w:color="auto" w:sz="4" w:space="0"/>
            </w:tcBorders>
            <w:shd w:val="clear" w:color="auto" w:fill="DDD9C3"/>
            <w:vAlign w:val="center"/>
          </w:tcPr>
          <w:p>
            <w:pPr>
              <w:tabs>
                <w:tab w:val="left" w:pos="360"/>
              </w:tabs>
              <w:autoSpaceDE w:val="0"/>
              <w:autoSpaceDN w:val="0"/>
              <w:spacing w:line="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排放标准</w:t>
            </w:r>
          </w:p>
        </w:tc>
        <w:tc>
          <w:tcPr>
            <w:tcW w:w="1674" w:type="dxa"/>
            <w:tcBorders>
              <w:top w:val="single" w:color="auto" w:sz="12" w:space="0"/>
              <w:bottom w:val="single" w:color="auto" w:sz="4" w:space="0"/>
            </w:tcBorders>
            <w:shd w:val="clear" w:color="auto" w:fill="DDD9C3"/>
            <w:vAlign w:val="center"/>
          </w:tcPr>
          <w:p>
            <w:pPr>
              <w:tabs>
                <w:tab w:val="left" w:pos="360"/>
              </w:tabs>
              <w:autoSpaceDE w:val="0"/>
              <w:autoSpaceDN w:val="0"/>
              <w:spacing w:line="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排放口信息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665" w:hRule="atLeast"/>
        </w:trPr>
        <w:tc>
          <w:tcPr>
            <w:tcW w:w="1000" w:type="dxa"/>
            <w:vMerge w:val="restart"/>
            <w:tcBorders>
              <w:top w:val="single" w:color="auto" w:sz="4" w:space="0"/>
            </w:tcBorders>
            <w:vAlign w:val="center"/>
          </w:tcPr>
          <w:p>
            <w:pPr>
              <w:spacing w:line="0" w:lineRule="atLeast"/>
              <w:rPr>
                <w:rFonts w:hint="default" w:ascii="Times New Roman" w:hAnsi="Times New Roman" w:cs="Times New Roman"/>
                <w:color w:val="auto"/>
                <w:szCs w:val="21"/>
              </w:rPr>
            </w:pPr>
            <w:r>
              <w:rPr>
                <w:rFonts w:hint="default" w:ascii="Times New Roman" w:hAnsi="Times New Roman" w:cs="Times New Roman"/>
                <w:color w:val="auto"/>
                <w:szCs w:val="21"/>
              </w:rPr>
              <w:t>废气</w:t>
            </w:r>
          </w:p>
        </w:tc>
        <w:tc>
          <w:tcPr>
            <w:tcW w:w="421" w:type="dxa"/>
            <w:vMerge w:val="restart"/>
            <w:tcBorders>
              <w:top w:val="single" w:color="auto" w:sz="4" w:space="0"/>
            </w:tcBorders>
            <w:vAlign w:val="center"/>
          </w:tcPr>
          <w:p>
            <w:pPr>
              <w:spacing w:line="0" w:lineRule="atLeast"/>
              <w:rPr>
                <w:rFonts w:hint="default" w:ascii="Times New Roman" w:hAnsi="Times New Roman" w:cs="Times New Roman"/>
                <w:color w:val="auto"/>
                <w:szCs w:val="21"/>
              </w:rPr>
            </w:pPr>
            <w:r>
              <w:rPr>
                <w:rFonts w:hint="default" w:ascii="Times New Roman" w:hAnsi="Times New Roman" w:cs="Times New Roman"/>
                <w:color w:val="auto"/>
                <w:szCs w:val="21"/>
              </w:rPr>
              <w:t>有组织</w:t>
            </w:r>
          </w:p>
        </w:tc>
        <w:tc>
          <w:tcPr>
            <w:tcW w:w="1273" w:type="dxa"/>
            <w:vMerge w:val="restart"/>
            <w:tcBorders>
              <w:top w:val="single" w:color="auto" w:sz="4" w:space="0"/>
            </w:tcBorders>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屠宰</w:t>
            </w:r>
            <w:r>
              <w:rPr>
                <w:rFonts w:hint="eastAsia" w:ascii="Times New Roman" w:hAnsi="Times New Roman" w:eastAsia="宋体" w:cs="Times New Roman"/>
                <w:color w:val="auto"/>
                <w:szCs w:val="21"/>
                <w:lang w:val="en-US" w:eastAsia="zh-CN"/>
              </w:rPr>
              <w:t>加工</w:t>
            </w:r>
            <w:r>
              <w:rPr>
                <w:rFonts w:hint="default" w:ascii="Times New Roman" w:hAnsi="Times New Roman" w:cs="Times New Roman"/>
                <w:color w:val="auto"/>
                <w:szCs w:val="21"/>
              </w:rPr>
              <w:t>车间排气筒</w:t>
            </w:r>
          </w:p>
        </w:tc>
        <w:tc>
          <w:tcPr>
            <w:tcW w:w="1122" w:type="dxa"/>
            <w:tcBorders>
              <w:top w:val="single" w:color="auto" w:sz="4" w:space="0"/>
              <w:bottom w:val="single" w:color="auto" w:sz="4" w:space="0"/>
            </w:tcBorders>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NH</w:t>
            </w:r>
            <w:r>
              <w:rPr>
                <w:rFonts w:hint="default" w:ascii="Times New Roman" w:hAnsi="Times New Roman" w:cs="Times New Roman"/>
                <w:color w:val="auto"/>
                <w:szCs w:val="21"/>
                <w:vertAlign w:val="subscript"/>
              </w:rPr>
              <w:t>3</w:t>
            </w:r>
          </w:p>
        </w:tc>
        <w:tc>
          <w:tcPr>
            <w:tcW w:w="3289" w:type="dxa"/>
            <w:vMerge w:val="restart"/>
            <w:tcBorders>
              <w:top w:val="single" w:color="auto" w:sz="4" w:space="0"/>
            </w:tcBorders>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snapToGrid w:val="0"/>
                <w:color w:val="auto"/>
                <w:kern w:val="0"/>
                <w:szCs w:val="21"/>
              </w:rPr>
              <w:t>屠宰车间封闭，</w:t>
            </w:r>
            <w:r>
              <w:rPr>
                <w:rFonts w:hint="default" w:ascii="Times New Roman" w:hAnsi="Times New Roman" w:cs="Times New Roman"/>
                <w:bCs/>
                <w:snapToGrid w:val="0"/>
                <w:color w:val="auto"/>
                <w:kern w:val="0"/>
                <w:szCs w:val="21"/>
              </w:rPr>
              <w:t>产生的恶臭气体经负压集中收集后，通过活性炭吸附净化后由15m高排气筒（DA00</w:t>
            </w:r>
            <w:r>
              <w:rPr>
                <w:rFonts w:hint="eastAsia" w:ascii="Times New Roman" w:hAnsi="Times New Roman" w:eastAsia="宋体" w:cs="Times New Roman"/>
                <w:bCs/>
                <w:snapToGrid w:val="0"/>
                <w:color w:val="auto"/>
                <w:kern w:val="0"/>
                <w:szCs w:val="21"/>
                <w:lang w:val="en-US" w:eastAsia="zh-CN"/>
              </w:rPr>
              <w:t>3</w:t>
            </w:r>
            <w:r>
              <w:rPr>
                <w:rFonts w:hint="default" w:ascii="Times New Roman" w:hAnsi="Times New Roman" w:cs="Times New Roman"/>
                <w:bCs/>
                <w:snapToGrid w:val="0"/>
                <w:color w:val="auto"/>
                <w:kern w:val="0"/>
                <w:szCs w:val="21"/>
              </w:rPr>
              <w:t>）排放</w:t>
            </w:r>
          </w:p>
        </w:tc>
        <w:tc>
          <w:tcPr>
            <w:tcW w:w="1693" w:type="dxa"/>
            <w:tcBorders>
              <w:top w:val="single" w:color="auto" w:sz="4" w:space="0"/>
              <w:bottom w:val="single" w:color="auto" w:sz="4" w:space="0"/>
            </w:tcBorders>
            <w:vAlign w:val="center"/>
          </w:tcPr>
          <w:p>
            <w:pPr>
              <w:pStyle w:val="36"/>
              <w:spacing w:line="0" w:lineRule="atLeast"/>
              <w:rPr>
                <w:rFonts w:hint="default" w:ascii="Times New Roman" w:hAnsi="Times New Roman" w:cs="Times New Roman"/>
                <w:snapToGrid w:val="0"/>
                <w:color w:val="auto"/>
              </w:rPr>
            </w:pPr>
            <w:r>
              <w:rPr>
                <w:rFonts w:hint="eastAsia" w:ascii="Times New Roman" w:hAnsi="Times New Roman" w:cs="Times New Roman"/>
                <w:snapToGrid w:val="0"/>
                <w:color w:val="auto"/>
                <w:lang w:val="en-US" w:eastAsia="zh-CN"/>
              </w:rPr>
              <w:t>0.67</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c>
          <w:tcPr>
            <w:tcW w:w="1134" w:type="dxa"/>
            <w:tcBorders>
              <w:top w:val="single" w:color="auto" w:sz="4" w:space="0"/>
              <w:bottom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szCs w:val="21"/>
                <w:lang w:val="en-US"/>
              </w:rPr>
            </w:pPr>
            <w:r>
              <w:rPr>
                <w:rFonts w:hint="default" w:ascii="Times New Roman" w:hAnsi="Times New Roman" w:eastAsia="宋体" w:cs="Times New Roman"/>
                <w:i w:val="0"/>
                <w:iCs w:val="0"/>
                <w:snapToGrid w:val="0"/>
                <w:color w:val="000000"/>
                <w:kern w:val="0"/>
                <w:sz w:val="21"/>
                <w:szCs w:val="21"/>
                <w:u w:val="none"/>
                <w:lang w:val="en-US" w:eastAsia="zh-CN" w:bidi="ar"/>
              </w:rPr>
              <w:t>0.0054</w:t>
            </w:r>
            <w:r>
              <w:rPr>
                <w:rFonts w:hint="eastAsia" w:ascii="Times New Roman" w:hAnsi="Times New Roman" w:eastAsia="宋体" w:cs="Times New Roman"/>
                <w:i w:val="0"/>
                <w:iCs w:val="0"/>
                <w:snapToGrid w:val="0"/>
                <w:color w:val="000000"/>
                <w:kern w:val="0"/>
                <w:sz w:val="21"/>
                <w:szCs w:val="21"/>
                <w:u w:val="none"/>
                <w:lang w:val="en-US" w:eastAsia="zh-CN" w:bidi="ar"/>
              </w:rPr>
              <w:t>t/a</w:t>
            </w:r>
          </w:p>
        </w:tc>
        <w:tc>
          <w:tcPr>
            <w:tcW w:w="2977" w:type="dxa"/>
            <w:vMerge w:val="restart"/>
            <w:tcBorders>
              <w:top w:val="single" w:color="auto" w:sz="4" w:space="0"/>
            </w:tcBorders>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满足《恶臭污染物排放标准》（GB14554-93）表2标准要求</w:t>
            </w:r>
          </w:p>
        </w:tc>
        <w:tc>
          <w:tcPr>
            <w:tcW w:w="1674" w:type="dxa"/>
            <w:vMerge w:val="restart"/>
            <w:tcBorders>
              <w:top w:val="single" w:color="auto" w:sz="4" w:space="0"/>
            </w:tcBorders>
            <w:vAlign w:val="center"/>
          </w:tcPr>
          <w:p>
            <w:pPr>
              <w:spacing w:line="0" w:lineRule="atLeast"/>
              <w:rPr>
                <w:rFonts w:hint="default" w:ascii="Times New Roman" w:hAnsi="Times New Roman" w:cs="Times New Roman"/>
                <w:color w:val="auto"/>
                <w:szCs w:val="21"/>
              </w:rPr>
            </w:pPr>
          </w:p>
          <w:p>
            <w:pPr>
              <w:spacing w:line="0" w:lineRule="atLeast"/>
              <w:rPr>
                <w:rFonts w:hint="default" w:ascii="Times New Roman" w:hAnsi="Times New Roman" w:cs="Times New Roman"/>
                <w:color w:val="auto"/>
                <w:szCs w:val="21"/>
              </w:rPr>
            </w:pPr>
            <w:r>
              <w:rPr>
                <w:rFonts w:hint="default" w:ascii="Times New Roman" w:hAnsi="Times New Roman" w:cs="Times New Roman"/>
                <w:color w:val="auto"/>
                <w:szCs w:val="21"/>
              </w:rPr>
              <w:drawing>
                <wp:anchor distT="0" distB="0" distL="114300" distR="114300" simplePos="0" relativeHeight="251797504" behindDoc="0" locked="0" layoutInCell="1" allowOverlap="1">
                  <wp:simplePos x="0" y="0"/>
                  <wp:positionH relativeFrom="column">
                    <wp:posOffset>229870</wp:posOffset>
                  </wp:positionH>
                  <wp:positionV relativeFrom="paragraph">
                    <wp:posOffset>-13970</wp:posOffset>
                  </wp:positionV>
                  <wp:extent cx="640080" cy="609600"/>
                  <wp:effectExtent l="0" t="0" r="7620" b="0"/>
                  <wp:wrapNone/>
                  <wp:docPr id="27"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39"/>
                          <pic:cNvPicPr>
                            <a:picLocks noChangeAspect="1" noChangeArrowheads="1"/>
                          </pic:cNvPicPr>
                        </pic:nvPicPr>
                        <pic:blipFill>
                          <a:blip r:embed="rId80" cstate="print"/>
                          <a:srcRect/>
                          <a:stretch>
                            <a:fillRect/>
                          </a:stretch>
                        </pic:blipFill>
                        <pic:spPr>
                          <a:xfrm>
                            <a:off x="0" y="0"/>
                            <a:ext cx="640080" cy="609600"/>
                          </a:xfrm>
                          <a:prstGeom prst="rect">
                            <a:avLst/>
                          </a:prstGeom>
                          <a:noFill/>
                          <a:ln w="9525">
                            <a:noFill/>
                            <a:miter lim="800000"/>
                            <a:headEnd/>
                            <a:tailEnd/>
                          </a:ln>
                        </pic:spPr>
                      </pic:pic>
                    </a:graphicData>
                  </a:graphic>
                </wp:anchor>
              </w:drawing>
            </w:r>
          </w:p>
          <w:p>
            <w:pPr>
              <w:spacing w:line="0" w:lineRule="atLeast"/>
              <w:jc w:val="center"/>
              <w:rPr>
                <w:rFonts w:hint="default" w:ascii="Times New Roman" w:hAnsi="Times New Roman" w:cs="Times New Roman"/>
                <w:color w:val="auto"/>
                <w:szCs w:val="21"/>
              </w:rPr>
            </w:pPr>
          </w:p>
          <w:p>
            <w:pPr>
              <w:spacing w:line="0" w:lineRule="atLeast"/>
              <w:jc w:val="center"/>
              <w:rPr>
                <w:rFonts w:hint="default" w:ascii="Times New Roman" w:hAnsi="Times New Roman" w:cs="Times New Roman"/>
                <w:color w:val="auto"/>
                <w:szCs w:val="21"/>
              </w:rPr>
            </w:pPr>
          </w:p>
          <w:p>
            <w:pPr>
              <w:spacing w:line="0" w:lineRule="atLeast"/>
              <w:jc w:val="center"/>
              <w:rPr>
                <w:rFonts w:hint="default" w:ascii="Times New Roman" w:hAnsi="Times New Roman" w:cs="Times New Roman"/>
                <w:color w:val="auto"/>
                <w:szCs w:val="21"/>
              </w:rPr>
            </w:pPr>
          </w:p>
          <w:p>
            <w:pPr>
              <w:spacing w:line="0" w:lineRule="atLeast"/>
              <w:jc w:val="center"/>
              <w:rPr>
                <w:rFonts w:hint="default" w:ascii="Times New Roman" w:hAnsi="Times New Roman" w:cs="Times New Roman"/>
                <w:b/>
                <w:bCs/>
                <w:color w:val="auto"/>
                <w:szCs w:val="21"/>
              </w:rPr>
            </w:pPr>
            <w:r>
              <w:rPr>
                <w:rFonts w:hint="default" w:ascii="Times New Roman" w:hAnsi="Times New Roman" w:cs="Times New Roman"/>
                <w:color w:val="auto"/>
                <w:szCs w:val="21"/>
              </w:rPr>
              <w:drawing>
                <wp:anchor distT="0" distB="0" distL="114300" distR="114300" simplePos="0" relativeHeight="251798528" behindDoc="0" locked="0" layoutInCell="1" allowOverlap="1">
                  <wp:simplePos x="0" y="0"/>
                  <wp:positionH relativeFrom="column">
                    <wp:posOffset>239395</wp:posOffset>
                  </wp:positionH>
                  <wp:positionV relativeFrom="paragraph">
                    <wp:posOffset>153670</wp:posOffset>
                  </wp:positionV>
                  <wp:extent cx="772795" cy="542925"/>
                  <wp:effectExtent l="0" t="0" r="8255" b="9525"/>
                  <wp:wrapNone/>
                  <wp:docPr id="29"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40"/>
                          <pic:cNvPicPr>
                            <a:picLocks noChangeAspect="1" noChangeArrowheads="1"/>
                          </pic:cNvPicPr>
                        </pic:nvPicPr>
                        <pic:blipFill>
                          <a:blip r:embed="rId81" cstate="print"/>
                          <a:srcRect/>
                          <a:stretch>
                            <a:fillRect/>
                          </a:stretch>
                        </pic:blipFill>
                        <pic:spPr>
                          <a:xfrm>
                            <a:off x="0" y="0"/>
                            <a:ext cx="772795" cy="542925"/>
                          </a:xfrm>
                          <a:prstGeom prst="rect">
                            <a:avLst/>
                          </a:prstGeom>
                          <a:noFill/>
                          <a:ln w="9525">
                            <a:noFill/>
                            <a:miter lim="800000"/>
                            <a:headEnd/>
                            <a:tailEnd/>
                          </a:ln>
                        </pic:spPr>
                      </pic:pic>
                    </a:graphicData>
                  </a:graphic>
                </wp:anchor>
              </w:drawing>
            </w:r>
            <w:r>
              <w:rPr>
                <w:rFonts w:hint="default" w:ascii="Times New Roman" w:hAnsi="Times New Roman" w:cs="Times New Roman"/>
                <w:b/>
                <w:bCs/>
                <w:color w:val="auto"/>
                <w:szCs w:val="21"/>
              </w:rPr>
              <w:t>提示图形符号</w:t>
            </w:r>
          </w:p>
          <w:p>
            <w:pPr>
              <w:spacing w:line="0" w:lineRule="atLeast"/>
              <w:rPr>
                <w:rFonts w:hint="default" w:ascii="Times New Roman" w:hAnsi="Times New Roman" w:cs="Times New Roman"/>
                <w:color w:val="auto"/>
                <w:szCs w:val="21"/>
              </w:rPr>
            </w:pPr>
          </w:p>
          <w:p>
            <w:pPr>
              <w:spacing w:line="0" w:lineRule="atLeast"/>
              <w:rPr>
                <w:rFonts w:hint="default" w:ascii="Times New Roman" w:hAnsi="Times New Roman" w:cs="Times New Roman"/>
                <w:color w:val="auto"/>
                <w:szCs w:val="21"/>
              </w:rPr>
            </w:pPr>
          </w:p>
          <w:p>
            <w:pPr>
              <w:spacing w:line="0" w:lineRule="atLeast"/>
              <w:rPr>
                <w:rFonts w:hint="default" w:ascii="Times New Roman" w:hAnsi="Times New Roman" w:cs="Times New Roman"/>
                <w:color w:val="auto"/>
                <w:szCs w:val="21"/>
              </w:rPr>
            </w:pPr>
          </w:p>
          <w:p>
            <w:pPr>
              <w:spacing w:line="0" w:lineRule="atLeast"/>
              <w:rPr>
                <w:rFonts w:hint="default" w:ascii="Times New Roman" w:hAnsi="Times New Roman" w:cs="Times New Roman"/>
                <w:color w:val="auto"/>
                <w:szCs w:val="21"/>
              </w:rPr>
            </w:pPr>
          </w:p>
          <w:p>
            <w:pPr>
              <w:spacing w:line="0" w:lineRule="atLeast"/>
              <w:rPr>
                <w:rFonts w:hint="default" w:ascii="Times New Roman" w:hAnsi="Times New Roman" w:cs="Times New Roman"/>
                <w:color w:val="auto"/>
                <w:szCs w:val="21"/>
              </w:rPr>
            </w:pPr>
            <w:r>
              <w:rPr>
                <w:rFonts w:hint="default" w:ascii="Times New Roman" w:hAnsi="Times New Roman" w:cs="Times New Roman"/>
                <w:b/>
                <w:bCs/>
                <w:color w:val="auto"/>
                <w:szCs w:val="21"/>
              </w:rPr>
              <w:t>警告图形符号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rFonts w:hint="default" w:ascii="Times New Roman" w:hAnsi="Times New Roman" w:cs="Times New Roman"/>
                <w:color w:val="auto"/>
                <w:szCs w:val="21"/>
              </w:rPr>
            </w:pPr>
          </w:p>
        </w:tc>
        <w:tc>
          <w:tcPr>
            <w:tcW w:w="421" w:type="dxa"/>
            <w:vMerge w:val="continue"/>
            <w:vAlign w:val="center"/>
          </w:tcPr>
          <w:p>
            <w:pPr>
              <w:spacing w:line="0" w:lineRule="atLeast"/>
              <w:rPr>
                <w:rFonts w:hint="default" w:ascii="Times New Roman" w:hAnsi="Times New Roman" w:cs="Times New Roman"/>
                <w:color w:val="auto"/>
                <w:szCs w:val="21"/>
              </w:rPr>
            </w:pPr>
          </w:p>
        </w:tc>
        <w:tc>
          <w:tcPr>
            <w:tcW w:w="1273" w:type="dxa"/>
            <w:vMerge w:val="continue"/>
            <w:vAlign w:val="center"/>
          </w:tcPr>
          <w:p>
            <w:pPr>
              <w:spacing w:line="0" w:lineRule="atLeast"/>
              <w:jc w:val="center"/>
              <w:rPr>
                <w:rFonts w:hint="default" w:ascii="Times New Roman" w:hAnsi="Times New Roman" w:cs="Times New Roman"/>
                <w:color w:val="auto"/>
                <w:szCs w:val="21"/>
              </w:rPr>
            </w:pPr>
          </w:p>
        </w:tc>
        <w:tc>
          <w:tcPr>
            <w:tcW w:w="1122" w:type="dxa"/>
            <w:tcBorders>
              <w:top w:val="single" w:color="auto" w:sz="4" w:space="0"/>
            </w:tcBorders>
            <w:vAlign w:val="center"/>
          </w:tcPr>
          <w:p>
            <w:pPr>
              <w:autoSpaceDE w:val="0"/>
              <w:autoSpaceDN w:val="0"/>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H</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S</w:t>
            </w:r>
          </w:p>
        </w:tc>
        <w:tc>
          <w:tcPr>
            <w:tcW w:w="3289" w:type="dxa"/>
            <w:vMerge w:val="continue"/>
            <w:vAlign w:val="center"/>
          </w:tcPr>
          <w:p>
            <w:pPr>
              <w:spacing w:line="0" w:lineRule="atLeast"/>
              <w:jc w:val="center"/>
              <w:rPr>
                <w:rFonts w:hint="default" w:ascii="Times New Roman" w:hAnsi="Times New Roman" w:cs="Times New Roman"/>
                <w:color w:val="auto"/>
                <w:szCs w:val="21"/>
              </w:rPr>
            </w:pPr>
          </w:p>
        </w:tc>
        <w:tc>
          <w:tcPr>
            <w:tcW w:w="1693" w:type="dxa"/>
            <w:tcBorders>
              <w:top w:val="single" w:color="auto" w:sz="4" w:space="0"/>
            </w:tcBorders>
            <w:vAlign w:val="center"/>
          </w:tcPr>
          <w:p>
            <w:pPr>
              <w:pStyle w:val="36"/>
              <w:spacing w:line="0" w:lineRule="atLeast"/>
              <w:rPr>
                <w:rFonts w:hint="default" w:ascii="Times New Roman" w:hAnsi="Times New Roman" w:cs="Times New Roman"/>
                <w:snapToGrid w:val="0"/>
                <w:color w:val="auto"/>
              </w:rPr>
            </w:pPr>
            <w:r>
              <w:rPr>
                <w:rFonts w:hint="eastAsia" w:ascii="Times New Roman" w:hAnsi="Times New Roman" w:cs="Times New Roman"/>
                <w:snapToGrid w:val="0"/>
                <w:color w:val="auto"/>
                <w:lang w:val="en-US" w:eastAsia="zh-CN"/>
              </w:rPr>
              <w:t>0.03</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c>
          <w:tcPr>
            <w:tcW w:w="1134" w:type="dxa"/>
            <w:tcBorders>
              <w:top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0.000</w:t>
            </w:r>
            <w:r>
              <w:rPr>
                <w:rFonts w:hint="eastAsia" w:ascii="Times New Roman" w:hAnsi="Times New Roman" w:eastAsia="宋体" w:cs="Times New Roman"/>
                <w:i w:val="0"/>
                <w:iCs w:val="0"/>
                <w:snapToGrid w:val="0"/>
                <w:color w:val="000000"/>
                <w:kern w:val="0"/>
                <w:sz w:val="21"/>
                <w:szCs w:val="21"/>
                <w:u w:val="none"/>
                <w:lang w:val="en-US" w:eastAsia="zh-CN" w:bidi="ar"/>
              </w:rPr>
              <w:t>3t/a</w:t>
            </w:r>
          </w:p>
        </w:tc>
        <w:tc>
          <w:tcPr>
            <w:tcW w:w="2977" w:type="dxa"/>
            <w:vMerge w:val="continue"/>
            <w:vAlign w:val="center"/>
          </w:tcPr>
          <w:p>
            <w:pPr>
              <w:spacing w:line="0" w:lineRule="atLeast"/>
              <w:rPr>
                <w:rFonts w:hint="default" w:ascii="Times New Roman" w:hAnsi="Times New Roman" w:cs="Times New Roman"/>
                <w:color w:val="FF0000"/>
                <w:szCs w:val="21"/>
              </w:rPr>
            </w:pPr>
          </w:p>
        </w:tc>
        <w:tc>
          <w:tcPr>
            <w:tcW w:w="1674" w:type="dxa"/>
            <w:vMerge w:val="continue"/>
            <w:vAlign w:val="center"/>
          </w:tcPr>
          <w:p>
            <w:pPr>
              <w:spacing w:line="0" w:lineRule="atLeast"/>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496" w:hRule="atLeast"/>
        </w:trPr>
        <w:tc>
          <w:tcPr>
            <w:tcW w:w="1000" w:type="dxa"/>
            <w:vMerge w:val="continue"/>
            <w:vAlign w:val="center"/>
          </w:tcPr>
          <w:p>
            <w:pPr>
              <w:spacing w:line="0" w:lineRule="atLeast"/>
              <w:rPr>
                <w:rFonts w:hint="default" w:ascii="Times New Roman" w:hAnsi="Times New Roman" w:cs="Times New Roman"/>
                <w:color w:val="auto"/>
                <w:szCs w:val="21"/>
              </w:rPr>
            </w:pPr>
          </w:p>
        </w:tc>
        <w:tc>
          <w:tcPr>
            <w:tcW w:w="421" w:type="dxa"/>
            <w:vMerge w:val="continue"/>
            <w:vAlign w:val="center"/>
          </w:tcPr>
          <w:p>
            <w:pPr>
              <w:spacing w:line="0" w:lineRule="atLeast"/>
              <w:rPr>
                <w:rFonts w:hint="default" w:ascii="Times New Roman" w:hAnsi="Times New Roman" w:cs="Times New Roman"/>
                <w:color w:val="auto"/>
                <w:szCs w:val="21"/>
              </w:rPr>
            </w:pPr>
          </w:p>
        </w:tc>
        <w:tc>
          <w:tcPr>
            <w:tcW w:w="1273" w:type="dxa"/>
            <w:vMerge w:val="continue"/>
            <w:vAlign w:val="center"/>
          </w:tcPr>
          <w:p>
            <w:pPr>
              <w:spacing w:line="0" w:lineRule="atLeast"/>
              <w:jc w:val="center"/>
              <w:rPr>
                <w:rFonts w:hint="default" w:ascii="Times New Roman" w:hAnsi="Times New Roman" w:cs="Times New Roman"/>
                <w:color w:val="auto"/>
                <w:szCs w:val="21"/>
              </w:rPr>
            </w:pPr>
          </w:p>
        </w:tc>
        <w:tc>
          <w:tcPr>
            <w:tcW w:w="1122" w:type="dxa"/>
            <w:tcBorders>
              <w:top w:val="single" w:color="auto" w:sz="4" w:space="0"/>
            </w:tcBorders>
            <w:vAlign w:val="center"/>
          </w:tcPr>
          <w:p>
            <w:pPr>
              <w:autoSpaceDE w:val="0"/>
              <w:autoSpaceDN w:val="0"/>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臭气浓度</w:t>
            </w:r>
          </w:p>
        </w:tc>
        <w:tc>
          <w:tcPr>
            <w:tcW w:w="3289" w:type="dxa"/>
            <w:vMerge w:val="continue"/>
            <w:vAlign w:val="center"/>
          </w:tcPr>
          <w:p>
            <w:pPr>
              <w:spacing w:line="0" w:lineRule="atLeast"/>
              <w:jc w:val="center"/>
              <w:rPr>
                <w:rFonts w:hint="default" w:ascii="Times New Roman" w:hAnsi="Times New Roman" w:cs="Times New Roman"/>
                <w:color w:val="auto"/>
                <w:szCs w:val="21"/>
              </w:rPr>
            </w:pPr>
          </w:p>
        </w:tc>
        <w:tc>
          <w:tcPr>
            <w:tcW w:w="2827" w:type="dxa"/>
            <w:gridSpan w:val="2"/>
            <w:tcBorders>
              <w:top w:val="single" w:color="auto" w:sz="4" w:space="0"/>
            </w:tcBorders>
            <w:vAlign w:val="center"/>
          </w:tcPr>
          <w:p>
            <w:pPr>
              <w:pStyle w:val="36"/>
              <w:spacing w:line="0" w:lineRule="atLeast"/>
              <w:rPr>
                <w:rFonts w:hint="default" w:ascii="Times New Roman" w:hAnsi="Times New Roman" w:cs="Times New Roman"/>
                <w:color w:val="auto"/>
                <w:szCs w:val="21"/>
              </w:rPr>
            </w:pPr>
            <w:r>
              <w:rPr>
                <w:rFonts w:hint="eastAsia" w:ascii="Times New Roman" w:hAnsi="Times New Roman" w:cs="Times New Roman"/>
                <w:color w:val="auto"/>
                <w:lang w:val="en-US" w:eastAsia="zh-CN"/>
              </w:rPr>
              <w:t>609</w:t>
            </w:r>
            <w:r>
              <w:rPr>
                <w:rFonts w:hint="default" w:ascii="Times New Roman" w:hAnsi="Times New Roman" w:cs="Times New Roman"/>
                <w:color w:val="auto"/>
              </w:rPr>
              <w:t>（无量纲）</w:t>
            </w:r>
          </w:p>
        </w:tc>
        <w:tc>
          <w:tcPr>
            <w:tcW w:w="2977" w:type="dxa"/>
            <w:vMerge w:val="continue"/>
            <w:vAlign w:val="center"/>
          </w:tcPr>
          <w:p>
            <w:pPr>
              <w:spacing w:line="0" w:lineRule="atLeast"/>
              <w:rPr>
                <w:rFonts w:hint="default" w:ascii="Times New Roman" w:hAnsi="Times New Roman" w:cs="Times New Roman"/>
                <w:color w:val="FF0000"/>
                <w:szCs w:val="21"/>
              </w:rPr>
            </w:pPr>
          </w:p>
        </w:tc>
        <w:tc>
          <w:tcPr>
            <w:tcW w:w="1674" w:type="dxa"/>
            <w:vMerge w:val="continue"/>
            <w:vAlign w:val="center"/>
          </w:tcPr>
          <w:p>
            <w:pPr>
              <w:spacing w:line="0" w:lineRule="atLeast"/>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rFonts w:hint="default" w:ascii="Times New Roman" w:hAnsi="Times New Roman" w:cs="Times New Roman"/>
                <w:color w:val="auto"/>
                <w:szCs w:val="21"/>
              </w:rPr>
            </w:pPr>
          </w:p>
        </w:tc>
        <w:tc>
          <w:tcPr>
            <w:tcW w:w="421" w:type="dxa"/>
            <w:vMerge w:val="continue"/>
            <w:vAlign w:val="center"/>
          </w:tcPr>
          <w:p>
            <w:pPr>
              <w:spacing w:line="0" w:lineRule="atLeast"/>
              <w:rPr>
                <w:rFonts w:hint="default" w:ascii="Times New Roman" w:hAnsi="Times New Roman" w:cs="Times New Roman"/>
                <w:color w:val="auto"/>
                <w:szCs w:val="21"/>
              </w:rPr>
            </w:pPr>
          </w:p>
        </w:tc>
        <w:tc>
          <w:tcPr>
            <w:tcW w:w="1273"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污水处理站排气筒</w:t>
            </w:r>
          </w:p>
        </w:tc>
        <w:tc>
          <w:tcPr>
            <w:tcW w:w="1122" w:type="dxa"/>
            <w:tcBorders>
              <w:top w:val="single" w:color="auto" w:sz="4" w:space="0"/>
            </w:tcBorders>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NH</w:t>
            </w:r>
            <w:r>
              <w:rPr>
                <w:rFonts w:hint="default" w:ascii="Times New Roman" w:hAnsi="Times New Roman" w:cs="Times New Roman"/>
                <w:color w:val="auto"/>
                <w:szCs w:val="21"/>
                <w:vertAlign w:val="subscript"/>
              </w:rPr>
              <w:t>3</w:t>
            </w:r>
          </w:p>
        </w:tc>
        <w:tc>
          <w:tcPr>
            <w:tcW w:w="3289"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snapToGrid w:val="0"/>
                <w:color w:val="auto"/>
                <w:kern w:val="0"/>
                <w:szCs w:val="21"/>
              </w:rPr>
              <w:t>污水处理站封闭，</w:t>
            </w:r>
            <w:r>
              <w:rPr>
                <w:rFonts w:hint="default" w:ascii="Times New Roman" w:hAnsi="Times New Roman" w:cs="Times New Roman"/>
                <w:bCs/>
                <w:snapToGrid w:val="0"/>
                <w:color w:val="auto"/>
                <w:kern w:val="0"/>
                <w:szCs w:val="21"/>
              </w:rPr>
              <w:t>产生的恶臭气体经负压集中收集后，通过活性炭吸附净化后由15m高排气筒（DA00</w:t>
            </w:r>
            <w:r>
              <w:rPr>
                <w:rFonts w:hint="eastAsia" w:ascii="Times New Roman" w:hAnsi="Times New Roman" w:eastAsia="宋体" w:cs="Times New Roman"/>
                <w:bCs/>
                <w:snapToGrid w:val="0"/>
                <w:color w:val="auto"/>
                <w:kern w:val="0"/>
                <w:szCs w:val="21"/>
                <w:lang w:val="en-US" w:eastAsia="zh-CN"/>
              </w:rPr>
              <w:t>4</w:t>
            </w:r>
            <w:r>
              <w:rPr>
                <w:rFonts w:hint="default" w:ascii="Times New Roman" w:hAnsi="Times New Roman" w:cs="Times New Roman"/>
                <w:bCs/>
                <w:snapToGrid w:val="0"/>
                <w:color w:val="auto"/>
                <w:kern w:val="0"/>
                <w:szCs w:val="21"/>
              </w:rPr>
              <w:t>）排放</w:t>
            </w:r>
          </w:p>
        </w:tc>
        <w:tc>
          <w:tcPr>
            <w:tcW w:w="1693" w:type="dxa"/>
            <w:tcBorders>
              <w:top w:val="single" w:color="auto" w:sz="4" w:space="0"/>
            </w:tcBorders>
            <w:vAlign w:val="center"/>
          </w:tcPr>
          <w:p>
            <w:pPr>
              <w:pStyle w:val="36"/>
              <w:spacing w:line="0" w:lineRule="atLeast"/>
              <w:rPr>
                <w:rFonts w:hint="default" w:ascii="Times New Roman" w:hAnsi="Times New Roman" w:cs="Times New Roman"/>
                <w:snapToGrid w:val="0"/>
                <w:color w:val="auto"/>
              </w:rPr>
            </w:pPr>
            <w:r>
              <w:rPr>
                <w:rFonts w:hint="eastAsia" w:ascii="Times New Roman" w:hAnsi="Times New Roman" w:cs="Times New Roman"/>
                <w:bCs/>
                <w:color w:val="auto"/>
                <w:kern w:val="0"/>
                <w:lang w:val="en-US" w:eastAsia="zh-CN"/>
              </w:rPr>
              <w:t>0.83</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c>
          <w:tcPr>
            <w:tcW w:w="1134" w:type="dxa"/>
            <w:tcBorders>
              <w:top w:val="single" w:color="auto" w:sz="4" w:space="0"/>
            </w:tcBorders>
            <w:vAlign w:val="center"/>
          </w:tcPr>
          <w:p>
            <w:pPr>
              <w:spacing w:line="360" w:lineRule="exact"/>
              <w:jc w:val="center"/>
              <w:rPr>
                <w:rFonts w:hint="default" w:ascii="Times New Roman" w:hAnsi="Times New Roman" w:cs="Times New Roman"/>
                <w:color w:val="auto"/>
                <w:szCs w:val="21"/>
              </w:rPr>
            </w:pPr>
            <w:r>
              <w:rPr>
                <w:rFonts w:hint="eastAsia" w:ascii="Times New Roman" w:hAnsi="Times New Roman" w:eastAsia="宋体" w:cs="Times New Roman"/>
                <w:color w:val="auto"/>
                <w:spacing w:val="0"/>
                <w:sz w:val="21"/>
                <w:szCs w:val="21"/>
                <w:highlight w:val="none"/>
                <w:lang w:val="en-US" w:eastAsia="zh-CN"/>
              </w:rPr>
              <w:t>0.0102</w:t>
            </w:r>
            <w:r>
              <w:rPr>
                <w:rFonts w:hint="eastAsia" w:ascii="Times New Roman" w:hAnsi="Times New Roman" w:eastAsia="宋体" w:cs="Times New Roman"/>
                <w:i w:val="0"/>
                <w:iCs w:val="0"/>
                <w:snapToGrid w:val="0"/>
                <w:color w:val="000000"/>
                <w:kern w:val="0"/>
                <w:sz w:val="21"/>
                <w:szCs w:val="21"/>
                <w:u w:val="none"/>
                <w:lang w:val="en-US" w:eastAsia="zh-CN" w:bidi="ar"/>
              </w:rPr>
              <w:t>t/a</w:t>
            </w:r>
          </w:p>
        </w:tc>
        <w:tc>
          <w:tcPr>
            <w:tcW w:w="2977" w:type="dxa"/>
            <w:vMerge w:val="continue"/>
            <w:vAlign w:val="center"/>
          </w:tcPr>
          <w:p>
            <w:pPr>
              <w:spacing w:line="0" w:lineRule="atLeast"/>
              <w:rPr>
                <w:rFonts w:hint="default" w:ascii="Times New Roman" w:hAnsi="Times New Roman" w:cs="Times New Roman"/>
                <w:color w:val="FF0000"/>
                <w:szCs w:val="21"/>
              </w:rPr>
            </w:pPr>
          </w:p>
        </w:tc>
        <w:tc>
          <w:tcPr>
            <w:tcW w:w="1674" w:type="dxa"/>
            <w:vMerge w:val="continue"/>
            <w:vAlign w:val="center"/>
          </w:tcPr>
          <w:p>
            <w:pPr>
              <w:spacing w:line="0" w:lineRule="atLeast"/>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rFonts w:hint="default" w:ascii="Times New Roman" w:hAnsi="Times New Roman" w:cs="Times New Roman"/>
                <w:color w:val="auto"/>
                <w:szCs w:val="21"/>
              </w:rPr>
            </w:pPr>
          </w:p>
        </w:tc>
        <w:tc>
          <w:tcPr>
            <w:tcW w:w="421" w:type="dxa"/>
            <w:vMerge w:val="continue"/>
            <w:vAlign w:val="center"/>
          </w:tcPr>
          <w:p>
            <w:pPr>
              <w:spacing w:line="0" w:lineRule="atLeast"/>
              <w:rPr>
                <w:rFonts w:hint="default" w:ascii="Times New Roman" w:hAnsi="Times New Roman" w:cs="Times New Roman"/>
                <w:color w:val="auto"/>
                <w:szCs w:val="21"/>
              </w:rPr>
            </w:pPr>
          </w:p>
        </w:tc>
        <w:tc>
          <w:tcPr>
            <w:tcW w:w="1273" w:type="dxa"/>
            <w:vMerge w:val="continue"/>
            <w:vAlign w:val="center"/>
          </w:tcPr>
          <w:p>
            <w:pPr>
              <w:spacing w:line="0" w:lineRule="atLeast"/>
              <w:jc w:val="center"/>
              <w:rPr>
                <w:rFonts w:hint="default" w:ascii="Times New Roman" w:hAnsi="Times New Roman" w:cs="Times New Roman"/>
                <w:color w:val="auto"/>
                <w:szCs w:val="21"/>
              </w:rPr>
            </w:pPr>
          </w:p>
        </w:tc>
        <w:tc>
          <w:tcPr>
            <w:tcW w:w="1122" w:type="dxa"/>
            <w:tcBorders>
              <w:top w:val="single" w:color="auto" w:sz="4" w:space="0"/>
            </w:tcBorders>
            <w:vAlign w:val="center"/>
          </w:tcPr>
          <w:p>
            <w:pPr>
              <w:autoSpaceDE w:val="0"/>
              <w:autoSpaceDN w:val="0"/>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H</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S</w:t>
            </w:r>
          </w:p>
        </w:tc>
        <w:tc>
          <w:tcPr>
            <w:tcW w:w="3289" w:type="dxa"/>
            <w:vMerge w:val="continue"/>
            <w:vAlign w:val="center"/>
          </w:tcPr>
          <w:p>
            <w:pPr>
              <w:spacing w:line="0" w:lineRule="atLeast"/>
              <w:jc w:val="center"/>
              <w:rPr>
                <w:rFonts w:hint="default" w:ascii="Times New Roman" w:hAnsi="Times New Roman" w:cs="Times New Roman"/>
                <w:color w:val="auto"/>
                <w:szCs w:val="21"/>
              </w:rPr>
            </w:pPr>
          </w:p>
        </w:tc>
        <w:tc>
          <w:tcPr>
            <w:tcW w:w="1693" w:type="dxa"/>
            <w:tcBorders>
              <w:top w:val="single" w:color="auto" w:sz="4" w:space="0"/>
            </w:tcBorders>
            <w:vAlign w:val="center"/>
          </w:tcPr>
          <w:p>
            <w:pPr>
              <w:pStyle w:val="36"/>
              <w:spacing w:line="0" w:lineRule="atLeast"/>
              <w:rPr>
                <w:rFonts w:hint="default" w:ascii="Times New Roman" w:hAnsi="Times New Roman" w:cs="Times New Roman"/>
                <w:snapToGrid w:val="0"/>
                <w:color w:val="auto"/>
              </w:rPr>
            </w:pPr>
            <w:r>
              <w:rPr>
                <w:rFonts w:hint="eastAsia" w:ascii="Times New Roman" w:hAnsi="Times New Roman" w:cs="Times New Roman"/>
                <w:bCs/>
                <w:color w:val="auto"/>
                <w:kern w:val="0"/>
                <w:lang w:val="en-US" w:eastAsia="zh-CN"/>
              </w:rPr>
              <w:t>0.0018</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c>
          <w:tcPr>
            <w:tcW w:w="1134" w:type="dxa"/>
            <w:tcBorders>
              <w:top w:val="single" w:color="auto" w:sz="4" w:space="0"/>
            </w:tcBorders>
            <w:vAlign w:val="center"/>
          </w:tcPr>
          <w:p>
            <w:pPr>
              <w:spacing w:line="360" w:lineRule="exact"/>
              <w:jc w:val="center"/>
              <w:rPr>
                <w:rFonts w:hint="default" w:ascii="Times New Roman" w:hAnsi="Times New Roman" w:cs="Times New Roman"/>
                <w:color w:val="auto"/>
                <w:szCs w:val="21"/>
              </w:rPr>
            </w:pPr>
            <w:r>
              <w:rPr>
                <w:rFonts w:hint="eastAsia" w:ascii="Times New Roman" w:hAnsi="Times New Roman" w:eastAsia="宋体" w:cs="Times New Roman"/>
                <w:color w:val="auto"/>
                <w:spacing w:val="0"/>
                <w:sz w:val="21"/>
                <w:szCs w:val="21"/>
                <w:highlight w:val="none"/>
                <w:lang w:val="en-US" w:eastAsia="zh-CN"/>
              </w:rPr>
              <w:t>0.000022</w:t>
            </w:r>
            <w:r>
              <w:rPr>
                <w:rFonts w:hint="eastAsia" w:ascii="Times New Roman" w:hAnsi="Times New Roman" w:eastAsia="宋体" w:cs="Times New Roman"/>
                <w:i w:val="0"/>
                <w:iCs w:val="0"/>
                <w:snapToGrid w:val="0"/>
                <w:color w:val="000000"/>
                <w:kern w:val="0"/>
                <w:sz w:val="21"/>
                <w:szCs w:val="21"/>
                <w:u w:val="none"/>
                <w:lang w:val="en-US" w:eastAsia="zh-CN" w:bidi="ar"/>
              </w:rPr>
              <w:t>t/a</w:t>
            </w:r>
          </w:p>
        </w:tc>
        <w:tc>
          <w:tcPr>
            <w:tcW w:w="2977" w:type="dxa"/>
            <w:vMerge w:val="continue"/>
            <w:vAlign w:val="center"/>
          </w:tcPr>
          <w:p>
            <w:pPr>
              <w:spacing w:line="0" w:lineRule="atLeast"/>
              <w:rPr>
                <w:rFonts w:hint="default" w:ascii="Times New Roman" w:hAnsi="Times New Roman" w:cs="Times New Roman"/>
                <w:color w:val="FF0000"/>
                <w:szCs w:val="21"/>
              </w:rPr>
            </w:pPr>
          </w:p>
        </w:tc>
        <w:tc>
          <w:tcPr>
            <w:tcW w:w="1674" w:type="dxa"/>
            <w:vMerge w:val="continue"/>
            <w:vAlign w:val="center"/>
          </w:tcPr>
          <w:p>
            <w:pPr>
              <w:spacing w:line="0" w:lineRule="atLeast"/>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rFonts w:hint="default" w:ascii="Times New Roman" w:hAnsi="Times New Roman" w:cs="Times New Roman"/>
                <w:color w:val="auto"/>
                <w:szCs w:val="21"/>
              </w:rPr>
            </w:pPr>
          </w:p>
        </w:tc>
        <w:tc>
          <w:tcPr>
            <w:tcW w:w="421" w:type="dxa"/>
            <w:vMerge w:val="continue"/>
            <w:vAlign w:val="center"/>
          </w:tcPr>
          <w:p>
            <w:pPr>
              <w:spacing w:line="0" w:lineRule="atLeast"/>
              <w:rPr>
                <w:rFonts w:hint="default" w:ascii="Times New Roman" w:hAnsi="Times New Roman" w:cs="Times New Roman"/>
                <w:color w:val="auto"/>
                <w:szCs w:val="21"/>
              </w:rPr>
            </w:pPr>
          </w:p>
        </w:tc>
        <w:tc>
          <w:tcPr>
            <w:tcW w:w="1273" w:type="dxa"/>
            <w:vMerge w:val="continue"/>
            <w:vAlign w:val="center"/>
          </w:tcPr>
          <w:p>
            <w:pPr>
              <w:spacing w:line="0" w:lineRule="atLeast"/>
              <w:jc w:val="center"/>
              <w:rPr>
                <w:rFonts w:hint="default" w:ascii="Times New Roman" w:hAnsi="Times New Roman" w:cs="Times New Roman"/>
                <w:color w:val="auto"/>
                <w:szCs w:val="21"/>
              </w:rPr>
            </w:pPr>
          </w:p>
        </w:tc>
        <w:tc>
          <w:tcPr>
            <w:tcW w:w="1122" w:type="dxa"/>
            <w:tcBorders>
              <w:top w:val="single" w:color="auto" w:sz="4" w:space="0"/>
            </w:tcBorders>
            <w:vAlign w:val="center"/>
          </w:tcPr>
          <w:p>
            <w:pPr>
              <w:autoSpaceDE w:val="0"/>
              <w:autoSpaceDN w:val="0"/>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臭气浓度</w:t>
            </w:r>
          </w:p>
        </w:tc>
        <w:tc>
          <w:tcPr>
            <w:tcW w:w="3289" w:type="dxa"/>
            <w:vMerge w:val="continue"/>
            <w:vAlign w:val="center"/>
          </w:tcPr>
          <w:p>
            <w:pPr>
              <w:spacing w:line="0" w:lineRule="atLeast"/>
              <w:jc w:val="center"/>
              <w:rPr>
                <w:rFonts w:hint="default" w:ascii="Times New Roman" w:hAnsi="Times New Roman" w:cs="Times New Roman"/>
                <w:color w:val="auto"/>
                <w:szCs w:val="21"/>
              </w:rPr>
            </w:pPr>
          </w:p>
        </w:tc>
        <w:tc>
          <w:tcPr>
            <w:tcW w:w="2827" w:type="dxa"/>
            <w:gridSpan w:val="2"/>
            <w:tcBorders>
              <w:top w:val="single" w:color="auto" w:sz="4" w:space="0"/>
            </w:tcBorders>
            <w:vAlign w:val="center"/>
          </w:tcPr>
          <w:p>
            <w:pPr>
              <w:spacing w:line="0" w:lineRule="atLeast"/>
              <w:jc w:val="center"/>
              <w:rPr>
                <w:rFonts w:hint="default" w:ascii="Times New Roman" w:hAnsi="Times New Roman" w:cs="Times New Roman"/>
                <w:color w:val="auto"/>
                <w:szCs w:val="21"/>
              </w:rPr>
            </w:pPr>
            <w:r>
              <w:rPr>
                <w:rFonts w:hint="eastAsia" w:ascii="Times New Roman" w:hAnsi="Times New Roman" w:eastAsia="宋体" w:cs="Times New Roman"/>
                <w:bCs/>
                <w:color w:val="auto"/>
                <w:lang w:val="en-US" w:eastAsia="zh-CN"/>
              </w:rPr>
              <w:t>912</w:t>
            </w:r>
            <w:r>
              <w:rPr>
                <w:rFonts w:hint="default" w:ascii="Times New Roman" w:hAnsi="Times New Roman" w:cs="Times New Roman"/>
                <w:bCs/>
                <w:color w:val="auto"/>
              </w:rPr>
              <w:t>（无量纲）</w:t>
            </w:r>
          </w:p>
        </w:tc>
        <w:tc>
          <w:tcPr>
            <w:tcW w:w="2977" w:type="dxa"/>
            <w:vMerge w:val="continue"/>
            <w:vAlign w:val="center"/>
          </w:tcPr>
          <w:p>
            <w:pPr>
              <w:spacing w:line="0" w:lineRule="atLeast"/>
              <w:rPr>
                <w:rFonts w:hint="default" w:ascii="Times New Roman" w:hAnsi="Times New Roman" w:cs="Times New Roman"/>
                <w:color w:val="FF0000"/>
                <w:szCs w:val="21"/>
              </w:rPr>
            </w:pPr>
          </w:p>
        </w:tc>
        <w:tc>
          <w:tcPr>
            <w:tcW w:w="1674" w:type="dxa"/>
            <w:vMerge w:val="continue"/>
            <w:vAlign w:val="center"/>
          </w:tcPr>
          <w:p>
            <w:pPr>
              <w:spacing w:line="0" w:lineRule="atLeast"/>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rFonts w:hint="default" w:ascii="Times New Roman" w:hAnsi="Times New Roman" w:cs="Times New Roman"/>
                <w:color w:val="FF0000"/>
                <w:szCs w:val="21"/>
              </w:rPr>
            </w:pPr>
          </w:p>
        </w:tc>
        <w:tc>
          <w:tcPr>
            <w:tcW w:w="421" w:type="dxa"/>
            <w:vMerge w:val="continue"/>
            <w:vAlign w:val="center"/>
          </w:tcPr>
          <w:p>
            <w:pPr>
              <w:spacing w:line="0" w:lineRule="atLeast"/>
              <w:rPr>
                <w:rFonts w:hint="default" w:ascii="Times New Roman" w:hAnsi="Times New Roman" w:cs="Times New Roman"/>
                <w:color w:val="FF0000"/>
                <w:szCs w:val="21"/>
              </w:rPr>
            </w:pPr>
          </w:p>
        </w:tc>
        <w:tc>
          <w:tcPr>
            <w:tcW w:w="1273"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待宰</w:t>
            </w:r>
            <w:r>
              <w:rPr>
                <w:rFonts w:hint="eastAsia" w:ascii="Times New Roman" w:hAnsi="Times New Roman" w:eastAsia="宋体" w:cs="Times New Roman"/>
                <w:color w:val="auto"/>
                <w:szCs w:val="21"/>
                <w:lang w:val="en-US" w:eastAsia="zh-CN"/>
              </w:rPr>
              <w:t>圈</w:t>
            </w:r>
            <w:r>
              <w:rPr>
                <w:rFonts w:hint="default" w:ascii="Times New Roman" w:hAnsi="Times New Roman" w:cs="Times New Roman"/>
                <w:color w:val="auto"/>
                <w:szCs w:val="21"/>
              </w:rPr>
              <w:t>排气筒</w:t>
            </w:r>
          </w:p>
        </w:tc>
        <w:tc>
          <w:tcPr>
            <w:tcW w:w="1122" w:type="dxa"/>
            <w:tcBorders>
              <w:top w:val="single" w:color="auto" w:sz="4" w:space="0"/>
            </w:tcBorders>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NH</w:t>
            </w:r>
            <w:r>
              <w:rPr>
                <w:rFonts w:hint="default" w:ascii="Times New Roman" w:hAnsi="Times New Roman" w:cs="Times New Roman"/>
                <w:color w:val="auto"/>
                <w:szCs w:val="21"/>
                <w:vertAlign w:val="subscript"/>
              </w:rPr>
              <w:t>3</w:t>
            </w:r>
          </w:p>
        </w:tc>
        <w:tc>
          <w:tcPr>
            <w:tcW w:w="3289"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待宰间封闭，</w:t>
            </w:r>
            <w:r>
              <w:rPr>
                <w:rFonts w:hint="default" w:ascii="Times New Roman" w:hAnsi="Times New Roman" w:cs="Times New Roman"/>
                <w:bCs/>
                <w:color w:val="auto"/>
                <w:szCs w:val="21"/>
              </w:rPr>
              <w:t>及时清扫，并投加或喷洒除臭剂，产生的恶臭气体经负压集中收集后，通过活性炭吸附净化后由15m高排气筒（DA00</w:t>
            </w:r>
            <w:r>
              <w:rPr>
                <w:rFonts w:hint="eastAsia" w:ascii="Times New Roman" w:hAnsi="Times New Roman" w:cs="Times New Roman"/>
                <w:bCs/>
                <w:color w:val="auto"/>
                <w:szCs w:val="21"/>
                <w:lang w:val="en-US" w:eastAsia="zh-CN"/>
              </w:rPr>
              <w:t>2</w:t>
            </w:r>
            <w:r>
              <w:rPr>
                <w:rFonts w:hint="default" w:ascii="Times New Roman" w:hAnsi="Times New Roman" w:cs="Times New Roman"/>
                <w:bCs/>
                <w:color w:val="auto"/>
                <w:szCs w:val="21"/>
              </w:rPr>
              <w:t>）排放</w:t>
            </w:r>
          </w:p>
        </w:tc>
        <w:tc>
          <w:tcPr>
            <w:tcW w:w="1693" w:type="dxa"/>
            <w:tcBorders>
              <w:top w:val="single" w:color="auto" w:sz="4" w:space="0"/>
            </w:tcBorders>
            <w:vAlign w:val="center"/>
          </w:tcPr>
          <w:p>
            <w:pPr>
              <w:pStyle w:val="36"/>
              <w:spacing w:line="0" w:lineRule="atLeast"/>
              <w:rPr>
                <w:rFonts w:hint="default" w:ascii="Times New Roman" w:hAnsi="Times New Roman" w:cs="Times New Roman"/>
                <w:bCs/>
                <w:snapToGrid w:val="0"/>
                <w:color w:val="auto"/>
                <w:szCs w:val="22"/>
              </w:rPr>
            </w:pPr>
            <w:r>
              <w:rPr>
                <w:rFonts w:hint="eastAsia" w:ascii="Times New Roman" w:hAnsi="Times New Roman" w:cs="Times New Roman"/>
                <w:snapToGrid w:val="0"/>
                <w:color w:val="auto"/>
                <w:szCs w:val="22"/>
                <w:lang w:val="en-US" w:eastAsia="zh-CN"/>
              </w:rPr>
              <w:t>6.5</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c>
          <w:tcPr>
            <w:tcW w:w="1134" w:type="dxa"/>
            <w:tcBorders>
              <w:top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0.079</w:t>
            </w:r>
            <w:r>
              <w:rPr>
                <w:rFonts w:hint="eastAsia" w:ascii="Times New Roman" w:hAnsi="Times New Roman" w:eastAsia="宋体" w:cs="Times New Roman"/>
                <w:i w:val="0"/>
                <w:iCs w:val="0"/>
                <w:snapToGrid w:val="0"/>
                <w:color w:val="000000"/>
                <w:kern w:val="0"/>
                <w:sz w:val="21"/>
                <w:szCs w:val="21"/>
                <w:u w:val="none"/>
                <w:lang w:val="en-US" w:eastAsia="zh-CN" w:bidi="ar"/>
              </w:rPr>
              <w:t>6t/a</w:t>
            </w:r>
          </w:p>
        </w:tc>
        <w:tc>
          <w:tcPr>
            <w:tcW w:w="2977" w:type="dxa"/>
            <w:vMerge w:val="continue"/>
            <w:vAlign w:val="center"/>
          </w:tcPr>
          <w:p>
            <w:pPr>
              <w:spacing w:line="0" w:lineRule="atLeast"/>
              <w:rPr>
                <w:rFonts w:hint="default" w:ascii="Times New Roman" w:hAnsi="Times New Roman" w:cs="Times New Roman"/>
                <w:color w:val="FF0000"/>
                <w:szCs w:val="21"/>
              </w:rPr>
            </w:pPr>
          </w:p>
        </w:tc>
        <w:tc>
          <w:tcPr>
            <w:tcW w:w="1674" w:type="dxa"/>
            <w:vMerge w:val="continue"/>
            <w:vAlign w:val="center"/>
          </w:tcPr>
          <w:p>
            <w:pPr>
              <w:spacing w:line="0" w:lineRule="atLeast"/>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rFonts w:hint="default" w:ascii="Times New Roman" w:hAnsi="Times New Roman" w:cs="Times New Roman"/>
                <w:color w:val="FF0000"/>
                <w:szCs w:val="21"/>
              </w:rPr>
            </w:pPr>
          </w:p>
        </w:tc>
        <w:tc>
          <w:tcPr>
            <w:tcW w:w="421" w:type="dxa"/>
            <w:vMerge w:val="continue"/>
            <w:vAlign w:val="center"/>
          </w:tcPr>
          <w:p>
            <w:pPr>
              <w:spacing w:line="0" w:lineRule="atLeast"/>
              <w:rPr>
                <w:rFonts w:hint="default" w:ascii="Times New Roman" w:hAnsi="Times New Roman" w:cs="Times New Roman"/>
                <w:color w:val="FF0000"/>
                <w:szCs w:val="21"/>
              </w:rPr>
            </w:pPr>
          </w:p>
        </w:tc>
        <w:tc>
          <w:tcPr>
            <w:tcW w:w="1273" w:type="dxa"/>
            <w:vMerge w:val="continue"/>
            <w:vAlign w:val="center"/>
          </w:tcPr>
          <w:p>
            <w:pPr>
              <w:spacing w:line="0" w:lineRule="atLeast"/>
              <w:jc w:val="center"/>
              <w:rPr>
                <w:rFonts w:hint="default" w:ascii="Times New Roman" w:hAnsi="Times New Roman" w:cs="Times New Roman"/>
                <w:color w:val="auto"/>
                <w:szCs w:val="21"/>
              </w:rPr>
            </w:pPr>
          </w:p>
        </w:tc>
        <w:tc>
          <w:tcPr>
            <w:tcW w:w="1122" w:type="dxa"/>
            <w:tcBorders>
              <w:top w:val="single" w:color="auto" w:sz="4" w:space="0"/>
            </w:tcBorders>
            <w:vAlign w:val="center"/>
          </w:tcPr>
          <w:p>
            <w:pPr>
              <w:autoSpaceDE w:val="0"/>
              <w:autoSpaceDN w:val="0"/>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H</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S</w:t>
            </w:r>
          </w:p>
        </w:tc>
        <w:tc>
          <w:tcPr>
            <w:tcW w:w="3289" w:type="dxa"/>
            <w:vMerge w:val="continue"/>
            <w:vAlign w:val="center"/>
          </w:tcPr>
          <w:p>
            <w:pPr>
              <w:spacing w:line="0" w:lineRule="atLeast"/>
              <w:jc w:val="center"/>
              <w:rPr>
                <w:rFonts w:hint="default" w:ascii="Times New Roman" w:hAnsi="Times New Roman" w:cs="Times New Roman"/>
                <w:color w:val="auto"/>
                <w:szCs w:val="21"/>
              </w:rPr>
            </w:pPr>
          </w:p>
        </w:tc>
        <w:tc>
          <w:tcPr>
            <w:tcW w:w="1693" w:type="dxa"/>
            <w:tcBorders>
              <w:top w:val="single" w:color="auto" w:sz="4" w:space="0"/>
            </w:tcBorders>
            <w:vAlign w:val="center"/>
          </w:tcPr>
          <w:p>
            <w:pPr>
              <w:pStyle w:val="36"/>
              <w:spacing w:line="0" w:lineRule="atLeast"/>
              <w:rPr>
                <w:rFonts w:hint="default" w:ascii="Times New Roman" w:hAnsi="Times New Roman" w:cs="Times New Roman"/>
                <w:bCs/>
                <w:snapToGrid w:val="0"/>
                <w:color w:val="auto"/>
                <w:szCs w:val="22"/>
              </w:rPr>
            </w:pPr>
            <w:r>
              <w:rPr>
                <w:rFonts w:hint="eastAsia" w:ascii="Times New Roman" w:hAnsi="Times New Roman" w:cs="Times New Roman"/>
                <w:snapToGrid w:val="0"/>
                <w:color w:val="auto"/>
                <w:szCs w:val="22"/>
                <w:lang w:val="en-US" w:eastAsia="zh-CN"/>
              </w:rPr>
              <w:t>0.97</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c>
          <w:tcPr>
            <w:tcW w:w="1134" w:type="dxa"/>
            <w:tcBorders>
              <w:top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iCs w:val="0"/>
                <w:snapToGrid w:val="0"/>
                <w:color w:val="000000"/>
                <w:kern w:val="0"/>
                <w:sz w:val="21"/>
                <w:szCs w:val="21"/>
                <w:u w:val="none"/>
                <w:lang w:val="en-US" w:eastAsia="zh-CN" w:bidi="ar"/>
              </w:rPr>
              <w:t>0.0118</w:t>
            </w:r>
            <w:r>
              <w:rPr>
                <w:rFonts w:hint="eastAsia" w:ascii="Times New Roman" w:hAnsi="Times New Roman" w:eastAsia="宋体" w:cs="Times New Roman"/>
                <w:i w:val="0"/>
                <w:iCs w:val="0"/>
                <w:snapToGrid w:val="0"/>
                <w:color w:val="000000"/>
                <w:kern w:val="0"/>
                <w:sz w:val="21"/>
                <w:szCs w:val="21"/>
                <w:u w:val="none"/>
                <w:lang w:val="en-US" w:eastAsia="zh-CN" w:bidi="ar"/>
              </w:rPr>
              <w:t>t/a</w:t>
            </w:r>
          </w:p>
        </w:tc>
        <w:tc>
          <w:tcPr>
            <w:tcW w:w="2977" w:type="dxa"/>
            <w:vMerge w:val="continue"/>
            <w:vAlign w:val="center"/>
          </w:tcPr>
          <w:p>
            <w:pPr>
              <w:spacing w:line="0" w:lineRule="atLeast"/>
              <w:rPr>
                <w:rFonts w:hint="default" w:ascii="Times New Roman" w:hAnsi="Times New Roman" w:cs="Times New Roman"/>
                <w:color w:val="FF0000"/>
                <w:szCs w:val="21"/>
              </w:rPr>
            </w:pPr>
          </w:p>
        </w:tc>
        <w:tc>
          <w:tcPr>
            <w:tcW w:w="1674" w:type="dxa"/>
            <w:vMerge w:val="continue"/>
            <w:vAlign w:val="center"/>
          </w:tcPr>
          <w:p>
            <w:pPr>
              <w:spacing w:line="0" w:lineRule="atLeast"/>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rFonts w:hint="default" w:ascii="Times New Roman" w:hAnsi="Times New Roman" w:cs="Times New Roman"/>
                <w:color w:val="FF0000"/>
                <w:szCs w:val="21"/>
              </w:rPr>
            </w:pPr>
          </w:p>
        </w:tc>
        <w:tc>
          <w:tcPr>
            <w:tcW w:w="421" w:type="dxa"/>
            <w:vMerge w:val="continue"/>
            <w:vAlign w:val="center"/>
          </w:tcPr>
          <w:p>
            <w:pPr>
              <w:spacing w:line="0" w:lineRule="atLeast"/>
              <w:rPr>
                <w:rFonts w:hint="default" w:ascii="Times New Roman" w:hAnsi="Times New Roman" w:cs="Times New Roman"/>
                <w:color w:val="FF0000"/>
                <w:szCs w:val="21"/>
              </w:rPr>
            </w:pPr>
          </w:p>
        </w:tc>
        <w:tc>
          <w:tcPr>
            <w:tcW w:w="1273" w:type="dxa"/>
            <w:vMerge w:val="continue"/>
            <w:vAlign w:val="center"/>
          </w:tcPr>
          <w:p>
            <w:pPr>
              <w:spacing w:line="0" w:lineRule="atLeast"/>
              <w:jc w:val="center"/>
              <w:rPr>
                <w:rFonts w:hint="default" w:ascii="Times New Roman" w:hAnsi="Times New Roman" w:cs="Times New Roman"/>
                <w:color w:val="auto"/>
                <w:szCs w:val="21"/>
              </w:rPr>
            </w:pPr>
          </w:p>
        </w:tc>
        <w:tc>
          <w:tcPr>
            <w:tcW w:w="1122" w:type="dxa"/>
            <w:tcBorders>
              <w:top w:val="single" w:color="auto" w:sz="4" w:space="0"/>
            </w:tcBorders>
            <w:vAlign w:val="center"/>
          </w:tcPr>
          <w:p>
            <w:pPr>
              <w:autoSpaceDE w:val="0"/>
              <w:autoSpaceDN w:val="0"/>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臭气浓度</w:t>
            </w:r>
          </w:p>
        </w:tc>
        <w:tc>
          <w:tcPr>
            <w:tcW w:w="3289" w:type="dxa"/>
            <w:vMerge w:val="continue"/>
            <w:vAlign w:val="center"/>
          </w:tcPr>
          <w:p>
            <w:pPr>
              <w:spacing w:line="0" w:lineRule="atLeast"/>
              <w:jc w:val="center"/>
              <w:rPr>
                <w:rFonts w:hint="default" w:ascii="Times New Roman" w:hAnsi="Times New Roman" w:cs="Times New Roman"/>
                <w:color w:val="auto"/>
                <w:szCs w:val="21"/>
              </w:rPr>
            </w:pPr>
          </w:p>
        </w:tc>
        <w:tc>
          <w:tcPr>
            <w:tcW w:w="2827" w:type="dxa"/>
            <w:gridSpan w:val="2"/>
            <w:tcBorders>
              <w:top w:val="single" w:color="auto" w:sz="4" w:space="0"/>
            </w:tcBorders>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bCs/>
                <w:snapToGrid w:val="0"/>
                <w:color w:val="auto"/>
                <w:szCs w:val="24"/>
              </w:rPr>
              <w:t>405（无量纲）</w:t>
            </w:r>
          </w:p>
        </w:tc>
        <w:tc>
          <w:tcPr>
            <w:tcW w:w="2977" w:type="dxa"/>
            <w:vMerge w:val="continue"/>
            <w:vAlign w:val="center"/>
          </w:tcPr>
          <w:p>
            <w:pPr>
              <w:spacing w:line="0" w:lineRule="atLeast"/>
              <w:rPr>
                <w:rFonts w:hint="default" w:ascii="Times New Roman" w:hAnsi="Times New Roman" w:cs="Times New Roman"/>
                <w:color w:val="FF0000"/>
                <w:szCs w:val="21"/>
              </w:rPr>
            </w:pPr>
          </w:p>
        </w:tc>
        <w:tc>
          <w:tcPr>
            <w:tcW w:w="1674" w:type="dxa"/>
            <w:vMerge w:val="continue"/>
            <w:vAlign w:val="center"/>
          </w:tcPr>
          <w:p>
            <w:pPr>
              <w:spacing w:line="0" w:lineRule="atLeast"/>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rFonts w:hint="default" w:ascii="Times New Roman" w:hAnsi="Times New Roman" w:cs="Times New Roman"/>
                <w:color w:val="FF0000"/>
                <w:szCs w:val="21"/>
              </w:rPr>
            </w:pPr>
          </w:p>
        </w:tc>
        <w:tc>
          <w:tcPr>
            <w:tcW w:w="421" w:type="dxa"/>
            <w:vMerge w:val="continue"/>
            <w:vAlign w:val="center"/>
          </w:tcPr>
          <w:p>
            <w:pPr>
              <w:spacing w:line="0" w:lineRule="atLeast"/>
              <w:rPr>
                <w:rFonts w:hint="default" w:ascii="Times New Roman" w:hAnsi="Times New Roman" w:cs="Times New Roman"/>
                <w:color w:val="FF0000"/>
                <w:szCs w:val="21"/>
              </w:rPr>
            </w:pPr>
          </w:p>
        </w:tc>
        <w:tc>
          <w:tcPr>
            <w:tcW w:w="1273" w:type="dxa"/>
            <w:vMerge w:val="restart"/>
            <w:vAlign w:val="center"/>
          </w:tcPr>
          <w:p>
            <w:pPr>
              <w:spacing w:line="0" w:lineRule="atLeast"/>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锅炉房烟囱</w:t>
            </w:r>
          </w:p>
        </w:tc>
        <w:tc>
          <w:tcPr>
            <w:tcW w:w="1122" w:type="dxa"/>
            <w:tcBorders>
              <w:top w:val="single" w:color="auto" w:sz="4" w:space="0"/>
            </w:tcBorders>
            <w:vAlign w:val="center"/>
          </w:tcPr>
          <w:p>
            <w:pPr>
              <w:pStyle w:val="36"/>
              <w:rPr>
                <w:rFonts w:hint="default" w:ascii="Times New Roman" w:hAnsi="Times New Roman" w:cs="Times New Roman"/>
                <w:color w:val="auto"/>
                <w:szCs w:val="21"/>
              </w:rPr>
            </w:pPr>
            <w:r>
              <w:rPr>
                <w:rFonts w:hint="default" w:ascii="Times New Roman" w:hAnsi="Times New Roman" w:cs="Times New Roman"/>
                <w:color w:val="auto"/>
                <w:highlight w:val="none"/>
              </w:rPr>
              <w:t>颗粒物</w:t>
            </w:r>
          </w:p>
        </w:tc>
        <w:tc>
          <w:tcPr>
            <w:tcW w:w="3289"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lang w:val="en-US" w:eastAsia="zh-CN"/>
              </w:rPr>
              <w:t>烟气经</w:t>
            </w:r>
            <w:r>
              <w:rPr>
                <w:rFonts w:hint="eastAsia" w:ascii="Times New Roman" w:hAnsi="Times New Roman" w:cs="Times New Roman"/>
                <w:color w:val="auto"/>
                <w:lang w:val="en-US" w:eastAsia="zh-CN"/>
              </w:rPr>
              <w:t>低氮燃烧</w:t>
            </w:r>
            <w:r>
              <w:rPr>
                <w:rFonts w:hint="default" w:ascii="Times New Roman" w:hAnsi="Times New Roman" w:cs="Times New Roman"/>
                <w:color w:val="auto"/>
                <w:lang w:val="en-US" w:eastAsia="zh-CN"/>
              </w:rPr>
              <w:t>处理后，通过</w:t>
            </w:r>
            <w:r>
              <w:rPr>
                <w:rFonts w:hint="eastAsia" w:ascii="Times New Roman" w:hAnsi="Times New Roman" w:cs="Times New Roman"/>
                <w:color w:val="auto"/>
                <w:lang w:val="en-US" w:eastAsia="zh-CN"/>
              </w:rPr>
              <w:t>12</w:t>
            </w:r>
            <w:r>
              <w:rPr>
                <w:rFonts w:hint="default" w:ascii="Times New Roman" w:hAnsi="Times New Roman" w:cs="Times New Roman"/>
                <w:color w:val="auto"/>
                <w:lang w:val="en-US" w:eastAsia="zh-CN"/>
              </w:rPr>
              <w:t>m高烟囱（DA00</w:t>
            </w:r>
            <w:r>
              <w:rPr>
                <w:rFonts w:hint="eastAsia" w:ascii="Times New Roman" w:hAnsi="Times New Roman" w:cs="Times New Roman"/>
                <w:color w:val="auto"/>
                <w:lang w:val="en-US" w:eastAsia="zh-CN"/>
              </w:rPr>
              <w:t>1</w:t>
            </w:r>
            <w:r>
              <w:rPr>
                <w:rFonts w:hint="default" w:ascii="Times New Roman" w:hAnsi="Times New Roman" w:cs="Times New Roman"/>
                <w:color w:val="auto"/>
                <w:lang w:val="en-US" w:eastAsia="zh-CN"/>
              </w:rPr>
              <w:t>）排放</w:t>
            </w:r>
          </w:p>
        </w:tc>
        <w:tc>
          <w:tcPr>
            <w:tcW w:w="1693" w:type="dxa"/>
            <w:tcBorders>
              <w:top w:val="single" w:color="auto" w:sz="4" w:space="0"/>
            </w:tcBorders>
            <w:vAlign w:val="center"/>
          </w:tcPr>
          <w:p>
            <w:pPr>
              <w:pStyle w:val="36"/>
              <w:rPr>
                <w:rFonts w:hint="default" w:ascii="Times New Roman" w:hAnsi="Times New Roman" w:cs="Times New Roman"/>
                <w:snapToGrid w:val="0"/>
                <w:color w:val="auto"/>
                <w:szCs w:val="22"/>
                <w:lang w:eastAsia="zh-CN"/>
              </w:rPr>
            </w:pPr>
            <w:r>
              <w:rPr>
                <w:rFonts w:hint="eastAsia" w:ascii="Times New Roman" w:hAnsi="Times New Roman" w:cs="Times New Roman"/>
                <w:snapToGrid w:val="0"/>
                <w:color w:val="auto"/>
                <w:szCs w:val="22"/>
                <w:lang w:val="en-US" w:eastAsia="zh-CN"/>
              </w:rPr>
              <w:t>10.7</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c>
          <w:tcPr>
            <w:tcW w:w="1134" w:type="dxa"/>
            <w:tcBorders>
              <w:top w:val="single" w:color="auto" w:sz="4" w:space="0"/>
            </w:tcBorders>
            <w:vAlign w:val="center"/>
          </w:tcPr>
          <w:p>
            <w:pPr>
              <w:jc w:val="center"/>
              <w:rPr>
                <w:rFonts w:hint="default" w:ascii="Times New Roman" w:hAnsi="Times New Roman" w:cs="Times New Roman"/>
                <w:color w:val="FF0000"/>
                <w:szCs w:val="21"/>
                <w:lang w:val="en-US"/>
              </w:rPr>
            </w:pPr>
            <w:r>
              <w:rPr>
                <w:rFonts w:hint="eastAsia" w:ascii="Times New Roman" w:hAnsi="Times New Roman" w:cs="Times New Roman"/>
                <w:b w:val="0"/>
                <w:bCs w:val="0"/>
                <w:color w:val="auto"/>
                <w:kern w:val="0"/>
                <w:sz w:val="21"/>
                <w:szCs w:val="21"/>
                <w:lang w:val="en-US" w:eastAsia="zh-CN"/>
              </w:rPr>
              <w:t>0.01</w:t>
            </w:r>
            <w:r>
              <w:rPr>
                <w:rFonts w:hint="default" w:ascii="Times New Roman" w:hAnsi="Times New Roman" w:cs="Times New Roman"/>
                <w:b w:val="0"/>
                <w:bCs w:val="0"/>
                <w:color w:val="auto"/>
                <w:kern w:val="0"/>
                <w:sz w:val="21"/>
                <w:szCs w:val="21"/>
                <w:lang w:val="en-US" w:eastAsia="zh-CN"/>
              </w:rPr>
              <w:t>t/a</w:t>
            </w:r>
          </w:p>
        </w:tc>
        <w:tc>
          <w:tcPr>
            <w:tcW w:w="2977" w:type="dxa"/>
            <w:vMerge w:val="restart"/>
            <w:vAlign w:val="center"/>
          </w:tcPr>
          <w:p>
            <w:pPr>
              <w:spacing w:line="0" w:lineRule="atLeast"/>
              <w:jc w:val="center"/>
              <w:rPr>
                <w:rFonts w:hint="eastAsia" w:ascii="Times New Roman" w:hAnsi="Times New Roman" w:eastAsia="宋体" w:cs="Times New Roman"/>
                <w:color w:val="FF0000"/>
                <w:szCs w:val="21"/>
                <w:lang w:eastAsia="zh-CN"/>
              </w:rPr>
            </w:pPr>
            <w:r>
              <w:rPr>
                <w:rFonts w:hint="default" w:ascii="Times New Roman" w:hAnsi="Times New Roman" w:eastAsia="宋体" w:cs="Times New Roman"/>
                <w:color w:val="auto"/>
                <w:sz w:val="21"/>
                <w:szCs w:val="21"/>
              </w:rPr>
              <w:t>《锅炉大气污染物排放标准》（GB13271-2014）</w:t>
            </w:r>
            <w:r>
              <w:rPr>
                <w:rFonts w:hint="default" w:ascii="Times New Roman" w:hAnsi="Times New Roman" w:eastAsia="宋体" w:cs="Times New Roman"/>
                <w:color w:val="auto"/>
                <w:sz w:val="21"/>
                <w:szCs w:val="21"/>
                <w:lang w:eastAsia="zh-CN"/>
              </w:rPr>
              <w:t>燃油</w:t>
            </w:r>
            <w:r>
              <w:rPr>
                <w:rFonts w:hint="default" w:ascii="Times New Roman" w:hAnsi="Times New Roman" w:eastAsia="宋体" w:cs="Times New Roman"/>
                <w:color w:val="auto"/>
                <w:sz w:val="21"/>
                <w:szCs w:val="21"/>
              </w:rPr>
              <w:t>锅炉表</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排放标准</w:t>
            </w:r>
          </w:p>
        </w:tc>
        <w:tc>
          <w:tcPr>
            <w:tcW w:w="1674" w:type="dxa"/>
            <w:vMerge w:val="restart"/>
            <w:vAlign w:val="center"/>
          </w:tcPr>
          <w:p>
            <w:pPr>
              <w:spacing w:line="0" w:lineRule="atLeast"/>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rFonts w:hint="default" w:ascii="Times New Roman" w:hAnsi="Times New Roman" w:cs="Times New Roman"/>
                <w:color w:val="FF0000"/>
                <w:szCs w:val="21"/>
              </w:rPr>
            </w:pPr>
          </w:p>
        </w:tc>
        <w:tc>
          <w:tcPr>
            <w:tcW w:w="421" w:type="dxa"/>
            <w:vMerge w:val="continue"/>
            <w:vAlign w:val="center"/>
          </w:tcPr>
          <w:p>
            <w:pPr>
              <w:spacing w:line="0" w:lineRule="atLeast"/>
              <w:rPr>
                <w:rFonts w:hint="default" w:ascii="Times New Roman" w:hAnsi="Times New Roman" w:cs="Times New Roman"/>
                <w:color w:val="FF0000"/>
                <w:szCs w:val="21"/>
              </w:rPr>
            </w:pPr>
          </w:p>
        </w:tc>
        <w:tc>
          <w:tcPr>
            <w:tcW w:w="1273" w:type="dxa"/>
            <w:vMerge w:val="continue"/>
            <w:vAlign w:val="center"/>
          </w:tcPr>
          <w:p>
            <w:pPr>
              <w:spacing w:line="0" w:lineRule="atLeast"/>
              <w:jc w:val="center"/>
              <w:rPr>
                <w:rFonts w:hint="default" w:ascii="Times New Roman" w:hAnsi="Times New Roman" w:cs="Times New Roman"/>
                <w:color w:val="auto"/>
                <w:szCs w:val="21"/>
              </w:rPr>
            </w:pPr>
          </w:p>
        </w:tc>
        <w:tc>
          <w:tcPr>
            <w:tcW w:w="1122" w:type="dxa"/>
            <w:tcBorders>
              <w:top w:val="single" w:color="auto" w:sz="4" w:space="0"/>
            </w:tcBorders>
            <w:vAlign w:val="center"/>
          </w:tcPr>
          <w:p>
            <w:pPr>
              <w:pStyle w:val="36"/>
              <w:rPr>
                <w:rFonts w:hint="default" w:ascii="Times New Roman" w:hAnsi="Times New Roman" w:cs="Times New Roman"/>
                <w:color w:val="auto"/>
                <w:szCs w:val="21"/>
              </w:rPr>
            </w:pP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p>
        </w:tc>
        <w:tc>
          <w:tcPr>
            <w:tcW w:w="3289" w:type="dxa"/>
            <w:vMerge w:val="continue"/>
            <w:vAlign w:val="center"/>
          </w:tcPr>
          <w:p>
            <w:pPr>
              <w:spacing w:line="0" w:lineRule="atLeast"/>
              <w:jc w:val="center"/>
              <w:rPr>
                <w:rFonts w:hint="default" w:ascii="Times New Roman" w:hAnsi="Times New Roman" w:cs="Times New Roman"/>
                <w:color w:val="auto"/>
                <w:szCs w:val="21"/>
              </w:rPr>
            </w:pPr>
          </w:p>
        </w:tc>
        <w:tc>
          <w:tcPr>
            <w:tcW w:w="1693" w:type="dxa"/>
            <w:tcBorders>
              <w:top w:val="single" w:color="auto" w:sz="4" w:space="0"/>
            </w:tcBorders>
            <w:vAlign w:val="center"/>
          </w:tcPr>
          <w:p>
            <w:pPr>
              <w:pStyle w:val="36"/>
              <w:rPr>
                <w:rFonts w:hint="default" w:ascii="Times New Roman" w:hAnsi="Times New Roman" w:cs="Times New Roman"/>
                <w:snapToGrid w:val="0"/>
                <w:color w:val="auto"/>
                <w:szCs w:val="22"/>
                <w:lang w:eastAsia="zh-CN"/>
              </w:rPr>
            </w:pPr>
            <w:r>
              <w:rPr>
                <w:rFonts w:hint="eastAsia" w:ascii="Times New Roman" w:hAnsi="Times New Roman" w:eastAsia="宋体" w:cs="Times New Roman"/>
                <w:snapToGrid w:val="0"/>
                <w:color w:val="auto"/>
                <w:szCs w:val="22"/>
                <w:lang w:val="en-US" w:eastAsia="zh-CN"/>
              </w:rPr>
              <w:t>380</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c>
          <w:tcPr>
            <w:tcW w:w="1134" w:type="dxa"/>
            <w:tcBorders>
              <w:top w:val="single" w:color="auto" w:sz="4" w:space="0"/>
            </w:tcBorders>
            <w:vAlign w:val="center"/>
          </w:tcPr>
          <w:p>
            <w:pPr>
              <w:jc w:val="center"/>
              <w:rPr>
                <w:rFonts w:hint="default" w:ascii="Times New Roman" w:hAnsi="Times New Roman" w:cs="Times New Roman"/>
                <w:color w:val="FF0000"/>
                <w:szCs w:val="21"/>
                <w:lang w:val="en-US"/>
              </w:rPr>
            </w:pPr>
            <w:r>
              <w:rPr>
                <w:rFonts w:hint="eastAsia" w:ascii="Times New Roman" w:hAnsi="Times New Roman" w:cs="Times New Roman"/>
                <w:b w:val="0"/>
                <w:bCs w:val="0"/>
                <w:color w:val="auto"/>
                <w:kern w:val="0"/>
                <w:sz w:val="21"/>
                <w:szCs w:val="21"/>
                <w:lang w:val="en-US" w:eastAsia="zh-CN"/>
              </w:rPr>
              <w:t>0.031</w:t>
            </w:r>
            <w:r>
              <w:rPr>
                <w:rFonts w:hint="default" w:ascii="Times New Roman" w:hAnsi="Times New Roman" w:cs="Times New Roman"/>
                <w:b w:val="0"/>
                <w:bCs w:val="0"/>
                <w:color w:val="auto"/>
                <w:kern w:val="0"/>
                <w:sz w:val="21"/>
                <w:szCs w:val="21"/>
                <w:lang w:val="en-US" w:eastAsia="zh-CN"/>
              </w:rPr>
              <w:t>t/a</w:t>
            </w:r>
          </w:p>
        </w:tc>
        <w:tc>
          <w:tcPr>
            <w:tcW w:w="2977" w:type="dxa"/>
            <w:vMerge w:val="continue"/>
            <w:vAlign w:val="center"/>
          </w:tcPr>
          <w:p>
            <w:pPr>
              <w:spacing w:line="0" w:lineRule="atLeast"/>
              <w:jc w:val="center"/>
              <w:rPr>
                <w:rFonts w:hint="default" w:ascii="Times New Roman" w:hAnsi="Times New Roman" w:cs="Times New Roman"/>
                <w:color w:val="FF0000"/>
                <w:szCs w:val="21"/>
              </w:rPr>
            </w:pPr>
          </w:p>
        </w:tc>
        <w:tc>
          <w:tcPr>
            <w:tcW w:w="1674" w:type="dxa"/>
            <w:vMerge w:val="continue"/>
            <w:vAlign w:val="center"/>
          </w:tcPr>
          <w:p>
            <w:pPr>
              <w:spacing w:line="0" w:lineRule="atLeast"/>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56" w:hRule="atLeast"/>
        </w:trPr>
        <w:tc>
          <w:tcPr>
            <w:tcW w:w="1000" w:type="dxa"/>
            <w:vMerge w:val="continue"/>
            <w:vAlign w:val="center"/>
          </w:tcPr>
          <w:p>
            <w:pPr>
              <w:spacing w:line="0" w:lineRule="atLeast"/>
              <w:rPr>
                <w:rFonts w:hint="default" w:ascii="Times New Roman" w:hAnsi="Times New Roman" w:cs="Times New Roman"/>
                <w:color w:val="FF0000"/>
                <w:szCs w:val="21"/>
              </w:rPr>
            </w:pPr>
          </w:p>
        </w:tc>
        <w:tc>
          <w:tcPr>
            <w:tcW w:w="421" w:type="dxa"/>
            <w:vMerge w:val="continue"/>
            <w:vAlign w:val="center"/>
          </w:tcPr>
          <w:p>
            <w:pPr>
              <w:spacing w:line="0" w:lineRule="atLeast"/>
              <w:rPr>
                <w:rFonts w:hint="default" w:ascii="Times New Roman" w:hAnsi="Times New Roman" w:cs="Times New Roman"/>
                <w:color w:val="FF0000"/>
                <w:szCs w:val="21"/>
              </w:rPr>
            </w:pPr>
          </w:p>
        </w:tc>
        <w:tc>
          <w:tcPr>
            <w:tcW w:w="1273" w:type="dxa"/>
            <w:vMerge w:val="continue"/>
            <w:vAlign w:val="center"/>
          </w:tcPr>
          <w:p>
            <w:pPr>
              <w:spacing w:line="0" w:lineRule="atLeast"/>
              <w:jc w:val="center"/>
              <w:rPr>
                <w:rFonts w:hint="default" w:ascii="Times New Roman" w:hAnsi="Times New Roman" w:cs="Times New Roman"/>
                <w:color w:val="auto"/>
                <w:szCs w:val="21"/>
              </w:rPr>
            </w:pPr>
          </w:p>
        </w:tc>
        <w:tc>
          <w:tcPr>
            <w:tcW w:w="1122" w:type="dxa"/>
            <w:tcBorders>
              <w:top w:val="single" w:color="auto" w:sz="4" w:space="0"/>
            </w:tcBorders>
            <w:vAlign w:val="center"/>
          </w:tcPr>
          <w:p>
            <w:pPr>
              <w:pStyle w:val="36"/>
              <w:rPr>
                <w:rFonts w:hint="default" w:ascii="Times New Roman" w:hAnsi="Times New Roman" w:cs="Times New Roman"/>
                <w:color w:val="auto"/>
                <w:szCs w:val="21"/>
              </w:rPr>
            </w:pPr>
            <w:r>
              <w:rPr>
                <w:rFonts w:hint="default" w:ascii="Times New Roman" w:hAnsi="Times New Roman" w:cs="Times New Roman"/>
                <w:color w:val="auto"/>
                <w:highlight w:val="none"/>
              </w:rPr>
              <w:t>NOx</w:t>
            </w:r>
          </w:p>
        </w:tc>
        <w:tc>
          <w:tcPr>
            <w:tcW w:w="3289" w:type="dxa"/>
            <w:vMerge w:val="continue"/>
            <w:vAlign w:val="center"/>
          </w:tcPr>
          <w:p>
            <w:pPr>
              <w:spacing w:line="0" w:lineRule="atLeast"/>
              <w:jc w:val="center"/>
              <w:rPr>
                <w:rFonts w:hint="default" w:ascii="Times New Roman" w:hAnsi="Times New Roman" w:cs="Times New Roman"/>
                <w:color w:val="auto"/>
                <w:szCs w:val="21"/>
              </w:rPr>
            </w:pPr>
          </w:p>
        </w:tc>
        <w:tc>
          <w:tcPr>
            <w:tcW w:w="1693" w:type="dxa"/>
            <w:tcBorders>
              <w:top w:val="single" w:color="auto" w:sz="4" w:space="0"/>
            </w:tcBorders>
            <w:vAlign w:val="center"/>
          </w:tcPr>
          <w:p>
            <w:pPr>
              <w:pStyle w:val="36"/>
              <w:rPr>
                <w:rFonts w:hint="default" w:ascii="Times New Roman" w:hAnsi="Times New Roman" w:cs="Times New Roman"/>
                <w:snapToGrid w:val="0"/>
                <w:color w:val="auto"/>
                <w:szCs w:val="22"/>
                <w:lang w:eastAsia="zh-CN"/>
              </w:rPr>
            </w:pPr>
            <w:r>
              <w:rPr>
                <w:rFonts w:hint="eastAsia" w:ascii="Times New Roman" w:hAnsi="Times New Roman" w:eastAsia="宋体" w:cs="Times New Roman"/>
                <w:color w:val="auto"/>
                <w:lang w:val="en-US" w:eastAsia="zh-CN"/>
              </w:rPr>
              <w:t>109</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c>
          <w:tcPr>
            <w:tcW w:w="1134" w:type="dxa"/>
            <w:tcBorders>
              <w:top w:val="single" w:color="auto" w:sz="4" w:space="0"/>
            </w:tcBorders>
            <w:vAlign w:val="center"/>
          </w:tcPr>
          <w:p>
            <w:pPr>
              <w:jc w:val="center"/>
              <w:rPr>
                <w:rFonts w:hint="default" w:ascii="Times New Roman" w:hAnsi="Times New Roman" w:cs="Times New Roman"/>
                <w:color w:val="FF0000"/>
                <w:szCs w:val="21"/>
                <w:lang w:val="en-US"/>
              </w:rPr>
            </w:pPr>
            <w:r>
              <w:rPr>
                <w:rFonts w:hint="eastAsia" w:ascii="Times New Roman" w:hAnsi="Times New Roman" w:cs="Times New Roman"/>
                <w:b w:val="0"/>
                <w:bCs w:val="0"/>
                <w:color w:val="auto"/>
                <w:kern w:val="0"/>
                <w:sz w:val="21"/>
                <w:szCs w:val="21"/>
                <w:lang w:val="en-US" w:eastAsia="zh-CN"/>
              </w:rPr>
              <w:t>0.098</w:t>
            </w:r>
            <w:r>
              <w:rPr>
                <w:rFonts w:hint="default" w:ascii="Times New Roman" w:hAnsi="Times New Roman" w:cs="Times New Roman"/>
                <w:b w:val="0"/>
                <w:bCs w:val="0"/>
                <w:color w:val="auto"/>
                <w:kern w:val="0"/>
                <w:sz w:val="21"/>
                <w:szCs w:val="21"/>
                <w:lang w:val="en-US" w:eastAsia="zh-CN"/>
              </w:rPr>
              <w:t>t/a</w:t>
            </w:r>
          </w:p>
        </w:tc>
        <w:tc>
          <w:tcPr>
            <w:tcW w:w="2977" w:type="dxa"/>
            <w:vMerge w:val="continue"/>
            <w:vAlign w:val="center"/>
          </w:tcPr>
          <w:p>
            <w:pPr>
              <w:spacing w:line="0" w:lineRule="atLeast"/>
              <w:jc w:val="center"/>
              <w:rPr>
                <w:rFonts w:hint="default" w:ascii="Times New Roman" w:hAnsi="Times New Roman" w:cs="Times New Roman"/>
                <w:color w:val="FF0000"/>
                <w:szCs w:val="21"/>
              </w:rPr>
            </w:pPr>
          </w:p>
        </w:tc>
        <w:tc>
          <w:tcPr>
            <w:tcW w:w="1674" w:type="dxa"/>
            <w:vMerge w:val="continue"/>
            <w:vAlign w:val="center"/>
          </w:tcPr>
          <w:p>
            <w:pPr>
              <w:spacing w:line="0" w:lineRule="atLeast"/>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502" w:hRule="atLeast"/>
        </w:trPr>
        <w:tc>
          <w:tcPr>
            <w:tcW w:w="1000" w:type="dxa"/>
            <w:vMerge w:val="continue"/>
            <w:vAlign w:val="center"/>
          </w:tcPr>
          <w:p>
            <w:pPr>
              <w:spacing w:line="0" w:lineRule="atLeast"/>
              <w:rPr>
                <w:rFonts w:hint="default" w:ascii="Times New Roman" w:hAnsi="Times New Roman" w:cs="Times New Roman"/>
                <w:color w:val="FF0000"/>
                <w:szCs w:val="21"/>
              </w:rPr>
            </w:pPr>
          </w:p>
        </w:tc>
        <w:tc>
          <w:tcPr>
            <w:tcW w:w="421" w:type="dxa"/>
            <w:vMerge w:val="restart"/>
            <w:vAlign w:val="center"/>
          </w:tcPr>
          <w:p>
            <w:pPr>
              <w:spacing w:line="0" w:lineRule="atLeast"/>
              <w:rPr>
                <w:rFonts w:hint="default" w:ascii="Times New Roman" w:hAnsi="Times New Roman" w:cs="Times New Roman"/>
                <w:color w:val="auto"/>
                <w:szCs w:val="21"/>
              </w:rPr>
            </w:pPr>
            <w:r>
              <w:rPr>
                <w:rFonts w:hint="default" w:ascii="Times New Roman" w:hAnsi="Times New Roman" w:cs="Times New Roman"/>
                <w:color w:val="auto"/>
                <w:szCs w:val="21"/>
              </w:rPr>
              <w:t>无组织</w:t>
            </w:r>
          </w:p>
        </w:tc>
        <w:tc>
          <w:tcPr>
            <w:tcW w:w="1273"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屠宰</w:t>
            </w:r>
            <w:r>
              <w:rPr>
                <w:rFonts w:hint="eastAsia" w:ascii="Times New Roman" w:hAnsi="Times New Roman" w:eastAsia="宋体" w:cs="Times New Roman"/>
                <w:color w:val="auto"/>
                <w:szCs w:val="21"/>
                <w:lang w:val="en-US" w:eastAsia="zh-CN"/>
              </w:rPr>
              <w:t>加工</w:t>
            </w:r>
            <w:r>
              <w:rPr>
                <w:rFonts w:hint="default" w:ascii="Times New Roman" w:hAnsi="Times New Roman" w:cs="Times New Roman"/>
                <w:color w:val="auto"/>
                <w:szCs w:val="21"/>
              </w:rPr>
              <w:t>车间</w:t>
            </w:r>
          </w:p>
        </w:tc>
        <w:tc>
          <w:tcPr>
            <w:tcW w:w="1122" w:type="dxa"/>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NH</w:t>
            </w:r>
            <w:r>
              <w:rPr>
                <w:rFonts w:hint="default" w:ascii="Times New Roman" w:hAnsi="Times New Roman" w:cs="Times New Roman"/>
                <w:color w:val="auto"/>
                <w:szCs w:val="21"/>
                <w:vertAlign w:val="subscript"/>
              </w:rPr>
              <w:t>3</w:t>
            </w:r>
          </w:p>
        </w:tc>
        <w:tc>
          <w:tcPr>
            <w:tcW w:w="3289"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增加通风次数，及时清洗</w:t>
            </w:r>
          </w:p>
        </w:tc>
        <w:tc>
          <w:tcPr>
            <w:tcW w:w="1693"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134" w:type="dxa"/>
            <w:vAlign w:val="center"/>
          </w:tcPr>
          <w:p>
            <w:pPr>
              <w:pStyle w:val="22"/>
              <w:widowControl w:val="0"/>
              <w:adjustRightInd w:val="0"/>
              <w:snapToGrid w:val="0"/>
              <w:spacing w:before="0" w:beforeAutospacing="0" w:after="0" w:afterAutospacing="0"/>
              <w:jc w:val="center"/>
              <w:rPr>
                <w:rFonts w:hint="default" w:ascii="Times New Roman" w:hAnsi="Times New Roman" w:cs="Times New Roman"/>
                <w:color w:val="auto"/>
                <w:szCs w:val="21"/>
              </w:rPr>
            </w:pPr>
            <w:r>
              <w:rPr>
                <w:rFonts w:hint="default" w:ascii="Times New Roman" w:hAnsi="Times New Roman" w:eastAsia="宋体" w:cs="Times New Roman"/>
                <w:color w:val="auto"/>
                <w:spacing w:val="0"/>
                <w:sz w:val="21"/>
                <w:szCs w:val="21"/>
                <w:lang w:val="en-US" w:eastAsia="zh-CN"/>
              </w:rPr>
              <w:t>0.0017</w:t>
            </w:r>
            <w:r>
              <w:rPr>
                <w:rFonts w:hint="default" w:ascii="Times New Roman" w:hAnsi="Times New Roman" w:cs="Times New Roman"/>
                <w:b w:val="0"/>
                <w:bCs w:val="0"/>
                <w:color w:val="auto"/>
                <w:kern w:val="0"/>
                <w:sz w:val="21"/>
                <w:szCs w:val="21"/>
                <w:lang w:val="en-US" w:eastAsia="zh-CN"/>
              </w:rPr>
              <w:t>t/a</w:t>
            </w:r>
          </w:p>
        </w:tc>
        <w:tc>
          <w:tcPr>
            <w:tcW w:w="2977"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《恶臭污染物排放标准》（GB14554-1993）表1中二级新改扩建标准</w:t>
            </w:r>
          </w:p>
        </w:tc>
        <w:tc>
          <w:tcPr>
            <w:tcW w:w="1674"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126" w:hRule="atLeast"/>
        </w:trPr>
        <w:tc>
          <w:tcPr>
            <w:tcW w:w="1000" w:type="dxa"/>
            <w:vMerge w:val="continue"/>
            <w:vAlign w:val="center"/>
          </w:tcPr>
          <w:p>
            <w:pPr>
              <w:spacing w:line="0" w:lineRule="atLeast"/>
              <w:rPr>
                <w:rFonts w:hint="default" w:ascii="Times New Roman" w:hAnsi="Times New Roman" w:cs="Times New Roman"/>
                <w:color w:val="FF0000"/>
                <w:szCs w:val="21"/>
              </w:rPr>
            </w:pPr>
          </w:p>
        </w:tc>
        <w:tc>
          <w:tcPr>
            <w:tcW w:w="421" w:type="dxa"/>
            <w:vMerge w:val="continue"/>
            <w:vAlign w:val="center"/>
          </w:tcPr>
          <w:p>
            <w:pPr>
              <w:spacing w:line="0" w:lineRule="atLeast"/>
              <w:rPr>
                <w:rFonts w:hint="default" w:ascii="Times New Roman" w:hAnsi="Times New Roman" w:cs="Times New Roman"/>
                <w:color w:val="auto"/>
                <w:szCs w:val="21"/>
              </w:rPr>
            </w:pPr>
          </w:p>
        </w:tc>
        <w:tc>
          <w:tcPr>
            <w:tcW w:w="1273" w:type="dxa"/>
            <w:vMerge w:val="continue"/>
            <w:vAlign w:val="center"/>
          </w:tcPr>
          <w:p>
            <w:pPr>
              <w:spacing w:line="0" w:lineRule="atLeast"/>
              <w:jc w:val="center"/>
              <w:rPr>
                <w:rFonts w:hint="default" w:ascii="Times New Roman" w:hAnsi="Times New Roman" w:cs="Times New Roman"/>
                <w:color w:val="auto"/>
                <w:szCs w:val="21"/>
              </w:rPr>
            </w:pPr>
          </w:p>
        </w:tc>
        <w:tc>
          <w:tcPr>
            <w:tcW w:w="1122" w:type="dxa"/>
            <w:vAlign w:val="center"/>
          </w:tcPr>
          <w:p>
            <w:pPr>
              <w:autoSpaceDE w:val="0"/>
              <w:autoSpaceDN w:val="0"/>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H</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S</w:t>
            </w:r>
          </w:p>
        </w:tc>
        <w:tc>
          <w:tcPr>
            <w:tcW w:w="3289" w:type="dxa"/>
            <w:vMerge w:val="continue"/>
            <w:vAlign w:val="center"/>
          </w:tcPr>
          <w:p>
            <w:pPr>
              <w:spacing w:line="0" w:lineRule="atLeast"/>
              <w:jc w:val="center"/>
              <w:rPr>
                <w:rFonts w:hint="default" w:ascii="Times New Roman" w:hAnsi="Times New Roman" w:cs="Times New Roman"/>
                <w:color w:val="auto"/>
                <w:szCs w:val="21"/>
              </w:rPr>
            </w:pPr>
          </w:p>
        </w:tc>
        <w:tc>
          <w:tcPr>
            <w:tcW w:w="1693" w:type="dxa"/>
            <w:vMerge w:val="continue"/>
            <w:vAlign w:val="center"/>
          </w:tcPr>
          <w:p>
            <w:pPr>
              <w:spacing w:line="0" w:lineRule="atLeast"/>
              <w:jc w:val="center"/>
              <w:rPr>
                <w:rFonts w:hint="default" w:ascii="Times New Roman" w:hAnsi="Times New Roman" w:cs="Times New Roman"/>
                <w:color w:val="auto"/>
                <w:szCs w:val="21"/>
              </w:rPr>
            </w:pPr>
          </w:p>
        </w:tc>
        <w:tc>
          <w:tcPr>
            <w:tcW w:w="1134" w:type="dxa"/>
            <w:vAlign w:val="center"/>
          </w:tcPr>
          <w:p>
            <w:pPr>
              <w:pStyle w:val="22"/>
              <w:widowControl w:val="0"/>
              <w:adjustRightInd w:val="0"/>
              <w:snapToGrid w:val="0"/>
              <w:spacing w:before="0" w:beforeAutospacing="0" w:after="0" w:afterAutospacing="0"/>
              <w:jc w:val="center"/>
              <w:rPr>
                <w:rFonts w:hint="default" w:ascii="Times New Roman" w:hAnsi="Times New Roman" w:cs="Times New Roman"/>
                <w:color w:val="auto"/>
                <w:szCs w:val="21"/>
              </w:rPr>
            </w:pPr>
            <w:r>
              <w:rPr>
                <w:rFonts w:hint="default" w:ascii="Times New Roman" w:hAnsi="Times New Roman" w:eastAsia="宋体" w:cs="Times New Roman"/>
                <w:color w:val="auto"/>
                <w:spacing w:val="0"/>
                <w:sz w:val="21"/>
                <w:szCs w:val="21"/>
                <w:lang w:val="en-US" w:eastAsia="zh-CN"/>
              </w:rPr>
              <w:t>0.00008</w:t>
            </w:r>
            <w:r>
              <w:rPr>
                <w:rFonts w:hint="default" w:ascii="Times New Roman" w:hAnsi="Times New Roman" w:cs="Times New Roman"/>
                <w:b w:val="0"/>
                <w:bCs w:val="0"/>
                <w:color w:val="auto"/>
                <w:kern w:val="0"/>
                <w:sz w:val="21"/>
                <w:szCs w:val="21"/>
                <w:lang w:val="en-US" w:eastAsia="zh-CN"/>
              </w:rPr>
              <w:t>t/a</w:t>
            </w:r>
          </w:p>
        </w:tc>
        <w:tc>
          <w:tcPr>
            <w:tcW w:w="2977" w:type="dxa"/>
            <w:vMerge w:val="continue"/>
            <w:vAlign w:val="center"/>
          </w:tcPr>
          <w:p>
            <w:pPr>
              <w:spacing w:line="0" w:lineRule="atLeast"/>
              <w:ind w:firstLine="420"/>
              <w:jc w:val="center"/>
              <w:rPr>
                <w:rFonts w:hint="default" w:ascii="Times New Roman" w:hAnsi="Times New Roman" w:cs="Times New Roman"/>
                <w:color w:val="auto"/>
                <w:szCs w:val="21"/>
              </w:rPr>
            </w:pPr>
          </w:p>
        </w:tc>
        <w:tc>
          <w:tcPr>
            <w:tcW w:w="1674" w:type="dxa"/>
            <w:vMerge w:val="continue"/>
            <w:vAlign w:val="center"/>
          </w:tcPr>
          <w:p>
            <w:pPr>
              <w:spacing w:line="0" w:lineRule="atLeast"/>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126" w:hRule="atLeast"/>
        </w:trPr>
        <w:tc>
          <w:tcPr>
            <w:tcW w:w="1000" w:type="dxa"/>
            <w:vMerge w:val="continue"/>
            <w:vAlign w:val="center"/>
          </w:tcPr>
          <w:p>
            <w:pPr>
              <w:spacing w:line="0" w:lineRule="atLeast"/>
              <w:rPr>
                <w:rFonts w:hint="default" w:ascii="Times New Roman" w:hAnsi="Times New Roman" w:cs="Times New Roman"/>
                <w:color w:val="FF0000"/>
                <w:szCs w:val="21"/>
              </w:rPr>
            </w:pPr>
          </w:p>
        </w:tc>
        <w:tc>
          <w:tcPr>
            <w:tcW w:w="421" w:type="dxa"/>
            <w:vMerge w:val="continue"/>
            <w:vAlign w:val="center"/>
          </w:tcPr>
          <w:p>
            <w:pPr>
              <w:spacing w:line="0" w:lineRule="atLeast"/>
              <w:rPr>
                <w:rFonts w:hint="default" w:ascii="Times New Roman" w:hAnsi="Times New Roman" w:cs="Times New Roman"/>
                <w:color w:val="auto"/>
                <w:szCs w:val="21"/>
              </w:rPr>
            </w:pPr>
          </w:p>
        </w:tc>
        <w:tc>
          <w:tcPr>
            <w:tcW w:w="1273"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污水处理站</w:t>
            </w:r>
          </w:p>
        </w:tc>
        <w:tc>
          <w:tcPr>
            <w:tcW w:w="1122" w:type="dxa"/>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NH</w:t>
            </w:r>
            <w:r>
              <w:rPr>
                <w:rFonts w:hint="default" w:ascii="Times New Roman" w:hAnsi="Times New Roman" w:cs="Times New Roman"/>
                <w:color w:val="auto"/>
                <w:szCs w:val="21"/>
                <w:vertAlign w:val="subscript"/>
              </w:rPr>
              <w:t>3</w:t>
            </w:r>
          </w:p>
        </w:tc>
        <w:tc>
          <w:tcPr>
            <w:tcW w:w="3289"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增加通风次数</w:t>
            </w:r>
          </w:p>
        </w:tc>
        <w:tc>
          <w:tcPr>
            <w:tcW w:w="1693"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134" w:type="dxa"/>
            <w:vAlign w:val="center"/>
          </w:tcPr>
          <w:p>
            <w:pPr>
              <w:pStyle w:val="22"/>
              <w:widowControl w:val="0"/>
              <w:adjustRightInd w:val="0"/>
              <w:snapToGrid w:val="0"/>
              <w:spacing w:before="0" w:beforeAutospacing="0" w:after="0" w:afterAutospacing="0"/>
              <w:jc w:val="center"/>
              <w:rPr>
                <w:rFonts w:hint="default" w:ascii="Times New Roman" w:hAnsi="Times New Roman" w:cs="Times New Roman"/>
                <w:color w:val="auto"/>
                <w:szCs w:val="21"/>
              </w:rPr>
            </w:pPr>
            <w:r>
              <w:rPr>
                <w:rFonts w:hint="eastAsia" w:ascii="Times New Roman" w:hAnsi="Times New Roman" w:eastAsia="宋体" w:cs="Times New Roman"/>
                <w:color w:val="auto"/>
                <w:spacing w:val="0"/>
                <w:sz w:val="21"/>
                <w:szCs w:val="21"/>
                <w:lang w:val="en-US" w:eastAsia="zh-CN"/>
              </w:rPr>
              <w:t>0.0009</w:t>
            </w:r>
            <w:r>
              <w:rPr>
                <w:rFonts w:hint="default" w:ascii="Times New Roman" w:hAnsi="Times New Roman" w:cs="Times New Roman"/>
                <w:b w:val="0"/>
                <w:bCs w:val="0"/>
                <w:color w:val="auto"/>
                <w:kern w:val="0"/>
                <w:sz w:val="21"/>
                <w:szCs w:val="21"/>
                <w:lang w:val="en-US" w:eastAsia="zh-CN"/>
              </w:rPr>
              <w:t>t/a</w:t>
            </w:r>
          </w:p>
        </w:tc>
        <w:tc>
          <w:tcPr>
            <w:tcW w:w="2977" w:type="dxa"/>
            <w:vMerge w:val="continue"/>
            <w:vAlign w:val="center"/>
          </w:tcPr>
          <w:p>
            <w:pPr>
              <w:spacing w:line="0" w:lineRule="atLeast"/>
              <w:ind w:firstLine="420"/>
              <w:jc w:val="center"/>
              <w:rPr>
                <w:rFonts w:hint="default" w:ascii="Times New Roman" w:hAnsi="Times New Roman" w:cs="Times New Roman"/>
                <w:color w:val="auto"/>
                <w:szCs w:val="21"/>
              </w:rPr>
            </w:pPr>
          </w:p>
        </w:tc>
        <w:tc>
          <w:tcPr>
            <w:tcW w:w="1674" w:type="dxa"/>
            <w:vMerge w:val="continue"/>
            <w:vAlign w:val="center"/>
          </w:tcPr>
          <w:p>
            <w:pPr>
              <w:spacing w:line="0" w:lineRule="atLeast"/>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126" w:hRule="atLeast"/>
        </w:trPr>
        <w:tc>
          <w:tcPr>
            <w:tcW w:w="1000" w:type="dxa"/>
            <w:vMerge w:val="continue"/>
            <w:vAlign w:val="center"/>
          </w:tcPr>
          <w:p>
            <w:pPr>
              <w:spacing w:line="0" w:lineRule="atLeast"/>
              <w:rPr>
                <w:rFonts w:hint="default" w:ascii="Times New Roman" w:hAnsi="Times New Roman" w:cs="Times New Roman"/>
                <w:color w:val="FF0000"/>
                <w:szCs w:val="21"/>
              </w:rPr>
            </w:pPr>
          </w:p>
        </w:tc>
        <w:tc>
          <w:tcPr>
            <w:tcW w:w="421" w:type="dxa"/>
            <w:vMerge w:val="continue"/>
            <w:vAlign w:val="center"/>
          </w:tcPr>
          <w:p>
            <w:pPr>
              <w:spacing w:line="0" w:lineRule="atLeast"/>
              <w:rPr>
                <w:rFonts w:hint="default" w:ascii="Times New Roman" w:hAnsi="Times New Roman" w:cs="Times New Roman"/>
                <w:color w:val="auto"/>
                <w:szCs w:val="21"/>
              </w:rPr>
            </w:pPr>
          </w:p>
        </w:tc>
        <w:tc>
          <w:tcPr>
            <w:tcW w:w="1273" w:type="dxa"/>
            <w:vMerge w:val="continue"/>
            <w:vAlign w:val="center"/>
          </w:tcPr>
          <w:p>
            <w:pPr>
              <w:spacing w:line="0" w:lineRule="atLeast"/>
              <w:jc w:val="center"/>
              <w:rPr>
                <w:rFonts w:hint="default" w:ascii="Times New Roman" w:hAnsi="Times New Roman" w:cs="Times New Roman"/>
                <w:color w:val="auto"/>
                <w:szCs w:val="21"/>
              </w:rPr>
            </w:pPr>
          </w:p>
        </w:tc>
        <w:tc>
          <w:tcPr>
            <w:tcW w:w="1122" w:type="dxa"/>
            <w:vAlign w:val="center"/>
          </w:tcPr>
          <w:p>
            <w:pPr>
              <w:autoSpaceDE w:val="0"/>
              <w:autoSpaceDN w:val="0"/>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H</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S</w:t>
            </w:r>
          </w:p>
        </w:tc>
        <w:tc>
          <w:tcPr>
            <w:tcW w:w="3289" w:type="dxa"/>
            <w:vMerge w:val="continue"/>
            <w:vAlign w:val="center"/>
          </w:tcPr>
          <w:p>
            <w:pPr>
              <w:spacing w:line="0" w:lineRule="atLeast"/>
              <w:jc w:val="center"/>
              <w:rPr>
                <w:rFonts w:hint="default" w:ascii="Times New Roman" w:hAnsi="Times New Roman" w:cs="Times New Roman"/>
                <w:color w:val="auto"/>
                <w:szCs w:val="21"/>
              </w:rPr>
            </w:pPr>
          </w:p>
        </w:tc>
        <w:tc>
          <w:tcPr>
            <w:tcW w:w="1693" w:type="dxa"/>
            <w:vMerge w:val="continue"/>
            <w:vAlign w:val="center"/>
          </w:tcPr>
          <w:p>
            <w:pPr>
              <w:spacing w:line="0" w:lineRule="atLeast"/>
              <w:jc w:val="center"/>
              <w:rPr>
                <w:rFonts w:hint="default" w:ascii="Times New Roman" w:hAnsi="Times New Roman" w:cs="Times New Roman"/>
                <w:color w:val="auto"/>
                <w:szCs w:val="21"/>
              </w:rPr>
            </w:pPr>
          </w:p>
        </w:tc>
        <w:tc>
          <w:tcPr>
            <w:tcW w:w="1134" w:type="dxa"/>
            <w:vAlign w:val="center"/>
          </w:tcPr>
          <w:p>
            <w:pPr>
              <w:pStyle w:val="22"/>
              <w:widowControl w:val="0"/>
              <w:adjustRightInd w:val="0"/>
              <w:snapToGrid w:val="0"/>
              <w:spacing w:before="0" w:beforeAutospacing="0" w:after="0" w:afterAutospacing="0"/>
              <w:jc w:val="center"/>
              <w:rPr>
                <w:rFonts w:hint="default" w:ascii="Times New Roman" w:hAnsi="Times New Roman" w:cs="Times New Roman"/>
                <w:color w:val="auto"/>
                <w:szCs w:val="21"/>
              </w:rPr>
            </w:pPr>
            <w:r>
              <w:rPr>
                <w:rFonts w:hint="eastAsia" w:ascii="Times New Roman" w:hAnsi="Times New Roman" w:eastAsia="宋体" w:cs="Times New Roman"/>
                <w:color w:val="auto"/>
                <w:spacing w:val="0"/>
                <w:sz w:val="21"/>
                <w:szCs w:val="21"/>
                <w:lang w:val="en-US" w:eastAsia="zh-CN"/>
              </w:rPr>
              <w:t>0.00003</w:t>
            </w:r>
            <w:r>
              <w:rPr>
                <w:rFonts w:hint="default" w:ascii="Times New Roman" w:hAnsi="Times New Roman" w:cs="Times New Roman"/>
                <w:b w:val="0"/>
                <w:bCs w:val="0"/>
                <w:color w:val="auto"/>
                <w:kern w:val="0"/>
                <w:sz w:val="21"/>
                <w:szCs w:val="21"/>
                <w:lang w:val="en-US" w:eastAsia="zh-CN"/>
              </w:rPr>
              <w:t>t/a</w:t>
            </w:r>
          </w:p>
        </w:tc>
        <w:tc>
          <w:tcPr>
            <w:tcW w:w="2977" w:type="dxa"/>
            <w:vMerge w:val="continue"/>
            <w:vAlign w:val="center"/>
          </w:tcPr>
          <w:p>
            <w:pPr>
              <w:spacing w:line="0" w:lineRule="atLeast"/>
              <w:ind w:firstLine="420"/>
              <w:jc w:val="center"/>
              <w:rPr>
                <w:rFonts w:hint="default" w:ascii="Times New Roman" w:hAnsi="Times New Roman" w:cs="Times New Roman"/>
                <w:color w:val="auto"/>
                <w:szCs w:val="21"/>
              </w:rPr>
            </w:pPr>
          </w:p>
        </w:tc>
        <w:tc>
          <w:tcPr>
            <w:tcW w:w="1674" w:type="dxa"/>
            <w:vMerge w:val="continue"/>
            <w:vAlign w:val="center"/>
          </w:tcPr>
          <w:p>
            <w:pPr>
              <w:spacing w:line="0" w:lineRule="atLeast"/>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126" w:hRule="atLeast"/>
        </w:trPr>
        <w:tc>
          <w:tcPr>
            <w:tcW w:w="1000" w:type="dxa"/>
            <w:vMerge w:val="continue"/>
            <w:vAlign w:val="center"/>
          </w:tcPr>
          <w:p>
            <w:pPr>
              <w:spacing w:line="0" w:lineRule="atLeast"/>
              <w:rPr>
                <w:rFonts w:hint="default" w:ascii="Times New Roman" w:hAnsi="Times New Roman" w:cs="Times New Roman"/>
                <w:color w:val="FF0000"/>
                <w:szCs w:val="21"/>
              </w:rPr>
            </w:pPr>
          </w:p>
        </w:tc>
        <w:tc>
          <w:tcPr>
            <w:tcW w:w="421" w:type="dxa"/>
            <w:vMerge w:val="continue"/>
            <w:vAlign w:val="center"/>
          </w:tcPr>
          <w:p>
            <w:pPr>
              <w:spacing w:line="0" w:lineRule="atLeast"/>
              <w:rPr>
                <w:rFonts w:hint="default" w:ascii="Times New Roman" w:hAnsi="Times New Roman" w:cs="Times New Roman"/>
                <w:color w:val="auto"/>
                <w:szCs w:val="21"/>
              </w:rPr>
            </w:pPr>
          </w:p>
        </w:tc>
        <w:tc>
          <w:tcPr>
            <w:tcW w:w="1273" w:type="dxa"/>
            <w:vMerge w:val="restart"/>
            <w:vAlign w:val="center"/>
          </w:tcPr>
          <w:p>
            <w:pPr>
              <w:spacing w:line="0" w:lineRule="atLeast"/>
              <w:jc w:val="center"/>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待宰</w:t>
            </w:r>
            <w:r>
              <w:rPr>
                <w:rFonts w:hint="eastAsia" w:ascii="Times New Roman" w:hAnsi="Times New Roman" w:eastAsia="宋体" w:cs="Times New Roman"/>
                <w:color w:val="auto"/>
                <w:szCs w:val="21"/>
                <w:lang w:val="en-US" w:eastAsia="zh-CN"/>
              </w:rPr>
              <w:t>圈</w:t>
            </w:r>
          </w:p>
        </w:tc>
        <w:tc>
          <w:tcPr>
            <w:tcW w:w="1122" w:type="dxa"/>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NH</w:t>
            </w:r>
            <w:r>
              <w:rPr>
                <w:rFonts w:hint="default" w:ascii="Times New Roman" w:hAnsi="Times New Roman" w:cs="Times New Roman"/>
                <w:color w:val="auto"/>
                <w:szCs w:val="21"/>
                <w:vertAlign w:val="subscript"/>
              </w:rPr>
              <w:t>3</w:t>
            </w:r>
          </w:p>
        </w:tc>
        <w:tc>
          <w:tcPr>
            <w:tcW w:w="3289"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eastAsia="宋体" w:cs="Times New Roman"/>
                <w:color w:val="auto"/>
                <w:sz w:val="21"/>
                <w:szCs w:val="21"/>
                <w:lang w:val="en-US" w:eastAsia="zh-CN"/>
              </w:rPr>
              <w:t>猪粪便在待宰圈防渗池内临时贮存，每天清运一次</w:t>
            </w:r>
            <w:r>
              <w:rPr>
                <w:rFonts w:hint="eastAsia" w:ascii="Times New Roman" w:hAnsi="Times New Roman" w:eastAsia="宋体" w:cs="Times New Roman"/>
                <w:color w:val="auto"/>
                <w:sz w:val="21"/>
                <w:szCs w:val="21"/>
                <w:lang w:val="en-US" w:eastAsia="zh-CN"/>
              </w:rPr>
              <w:t>，</w:t>
            </w:r>
            <w:r>
              <w:rPr>
                <w:rFonts w:hint="default" w:ascii="Times New Roman" w:hAnsi="Times New Roman" w:cs="Times New Roman"/>
                <w:color w:val="auto"/>
                <w:szCs w:val="21"/>
              </w:rPr>
              <w:t>并投加或喷洒除臭剂</w:t>
            </w:r>
          </w:p>
        </w:tc>
        <w:tc>
          <w:tcPr>
            <w:tcW w:w="1693"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134" w:type="dxa"/>
            <w:vAlign w:val="center"/>
          </w:tcPr>
          <w:p>
            <w:pPr>
              <w:pStyle w:val="22"/>
              <w:widowControl w:val="0"/>
              <w:adjustRightInd w:val="0"/>
              <w:snapToGrid w:val="0"/>
              <w:spacing w:before="0" w:beforeAutospacing="0" w:after="0" w:afterAutospacing="0"/>
              <w:jc w:val="center"/>
              <w:rPr>
                <w:rFonts w:hint="default" w:ascii="Times New Roman" w:hAnsi="Times New Roman" w:cs="Times New Roman"/>
                <w:color w:val="auto"/>
                <w:szCs w:val="21"/>
              </w:rPr>
            </w:pPr>
            <w:r>
              <w:rPr>
                <w:rFonts w:hint="eastAsia" w:ascii="Times New Roman" w:hAnsi="Times New Roman" w:eastAsia="宋体" w:cs="Times New Roman"/>
                <w:color w:val="auto"/>
                <w:spacing w:val="0"/>
                <w:sz w:val="21"/>
                <w:szCs w:val="21"/>
                <w:lang w:val="en-US" w:eastAsia="zh-CN"/>
              </w:rPr>
              <w:t>0.01625</w:t>
            </w:r>
            <w:r>
              <w:rPr>
                <w:rFonts w:hint="default" w:ascii="Times New Roman" w:hAnsi="Times New Roman" w:cs="Times New Roman"/>
                <w:b w:val="0"/>
                <w:bCs w:val="0"/>
                <w:color w:val="auto"/>
                <w:kern w:val="0"/>
                <w:sz w:val="21"/>
                <w:szCs w:val="21"/>
                <w:lang w:val="en-US" w:eastAsia="zh-CN"/>
              </w:rPr>
              <w:t>t/a</w:t>
            </w:r>
          </w:p>
        </w:tc>
        <w:tc>
          <w:tcPr>
            <w:tcW w:w="2977"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《恶臭污染物排放标准》（GB14554-1993）表1中二级新改扩建标准</w:t>
            </w:r>
          </w:p>
        </w:tc>
        <w:tc>
          <w:tcPr>
            <w:tcW w:w="1674" w:type="dxa"/>
            <w:vMerge w:val="restart"/>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64" w:hRule="atLeast"/>
        </w:trPr>
        <w:tc>
          <w:tcPr>
            <w:tcW w:w="1000" w:type="dxa"/>
            <w:vMerge w:val="continue"/>
            <w:vAlign w:val="center"/>
          </w:tcPr>
          <w:p>
            <w:pPr>
              <w:spacing w:line="0" w:lineRule="atLeast"/>
              <w:rPr>
                <w:rFonts w:hint="default" w:ascii="Times New Roman" w:hAnsi="Times New Roman" w:cs="Times New Roman"/>
                <w:color w:val="FF0000"/>
                <w:szCs w:val="21"/>
              </w:rPr>
            </w:pPr>
          </w:p>
        </w:tc>
        <w:tc>
          <w:tcPr>
            <w:tcW w:w="421" w:type="dxa"/>
            <w:vMerge w:val="continue"/>
            <w:vAlign w:val="center"/>
          </w:tcPr>
          <w:p>
            <w:pPr>
              <w:spacing w:line="0" w:lineRule="atLeast"/>
              <w:rPr>
                <w:rFonts w:hint="default" w:ascii="Times New Roman" w:hAnsi="Times New Roman" w:cs="Times New Roman"/>
                <w:color w:val="FF0000"/>
                <w:szCs w:val="21"/>
              </w:rPr>
            </w:pPr>
          </w:p>
        </w:tc>
        <w:tc>
          <w:tcPr>
            <w:tcW w:w="1273" w:type="dxa"/>
            <w:vMerge w:val="continue"/>
            <w:vAlign w:val="center"/>
          </w:tcPr>
          <w:p>
            <w:pPr>
              <w:spacing w:line="0" w:lineRule="atLeast"/>
              <w:jc w:val="center"/>
              <w:rPr>
                <w:rFonts w:hint="default" w:ascii="Times New Roman" w:hAnsi="Times New Roman" w:cs="Times New Roman"/>
                <w:color w:val="auto"/>
                <w:szCs w:val="21"/>
              </w:rPr>
            </w:pPr>
          </w:p>
        </w:tc>
        <w:tc>
          <w:tcPr>
            <w:tcW w:w="1122" w:type="dxa"/>
            <w:vAlign w:val="center"/>
          </w:tcPr>
          <w:p>
            <w:pPr>
              <w:autoSpaceDE w:val="0"/>
              <w:autoSpaceDN w:val="0"/>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H</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S</w:t>
            </w:r>
          </w:p>
        </w:tc>
        <w:tc>
          <w:tcPr>
            <w:tcW w:w="3289" w:type="dxa"/>
            <w:vMerge w:val="continue"/>
            <w:vAlign w:val="center"/>
          </w:tcPr>
          <w:p>
            <w:pPr>
              <w:spacing w:line="0" w:lineRule="atLeast"/>
              <w:jc w:val="center"/>
              <w:rPr>
                <w:rFonts w:hint="default" w:ascii="Times New Roman" w:hAnsi="Times New Roman" w:cs="Times New Roman"/>
                <w:color w:val="auto"/>
                <w:szCs w:val="21"/>
              </w:rPr>
            </w:pPr>
          </w:p>
        </w:tc>
        <w:tc>
          <w:tcPr>
            <w:tcW w:w="1693" w:type="dxa"/>
            <w:vMerge w:val="continue"/>
            <w:vAlign w:val="center"/>
          </w:tcPr>
          <w:p>
            <w:pPr>
              <w:spacing w:line="0" w:lineRule="atLeast"/>
              <w:jc w:val="center"/>
              <w:rPr>
                <w:rFonts w:hint="default" w:ascii="Times New Roman" w:hAnsi="Times New Roman" w:cs="Times New Roman"/>
                <w:color w:val="auto"/>
                <w:szCs w:val="21"/>
              </w:rPr>
            </w:pPr>
          </w:p>
        </w:tc>
        <w:tc>
          <w:tcPr>
            <w:tcW w:w="1134" w:type="dxa"/>
            <w:vAlign w:val="center"/>
          </w:tcPr>
          <w:p>
            <w:pPr>
              <w:pStyle w:val="22"/>
              <w:widowControl w:val="0"/>
              <w:adjustRightInd w:val="0"/>
              <w:snapToGrid w:val="0"/>
              <w:spacing w:before="0" w:beforeAutospacing="0" w:after="0" w:afterAutospacing="0"/>
              <w:jc w:val="center"/>
              <w:rPr>
                <w:rFonts w:hint="default" w:ascii="Times New Roman" w:hAnsi="Times New Roman" w:cs="Times New Roman"/>
                <w:color w:val="FF0000"/>
                <w:szCs w:val="21"/>
              </w:rPr>
            </w:pPr>
            <w:r>
              <w:rPr>
                <w:rFonts w:hint="eastAsia" w:ascii="Times New Roman" w:hAnsi="Times New Roman" w:eastAsia="宋体" w:cs="Times New Roman"/>
                <w:color w:val="auto"/>
                <w:spacing w:val="0"/>
                <w:sz w:val="21"/>
                <w:szCs w:val="21"/>
                <w:lang w:val="en-US" w:eastAsia="zh-CN"/>
              </w:rPr>
              <w:t>0.00244</w:t>
            </w:r>
            <w:r>
              <w:rPr>
                <w:rFonts w:hint="default" w:ascii="Times New Roman" w:hAnsi="Times New Roman" w:cs="Times New Roman"/>
                <w:b w:val="0"/>
                <w:bCs w:val="0"/>
                <w:color w:val="auto"/>
                <w:kern w:val="0"/>
                <w:sz w:val="21"/>
                <w:szCs w:val="21"/>
                <w:lang w:val="en-US" w:eastAsia="zh-CN"/>
              </w:rPr>
              <w:t>t/a</w:t>
            </w:r>
          </w:p>
        </w:tc>
        <w:tc>
          <w:tcPr>
            <w:tcW w:w="2977" w:type="dxa"/>
            <w:vMerge w:val="continue"/>
            <w:vAlign w:val="center"/>
          </w:tcPr>
          <w:p>
            <w:pPr>
              <w:spacing w:line="0" w:lineRule="atLeast"/>
              <w:ind w:firstLine="420"/>
              <w:jc w:val="center"/>
              <w:rPr>
                <w:rFonts w:hint="default" w:ascii="Times New Roman" w:hAnsi="Times New Roman" w:cs="Times New Roman"/>
                <w:color w:val="FF0000"/>
                <w:szCs w:val="21"/>
              </w:rPr>
            </w:pPr>
          </w:p>
        </w:tc>
        <w:tc>
          <w:tcPr>
            <w:tcW w:w="1674" w:type="dxa"/>
            <w:vMerge w:val="continue"/>
            <w:vAlign w:val="center"/>
          </w:tcPr>
          <w:p>
            <w:pPr>
              <w:spacing w:line="0" w:lineRule="atLeast"/>
              <w:jc w:val="center"/>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94" w:hRule="atLeast"/>
        </w:trPr>
        <w:tc>
          <w:tcPr>
            <w:tcW w:w="1000" w:type="dxa"/>
            <w:vMerge w:val="continue"/>
            <w:vAlign w:val="center"/>
          </w:tcPr>
          <w:p>
            <w:pPr>
              <w:spacing w:line="0" w:lineRule="atLeast"/>
              <w:rPr>
                <w:rFonts w:hint="default" w:ascii="Times New Roman" w:hAnsi="Times New Roman" w:cs="Times New Roman"/>
                <w:color w:val="FF0000"/>
                <w:szCs w:val="21"/>
              </w:rPr>
            </w:pPr>
          </w:p>
        </w:tc>
        <w:tc>
          <w:tcPr>
            <w:tcW w:w="421" w:type="dxa"/>
            <w:vMerge w:val="continue"/>
            <w:vAlign w:val="center"/>
          </w:tcPr>
          <w:p>
            <w:pPr>
              <w:spacing w:line="0" w:lineRule="atLeast"/>
              <w:rPr>
                <w:rFonts w:hint="default" w:ascii="Times New Roman" w:hAnsi="Times New Roman" w:cs="Times New Roman"/>
                <w:color w:val="FF0000"/>
                <w:szCs w:val="21"/>
              </w:rPr>
            </w:pPr>
          </w:p>
        </w:tc>
        <w:tc>
          <w:tcPr>
            <w:tcW w:w="1273" w:type="dxa"/>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eastAsia="宋体" w:cs="Times New Roman"/>
                <w:bCs/>
                <w:color w:val="auto"/>
                <w:spacing w:val="0"/>
                <w:sz w:val="21"/>
                <w:szCs w:val="21"/>
                <w:lang w:val="en-US" w:eastAsia="zh-CN"/>
              </w:rPr>
              <w:t>柴油储罐大呼吸</w:t>
            </w:r>
          </w:p>
        </w:tc>
        <w:tc>
          <w:tcPr>
            <w:tcW w:w="1122" w:type="dxa"/>
            <w:vAlign w:val="center"/>
          </w:tcPr>
          <w:p>
            <w:pPr>
              <w:autoSpaceDE w:val="0"/>
              <w:autoSpaceDN w:val="0"/>
              <w:spacing w:line="0" w:lineRule="atLeas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pacing w:val="0"/>
                <w:sz w:val="21"/>
                <w:szCs w:val="21"/>
                <w:lang w:val="en-US" w:eastAsia="zh-CN"/>
              </w:rPr>
              <w:t>非甲烷总烃</w:t>
            </w:r>
          </w:p>
        </w:tc>
        <w:tc>
          <w:tcPr>
            <w:tcW w:w="3289" w:type="dxa"/>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eastAsia="宋体" w:cs="Times New Roman"/>
                <w:color w:val="auto"/>
                <w:spacing w:val="0"/>
                <w:sz w:val="21"/>
                <w:szCs w:val="21"/>
                <w:lang w:val="en-US" w:eastAsia="zh-CN"/>
              </w:rPr>
              <w:t>气相平衡管</w:t>
            </w:r>
          </w:p>
        </w:tc>
        <w:tc>
          <w:tcPr>
            <w:tcW w:w="1693" w:type="dxa"/>
            <w:vAlign w:val="center"/>
          </w:tcPr>
          <w:p>
            <w:pPr>
              <w:pStyle w:val="22"/>
              <w:widowControl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pacing w:val="0"/>
                <w:sz w:val="21"/>
                <w:szCs w:val="21"/>
                <w:lang w:val="en-US" w:eastAsia="zh-CN"/>
              </w:rPr>
              <w:t>/</w:t>
            </w:r>
          </w:p>
        </w:tc>
        <w:tc>
          <w:tcPr>
            <w:tcW w:w="1134" w:type="dxa"/>
            <w:vAlign w:val="center"/>
          </w:tcPr>
          <w:p>
            <w:pPr>
              <w:widowControl w:val="0"/>
              <w:adjustRightInd w:val="0"/>
              <w:snapToGrid w:val="0"/>
              <w:spacing w:before="0" w:beforeAutospacing="0" w:after="0" w:afterAutospacing="0"/>
              <w:jc w:val="center"/>
              <w:rPr>
                <w:rFonts w:hint="default" w:ascii="Times New Roman" w:hAnsi="Times New Roman" w:cs="Times New Roman"/>
                <w:color w:val="FF0000"/>
                <w:szCs w:val="21"/>
              </w:rPr>
            </w:pPr>
            <w:r>
              <w:rPr>
                <w:rFonts w:hint="eastAsia" w:ascii="Times New Roman" w:hAnsi="Times New Roman" w:eastAsia="宋体" w:cs="Times New Roman"/>
                <w:color w:val="auto"/>
                <w:spacing w:val="0"/>
                <w:sz w:val="21"/>
                <w:szCs w:val="21"/>
                <w:lang w:val="en-US" w:eastAsia="zh-CN"/>
              </w:rPr>
              <w:t>0.000001</w:t>
            </w:r>
            <w:r>
              <w:rPr>
                <w:rFonts w:hint="default" w:ascii="Times New Roman" w:hAnsi="Times New Roman" w:cs="Times New Roman"/>
                <w:b w:val="0"/>
                <w:bCs w:val="0"/>
                <w:color w:val="auto"/>
                <w:kern w:val="0"/>
                <w:sz w:val="21"/>
                <w:szCs w:val="21"/>
                <w:lang w:val="en-US" w:eastAsia="zh-CN"/>
              </w:rPr>
              <w:t>t/a</w:t>
            </w:r>
          </w:p>
        </w:tc>
        <w:tc>
          <w:tcPr>
            <w:tcW w:w="2977" w:type="dxa"/>
            <w:vMerge w:val="restart"/>
            <w:vAlign w:val="center"/>
          </w:tcPr>
          <w:p>
            <w:pPr>
              <w:spacing w:line="0" w:lineRule="atLeast"/>
              <w:jc w:val="center"/>
              <w:rPr>
                <w:rFonts w:hint="default" w:ascii="Times New Roman" w:hAnsi="Times New Roman" w:cs="Times New Roman"/>
                <w:color w:val="FF0000"/>
                <w:szCs w:val="21"/>
              </w:rPr>
            </w:pPr>
            <w:r>
              <w:rPr>
                <w:rFonts w:hint="default" w:ascii="Times New Roman" w:hAnsi="Times New Roman" w:eastAsia="宋体" w:cs="Times New Roman"/>
                <w:color w:val="auto"/>
                <w:kern w:val="21"/>
                <w:sz w:val="21"/>
                <w:szCs w:val="21"/>
              </w:rPr>
              <w:t>《挥发性有机物无组织排放控制标准》（GB37822-2019）</w:t>
            </w:r>
            <w:r>
              <w:rPr>
                <w:rFonts w:hint="default" w:ascii="Times New Roman" w:hAnsi="Times New Roman" w:cs="Times New Roman"/>
                <w:color w:val="auto"/>
                <w:kern w:val="24"/>
                <w:sz w:val="21"/>
                <w:szCs w:val="21"/>
                <w:lang w:val="en-US" w:eastAsia="zh-CN"/>
              </w:rPr>
              <w:t>表A.1</w:t>
            </w:r>
          </w:p>
        </w:tc>
        <w:tc>
          <w:tcPr>
            <w:tcW w:w="1674" w:type="dxa"/>
            <w:vMerge w:val="continue"/>
            <w:vAlign w:val="center"/>
          </w:tcPr>
          <w:p>
            <w:pPr>
              <w:spacing w:line="0" w:lineRule="atLeast"/>
              <w:jc w:val="center"/>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149" w:type="dxa"/>
          <w:trHeight w:val="94" w:hRule="atLeast"/>
        </w:trPr>
        <w:tc>
          <w:tcPr>
            <w:tcW w:w="1000" w:type="dxa"/>
            <w:vMerge w:val="continue"/>
            <w:vAlign w:val="center"/>
          </w:tcPr>
          <w:p>
            <w:pPr>
              <w:spacing w:line="0" w:lineRule="atLeast"/>
              <w:rPr>
                <w:rFonts w:hint="default" w:ascii="Times New Roman" w:hAnsi="Times New Roman" w:cs="Times New Roman"/>
                <w:color w:val="FF0000"/>
                <w:szCs w:val="21"/>
              </w:rPr>
            </w:pPr>
          </w:p>
        </w:tc>
        <w:tc>
          <w:tcPr>
            <w:tcW w:w="421" w:type="dxa"/>
            <w:vMerge w:val="continue"/>
            <w:vAlign w:val="center"/>
          </w:tcPr>
          <w:p>
            <w:pPr>
              <w:spacing w:line="0" w:lineRule="atLeast"/>
              <w:rPr>
                <w:rFonts w:hint="default" w:ascii="Times New Roman" w:hAnsi="Times New Roman" w:cs="Times New Roman"/>
                <w:color w:val="FF0000"/>
                <w:szCs w:val="21"/>
              </w:rPr>
            </w:pPr>
          </w:p>
        </w:tc>
        <w:tc>
          <w:tcPr>
            <w:tcW w:w="1273" w:type="dxa"/>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eastAsia="宋体" w:cs="Times New Roman"/>
                <w:bCs/>
                <w:color w:val="auto"/>
                <w:spacing w:val="0"/>
                <w:sz w:val="21"/>
                <w:szCs w:val="21"/>
                <w:lang w:val="en-US" w:eastAsia="zh-CN"/>
              </w:rPr>
              <w:t>柴油储罐小呼吸</w:t>
            </w:r>
          </w:p>
        </w:tc>
        <w:tc>
          <w:tcPr>
            <w:tcW w:w="1122" w:type="dxa"/>
            <w:vAlign w:val="center"/>
          </w:tcPr>
          <w:p>
            <w:pPr>
              <w:autoSpaceDE w:val="0"/>
              <w:autoSpaceDN w:val="0"/>
              <w:spacing w:line="0" w:lineRule="atLeast"/>
              <w:jc w:val="center"/>
              <w:rPr>
                <w:rFonts w:hint="default" w:ascii="Times New Roman" w:hAnsi="Times New Roman" w:cs="Times New Roman"/>
                <w:color w:val="auto"/>
                <w:szCs w:val="21"/>
              </w:rPr>
            </w:pPr>
            <w:r>
              <w:rPr>
                <w:rFonts w:hint="default" w:ascii="Times New Roman" w:hAnsi="Times New Roman" w:eastAsia="宋体" w:cs="Times New Roman"/>
                <w:color w:val="auto"/>
                <w:spacing w:val="0"/>
                <w:sz w:val="21"/>
                <w:szCs w:val="21"/>
                <w:lang w:val="en-US" w:eastAsia="zh-CN"/>
              </w:rPr>
              <w:t>非甲烷总烃</w:t>
            </w:r>
          </w:p>
        </w:tc>
        <w:tc>
          <w:tcPr>
            <w:tcW w:w="3289" w:type="dxa"/>
            <w:vAlign w:val="center"/>
          </w:tcPr>
          <w:p>
            <w:pPr>
              <w:spacing w:line="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1693" w:type="dxa"/>
            <w:vAlign w:val="center"/>
          </w:tcPr>
          <w:p>
            <w:pPr>
              <w:pStyle w:val="22"/>
              <w:widowControl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pacing w:val="0"/>
                <w:sz w:val="21"/>
                <w:szCs w:val="21"/>
                <w:lang w:val="en-US" w:eastAsia="zh-CN"/>
              </w:rPr>
              <w:t>/</w:t>
            </w:r>
          </w:p>
        </w:tc>
        <w:tc>
          <w:tcPr>
            <w:tcW w:w="1134" w:type="dxa"/>
            <w:vAlign w:val="center"/>
          </w:tcPr>
          <w:p>
            <w:pPr>
              <w:widowControl w:val="0"/>
              <w:adjustRightInd w:val="0"/>
              <w:snapToGrid w:val="0"/>
              <w:spacing w:before="0" w:beforeAutospacing="0" w:after="0" w:afterAutospacing="0"/>
              <w:jc w:val="center"/>
              <w:rPr>
                <w:rFonts w:hint="default" w:ascii="Times New Roman" w:hAnsi="Times New Roman" w:cs="Times New Roman"/>
                <w:color w:val="FF0000"/>
                <w:szCs w:val="21"/>
              </w:rPr>
            </w:pPr>
            <w:r>
              <w:rPr>
                <w:rFonts w:hint="default" w:ascii="Times New Roman" w:hAnsi="Times New Roman" w:eastAsia="宋体" w:cs="Times New Roman"/>
                <w:color w:val="auto"/>
                <w:spacing w:val="0"/>
                <w:sz w:val="21"/>
                <w:szCs w:val="21"/>
                <w:lang w:val="en-US" w:eastAsia="zh-CN"/>
              </w:rPr>
              <w:t>0.0013</w:t>
            </w:r>
            <w:r>
              <w:rPr>
                <w:rFonts w:hint="default" w:ascii="Times New Roman" w:hAnsi="Times New Roman" w:cs="Times New Roman"/>
                <w:b w:val="0"/>
                <w:bCs w:val="0"/>
                <w:color w:val="auto"/>
                <w:kern w:val="0"/>
                <w:sz w:val="21"/>
                <w:szCs w:val="21"/>
                <w:lang w:val="en-US" w:eastAsia="zh-CN"/>
              </w:rPr>
              <w:t>t/a</w:t>
            </w:r>
          </w:p>
        </w:tc>
        <w:tc>
          <w:tcPr>
            <w:tcW w:w="2977" w:type="dxa"/>
            <w:vMerge w:val="continue"/>
            <w:vAlign w:val="center"/>
          </w:tcPr>
          <w:p>
            <w:pPr>
              <w:spacing w:line="0" w:lineRule="atLeast"/>
              <w:ind w:firstLine="420"/>
              <w:jc w:val="center"/>
              <w:rPr>
                <w:rFonts w:hint="default" w:ascii="Times New Roman" w:hAnsi="Times New Roman" w:cs="Times New Roman"/>
                <w:color w:val="FF0000"/>
                <w:szCs w:val="21"/>
              </w:rPr>
            </w:pPr>
          </w:p>
        </w:tc>
        <w:tc>
          <w:tcPr>
            <w:tcW w:w="1674" w:type="dxa"/>
            <w:vMerge w:val="continue"/>
            <w:vAlign w:val="center"/>
          </w:tcPr>
          <w:p>
            <w:pPr>
              <w:spacing w:line="0" w:lineRule="atLeast"/>
              <w:jc w:val="center"/>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2"/>
          <w:wAfter w:w="148" w:type="dxa"/>
          <w:trHeight w:val="334" w:hRule="atLeast"/>
          <w:jc w:val="center"/>
        </w:trPr>
        <w:tc>
          <w:tcPr>
            <w:tcW w:w="1000" w:type="dxa"/>
            <w:vMerge w:val="restart"/>
            <w:shd w:val="clear" w:color="auto" w:fill="auto"/>
            <w:vAlign w:val="center"/>
          </w:tcPr>
          <w:p>
            <w:pPr>
              <w:tabs>
                <w:tab w:val="left" w:pos="360"/>
              </w:tabs>
              <w:autoSpaceDE w:val="0"/>
              <w:autoSpaceDN w:val="0"/>
              <w:spacing w:line="0" w:lineRule="atLeast"/>
              <w:jc w:val="center"/>
              <w:rPr>
                <w:rFonts w:hint="default" w:ascii="Times New Roman" w:hAnsi="Times New Roman" w:cs="Times New Roman"/>
                <w:b/>
                <w:bCs/>
                <w:color w:val="auto"/>
                <w:szCs w:val="21"/>
              </w:rPr>
            </w:pPr>
            <w:r>
              <w:rPr>
                <w:rFonts w:hint="default" w:ascii="Times New Roman" w:hAnsi="Times New Roman" w:cs="Times New Roman"/>
                <w:color w:val="auto"/>
                <w:szCs w:val="21"/>
              </w:rPr>
              <w:t>废水</w:t>
            </w:r>
          </w:p>
        </w:tc>
        <w:tc>
          <w:tcPr>
            <w:tcW w:w="1694" w:type="dxa"/>
            <w:gridSpan w:val="2"/>
            <w:vMerge w:val="restart"/>
            <w:shd w:val="clear" w:color="auto" w:fill="auto"/>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生活污水及生产废水</w:t>
            </w:r>
          </w:p>
        </w:tc>
        <w:tc>
          <w:tcPr>
            <w:tcW w:w="1122" w:type="dxa"/>
            <w:shd w:val="clear" w:color="auto" w:fill="auto"/>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pH</w:t>
            </w:r>
          </w:p>
        </w:tc>
        <w:tc>
          <w:tcPr>
            <w:tcW w:w="3289" w:type="dxa"/>
            <w:vMerge w:val="restart"/>
            <w:shd w:val="clear" w:color="auto" w:fill="auto"/>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项目产生的废水经管道送入厂内污水处理站，污水处理站采用沉淀池+气浮池+调节池+水解酸化+好氧生物池+MBR膜池+污泥消化池+消毒工艺处理后，废水满足《肉类加工工业水污染物排放标准》</w:t>
            </w:r>
            <w:r>
              <w:rPr>
                <w:rFonts w:hint="default" w:ascii="Times New Roman" w:hAnsi="Times New Roman" w:cs="Times New Roman"/>
                <w:color w:val="auto"/>
                <w:szCs w:val="21"/>
              </w:rPr>
              <w:t>（GB13457-92）表3</w:t>
            </w:r>
            <w:r>
              <w:rPr>
                <w:rFonts w:hint="default" w:ascii="Times New Roman" w:hAnsi="Times New Roman" w:cs="Times New Roman"/>
                <w:color w:val="auto"/>
                <w:szCs w:val="21"/>
                <w:lang w:val="en-US" w:eastAsia="zh-CN"/>
              </w:rPr>
              <w:t>中畜类屠宰加工及肉制品加工三级标准及兴隆镇污水处理厂设计进水水质指标的要求后排入兴隆镇污水处理厂处理，</w:t>
            </w:r>
            <w:r>
              <w:rPr>
                <w:rFonts w:hint="eastAsia" w:ascii="Times New Roman" w:hAnsi="Times New Roman" w:cs="Times New Roman"/>
                <w:color w:val="auto"/>
                <w:szCs w:val="21"/>
                <w:lang w:val="en-US" w:eastAsia="zh-CN"/>
              </w:rPr>
              <w:t>排入泥河</w:t>
            </w:r>
            <w:r>
              <w:rPr>
                <w:rFonts w:hint="default" w:ascii="Times New Roman" w:hAnsi="Times New Roman" w:cs="Times New Roman"/>
                <w:color w:val="auto"/>
                <w:szCs w:val="21"/>
                <w:lang w:val="en-US" w:eastAsia="zh-CN"/>
              </w:rPr>
              <w:t>。</w:t>
            </w:r>
          </w:p>
        </w:tc>
        <w:tc>
          <w:tcPr>
            <w:tcW w:w="1693" w:type="dxa"/>
            <w:shd w:val="clear" w:color="auto" w:fill="auto"/>
            <w:vAlign w:val="center"/>
          </w:tcPr>
          <w:p>
            <w:pPr>
              <w:widowControl/>
              <w:jc w:val="center"/>
              <w:rPr>
                <w:rFonts w:hint="eastAsia" w:ascii="Times New Roman" w:hAnsi="Times New Roman" w:eastAsia="宋体" w:cs="Times New Roman"/>
                <w:color w:val="auto"/>
                <w:szCs w:val="21"/>
                <w:lang w:val="en-US" w:eastAsia="zh-CN"/>
              </w:rPr>
            </w:pPr>
            <w:r>
              <w:rPr>
                <w:rFonts w:hint="default" w:ascii="Times New Roman" w:hAnsi="Times New Roman" w:cs="Times New Roman"/>
                <w:bCs/>
                <w:snapToGrid w:val="0"/>
                <w:color w:val="auto"/>
              </w:rPr>
              <w:t>7.</w:t>
            </w:r>
            <w:r>
              <w:rPr>
                <w:rFonts w:hint="eastAsia" w:ascii="Times New Roman" w:hAnsi="Times New Roman" w:eastAsia="宋体" w:cs="Times New Roman"/>
                <w:bCs/>
                <w:snapToGrid w:val="0"/>
                <w:color w:val="auto"/>
                <w:lang w:val="en-US" w:eastAsia="zh-CN"/>
              </w:rPr>
              <w:t>4</w:t>
            </w:r>
          </w:p>
        </w:tc>
        <w:tc>
          <w:tcPr>
            <w:tcW w:w="4111" w:type="dxa"/>
            <w:gridSpan w:val="2"/>
            <w:vMerge w:val="restart"/>
            <w:shd w:val="clear" w:color="auto" w:fill="auto"/>
            <w:vAlign w:val="center"/>
          </w:tcPr>
          <w:p>
            <w:pPr>
              <w:spacing w:line="0" w:lineRule="atLeast"/>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bCs/>
                <w:color w:val="auto"/>
                <w:szCs w:val="21"/>
              </w:rPr>
              <w:t>《肉类加工工业水污染物排放标准》（GB13457-92）表3三级畜类屠宰加工标准限值</w:t>
            </w:r>
            <w:r>
              <w:rPr>
                <w:rFonts w:hint="eastAsia" w:ascii="Times New Roman" w:hAnsi="Times New Roman" w:eastAsia="宋体" w:cs="Times New Roman"/>
                <w:bCs/>
                <w:color w:val="auto"/>
                <w:szCs w:val="21"/>
                <w:lang w:val="en-US" w:eastAsia="zh-CN"/>
              </w:rPr>
              <w:t>及</w:t>
            </w:r>
            <w:r>
              <w:rPr>
                <w:rFonts w:hint="eastAsia" w:cs="Times New Roman"/>
                <w:bCs/>
                <w:color w:val="auto"/>
                <w:lang w:val="en-US" w:eastAsia="zh-CN"/>
              </w:rPr>
              <w:t>兴隆镇污水处理厂进水指标</w:t>
            </w:r>
          </w:p>
        </w:tc>
        <w:tc>
          <w:tcPr>
            <w:tcW w:w="1675" w:type="dxa"/>
            <w:gridSpan w:val="2"/>
            <w:vMerge w:val="restart"/>
            <w:shd w:val="clear" w:color="auto" w:fill="auto"/>
            <w:vAlign w:val="center"/>
          </w:tcPr>
          <w:p>
            <w:pPr>
              <w:jc w:val="center"/>
              <w:rPr>
                <w:rFonts w:hint="default" w:ascii="Times New Roman" w:hAnsi="Times New Roman" w:cs="Times New Roman"/>
                <w:b/>
                <w:bCs/>
                <w:color w:val="FF0000"/>
                <w:szCs w:val="21"/>
              </w:rPr>
            </w:pPr>
            <w:r>
              <w:rPr>
                <w:rFonts w:hint="default" w:ascii="Times New Roman" w:hAnsi="Times New Roman" w:cs="Times New Roman"/>
                <w:color w:val="FF0000"/>
                <w:szCs w:val="21"/>
              </w:rPr>
              <w:drawing>
                <wp:anchor distT="0" distB="0" distL="114300" distR="114300" simplePos="0" relativeHeight="251796480" behindDoc="0" locked="0" layoutInCell="1" allowOverlap="1">
                  <wp:simplePos x="0" y="0"/>
                  <wp:positionH relativeFrom="column">
                    <wp:posOffset>226695</wp:posOffset>
                  </wp:positionH>
                  <wp:positionV relativeFrom="paragraph">
                    <wp:posOffset>167005</wp:posOffset>
                  </wp:positionV>
                  <wp:extent cx="502920" cy="465455"/>
                  <wp:effectExtent l="0" t="0" r="11430" b="10795"/>
                  <wp:wrapNone/>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noChangeArrowheads="1"/>
                          </pic:cNvPicPr>
                        </pic:nvPicPr>
                        <pic:blipFill>
                          <a:blip r:embed="rId82" cstate="print"/>
                          <a:srcRect/>
                          <a:stretch>
                            <a:fillRect/>
                          </a:stretch>
                        </pic:blipFill>
                        <pic:spPr>
                          <a:xfrm>
                            <a:off x="0" y="0"/>
                            <a:ext cx="502920" cy="465455"/>
                          </a:xfrm>
                          <a:prstGeom prst="rect">
                            <a:avLst/>
                          </a:prstGeom>
                          <a:noFill/>
                          <a:ln w="9525">
                            <a:noFill/>
                            <a:miter lim="800000"/>
                            <a:headEnd/>
                            <a:tailEnd/>
                          </a:ln>
                        </pic:spPr>
                      </pic:pic>
                    </a:graphicData>
                  </a:graphic>
                </wp:anchor>
              </w:drawing>
            </w:r>
          </w:p>
          <w:p>
            <w:pPr>
              <w:jc w:val="center"/>
              <w:rPr>
                <w:rFonts w:hint="default" w:ascii="Times New Roman" w:hAnsi="Times New Roman" w:cs="Times New Roman"/>
                <w:b/>
                <w:bCs/>
                <w:color w:val="FF0000"/>
                <w:szCs w:val="21"/>
              </w:rPr>
            </w:pPr>
          </w:p>
          <w:p>
            <w:pPr>
              <w:jc w:val="center"/>
              <w:rPr>
                <w:rFonts w:hint="default" w:ascii="Times New Roman" w:hAnsi="Times New Roman" w:cs="Times New Roman"/>
                <w:b/>
                <w:bCs/>
                <w:color w:val="FF0000"/>
                <w:szCs w:val="21"/>
              </w:rPr>
            </w:pPr>
          </w:p>
          <w:p>
            <w:pPr>
              <w:jc w:val="center"/>
              <w:rPr>
                <w:rFonts w:hint="default" w:ascii="Times New Roman" w:hAnsi="Times New Roman" w:cs="Times New Roman"/>
                <w:color w:val="auto"/>
                <w:szCs w:val="21"/>
              </w:rPr>
            </w:pPr>
            <w:r>
              <w:rPr>
                <w:rFonts w:hint="default" w:ascii="Times New Roman" w:hAnsi="Times New Roman" w:cs="Times New Roman"/>
                <w:b/>
                <w:bCs/>
                <w:color w:val="auto"/>
                <w:szCs w:val="21"/>
              </w:rPr>
              <w:t>提示图形符号</w:t>
            </w:r>
          </w:p>
          <w:p>
            <w:pPr>
              <w:jc w:val="center"/>
              <w:rPr>
                <w:rFonts w:hint="default" w:ascii="Times New Roman" w:hAnsi="Times New Roman" w:cs="Times New Roman"/>
                <w:b/>
                <w:bCs/>
                <w:color w:val="auto"/>
                <w:szCs w:val="21"/>
              </w:rPr>
            </w:pPr>
            <w:r>
              <w:rPr>
                <w:rFonts w:hint="default" w:ascii="Times New Roman" w:hAnsi="Times New Roman" w:cs="Times New Roman"/>
                <w:color w:val="auto"/>
                <w:szCs w:val="21"/>
              </w:rPr>
              <w:drawing>
                <wp:inline distT="0" distB="0" distL="0" distR="0">
                  <wp:extent cx="467995" cy="457200"/>
                  <wp:effectExtent l="0" t="0" r="8255" b="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noChangeArrowheads="1"/>
                          </pic:cNvPicPr>
                        </pic:nvPicPr>
                        <pic:blipFill>
                          <a:blip r:embed="rId83" cstate="print"/>
                          <a:srcRect/>
                          <a:stretch>
                            <a:fillRect/>
                          </a:stretch>
                        </pic:blipFill>
                        <pic:spPr>
                          <a:xfrm>
                            <a:off x="0" y="0"/>
                            <a:ext cx="467995" cy="457200"/>
                          </a:xfrm>
                          <a:prstGeom prst="rect">
                            <a:avLst/>
                          </a:prstGeom>
                          <a:noFill/>
                          <a:ln w="9525">
                            <a:noFill/>
                            <a:miter lim="800000"/>
                            <a:headEnd/>
                            <a:tailEnd/>
                          </a:ln>
                        </pic:spPr>
                      </pic:pic>
                    </a:graphicData>
                  </a:graphic>
                </wp:inline>
              </w:drawing>
            </w:r>
          </w:p>
          <w:p>
            <w:pPr>
              <w:spacing w:line="0" w:lineRule="atLeast"/>
              <w:jc w:val="center"/>
              <w:rPr>
                <w:rFonts w:hint="default" w:ascii="Times New Roman" w:hAnsi="Times New Roman" w:cs="Times New Roman"/>
                <w:color w:val="FF0000"/>
                <w:szCs w:val="21"/>
              </w:rPr>
            </w:pPr>
            <w:r>
              <w:rPr>
                <w:rFonts w:hint="default" w:ascii="Times New Roman" w:hAnsi="Times New Roman" w:cs="Times New Roman"/>
                <w:b/>
                <w:bCs/>
                <w:color w:val="auto"/>
                <w:szCs w:val="21"/>
              </w:rPr>
              <w:t>警告图形符号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2"/>
          <w:wAfter w:w="148" w:type="dxa"/>
          <w:trHeight w:val="366" w:hRule="atLeast"/>
          <w:jc w:val="center"/>
        </w:trPr>
        <w:tc>
          <w:tcPr>
            <w:tcW w:w="1000" w:type="dxa"/>
            <w:vMerge w:val="continue"/>
            <w:shd w:val="clear" w:color="auto" w:fill="auto"/>
            <w:vAlign w:val="center"/>
          </w:tcPr>
          <w:p>
            <w:pPr>
              <w:tabs>
                <w:tab w:val="left" w:pos="360"/>
              </w:tabs>
              <w:autoSpaceDE w:val="0"/>
              <w:autoSpaceDN w:val="0"/>
              <w:spacing w:line="0" w:lineRule="atLeast"/>
              <w:jc w:val="center"/>
              <w:rPr>
                <w:rFonts w:hint="default" w:ascii="Times New Roman" w:hAnsi="Times New Roman" w:cs="Times New Roman"/>
                <w:color w:val="auto"/>
                <w:szCs w:val="21"/>
              </w:rPr>
            </w:pPr>
          </w:p>
        </w:tc>
        <w:tc>
          <w:tcPr>
            <w:tcW w:w="1694" w:type="dxa"/>
            <w:gridSpan w:val="2"/>
            <w:vMerge w:val="continue"/>
            <w:shd w:val="clear" w:color="auto" w:fill="auto"/>
            <w:vAlign w:val="center"/>
          </w:tcPr>
          <w:p>
            <w:pPr>
              <w:spacing w:line="0" w:lineRule="atLeast"/>
              <w:jc w:val="center"/>
              <w:rPr>
                <w:rFonts w:hint="default" w:ascii="Times New Roman" w:hAnsi="Times New Roman" w:cs="Times New Roman"/>
                <w:color w:val="auto"/>
                <w:szCs w:val="21"/>
              </w:rPr>
            </w:pPr>
          </w:p>
        </w:tc>
        <w:tc>
          <w:tcPr>
            <w:tcW w:w="1122" w:type="dxa"/>
            <w:shd w:val="clear" w:color="auto" w:fill="auto"/>
            <w:vAlign w:val="center"/>
          </w:tcPr>
          <w:p>
            <w:pPr>
              <w:pStyle w:val="36"/>
              <w:rPr>
                <w:rFonts w:hint="default" w:ascii="Times New Roman" w:hAnsi="Times New Roman" w:cs="Times New Roman"/>
                <w:snapToGrid w:val="0"/>
                <w:color w:val="auto"/>
              </w:rPr>
            </w:pPr>
            <w:r>
              <w:rPr>
                <w:rFonts w:hint="default" w:ascii="Times New Roman" w:hAnsi="Times New Roman" w:cs="Times New Roman"/>
                <w:snapToGrid w:val="0"/>
                <w:color w:val="auto"/>
              </w:rPr>
              <w:t>COD</w:t>
            </w:r>
          </w:p>
        </w:tc>
        <w:tc>
          <w:tcPr>
            <w:tcW w:w="3289" w:type="dxa"/>
            <w:vMerge w:val="continue"/>
            <w:shd w:val="clear" w:color="auto" w:fill="auto"/>
            <w:vAlign w:val="center"/>
          </w:tcPr>
          <w:p>
            <w:pPr>
              <w:widowControl/>
              <w:jc w:val="center"/>
              <w:rPr>
                <w:rFonts w:hint="default" w:ascii="Times New Roman" w:hAnsi="Times New Roman" w:cs="Times New Roman"/>
                <w:snapToGrid w:val="0"/>
                <w:color w:val="auto"/>
                <w:szCs w:val="21"/>
              </w:rPr>
            </w:pPr>
          </w:p>
        </w:tc>
        <w:tc>
          <w:tcPr>
            <w:tcW w:w="1693" w:type="dxa"/>
            <w:shd w:val="clear" w:color="auto" w:fill="auto"/>
            <w:vAlign w:val="center"/>
          </w:tcPr>
          <w:p>
            <w:pPr>
              <w:widowControl/>
              <w:jc w:val="center"/>
              <w:rPr>
                <w:rFonts w:hint="default" w:ascii="Times New Roman" w:hAnsi="Times New Roman" w:eastAsia="宋体" w:cs="Times New Roman"/>
                <w:color w:val="auto"/>
                <w:szCs w:val="21"/>
                <w:lang w:eastAsia="zh-CN"/>
              </w:rPr>
            </w:pPr>
            <w:r>
              <w:rPr>
                <w:rFonts w:hint="eastAsia" w:ascii="Times New Roman" w:hAnsi="Times New Roman" w:cs="Times New Roman"/>
                <w:snapToGrid w:val="0"/>
                <w:color w:val="auto"/>
                <w:szCs w:val="21"/>
                <w:lang w:val="en-US" w:eastAsia="zh-CN"/>
              </w:rPr>
              <w:t>238</w:t>
            </w:r>
            <w:r>
              <w:rPr>
                <w:rFonts w:hint="default" w:ascii="Times New Roman" w:hAnsi="Times New Roman" w:cs="Times New Roman"/>
                <w:snapToGrid w:val="0"/>
                <w:color w:val="auto"/>
              </w:rPr>
              <w:t>mg/L</w:t>
            </w:r>
          </w:p>
        </w:tc>
        <w:tc>
          <w:tcPr>
            <w:tcW w:w="4111" w:type="dxa"/>
            <w:gridSpan w:val="2"/>
            <w:vMerge w:val="continue"/>
            <w:shd w:val="clear" w:color="auto" w:fill="auto"/>
            <w:vAlign w:val="center"/>
          </w:tcPr>
          <w:p>
            <w:pPr>
              <w:spacing w:line="0" w:lineRule="atLeast"/>
              <w:jc w:val="center"/>
              <w:rPr>
                <w:rFonts w:hint="default" w:ascii="Times New Roman" w:hAnsi="Times New Roman" w:cs="Times New Roman"/>
                <w:color w:val="FF0000"/>
                <w:szCs w:val="21"/>
              </w:rPr>
            </w:pPr>
          </w:p>
        </w:tc>
        <w:tc>
          <w:tcPr>
            <w:tcW w:w="1675" w:type="dxa"/>
            <w:gridSpan w:val="2"/>
            <w:vMerge w:val="continue"/>
            <w:shd w:val="clear" w:color="auto" w:fill="auto"/>
            <w:vAlign w:val="center"/>
          </w:tcPr>
          <w:p>
            <w:pPr>
              <w:spacing w:line="0" w:lineRule="atLeast"/>
              <w:jc w:val="center"/>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2"/>
          <w:wAfter w:w="148" w:type="dxa"/>
          <w:trHeight w:val="316" w:hRule="atLeast"/>
          <w:jc w:val="center"/>
        </w:trPr>
        <w:tc>
          <w:tcPr>
            <w:tcW w:w="1000" w:type="dxa"/>
            <w:vMerge w:val="continue"/>
            <w:shd w:val="clear" w:color="auto" w:fill="auto"/>
            <w:vAlign w:val="center"/>
          </w:tcPr>
          <w:p>
            <w:pPr>
              <w:tabs>
                <w:tab w:val="left" w:pos="360"/>
              </w:tabs>
              <w:autoSpaceDE w:val="0"/>
              <w:autoSpaceDN w:val="0"/>
              <w:spacing w:line="0" w:lineRule="atLeast"/>
              <w:jc w:val="center"/>
              <w:rPr>
                <w:rFonts w:hint="default" w:ascii="Times New Roman" w:hAnsi="Times New Roman" w:cs="Times New Roman"/>
                <w:color w:val="auto"/>
                <w:szCs w:val="21"/>
              </w:rPr>
            </w:pPr>
          </w:p>
        </w:tc>
        <w:tc>
          <w:tcPr>
            <w:tcW w:w="1694" w:type="dxa"/>
            <w:gridSpan w:val="2"/>
            <w:vMerge w:val="continue"/>
            <w:shd w:val="clear" w:color="auto" w:fill="auto"/>
            <w:vAlign w:val="center"/>
          </w:tcPr>
          <w:p>
            <w:pPr>
              <w:spacing w:line="0" w:lineRule="atLeast"/>
              <w:jc w:val="center"/>
              <w:rPr>
                <w:rFonts w:hint="default" w:ascii="Times New Roman" w:hAnsi="Times New Roman" w:cs="Times New Roman"/>
                <w:color w:val="auto"/>
                <w:szCs w:val="21"/>
              </w:rPr>
            </w:pPr>
          </w:p>
        </w:tc>
        <w:tc>
          <w:tcPr>
            <w:tcW w:w="1122" w:type="dxa"/>
            <w:shd w:val="clear" w:color="auto" w:fill="auto"/>
            <w:vAlign w:val="center"/>
          </w:tcPr>
          <w:p>
            <w:pPr>
              <w:widowControl/>
              <w:jc w:val="center"/>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BOD</w:t>
            </w:r>
            <w:r>
              <w:rPr>
                <w:rFonts w:hint="default" w:ascii="Times New Roman" w:hAnsi="Times New Roman" w:cs="Times New Roman"/>
                <w:snapToGrid w:val="0"/>
                <w:color w:val="auto"/>
                <w:szCs w:val="21"/>
                <w:vertAlign w:val="subscript"/>
              </w:rPr>
              <w:t>5</w:t>
            </w:r>
          </w:p>
        </w:tc>
        <w:tc>
          <w:tcPr>
            <w:tcW w:w="3289" w:type="dxa"/>
            <w:vMerge w:val="continue"/>
            <w:shd w:val="clear" w:color="auto" w:fill="auto"/>
            <w:vAlign w:val="center"/>
          </w:tcPr>
          <w:p>
            <w:pPr>
              <w:widowControl/>
              <w:jc w:val="center"/>
              <w:rPr>
                <w:rFonts w:hint="default" w:ascii="Times New Roman" w:hAnsi="Times New Roman" w:cs="Times New Roman"/>
                <w:snapToGrid w:val="0"/>
                <w:color w:val="auto"/>
                <w:szCs w:val="21"/>
              </w:rPr>
            </w:pPr>
          </w:p>
        </w:tc>
        <w:tc>
          <w:tcPr>
            <w:tcW w:w="1693" w:type="dxa"/>
            <w:shd w:val="clear" w:color="auto" w:fill="auto"/>
            <w:vAlign w:val="center"/>
          </w:tcPr>
          <w:p>
            <w:pPr>
              <w:widowControl/>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150</w:t>
            </w:r>
            <w:r>
              <w:rPr>
                <w:rFonts w:hint="default" w:ascii="Times New Roman" w:hAnsi="Times New Roman" w:cs="Times New Roman"/>
                <w:snapToGrid w:val="0"/>
                <w:color w:val="auto"/>
              </w:rPr>
              <w:t>mg/L</w:t>
            </w:r>
          </w:p>
        </w:tc>
        <w:tc>
          <w:tcPr>
            <w:tcW w:w="4111" w:type="dxa"/>
            <w:gridSpan w:val="2"/>
            <w:vMerge w:val="continue"/>
            <w:shd w:val="clear" w:color="auto" w:fill="auto"/>
            <w:vAlign w:val="center"/>
          </w:tcPr>
          <w:p>
            <w:pPr>
              <w:spacing w:line="0" w:lineRule="atLeast"/>
              <w:jc w:val="center"/>
              <w:rPr>
                <w:rFonts w:hint="default" w:ascii="Times New Roman" w:hAnsi="Times New Roman" w:cs="Times New Roman"/>
                <w:color w:val="FF0000"/>
                <w:szCs w:val="21"/>
              </w:rPr>
            </w:pPr>
          </w:p>
        </w:tc>
        <w:tc>
          <w:tcPr>
            <w:tcW w:w="1675" w:type="dxa"/>
            <w:gridSpan w:val="2"/>
            <w:vMerge w:val="continue"/>
            <w:shd w:val="clear" w:color="auto" w:fill="auto"/>
            <w:vAlign w:val="center"/>
          </w:tcPr>
          <w:p>
            <w:pPr>
              <w:spacing w:line="0" w:lineRule="atLeast"/>
              <w:jc w:val="center"/>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2"/>
          <w:wAfter w:w="148" w:type="dxa"/>
          <w:trHeight w:val="278" w:hRule="atLeast"/>
          <w:jc w:val="center"/>
        </w:trPr>
        <w:tc>
          <w:tcPr>
            <w:tcW w:w="1000" w:type="dxa"/>
            <w:vMerge w:val="continue"/>
            <w:shd w:val="clear" w:color="auto" w:fill="auto"/>
            <w:vAlign w:val="center"/>
          </w:tcPr>
          <w:p>
            <w:pPr>
              <w:tabs>
                <w:tab w:val="left" w:pos="360"/>
              </w:tabs>
              <w:autoSpaceDE w:val="0"/>
              <w:autoSpaceDN w:val="0"/>
              <w:spacing w:line="0" w:lineRule="atLeast"/>
              <w:jc w:val="center"/>
              <w:rPr>
                <w:rFonts w:hint="default" w:ascii="Times New Roman" w:hAnsi="Times New Roman" w:cs="Times New Roman"/>
                <w:color w:val="auto"/>
                <w:szCs w:val="21"/>
              </w:rPr>
            </w:pPr>
          </w:p>
        </w:tc>
        <w:tc>
          <w:tcPr>
            <w:tcW w:w="1694" w:type="dxa"/>
            <w:gridSpan w:val="2"/>
            <w:vMerge w:val="continue"/>
            <w:shd w:val="clear" w:color="auto" w:fill="auto"/>
            <w:vAlign w:val="center"/>
          </w:tcPr>
          <w:p>
            <w:pPr>
              <w:spacing w:line="0" w:lineRule="atLeast"/>
              <w:jc w:val="center"/>
              <w:rPr>
                <w:rFonts w:hint="default" w:ascii="Times New Roman" w:hAnsi="Times New Roman" w:cs="Times New Roman"/>
                <w:color w:val="auto"/>
                <w:szCs w:val="21"/>
              </w:rPr>
            </w:pPr>
          </w:p>
        </w:tc>
        <w:tc>
          <w:tcPr>
            <w:tcW w:w="1122" w:type="dxa"/>
            <w:shd w:val="clear" w:color="auto" w:fill="auto"/>
            <w:vAlign w:val="center"/>
          </w:tcPr>
          <w:p>
            <w:pPr>
              <w:widowControl/>
              <w:jc w:val="center"/>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SS</w:t>
            </w:r>
          </w:p>
        </w:tc>
        <w:tc>
          <w:tcPr>
            <w:tcW w:w="3289" w:type="dxa"/>
            <w:vMerge w:val="continue"/>
            <w:shd w:val="clear" w:color="auto" w:fill="auto"/>
            <w:vAlign w:val="center"/>
          </w:tcPr>
          <w:p>
            <w:pPr>
              <w:widowControl/>
              <w:jc w:val="center"/>
              <w:rPr>
                <w:rFonts w:hint="default" w:ascii="Times New Roman" w:hAnsi="Times New Roman" w:cs="Times New Roman"/>
                <w:snapToGrid w:val="0"/>
                <w:color w:val="auto"/>
                <w:szCs w:val="21"/>
              </w:rPr>
            </w:pPr>
          </w:p>
        </w:tc>
        <w:tc>
          <w:tcPr>
            <w:tcW w:w="1693" w:type="dxa"/>
            <w:shd w:val="clear" w:color="auto" w:fill="auto"/>
            <w:vAlign w:val="center"/>
          </w:tcPr>
          <w:p>
            <w:pPr>
              <w:widowControl/>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160</w:t>
            </w:r>
            <w:r>
              <w:rPr>
                <w:rFonts w:hint="default" w:ascii="Times New Roman" w:hAnsi="Times New Roman" w:cs="Times New Roman"/>
                <w:snapToGrid w:val="0"/>
                <w:color w:val="auto"/>
              </w:rPr>
              <w:t>mg/L</w:t>
            </w:r>
          </w:p>
        </w:tc>
        <w:tc>
          <w:tcPr>
            <w:tcW w:w="4111" w:type="dxa"/>
            <w:gridSpan w:val="2"/>
            <w:vMerge w:val="continue"/>
            <w:shd w:val="clear" w:color="auto" w:fill="auto"/>
            <w:vAlign w:val="center"/>
          </w:tcPr>
          <w:p>
            <w:pPr>
              <w:spacing w:line="0" w:lineRule="atLeast"/>
              <w:jc w:val="center"/>
              <w:rPr>
                <w:rFonts w:hint="default" w:ascii="Times New Roman" w:hAnsi="Times New Roman" w:cs="Times New Roman"/>
                <w:color w:val="FF0000"/>
                <w:szCs w:val="21"/>
              </w:rPr>
            </w:pPr>
          </w:p>
        </w:tc>
        <w:tc>
          <w:tcPr>
            <w:tcW w:w="1675" w:type="dxa"/>
            <w:gridSpan w:val="2"/>
            <w:vMerge w:val="continue"/>
            <w:shd w:val="clear" w:color="auto" w:fill="auto"/>
            <w:vAlign w:val="center"/>
          </w:tcPr>
          <w:p>
            <w:pPr>
              <w:spacing w:line="0" w:lineRule="atLeast"/>
              <w:jc w:val="center"/>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2"/>
          <w:wAfter w:w="148" w:type="dxa"/>
          <w:trHeight w:val="267" w:hRule="atLeast"/>
          <w:jc w:val="center"/>
        </w:trPr>
        <w:tc>
          <w:tcPr>
            <w:tcW w:w="1000" w:type="dxa"/>
            <w:vMerge w:val="continue"/>
            <w:shd w:val="clear" w:color="auto" w:fill="auto"/>
            <w:vAlign w:val="center"/>
          </w:tcPr>
          <w:p>
            <w:pPr>
              <w:tabs>
                <w:tab w:val="left" w:pos="360"/>
              </w:tabs>
              <w:autoSpaceDE w:val="0"/>
              <w:autoSpaceDN w:val="0"/>
              <w:spacing w:line="0" w:lineRule="atLeast"/>
              <w:jc w:val="center"/>
              <w:rPr>
                <w:rFonts w:hint="default" w:ascii="Times New Roman" w:hAnsi="Times New Roman" w:cs="Times New Roman"/>
                <w:color w:val="auto"/>
                <w:szCs w:val="21"/>
              </w:rPr>
            </w:pPr>
          </w:p>
        </w:tc>
        <w:tc>
          <w:tcPr>
            <w:tcW w:w="1694" w:type="dxa"/>
            <w:gridSpan w:val="2"/>
            <w:vMerge w:val="continue"/>
            <w:shd w:val="clear" w:color="auto" w:fill="auto"/>
            <w:vAlign w:val="center"/>
          </w:tcPr>
          <w:p>
            <w:pPr>
              <w:spacing w:line="0" w:lineRule="atLeast"/>
              <w:jc w:val="center"/>
              <w:rPr>
                <w:rFonts w:hint="default" w:ascii="Times New Roman" w:hAnsi="Times New Roman" w:cs="Times New Roman"/>
                <w:color w:val="auto"/>
                <w:szCs w:val="21"/>
              </w:rPr>
            </w:pPr>
          </w:p>
        </w:tc>
        <w:tc>
          <w:tcPr>
            <w:tcW w:w="1122" w:type="dxa"/>
            <w:shd w:val="clear" w:color="auto" w:fill="auto"/>
            <w:vAlign w:val="center"/>
          </w:tcPr>
          <w:p>
            <w:pPr>
              <w:widowControl/>
              <w:jc w:val="center"/>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动植物油</w:t>
            </w:r>
          </w:p>
        </w:tc>
        <w:tc>
          <w:tcPr>
            <w:tcW w:w="3289" w:type="dxa"/>
            <w:vMerge w:val="continue"/>
            <w:shd w:val="clear" w:color="auto" w:fill="auto"/>
            <w:vAlign w:val="center"/>
          </w:tcPr>
          <w:p>
            <w:pPr>
              <w:widowControl/>
              <w:jc w:val="center"/>
              <w:rPr>
                <w:rFonts w:hint="default" w:ascii="Times New Roman" w:hAnsi="Times New Roman" w:cs="Times New Roman"/>
                <w:snapToGrid w:val="0"/>
                <w:color w:val="auto"/>
                <w:szCs w:val="21"/>
              </w:rPr>
            </w:pPr>
          </w:p>
        </w:tc>
        <w:tc>
          <w:tcPr>
            <w:tcW w:w="1693" w:type="dxa"/>
            <w:shd w:val="clear" w:color="auto" w:fill="auto"/>
            <w:vAlign w:val="center"/>
          </w:tcPr>
          <w:p>
            <w:pPr>
              <w:widowControl/>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45.7</w:t>
            </w:r>
            <w:r>
              <w:rPr>
                <w:rFonts w:hint="default" w:ascii="Times New Roman" w:hAnsi="Times New Roman" w:cs="Times New Roman"/>
                <w:snapToGrid w:val="0"/>
                <w:color w:val="auto"/>
              </w:rPr>
              <w:t>mg/L</w:t>
            </w:r>
          </w:p>
        </w:tc>
        <w:tc>
          <w:tcPr>
            <w:tcW w:w="4111" w:type="dxa"/>
            <w:gridSpan w:val="2"/>
            <w:vMerge w:val="continue"/>
            <w:shd w:val="clear" w:color="auto" w:fill="auto"/>
            <w:vAlign w:val="center"/>
          </w:tcPr>
          <w:p>
            <w:pPr>
              <w:spacing w:line="0" w:lineRule="atLeast"/>
              <w:jc w:val="center"/>
              <w:rPr>
                <w:rFonts w:hint="default" w:ascii="Times New Roman" w:hAnsi="Times New Roman" w:cs="Times New Roman"/>
                <w:color w:val="FF0000"/>
                <w:szCs w:val="21"/>
              </w:rPr>
            </w:pPr>
          </w:p>
        </w:tc>
        <w:tc>
          <w:tcPr>
            <w:tcW w:w="1675" w:type="dxa"/>
            <w:gridSpan w:val="2"/>
            <w:vMerge w:val="continue"/>
            <w:shd w:val="clear" w:color="auto" w:fill="auto"/>
            <w:vAlign w:val="center"/>
          </w:tcPr>
          <w:p>
            <w:pPr>
              <w:spacing w:line="0" w:lineRule="atLeast"/>
              <w:jc w:val="center"/>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2"/>
          <w:wAfter w:w="148" w:type="dxa"/>
          <w:trHeight w:val="286" w:hRule="atLeast"/>
          <w:jc w:val="center"/>
        </w:trPr>
        <w:tc>
          <w:tcPr>
            <w:tcW w:w="1000" w:type="dxa"/>
            <w:vMerge w:val="continue"/>
            <w:shd w:val="clear" w:color="auto" w:fill="auto"/>
            <w:vAlign w:val="center"/>
          </w:tcPr>
          <w:p>
            <w:pPr>
              <w:tabs>
                <w:tab w:val="left" w:pos="360"/>
              </w:tabs>
              <w:autoSpaceDE w:val="0"/>
              <w:autoSpaceDN w:val="0"/>
              <w:spacing w:line="0" w:lineRule="atLeast"/>
              <w:jc w:val="center"/>
              <w:rPr>
                <w:rFonts w:hint="default" w:ascii="Times New Roman" w:hAnsi="Times New Roman" w:cs="Times New Roman"/>
                <w:color w:val="auto"/>
                <w:szCs w:val="21"/>
              </w:rPr>
            </w:pPr>
          </w:p>
        </w:tc>
        <w:tc>
          <w:tcPr>
            <w:tcW w:w="1694" w:type="dxa"/>
            <w:gridSpan w:val="2"/>
            <w:vMerge w:val="continue"/>
            <w:shd w:val="clear" w:color="auto" w:fill="auto"/>
            <w:vAlign w:val="center"/>
          </w:tcPr>
          <w:p>
            <w:pPr>
              <w:spacing w:line="0" w:lineRule="atLeast"/>
              <w:jc w:val="center"/>
              <w:rPr>
                <w:rFonts w:hint="default" w:ascii="Times New Roman" w:hAnsi="Times New Roman" w:cs="Times New Roman"/>
                <w:color w:val="auto"/>
                <w:szCs w:val="21"/>
              </w:rPr>
            </w:pPr>
          </w:p>
        </w:tc>
        <w:tc>
          <w:tcPr>
            <w:tcW w:w="1122" w:type="dxa"/>
            <w:shd w:val="clear" w:color="auto" w:fill="auto"/>
            <w:vAlign w:val="center"/>
          </w:tcPr>
          <w:p>
            <w:pPr>
              <w:widowControl/>
              <w:jc w:val="center"/>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氨氮</w:t>
            </w:r>
          </w:p>
        </w:tc>
        <w:tc>
          <w:tcPr>
            <w:tcW w:w="3289" w:type="dxa"/>
            <w:vMerge w:val="continue"/>
            <w:shd w:val="clear" w:color="auto" w:fill="auto"/>
            <w:vAlign w:val="center"/>
          </w:tcPr>
          <w:p>
            <w:pPr>
              <w:widowControl/>
              <w:jc w:val="center"/>
              <w:rPr>
                <w:rFonts w:hint="default" w:ascii="Times New Roman" w:hAnsi="Times New Roman" w:cs="Times New Roman"/>
                <w:snapToGrid w:val="0"/>
                <w:color w:val="auto"/>
                <w:szCs w:val="21"/>
              </w:rPr>
            </w:pPr>
          </w:p>
        </w:tc>
        <w:tc>
          <w:tcPr>
            <w:tcW w:w="1693" w:type="dxa"/>
            <w:shd w:val="clear" w:color="auto" w:fill="auto"/>
            <w:vAlign w:val="center"/>
          </w:tcPr>
          <w:p>
            <w:pPr>
              <w:widowControl/>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18.6</w:t>
            </w:r>
            <w:r>
              <w:rPr>
                <w:rFonts w:hint="default" w:ascii="Times New Roman" w:hAnsi="Times New Roman" w:cs="Times New Roman"/>
                <w:snapToGrid w:val="0"/>
                <w:color w:val="auto"/>
              </w:rPr>
              <w:t>mg/L</w:t>
            </w:r>
          </w:p>
        </w:tc>
        <w:tc>
          <w:tcPr>
            <w:tcW w:w="4111" w:type="dxa"/>
            <w:gridSpan w:val="2"/>
            <w:vMerge w:val="continue"/>
            <w:shd w:val="clear" w:color="auto" w:fill="auto"/>
            <w:vAlign w:val="center"/>
          </w:tcPr>
          <w:p>
            <w:pPr>
              <w:spacing w:line="0" w:lineRule="atLeast"/>
              <w:jc w:val="center"/>
              <w:rPr>
                <w:rFonts w:hint="default" w:ascii="Times New Roman" w:hAnsi="Times New Roman" w:cs="Times New Roman"/>
                <w:color w:val="FF0000"/>
                <w:szCs w:val="21"/>
              </w:rPr>
            </w:pPr>
          </w:p>
        </w:tc>
        <w:tc>
          <w:tcPr>
            <w:tcW w:w="1675" w:type="dxa"/>
            <w:gridSpan w:val="2"/>
            <w:vMerge w:val="continue"/>
            <w:shd w:val="clear" w:color="auto" w:fill="auto"/>
            <w:vAlign w:val="center"/>
          </w:tcPr>
          <w:p>
            <w:pPr>
              <w:spacing w:line="0" w:lineRule="atLeast"/>
              <w:jc w:val="center"/>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2"/>
          <w:wAfter w:w="148" w:type="dxa"/>
          <w:trHeight w:val="403" w:hRule="atLeast"/>
          <w:jc w:val="center"/>
        </w:trPr>
        <w:tc>
          <w:tcPr>
            <w:tcW w:w="1000" w:type="dxa"/>
            <w:vMerge w:val="continue"/>
            <w:shd w:val="clear" w:color="auto" w:fill="auto"/>
            <w:vAlign w:val="center"/>
          </w:tcPr>
          <w:p>
            <w:pPr>
              <w:tabs>
                <w:tab w:val="left" w:pos="360"/>
              </w:tabs>
              <w:autoSpaceDE w:val="0"/>
              <w:autoSpaceDN w:val="0"/>
              <w:spacing w:line="0" w:lineRule="atLeast"/>
              <w:jc w:val="center"/>
              <w:rPr>
                <w:rFonts w:hint="default" w:ascii="Times New Roman" w:hAnsi="Times New Roman" w:cs="Times New Roman"/>
                <w:color w:val="auto"/>
                <w:szCs w:val="21"/>
              </w:rPr>
            </w:pPr>
          </w:p>
        </w:tc>
        <w:tc>
          <w:tcPr>
            <w:tcW w:w="1694" w:type="dxa"/>
            <w:gridSpan w:val="2"/>
            <w:vMerge w:val="continue"/>
            <w:shd w:val="clear" w:color="auto" w:fill="auto"/>
            <w:vAlign w:val="center"/>
          </w:tcPr>
          <w:p>
            <w:pPr>
              <w:spacing w:line="0" w:lineRule="atLeast"/>
              <w:jc w:val="center"/>
              <w:rPr>
                <w:rFonts w:hint="default" w:ascii="Times New Roman" w:hAnsi="Times New Roman" w:cs="Times New Roman"/>
                <w:color w:val="auto"/>
                <w:szCs w:val="21"/>
              </w:rPr>
            </w:pPr>
          </w:p>
        </w:tc>
        <w:tc>
          <w:tcPr>
            <w:tcW w:w="1122" w:type="dxa"/>
            <w:shd w:val="clear" w:color="auto" w:fill="auto"/>
            <w:vAlign w:val="center"/>
          </w:tcPr>
          <w:p>
            <w:pPr>
              <w:widowControl/>
              <w:jc w:val="center"/>
              <w:rPr>
                <w:rFonts w:hint="default" w:ascii="Times New Roman" w:hAnsi="Times New Roman" w:cs="Times New Roman"/>
                <w:snapToGrid w:val="0"/>
                <w:color w:val="auto"/>
                <w:szCs w:val="21"/>
              </w:rPr>
            </w:pPr>
            <w:r>
              <w:rPr>
                <w:rFonts w:hint="default" w:ascii="Times New Roman" w:hAnsi="Times New Roman" w:cs="Times New Roman"/>
                <w:bCs/>
                <w:snapToGrid w:val="0"/>
                <w:color w:val="auto"/>
                <w:szCs w:val="21"/>
              </w:rPr>
              <w:t>大肠菌群数</w:t>
            </w:r>
          </w:p>
        </w:tc>
        <w:tc>
          <w:tcPr>
            <w:tcW w:w="3289" w:type="dxa"/>
            <w:vMerge w:val="continue"/>
            <w:shd w:val="clear" w:color="auto" w:fill="auto"/>
            <w:vAlign w:val="center"/>
          </w:tcPr>
          <w:p>
            <w:pPr>
              <w:widowControl/>
              <w:jc w:val="center"/>
              <w:rPr>
                <w:rFonts w:hint="default" w:ascii="Times New Roman" w:hAnsi="Times New Roman" w:cs="Times New Roman"/>
                <w:snapToGrid w:val="0"/>
                <w:color w:val="auto"/>
                <w:szCs w:val="21"/>
              </w:rPr>
            </w:pPr>
          </w:p>
        </w:tc>
        <w:tc>
          <w:tcPr>
            <w:tcW w:w="1693" w:type="dxa"/>
            <w:shd w:val="clear" w:color="auto" w:fill="auto"/>
            <w:vAlign w:val="center"/>
          </w:tcPr>
          <w:p>
            <w:pPr>
              <w:widowControl/>
              <w:jc w:val="center"/>
              <w:rPr>
                <w:rFonts w:hint="default" w:ascii="Times New Roman" w:hAnsi="Times New Roman" w:cs="Times New Roman"/>
                <w:color w:val="auto"/>
                <w:szCs w:val="21"/>
              </w:rPr>
            </w:pPr>
            <w:r>
              <w:rPr>
                <w:rFonts w:hint="eastAsia" w:ascii="Times New Roman" w:hAnsi="Times New Roman" w:eastAsia="宋体" w:cs="Times New Roman"/>
                <w:bCs/>
                <w:snapToGrid w:val="0"/>
                <w:color w:val="auto"/>
                <w:szCs w:val="21"/>
                <w:lang w:val="en-US" w:eastAsia="zh-CN"/>
              </w:rPr>
              <w:t>≥24000</w:t>
            </w:r>
            <w:r>
              <w:rPr>
                <w:rFonts w:hint="default" w:ascii="Times New Roman" w:hAnsi="Times New Roman" w:cs="Times New Roman"/>
                <w:bCs/>
                <w:snapToGrid w:val="0"/>
                <w:color w:val="auto"/>
                <w:szCs w:val="21"/>
              </w:rPr>
              <w:t>个/L</w:t>
            </w:r>
          </w:p>
        </w:tc>
        <w:tc>
          <w:tcPr>
            <w:tcW w:w="4111" w:type="dxa"/>
            <w:gridSpan w:val="2"/>
            <w:vMerge w:val="continue"/>
            <w:shd w:val="clear" w:color="auto" w:fill="auto"/>
            <w:vAlign w:val="center"/>
          </w:tcPr>
          <w:p>
            <w:pPr>
              <w:spacing w:line="0" w:lineRule="atLeast"/>
              <w:jc w:val="center"/>
              <w:rPr>
                <w:rFonts w:hint="default" w:ascii="Times New Roman" w:hAnsi="Times New Roman" w:cs="Times New Roman"/>
                <w:color w:val="FF0000"/>
                <w:szCs w:val="21"/>
              </w:rPr>
            </w:pPr>
          </w:p>
        </w:tc>
        <w:tc>
          <w:tcPr>
            <w:tcW w:w="1675" w:type="dxa"/>
            <w:gridSpan w:val="2"/>
            <w:vMerge w:val="continue"/>
            <w:shd w:val="clear" w:color="auto" w:fill="auto"/>
            <w:vAlign w:val="center"/>
          </w:tcPr>
          <w:p>
            <w:pPr>
              <w:spacing w:line="0" w:lineRule="atLeast"/>
              <w:jc w:val="center"/>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2"/>
          <w:wAfter w:w="148" w:type="dxa"/>
          <w:trHeight w:val="2537" w:hRule="atLeast"/>
          <w:jc w:val="center"/>
        </w:trPr>
        <w:tc>
          <w:tcPr>
            <w:tcW w:w="1000" w:type="dxa"/>
            <w:shd w:val="clear" w:color="auto" w:fill="auto"/>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噪声</w:t>
            </w:r>
          </w:p>
        </w:tc>
        <w:tc>
          <w:tcPr>
            <w:tcW w:w="2816" w:type="dxa"/>
            <w:gridSpan w:val="3"/>
            <w:shd w:val="clear" w:color="auto" w:fill="auto"/>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风机</w:t>
            </w:r>
            <w:r>
              <w:rPr>
                <w:rFonts w:hint="eastAsia" w:ascii="Times New Roman" w:hAnsi="Times New Roman" w:eastAsia="宋体" w:cs="Times New Roman"/>
                <w:color w:val="auto"/>
                <w:szCs w:val="21"/>
                <w:lang w:eastAsia="zh-CN"/>
              </w:rPr>
              <w:t>、</w:t>
            </w:r>
            <w:r>
              <w:rPr>
                <w:rFonts w:hint="default" w:ascii="Times New Roman" w:hAnsi="Times New Roman" w:cs="Times New Roman"/>
                <w:color w:val="auto"/>
                <w:szCs w:val="21"/>
              </w:rPr>
              <w:t>生产设备等</w:t>
            </w:r>
          </w:p>
        </w:tc>
        <w:tc>
          <w:tcPr>
            <w:tcW w:w="4982" w:type="dxa"/>
            <w:gridSpan w:val="2"/>
            <w:shd w:val="clear" w:color="auto" w:fill="auto"/>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选用低噪声设备、厂房隔声、基础减振、绿化降噪措施</w:t>
            </w:r>
          </w:p>
        </w:tc>
        <w:tc>
          <w:tcPr>
            <w:tcW w:w="4111" w:type="dxa"/>
            <w:gridSpan w:val="2"/>
            <w:shd w:val="clear" w:color="auto" w:fill="auto"/>
            <w:vAlign w:val="center"/>
          </w:tcPr>
          <w:p>
            <w:pPr>
              <w:spacing w:line="0" w:lineRule="atLeast"/>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《工业企业厂界环境噪声排放标准》（GB12348-2008）表1中2类标准</w:t>
            </w:r>
          </w:p>
        </w:tc>
        <w:tc>
          <w:tcPr>
            <w:tcW w:w="1675" w:type="dxa"/>
            <w:gridSpan w:val="2"/>
            <w:shd w:val="clear" w:color="auto" w:fill="auto"/>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drawing>
                <wp:anchor distT="0" distB="0" distL="114300" distR="114300" simplePos="0" relativeHeight="251795456" behindDoc="0" locked="0" layoutInCell="1" allowOverlap="1">
                  <wp:simplePos x="0" y="0"/>
                  <wp:positionH relativeFrom="column">
                    <wp:posOffset>102870</wp:posOffset>
                  </wp:positionH>
                  <wp:positionV relativeFrom="paragraph">
                    <wp:posOffset>12700</wp:posOffset>
                  </wp:positionV>
                  <wp:extent cx="684530" cy="600075"/>
                  <wp:effectExtent l="0" t="0" r="1270" b="9525"/>
                  <wp:wrapNone/>
                  <wp:docPr id="43"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41"/>
                          <pic:cNvPicPr>
                            <a:picLocks noChangeAspect="1" noChangeArrowheads="1"/>
                          </pic:cNvPicPr>
                        </pic:nvPicPr>
                        <pic:blipFill>
                          <a:blip r:embed="rId84" cstate="print"/>
                          <a:srcRect/>
                          <a:stretch>
                            <a:fillRect/>
                          </a:stretch>
                        </pic:blipFill>
                        <pic:spPr>
                          <a:xfrm>
                            <a:off x="0" y="0"/>
                            <a:ext cx="684530" cy="600075"/>
                          </a:xfrm>
                          <a:prstGeom prst="rect">
                            <a:avLst/>
                          </a:prstGeom>
                          <a:noFill/>
                          <a:ln w="9525">
                            <a:noFill/>
                            <a:miter lim="800000"/>
                            <a:headEnd/>
                            <a:tailEnd/>
                          </a:ln>
                        </pic:spPr>
                      </pic:pic>
                    </a:graphicData>
                  </a:graphic>
                </wp:anchor>
              </w:drawing>
            </w:r>
          </w:p>
          <w:p>
            <w:pPr>
              <w:spacing w:line="0" w:lineRule="atLeast"/>
              <w:jc w:val="center"/>
              <w:rPr>
                <w:rFonts w:hint="default" w:ascii="Times New Roman" w:hAnsi="Times New Roman" w:cs="Times New Roman"/>
                <w:color w:val="auto"/>
                <w:szCs w:val="21"/>
              </w:rPr>
            </w:pPr>
          </w:p>
          <w:p>
            <w:pPr>
              <w:spacing w:line="0" w:lineRule="atLeast"/>
              <w:jc w:val="center"/>
              <w:rPr>
                <w:rFonts w:hint="default" w:ascii="Times New Roman" w:hAnsi="Times New Roman" w:cs="Times New Roman"/>
                <w:color w:val="auto"/>
                <w:szCs w:val="21"/>
              </w:rPr>
            </w:pPr>
          </w:p>
          <w:p>
            <w:pPr>
              <w:spacing w:line="0" w:lineRule="atLeast"/>
              <w:jc w:val="center"/>
              <w:rPr>
                <w:rFonts w:hint="default" w:ascii="Times New Roman" w:hAnsi="Times New Roman" w:cs="Times New Roman"/>
                <w:b/>
                <w:bCs/>
                <w:color w:val="auto"/>
                <w:szCs w:val="21"/>
              </w:rPr>
            </w:pPr>
          </w:p>
          <w:p>
            <w:pPr>
              <w:spacing w:line="0" w:lineRule="atLeast"/>
              <w:jc w:val="center"/>
              <w:rPr>
                <w:rFonts w:hint="default" w:ascii="Times New Roman" w:hAnsi="Times New Roman" w:cs="Times New Roman"/>
                <w:color w:val="auto"/>
                <w:szCs w:val="21"/>
              </w:rPr>
            </w:pPr>
            <w:r>
              <w:rPr>
                <w:rFonts w:hint="default" w:ascii="Times New Roman" w:hAnsi="Times New Roman" w:cs="Times New Roman"/>
                <w:b/>
                <w:bCs/>
                <w:color w:val="auto"/>
                <w:szCs w:val="21"/>
              </w:rPr>
              <w:t>提示图形符号</w:t>
            </w:r>
          </w:p>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drawing>
                <wp:inline distT="0" distB="0" distL="0" distR="0">
                  <wp:extent cx="709930" cy="628015"/>
                  <wp:effectExtent l="0" t="0" r="13970" b="635"/>
                  <wp:docPr id="45"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0"/>
                          <pic:cNvPicPr>
                            <a:picLocks noChangeAspect="1" noChangeArrowheads="1"/>
                          </pic:cNvPicPr>
                        </pic:nvPicPr>
                        <pic:blipFill>
                          <a:blip r:embed="rId85" cstate="print"/>
                          <a:srcRect/>
                          <a:stretch>
                            <a:fillRect/>
                          </a:stretch>
                        </pic:blipFill>
                        <pic:spPr>
                          <a:xfrm>
                            <a:off x="0" y="0"/>
                            <a:ext cx="709930" cy="628015"/>
                          </a:xfrm>
                          <a:prstGeom prst="rect">
                            <a:avLst/>
                          </a:prstGeom>
                          <a:noFill/>
                          <a:ln w="9525">
                            <a:noFill/>
                            <a:miter lim="800000"/>
                            <a:headEnd/>
                            <a:tailEnd/>
                          </a:ln>
                        </pic:spPr>
                      </pic:pic>
                    </a:graphicData>
                  </a:graphic>
                </wp:inline>
              </w:drawing>
            </w:r>
          </w:p>
          <w:p>
            <w:pPr>
              <w:spacing w:line="0" w:lineRule="atLeast"/>
              <w:jc w:val="center"/>
              <w:rPr>
                <w:rFonts w:hint="default" w:ascii="Times New Roman" w:hAnsi="Times New Roman" w:cs="Times New Roman"/>
                <w:color w:val="auto"/>
                <w:szCs w:val="21"/>
              </w:rPr>
            </w:pPr>
            <w:r>
              <w:rPr>
                <w:rFonts w:hint="default" w:ascii="Times New Roman" w:hAnsi="Times New Roman" w:cs="Times New Roman"/>
                <w:b/>
                <w:bCs/>
                <w:color w:val="auto"/>
                <w:szCs w:val="21"/>
              </w:rPr>
              <w:t>警告图形符号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1"/>
          <w:wAfter w:w="3" w:type="dxa"/>
          <w:trHeight w:val="59" w:hRule="atLeast"/>
          <w:jc w:val="center"/>
        </w:trPr>
        <w:tc>
          <w:tcPr>
            <w:tcW w:w="1000" w:type="dxa"/>
            <w:vMerge w:val="restart"/>
            <w:vAlign w:val="center"/>
          </w:tcPr>
          <w:p>
            <w:pPr>
              <w:spacing w:line="0" w:lineRule="atLeast"/>
              <w:jc w:val="center"/>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固废</w:t>
            </w:r>
          </w:p>
        </w:tc>
        <w:tc>
          <w:tcPr>
            <w:tcW w:w="2816" w:type="dxa"/>
            <w:gridSpan w:val="3"/>
            <w:vAlign w:val="center"/>
          </w:tcPr>
          <w:p>
            <w:pPr>
              <w:pStyle w:val="32"/>
              <w:jc w:val="center"/>
              <w:rPr>
                <w:rFonts w:hint="default" w:ascii="Times New Roman" w:hAnsi="Times New Roman" w:cs="Times New Roman"/>
                <w:color w:val="auto"/>
                <w:szCs w:val="21"/>
              </w:rPr>
            </w:pPr>
            <w:r>
              <w:rPr>
                <w:rFonts w:hint="default" w:ascii="Times New Roman" w:hAnsi="Times New Roman" w:eastAsia="宋体" w:cs="Times New Roman"/>
                <w:color w:val="auto"/>
                <w:sz w:val="21"/>
                <w:szCs w:val="21"/>
                <w:highlight w:val="none"/>
                <w:lang w:val="en-US" w:eastAsia="zh-CN"/>
              </w:rPr>
              <w:t>猪粪</w:t>
            </w:r>
          </w:p>
        </w:tc>
        <w:tc>
          <w:tcPr>
            <w:tcW w:w="4982" w:type="dxa"/>
            <w:gridSpan w:val="2"/>
            <w:vAlign w:val="top"/>
          </w:tcPr>
          <w:p>
            <w:pPr>
              <w:spacing w:before="55" w:line="262" w:lineRule="auto"/>
              <w:ind w:left="1166" w:leftChars="0" w:right="109" w:rightChars="0" w:hanging="1052" w:firstLineChars="0"/>
              <w:rPr>
                <w:rFonts w:hint="default" w:ascii="Times New Roman" w:hAnsi="Times New Roman" w:cs="Times New Roman"/>
                <w:color w:val="auto"/>
                <w:szCs w:val="21"/>
              </w:rPr>
            </w:pPr>
            <w:r>
              <w:rPr>
                <w:rFonts w:hint="default" w:ascii="Times New Roman" w:hAnsi="Times New Roman" w:eastAsia="宋体" w:cs="Times New Roman"/>
                <w:spacing w:val="9"/>
                <w:sz w:val="21"/>
                <w:szCs w:val="21"/>
              </w:rPr>
              <w:t>每日清理，作为有机肥原料统</w:t>
            </w:r>
            <w:r>
              <w:rPr>
                <w:rFonts w:hint="default" w:ascii="Times New Roman" w:hAnsi="Times New Roman" w:eastAsia="宋体" w:cs="Times New Roman"/>
                <w:spacing w:val="2"/>
                <w:sz w:val="21"/>
                <w:szCs w:val="21"/>
              </w:rPr>
              <w:t xml:space="preserve"> </w:t>
            </w:r>
            <w:r>
              <w:rPr>
                <w:rFonts w:hint="default" w:ascii="Times New Roman" w:hAnsi="Times New Roman" w:eastAsia="宋体" w:cs="Times New Roman"/>
                <w:spacing w:val="5"/>
                <w:sz w:val="21"/>
                <w:szCs w:val="21"/>
              </w:rPr>
              <w:t>一外售</w:t>
            </w:r>
          </w:p>
        </w:tc>
        <w:tc>
          <w:tcPr>
            <w:tcW w:w="4111" w:type="dxa"/>
            <w:gridSpan w:val="2"/>
            <w:vMerge w:val="restart"/>
            <w:vAlign w:val="center"/>
          </w:tcPr>
          <w:p>
            <w:pPr>
              <w:spacing w:line="0" w:lineRule="atLeast"/>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危险废物执行《危险废物贮存污染控制标准》（GB 18597-2023）中有关规定，一般固体废物排放执行《一般工业固体废物贮存和填埋污染控制标准》（GB18599-2020）、《一般固体废物分类与代码（GB/T39198-2020）》中相关要求。</w:t>
            </w:r>
          </w:p>
          <w:p>
            <w:pPr>
              <w:spacing w:line="0" w:lineRule="atLeast"/>
              <w:jc w:val="center"/>
              <w:rPr>
                <w:rFonts w:hint="default" w:ascii="Times New Roman" w:hAnsi="Times New Roman" w:cs="Times New Roman"/>
                <w:bCs/>
                <w:color w:val="auto"/>
                <w:szCs w:val="21"/>
                <w:lang w:val="en-US" w:eastAsia="zh-CN"/>
              </w:rPr>
            </w:pPr>
          </w:p>
        </w:tc>
        <w:tc>
          <w:tcPr>
            <w:tcW w:w="1820" w:type="dxa"/>
            <w:gridSpan w:val="3"/>
            <w:vMerge w:val="restart"/>
            <w:vAlign w:val="center"/>
          </w:tcPr>
          <w:p>
            <w:pPr>
              <w:spacing w:line="0" w:lineRule="atLeast"/>
              <w:jc w:val="center"/>
              <w:rPr>
                <w:rFonts w:hint="default" w:ascii="Times New Roman" w:hAnsi="Times New Roman" w:cs="Times New Roman"/>
                <w:color w:val="FF0000"/>
                <w:szCs w:val="21"/>
              </w:rPr>
            </w:pPr>
          </w:p>
          <w:p>
            <w:pPr>
              <w:spacing w:line="0" w:lineRule="atLeast"/>
              <w:jc w:val="center"/>
              <w:rPr>
                <w:rFonts w:hint="default" w:ascii="Times New Roman" w:hAnsi="Times New Roman" w:cs="Times New Roman"/>
                <w:color w:val="FF0000"/>
                <w:szCs w:val="21"/>
              </w:rPr>
            </w:pPr>
          </w:p>
          <w:p>
            <w:pPr>
              <w:pStyle w:val="13"/>
              <w:rPr>
                <w:rFonts w:hint="default" w:ascii="Times New Roman" w:hAnsi="Times New Roman" w:cs="Times New Roman"/>
              </w:rPr>
            </w:pPr>
          </w:p>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drawing>
                <wp:inline distT="0" distB="0" distL="0" distR="0">
                  <wp:extent cx="695960" cy="614045"/>
                  <wp:effectExtent l="0" t="0" r="8890" b="14605"/>
                  <wp:docPr id="46"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1"/>
                          <pic:cNvPicPr>
                            <a:picLocks noChangeAspect="1" noChangeArrowheads="1"/>
                          </pic:cNvPicPr>
                        </pic:nvPicPr>
                        <pic:blipFill>
                          <a:blip r:embed="rId86" cstate="print"/>
                          <a:srcRect/>
                          <a:stretch>
                            <a:fillRect/>
                          </a:stretch>
                        </pic:blipFill>
                        <pic:spPr>
                          <a:xfrm>
                            <a:off x="0" y="0"/>
                            <a:ext cx="695960" cy="614045"/>
                          </a:xfrm>
                          <a:prstGeom prst="rect">
                            <a:avLst/>
                          </a:prstGeom>
                          <a:noFill/>
                          <a:ln w="9525">
                            <a:noFill/>
                            <a:miter lim="800000"/>
                            <a:headEnd/>
                            <a:tailEnd/>
                          </a:ln>
                        </pic:spPr>
                      </pic:pic>
                    </a:graphicData>
                  </a:graphic>
                </wp:inline>
              </w:drawing>
            </w:r>
          </w:p>
          <w:p>
            <w:pPr>
              <w:spacing w:line="0" w:lineRule="atLeast"/>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一般固体废物</w:t>
            </w:r>
          </w:p>
          <w:p>
            <w:pPr>
              <w:spacing w:line="0" w:lineRule="atLeast"/>
              <w:jc w:val="center"/>
            </w:pPr>
            <w:r>
              <w:drawing>
                <wp:inline distT="0" distB="0" distL="114300" distR="114300">
                  <wp:extent cx="909955" cy="652780"/>
                  <wp:effectExtent l="0" t="0" r="4445" b="4445"/>
                  <wp:docPr id="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pic:cNvPicPr>
                            <a:picLocks noChangeAspect="1"/>
                          </pic:cNvPicPr>
                        </pic:nvPicPr>
                        <pic:blipFill>
                          <a:blip r:embed="rId87"/>
                          <a:stretch>
                            <a:fillRect/>
                          </a:stretch>
                        </pic:blipFill>
                        <pic:spPr>
                          <a:xfrm>
                            <a:off x="0" y="0"/>
                            <a:ext cx="909955" cy="652780"/>
                          </a:xfrm>
                          <a:prstGeom prst="rect">
                            <a:avLst/>
                          </a:prstGeom>
                          <a:noFill/>
                          <a:ln>
                            <a:noFill/>
                          </a:ln>
                        </pic:spPr>
                      </pic:pic>
                    </a:graphicData>
                  </a:graphic>
                </wp:inline>
              </w:drawing>
            </w:r>
          </w:p>
          <w:p>
            <w:pPr>
              <w:spacing w:line="0" w:lineRule="atLeast"/>
              <w:jc w:val="center"/>
              <w:rPr>
                <w:rFonts w:hint="default"/>
              </w:rPr>
            </w:pPr>
            <w:r>
              <w:rPr>
                <w:rFonts w:hint="eastAsia" w:ascii="Times New Roman" w:hAnsi="Times New Roman" w:eastAsia="宋体" w:cs="Times New Roman"/>
                <w:b/>
                <w:bCs/>
                <w:color w:val="auto"/>
                <w:szCs w:val="21"/>
                <w:lang w:val="en-US" w:eastAsia="zh-CN"/>
              </w:rPr>
              <w:t>危险</w:t>
            </w:r>
            <w:r>
              <w:rPr>
                <w:rFonts w:hint="default" w:ascii="Times New Roman" w:hAnsi="Times New Roman" w:cs="Times New Roman"/>
                <w:b/>
                <w:bCs/>
                <w:color w:val="auto"/>
                <w:szCs w:val="21"/>
              </w:rPr>
              <w:t>废物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1"/>
          <w:wAfter w:w="3" w:type="dxa"/>
          <w:trHeight w:val="59" w:hRule="atLeast"/>
          <w:jc w:val="center"/>
        </w:trPr>
        <w:tc>
          <w:tcPr>
            <w:tcW w:w="1000" w:type="dxa"/>
            <w:vMerge w:val="continue"/>
            <w:vAlign w:val="center"/>
          </w:tcPr>
          <w:p>
            <w:pPr>
              <w:spacing w:line="0" w:lineRule="atLeast"/>
              <w:jc w:val="center"/>
              <w:rPr>
                <w:rFonts w:hint="default" w:ascii="Times New Roman" w:hAnsi="Times New Roman" w:cs="Times New Roman"/>
                <w:color w:val="FF0000"/>
                <w:szCs w:val="21"/>
              </w:rPr>
            </w:pPr>
          </w:p>
        </w:tc>
        <w:tc>
          <w:tcPr>
            <w:tcW w:w="2816" w:type="dxa"/>
            <w:gridSpan w:val="3"/>
            <w:vAlign w:val="center"/>
          </w:tcPr>
          <w:p>
            <w:pPr>
              <w:pStyle w:val="32"/>
              <w:jc w:val="center"/>
              <w:rPr>
                <w:rFonts w:hint="default" w:ascii="Times New Roman" w:hAnsi="Times New Roman" w:cs="Times New Roman"/>
                <w:color w:val="auto"/>
                <w:szCs w:val="21"/>
              </w:rPr>
            </w:pPr>
            <w:r>
              <w:rPr>
                <w:rFonts w:hint="default" w:ascii="Times New Roman" w:hAnsi="Times New Roman" w:eastAsia="宋体" w:cs="Times New Roman"/>
                <w:color w:val="auto"/>
                <w:sz w:val="21"/>
                <w:szCs w:val="21"/>
                <w:highlight w:val="none"/>
                <w:lang w:val="en-US" w:eastAsia="zh-CN"/>
              </w:rPr>
              <w:t>猪毛</w:t>
            </w:r>
          </w:p>
        </w:tc>
        <w:tc>
          <w:tcPr>
            <w:tcW w:w="4982" w:type="dxa"/>
            <w:gridSpan w:val="2"/>
            <w:vAlign w:val="center"/>
          </w:tcPr>
          <w:p>
            <w:pPr>
              <w:pStyle w:val="32"/>
              <w:jc w:val="center"/>
              <w:rPr>
                <w:rFonts w:hint="default" w:ascii="Times New Roman" w:hAnsi="Times New Roman" w:cs="Times New Roman"/>
                <w:color w:val="auto"/>
                <w:szCs w:val="21"/>
              </w:rPr>
            </w:pPr>
            <w:r>
              <w:rPr>
                <w:rFonts w:hint="default" w:ascii="Times New Roman" w:hAnsi="Times New Roman" w:eastAsia="宋体" w:cs="Times New Roman"/>
                <w:snapToGrid w:val="0"/>
                <w:color w:val="000000"/>
                <w:kern w:val="0"/>
                <w:sz w:val="21"/>
                <w:szCs w:val="21"/>
                <w:lang w:val="en-US" w:eastAsia="zh-CN" w:bidi="ar-SA"/>
              </w:rPr>
              <w:t>外售至毛刷厂</w:t>
            </w:r>
          </w:p>
        </w:tc>
        <w:tc>
          <w:tcPr>
            <w:tcW w:w="4111" w:type="dxa"/>
            <w:gridSpan w:val="2"/>
            <w:vMerge w:val="continue"/>
            <w:vAlign w:val="center"/>
          </w:tcPr>
          <w:p>
            <w:pPr>
              <w:spacing w:line="0" w:lineRule="atLeast"/>
              <w:jc w:val="center"/>
              <w:rPr>
                <w:rFonts w:hint="default" w:ascii="Times New Roman" w:hAnsi="Times New Roman" w:cs="Times New Roman"/>
                <w:color w:val="FF0000"/>
                <w:szCs w:val="21"/>
              </w:rPr>
            </w:pPr>
          </w:p>
        </w:tc>
        <w:tc>
          <w:tcPr>
            <w:tcW w:w="1820" w:type="dxa"/>
            <w:gridSpan w:val="3"/>
            <w:vMerge w:val="continue"/>
            <w:vAlign w:val="center"/>
          </w:tcPr>
          <w:p>
            <w:pPr>
              <w:spacing w:line="0" w:lineRule="atLeast"/>
              <w:jc w:val="center"/>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1"/>
          <w:wAfter w:w="3" w:type="dxa"/>
          <w:trHeight w:val="59" w:hRule="atLeast"/>
          <w:jc w:val="center"/>
        </w:trPr>
        <w:tc>
          <w:tcPr>
            <w:tcW w:w="1000" w:type="dxa"/>
            <w:vMerge w:val="continue"/>
            <w:vAlign w:val="center"/>
          </w:tcPr>
          <w:p>
            <w:pPr>
              <w:spacing w:line="0" w:lineRule="atLeast"/>
              <w:jc w:val="center"/>
              <w:rPr>
                <w:rFonts w:hint="default" w:ascii="Times New Roman" w:hAnsi="Times New Roman" w:cs="Times New Roman"/>
                <w:color w:val="auto"/>
                <w:szCs w:val="21"/>
              </w:rPr>
            </w:pPr>
          </w:p>
        </w:tc>
        <w:tc>
          <w:tcPr>
            <w:tcW w:w="2816" w:type="dxa"/>
            <w:gridSpan w:val="3"/>
            <w:vAlign w:val="center"/>
          </w:tcPr>
          <w:p>
            <w:pPr>
              <w:pStyle w:val="32"/>
              <w:jc w:val="center"/>
              <w:rPr>
                <w:rFonts w:hint="default" w:ascii="Times New Roman" w:hAnsi="Times New Roman" w:cs="Times New Roman"/>
                <w:color w:val="auto"/>
                <w:szCs w:val="21"/>
              </w:rPr>
            </w:pPr>
            <w:r>
              <w:rPr>
                <w:rFonts w:hint="default" w:ascii="Times New Roman" w:hAnsi="Times New Roman" w:eastAsia="宋体" w:cs="Times New Roman"/>
                <w:color w:val="auto"/>
                <w:sz w:val="21"/>
                <w:szCs w:val="21"/>
                <w:highlight w:val="none"/>
                <w:lang w:val="en-US" w:eastAsia="zh-CN"/>
              </w:rPr>
              <w:t>肠胃内容物</w:t>
            </w:r>
          </w:p>
        </w:tc>
        <w:tc>
          <w:tcPr>
            <w:tcW w:w="4982" w:type="dxa"/>
            <w:gridSpan w:val="2"/>
            <w:vAlign w:val="center"/>
          </w:tcPr>
          <w:p>
            <w:pPr>
              <w:pStyle w:val="32"/>
              <w:jc w:val="center"/>
              <w:rPr>
                <w:rFonts w:hint="default" w:ascii="Times New Roman" w:hAnsi="Times New Roman" w:cs="Times New Roman"/>
                <w:color w:val="auto"/>
                <w:szCs w:val="21"/>
              </w:rPr>
            </w:pPr>
            <w:r>
              <w:rPr>
                <w:rFonts w:hint="default" w:ascii="Times New Roman" w:hAnsi="Times New Roman" w:eastAsia="宋体" w:cs="Times New Roman"/>
                <w:snapToGrid w:val="0"/>
                <w:color w:val="000000"/>
                <w:kern w:val="0"/>
                <w:sz w:val="21"/>
                <w:szCs w:val="21"/>
                <w:lang w:val="en-US" w:eastAsia="zh-CN" w:bidi="ar-SA"/>
              </w:rPr>
              <w:t>堆肥处理</w:t>
            </w:r>
          </w:p>
        </w:tc>
        <w:tc>
          <w:tcPr>
            <w:tcW w:w="4111" w:type="dxa"/>
            <w:gridSpan w:val="2"/>
            <w:vMerge w:val="continue"/>
            <w:vAlign w:val="center"/>
          </w:tcPr>
          <w:p>
            <w:pPr>
              <w:spacing w:line="0" w:lineRule="atLeast"/>
              <w:jc w:val="center"/>
              <w:rPr>
                <w:rFonts w:hint="default" w:ascii="Times New Roman" w:hAnsi="Times New Roman" w:cs="Times New Roman"/>
                <w:color w:val="auto"/>
                <w:szCs w:val="21"/>
              </w:rPr>
            </w:pPr>
          </w:p>
        </w:tc>
        <w:tc>
          <w:tcPr>
            <w:tcW w:w="1820" w:type="dxa"/>
            <w:gridSpan w:val="3"/>
            <w:vMerge w:val="continue"/>
            <w:vAlign w:val="center"/>
          </w:tcPr>
          <w:p>
            <w:pPr>
              <w:spacing w:line="0" w:lineRule="atLeast"/>
              <w:jc w:val="center"/>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gridAfter w:val="1"/>
          <w:wAfter w:w="3" w:type="dxa"/>
          <w:trHeight w:val="90" w:hRule="atLeast"/>
          <w:jc w:val="center"/>
        </w:trPr>
        <w:tc>
          <w:tcPr>
            <w:tcW w:w="1000" w:type="dxa"/>
            <w:vMerge w:val="continue"/>
            <w:vAlign w:val="center"/>
          </w:tcPr>
          <w:p>
            <w:pPr>
              <w:spacing w:line="0" w:lineRule="atLeast"/>
              <w:jc w:val="center"/>
              <w:rPr>
                <w:rFonts w:hint="default" w:ascii="Times New Roman" w:hAnsi="Times New Roman" w:cs="Times New Roman"/>
                <w:color w:val="FF0000"/>
                <w:szCs w:val="21"/>
              </w:rPr>
            </w:pPr>
          </w:p>
        </w:tc>
        <w:tc>
          <w:tcPr>
            <w:tcW w:w="2816" w:type="dxa"/>
            <w:gridSpan w:val="3"/>
            <w:vAlign w:val="center"/>
          </w:tcPr>
          <w:p>
            <w:pPr>
              <w:pStyle w:val="32"/>
              <w:jc w:val="center"/>
              <w:rPr>
                <w:rFonts w:hint="default" w:ascii="Times New Roman" w:hAnsi="Times New Roman" w:cs="Times New Roman"/>
                <w:color w:val="auto"/>
                <w:szCs w:val="21"/>
                <w:highlight w:val="yellow"/>
              </w:rPr>
            </w:pPr>
            <w:r>
              <w:rPr>
                <w:rFonts w:hint="default" w:ascii="Times New Roman" w:hAnsi="Times New Roman" w:eastAsia="宋体" w:cs="Times New Roman"/>
                <w:sz w:val="21"/>
                <w:szCs w:val="21"/>
                <w:lang w:val="en-US" w:eastAsia="zh-CN"/>
              </w:rPr>
              <w:t>病变腺体、内脏</w:t>
            </w:r>
          </w:p>
        </w:tc>
        <w:tc>
          <w:tcPr>
            <w:tcW w:w="4982" w:type="dxa"/>
            <w:gridSpan w:val="2"/>
            <w:vAlign w:val="center"/>
          </w:tcPr>
          <w:p>
            <w:pPr>
              <w:pStyle w:val="32"/>
              <w:jc w:val="center"/>
              <w:rPr>
                <w:rFonts w:hint="default" w:ascii="Times New Roman" w:hAnsi="Times New Roman" w:cs="Times New Roman"/>
                <w:color w:val="auto"/>
                <w:szCs w:val="21"/>
                <w:highlight w:val="yellow"/>
              </w:rPr>
            </w:pPr>
            <w:r>
              <w:rPr>
                <w:rFonts w:hint="default" w:ascii="Times New Roman" w:hAnsi="Times New Roman" w:eastAsia="宋体" w:cs="Times New Roman"/>
                <w:snapToGrid w:val="0"/>
                <w:color w:val="000000"/>
                <w:kern w:val="0"/>
                <w:sz w:val="21"/>
                <w:szCs w:val="21"/>
                <w:highlight w:val="none"/>
                <w:lang w:val="en-US" w:eastAsia="zh-CN" w:bidi="ar-SA"/>
              </w:rPr>
              <w:t>送至</w:t>
            </w:r>
            <w:r>
              <w:rPr>
                <w:rFonts w:hint="eastAsia" w:ascii="Times New Roman" w:eastAsia="宋体" w:cs="Times New Roman"/>
                <w:snapToGrid w:val="0"/>
                <w:color w:val="000000"/>
                <w:kern w:val="0"/>
                <w:sz w:val="21"/>
                <w:szCs w:val="21"/>
                <w:highlight w:val="none"/>
                <w:lang w:val="en-US" w:eastAsia="zh-CN" w:bidi="ar-SA"/>
              </w:rPr>
              <w:t>巴彦县燊缘无害化处理有限公司</w:t>
            </w:r>
            <w:r>
              <w:rPr>
                <w:rFonts w:hint="default" w:ascii="Times New Roman" w:hAnsi="Times New Roman" w:eastAsia="宋体" w:cs="Times New Roman"/>
                <w:snapToGrid w:val="0"/>
                <w:color w:val="000000"/>
                <w:kern w:val="0"/>
                <w:sz w:val="21"/>
                <w:szCs w:val="21"/>
                <w:highlight w:val="none"/>
                <w:lang w:val="en-US" w:eastAsia="zh-CN" w:bidi="ar-SA"/>
              </w:rPr>
              <w:t>处理</w:t>
            </w:r>
          </w:p>
        </w:tc>
        <w:tc>
          <w:tcPr>
            <w:tcW w:w="4111" w:type="dxa"/>
            <w:gridSpan w:val="2"/>
            <w:vMerge w:val="continue"/>
            <w:vAlign w:val="center"/>
          </w:tcPr>
          <w:p>
            <w:pPr>
              <w:spacing w:line="0" w:lineRule="atLeast"/>
              <w:jc w:val="center"/>
              <w:rPr>
                <w:rFonts w:hint="default" w:ascii="Times New Roman" w:hAnsi="Times New Roman" w:cs="Times New Roman"/>
                <w:color w:val="FF0000"/>
                <w:szCs w:val="21"/>
              </w:rPr>
            </w:pPr>
          </w:p>
        </w:tc>
        <w:tc>
          <w:tcPr>
            <w:tcW w:w="1820" w:type="dxa"/>
            <w:gridSpan w:val="3"/>
            <w:vMerge w:val="continue"/>
            <w:vAlign w:val="center"/>
          </w:tcPr>
          <w:p>
            <w:pPr>
              <w:spacing w:line="0" w:lineRule="atLeast"/>
              <w:jc w:val="center"/>
              <w:rPr>
                <w:rFonts w:hint="default" w:ascii="Times New Roman" w:hAnsi="Times New Roman"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Merge w:val="continue"/>
            <w:vAlign w:val="center"/>
          </w:tcPr>
          <w:p>
            <w:pPr>
              <w:spacing w:line="0" w:lineRule="atLeast"/>
              <w:jc w:val="center"/>
              <w:rPr>
                <w:rFonts w:hint="default" w:ascii="Times New Roman" w:hAnsi="Times New Roman" w:cs="Times New Roman"/>
                <w:color w:val="auto"/>
                <w:szCs w:val="21"/>
              </w:rPr>
            </w:pPr>
          </w:p>
        </w:tc>
        <w:tc>
          <w:tcPr>
            <w:tcW w:w="2816" w:type="dxa"/>
            <w:gridSpan w:val="3"/>
            <w:vAlign w:val="center"/>
          </w:tcPr>
          <w:p>
            <w:pPr>
              <w:pStyle w:val="32"/>
              <w:jc w:val="center"/>
              <w:rPr>
                <w:rFonts w:hint="default" w:ascii="Times New Roman" w:hAnsi="Times New Roman" w:cs="Times New Roman"/>
                <w:color w:val="auto"/>
                <w:szCs w:val="21"/>
              </w:rPr>
            </w:pPr>
            <w:r>
              <w:rPr>
                <w:rFonts w:hint="eastAsia" w:ascii="Times New Roman" w:hAnsi="Times New Roman" w:eastAsia="宋体" w:cs="Times New Roman"/>
                <w:sz w:val="21"/>
                <w:szCs w:val="21"/>
                <w:lang w:val="en-US" w:eastAsia="zh-CN"/>
              </w:rPr>
              <w:t>废弃</w:t>
            </w:r>
            <w:r>
              <w:rPr>
                <w:rFonts w:hint="default" w:ascii="Times New Roman" w:hAnsi="Times New Roman" w:eastAsia="宋体" w:cs="Times New Roman"/>
                <w:sz w:val="21"/>
                <w:szCs w:val="21"/>
                <w:lang w:val="en-US" w:eastAsia="zh-CN"/>
              </w:rPr>
              <w:t>脂肪</w:t>
            </w:r>
          </w:p>
        </w:tc>
        <w:tc>
          <w:tcPr>
            <w:tcW w:w="4982" w:type="dxa"/>
            <w:gridSpan w:val="2"/>
            <w:vAlign w:val="center"/>
          </w:tcPr>
          <w:p>
            <w:pPr>
              <w:pStyle w:val="32"/>
              <w:jc w:val="center"/>
              <w:rPr>
                <w:rFonts w:hint="default" w:ascii="Times New Roman" w:hAnsi="Times New Roman" w:cs="Times New Roman"/>
                <w:color w:val="auto"/>
                <w:szCs w:val="21"/>
              </w:rPr>
            </w:pPr>
            <w:r>
              <w:rPr>
                <w:rFonts w:hint="eastAsia" w:ascii="Times New Roman" w:eastAsia="宋体" w:cs="Times New Roman"/>
                <w:snapToGrid w:val="0"/>
                <w:color w:val="000000"/>
                <w:kern w:val="0"/>
                <w:sz w:val="21"/>
                <w:szCs w:val="21"/>
                <w:highlight w:val="none"/>
                <w:lang w:val="en-US" w:eastAsia="zh-CN" w:bidi="ar-SA"/>
              </w:rPr>
              <w:t>集中外售处理</w:t>
            </w:r>
          </w:p>
        </w:tc>
        <w:tc>
          <w:tcPr>
            <w:tcW w:w="4111" w:type="dxa"/>
            <w:gridSpan w:val="2"/>
            <w:vMerge w:val="continue"/>
            <w:vAlign w:val="center"/>
          </w:tcPr>
          <w:p>
            <w:pPr>
              <w:spacing w:line="0" w:lineRule="atLeast"/>
              <w:jc w:val="center"/>
              <w:rPr>
                <w:rFonts w:hint="default" w:ascii="Times New Roman" w:hAnsi="Times New Roman" w:cs="Times New Roman"/>
                <w:color w:val="auto"/>
                <w:szCs w:val="21"/>
              </w:rPr>
            </w:pPr>
          </w:p>
        </w:tc>
        <w:tc>
          <w:tcPr>
            <w:tcW w:w="1823" w:type="dxa"/>
            <w:gridSpan w:val="4"/>
            <w:vMerge w:val="continue"/>
            <w:vAlign w:val="center"/>
          </w:tcPr>
          <w:p>
            <w:pPr>
              <w:spacing w:line="0" w:lineRule="atLeast"/>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Merge w:val="continue"/>
            <w:vAlign w:val="center"/>
          </w:tcPr>
          <w:p>
            <w:pPr>
              <w:spacing w:line="0" w:lineRule="atLeast"/>
              <w:jc w:val="center"/>
              <w:rPr>
                <w:rFonts w:hint="default" w:ascii="Times New Roman" w:hAnsi="Times New Roman" w:cs="Times New Roman"/>
                <w:color w:val="auto"/>
                <w:szCs w:val="21"/>
              </w:rPr>
            </w:pPr>
          </w:p>
        </w:tc>
        <w:tc>
          <w:tcPr>
            <w:tcW w:w="2816" w:type="dxa"/>
            <w:gridSpan w:val="3"/>
            <w:vAlign w:val="center"/>
          </w:tcPr>
          <w:p>
            <w:pPr>
              <w:pStyle w:val="32"/>
              <w:jc w:val="center"/>
              <w:rPr>
                <w:rFonts w:hint="default" w:ascii="Times New Roman" w:hAnsi="Times New Roman" w:cs="Times New Roman"/>
                <w:color w:val="auto"/>
                <w:szCs w:val="21"/>
              </w:rPr>
            </w:pPr>
            <w:r>
              <w:rPr>
                <w:rFonts w:hint="default" w:ascii="Times New Roman" w:hAnsi="Times New Roman" w:eastAsia="宋体" w:cs="Times New Roman"/>
                <w:sz w:val="21"/>
                <w:szCs w:val="21"/>
                <w:lang w:val="en-US" w:eastAsia="zh-CN"/>
              </w:rPr>
              <w:t>污水处理站污泥、栅渣</w:t>
            </w:r>
          </w:p>
        </w:tc>
        <w:tc>
          <w:tcPr>
            <w:tcW w:w="4982" w:type="dxa"/>
            <w:gridSpan w:val="2"/>
            <w:vAlign w:val="center"/>
          </w:tcPr>
          <w:p>
            <w:pPr>
              <w:pStyle w:val="32"/>
              <w:jc w:val="center"/>
              <w:rPr>
                <w:rFonts w:hint="default" w:ascii="Times New Roman" w:hAnsi="Times New Roman" w:cs="Times New Roman"/>
                <w:color w:val="auto"/>
                <w:szCs w:val="21"/>
              </w:rPr>
            </w:pPr>
            <w:r>
              <w:rPr>
                <w:rFonts w:hint="default" w:ascii="Times New Roman" w:hAnsi="Times New Roman" w:eastAsia="宋体" w:cs="Times New Roman"/>
                <w:color w:val="auto"/>
                <w:sz w:val="21"/>
                <w:szCs w:val="21"/>
                <w:highlight w:val="none"/>
                <w:lang w:val="en-US" w:eastAsia="zh-CN"/>
              </w:rPr>
              <w:t>送垃圾填埋场填埋</w:t>
            </w:r>
          </w:p>
        </w:tc>
        <w:tc>
          <w:tcPr>
            <w:tcW w:w="4111" w:type="dxa"/>
            <w:gridSpan w:val="2"/>
            <w:vMerge w:val="continue"/>
            <w:vAlign w:val="center"/>
          </w:tcPr>
          <w:p>
            <w:pPr>
              <w:spacing w:line="0" w:lineRule="atLeast"/>
              <w:jc w:val="center"/>
              <w:rPr>
                <w:rFonts w:hint="default" w:ascii="Times New Roman" w:hAnsi="Times New Roman" w:cs="Times New Roman"/>
                <w:color w:val="auto"/>
                <w:szCs w:val="21"/>
              </w:rPr>
            </w:pPr>
          </w:p>
        </w:tc>
        <w:tc>
          <w:tcPr>
            <w:tcW w:w="1823" w:type="dxa"/>
            <w:gridSpan w:val="4"/>
            <w:vMerge w:val="continue"/>
            <w:vAlign w:val="center"/>
          </w:tcPr>
          <w:p>
            <w:pPr>
              <w:spacing w:line="0" w:lineRule="atLeast"/>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Merge w:val="continue"/>
            <w:vAlign w:val="center"/>
          </w:tcPr>
          <w:p>
            <w:pPr>
              <w:spacing w:line="0" w:lineRule="atLeast"/>
              <w:jc w:val="center"/>
              <w:rPr>
                <w:rFonts w:hint="default" w:ascii="Times New Roman" w:hAnsi="Times New Roman" w:cs="Times New Roman"/>
                <w:color w:val="auto"/>
                <w:szCs w:val="21"/>
              </w:rPr>
            </w:pPr>
          </w:p>
        </w:tc>
        <w:tc>
          <w:tcPr>
            <w:tcW w:w="2816" w:type="dxa"/>
            <w:gridSpan w:val="3"/>
            <w:vAlign w:val="center"/>
          </w:tcPr>
          <w:p>
            <w:pPr>
              <w:pStyle w:val="32"/>
              <w:jc w:val="center"/>
              <w:rPr>
                <w:rFonts w:hint="default" w:ascii="Times New Roman" w:hAnsi="Times New Roman" w:cs="Times New Roman"/>
                <w:color w:val="auto"/>
                <w:szCs w:val="21"/>
              </w:rPr>
            </w:pPr>
            <w:r>
              <w:rPr>
                <w:rFonts w:hint="eastAsia" w:ascii="Times New Roman" w:hAnsi="Times New Roman" w:cs="Times New Roman"/>
                <w:sz w:val="24"/>
                <w:szCs w:val="24"/>
                <w:highlight w:val="none"/>
                <w:lang w:val="en-US" w:eastAsia="zh-CN"/>
              </w:rPr>
              <w:t>隔油工段的</w:t>
            </w:r>
            <w:r>
              <w:rPr>
                <w:rFonts w:hint="default" w:ascii="Times New Roman" w:hAnsi="Times New Roman" w:cs="Times New Roman"/>
                <w:sz w:val="24"/>
                <w:szCs w:val="24"/>
                <w:highlight w:val="none"/>
                <w:lang w:val="en-US" w:eastAsia="zh-CN"/>
              </w:rPr>
              <w:t>废油</w:t>
            </w:r>
            <w:r>
              <w:rPr>
                <w:rFonts w:hint="eastAsia" w:ascii="Times New Roman" w:hAnsi="Times New Roman" w:cs="Times New Roman"/>
                <w:sz w:val="24"/>
                <w:szCs w:val="24"/>
                <w:highlight w:val="none"/>
                <w:lang w:val="en-US" w:eastAsia="zh-CN"/>
              </w:rPr>
              <w:t>脂和落地油</w:t>
            </w:r>
          </w:p>
        </w:tc>
        <w:tc>
          <w:tcPr>
            <w:tcW w:w="4982" w:type="dxa"/>
            <w:gridSpan w:val="2"/>
            <w:vAlign w:val="center"/>
          </w:tcPr>
          <w:p>
            <w:pPr>
              <w:pStyle w:val="32"/>
              <w:jc w:val="center"/>
              <w:rPr>
                <w:rFonts w:hint="default" w:ascii="Times New Roman" w:hAnsi="Times New Roman" w:cs="Times New Roman"/>
                <w:color w:val="auto"/>
                <w:szCs w:val="21"/>
              </w:rPr>
            </w:pPr>
            <w:r>
              <w:rPr>
                <w:rFonts w:hint="default" w:ascii="Times New Roman" w:hAnsi="Times New Roman" w:eastAsia="宋体" w:cs="Times New Roman"/>
                <w:color w:val="auto"/>
                <w:highlight w:val="none"/>
                <w:lang w:val="en-US" w:eastAsia="zh-CN"/>
              </w:rPr>
              <w:t>委托有处理资质单位进行处置</w:t>
            </w:r>
          </w:p>
        </w:tc>
        <w:tc>
          <w:tcPr>
            <w:tcW w:w="4111" w:type="dxa"/>
            <w:gridSpan w:val="2"/>
            <w:vMerge w:val="continue"/>
            <w:vAlign w:val="center"/>
          </w:tcPr>
          <w:p>
            <w:pPr>
              <w:spacing w:line="0" w:lineRule="atLeast"/>
              <w:jc w:val="center"/>
              <w:rPr>
                <w:rFonts w:hint="default" w:ascii="Times New Roman" w:hAnsi="Times New Roman" w:cs="Times New Roman"/>
                <w:color w:val="auto"/>
                <w:szCs w:val="21"/>
              </w:rPr>
            </w:pPr>
          </w:p>
        </w:tc>
        <w:tc>
          <w:tcPr>
            <w:tcW w:w="1823" w:type="dxa"/>
            <w:gridSpan w:val="4"/>
            <w:vMerge w:val="continue"/>
            <w:vAlign w:val="center"/>
          </w:tcPr>
          <w:p>
            <w:pPr>
              <w:spacing w:line="0" w:lineRule="atLeast"/>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Merge w:val="continue"/>
            <w:vAlign w:val="center"/>
          </w:tcPr>
          <w:p>
            <w:pPr>
              <w:spacing w:line="0" w:lineRule="atLeast"/>
              <w:jc w:val="center"/>
              <w:rPr>
                <w:rFonts w:hint="default" w:ascii="Times New Roman" w:hAnsi="Times New Roman" w:cs="Times New Roman"/>
                <w:color w:val="auto"/>
                <w:szCs w:val="21"/>
              </w:rPr>
            </w:pPr>
          </w:p>
        </w:tc>
        <w:tc>
          <w:tcPr>
            <w:tcW w:w="2816" w:type="dxa"/>
            <w:gridSpan w:val="3"/>
            <w:vAlign w:val="center"/>
          </w:tcPr>
          <w:p>
            <w:pPr>
              <w:pStyle w:val="32"/>
              <w:jc w:val="center"/>
              <w:rPr>
                <w:rFonts w:hint="default" w:ascii="Times New Roman" w:hAnsi="Times New Roman" w:cs="Times New Roman"/>
                <w:color w:val="auto"/>
                <w:szCs w:val="21"/>
              </w:rPr>
            </w:pPr>
            <w:r>
              <w:rPr>
                <w:rFonts w:hint="default" w:ascii="Times New Roman" w:hAnsi="Times New Roman" w:eastAsia="宋体" w:cs="Times New Roman"/>
                <w:sz w:val="21"/>
                <w:szCs w:val="21"/>
                <w:lang w:val="en-US" w:eastAsia="zh-CN"/>
              </w:rPr>
              <w:t>废外包装</w:t>
            </w:r>
          </w:p>
        </w:tc>
        <w:tc>
          <w:tcPr>
            <w:tcW w:w="4982" w:type="dxa"/>
            <w:gridSpan w:val="2"/>
            <w:vAlign w:val="center"/>
          </w:tcPr>
          <w:p>
            <w:pPr>
              <w:pStyle w:val="32"/>
              <w:jc w:val="center"/>
              <w:rPr>
                <w:rFonts w:hint="default" w:ascii="Times New Roman" w:hAnsi="Times New Roman" w:cs="Times New Roman"/>
                <w:color w:val="auto"/>
                <w:szCs w:val="21"/>
              </w:rPr>
            </w:pPr>
            <w:r>
              <w:rPr>
                <w:rFonts w:hint="default" w:ascii="Times New Roman" w:hAnsi="Times New Roman" w:eastAsia="宋体" w:cs="Times New Roman"/>
                <w:snapToGrid w:val="0"/>
                <w:color w:val="000000"/>
                <w:kern w:val="0"/>
                <w:sz w:val="21"/>
                <w:szCs w:val="21"/>
                <w:lang w:val="en-US" w:eastAsia="zh-CN" w:bidi="ar-SA"/>
              </w:rPr>
              <w:t>外售</w:t>
            </w:r>
          </w:p>
        </w:tc>
        <w:tc>
          <w:tcPr>
            <w:tcW w:w="4111" w:type="dxa"/>
            <w:gridSpan w:val="2"/>
            <w:vMerge w:val="continue"/>
            <w:vAlign w:val="center"/>
          </w:tcPr>
          <w:p>
            <w:pPr>
              <w:spacing w:line="0" w:lineRule="atLeast"/>
              <w:jc w:val="center"/>
              <w:rPr>
                <w:rFonts w:hint="default" w:ascii="Times New Roman" w:hAnsi="Times New Roman" w:cs="Times New Roman"/>
                <w:color w:val="auto"/>
                <w:szCs w:val="21"/>
              </w:rPr>
            </w:pPr>
          </w:p>
        </w:tc>
        <w:tc>
          <w:tcPr>
            <w:tcW w:w="1823" w:type="dxa"/>
            <w:gridSpan w:val="4"/>
            <w:vMerge w:val="continue"/>
            <w:vAlign w:val="center"/>
          </w:tcPr>
          <w:p>
            <w:pPr>
              <w:spacing w:line="0" w:lineRule="atLeast"/>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Merge w:val="continue"/>
            <w:vAlign w:val="center"/>
          </w:tcPr>
          <w:p>
            <w:pPr>
              <w:spacing w:line="0" w:lineRule="atLeast"/>
              <w:jc w:val="center"/>
              <w:rPr>
                <w:rFonts w:hint="default" w:ascii="Times New Roman" w:hAnsi="Times New Roman" w:cs="Times New Roman"/>
                <w:color w:val="auto"/>
                <w:szCs w:val="21"/>
              </w:rPr>
            </w:pPr>
          </w:p>
        </w:tc>
        <w:tc>
          <w:tcPr>
            <w:tcW w:w="2816" w:type="dxa"/>
            <w:gridSpan w:val="3"/>
            <w:vAlign w:val="center"/>
          </w:tcPr>
          <w:p>
            <w:pPr>
              <w:pStyle w:val="32"/>
              <w:jc w:val="center"/>
              <w:rPr>
                <w:rFonts w:hint="default" w:ascii="Times New Roman" w:hAnsi="Times New Roman" w:cs="Times New Roman"/>
                <w:color w:val="auto"/>
                <w:szCs w:val="21"/>
              </w:rPr>
            </w:pPr>
            <w:r>
              <w:rPr>
                <w:rFonts w:hint="default" w:ascii="Times New Roman" w:hAnsi="Times New Roman" w:eastAsia="宋体" w:cs="Times New Roman"/>
                <w:sz w:val="21"/>
                <w:szCs w:val="21"/>
                <w:lang w:val="en-US" w:eastAsia="zh-CN"/>
              </w:rPr>
              <w:t>废活性炭</w:t>
            </w:r>
          </w:p>
        </w:tc>
        <w:tc>
          <w:tcPr>
            <w:tcW w:w="4982" w:type="dxa"/>
            <w:gridSpan w:val="2"/>
            <w:vAlign w:val="center"/>
          </w:tcPr>
          <w:p>
            <w:pPr>
              <w:pStyle w:val="32"/>
              <w:jc w:val="center"/>
              <w:rPr>
                <w:rFonts w:hint="default" w:ascii="Times New Roman" w:hAnsi="Times New Roman" w:cs="Times New Roman"/>
                <w:color w:val="auto"/>
                <w:szCs w:val="21"/>
              </w:rPr>
            </w:pPr>
            <w:r>
              <w:rPr>
                <w:rFonts w:hint="default" w:ascii="Times New Roman" w:hAnsi="Times New Roman" w:eastAsia="宋体" w:cs="Times New Roman"/>
                <w:sz w:val="21"/>
                <w:szCs w:val="21"/>
                <w:lang w:val="en-US" w:eastAsia="zh-CN"/>
              </w:rPr>
              <w:t>由活性炭厂家回收再生处理</w:t>
            </w:r>
          </w:p>
        </w:tc>
        <w:tc>
          <w:tcPr>
            <w:tcW w:w="4111" w:type="dxa"/>
            <w:gridSpan w:val="2"/>
            <w:vMerge w:val="continue"/>
            <w:vAlign w:val="center"/>
          </w:tcPr>
          <w:p>
            <w:pPr>
              <w:spacing w:line="0" w:lineRule="atLeast"/>
              <w:jc w:val="center"/>
              <w:rPr>
                <w:rFonts w:hint="default" w:ascii="Times New Roman" w:hAnsi="Times New Roman" w:cs="Times New Roman"/>
                <w:color w:val="auto"/>
                <w:szCs w:val="21"/>
              </w:rPr>
            </w:pPr>
          </w:p>
        </w:tc>
        <w:tc>
          <w:tcPr>
            <w:tcW w:w="1823" w:type="dxa"/>
            <w:gridSpan w:val="4"/>
            <w:vMerge w:val="continue"/>
            <w:vAlign w:val="center"/>
          </w:tcPr>
          <w:p>
            <w:pPr>
              <w:spacing w:line="0" w:lineRule="atLeast"/>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Merge w:val="continue"/>
            <w:vAlign w:val="center"/>
          </w:tcPr>
          <w:p>
            <w:pPr>
              <w:spacing w:line="0" w:lineRule="atLeast"/>
              <w:jc w:val="center"/>
              <w:rPr>
                <w:rFonts w:hint="default" w:ascii="Times New Roman" w:hAnsi="Times New Roman" w:cs="Times New Roman"/>
                <w:color w:val="auto"/>
                <w:szCs w:val="21"/>
              </w:rPr>
            </w:pPr>
          </w:p>
        </w:tc>
        <w:tc>
          <w:tcPr>
            <w:tcW w:w="2816" w:type="dxa"/>
            <w:gridSpan w:val="3"/>
            <w:vAlign w:val="center"/>
          </w:tcPr>
          <w:p>
            <w:pPr>
              <w:pStyle w:val="32"/>
              <w:jc w:val="center"/>
              <w:rPr>
                <w:rFonts w:hint="default" w:ascii="Times New Roman" w:hAnsi="Times New Roman" w:cs="Times New Roman"/>
                <w:color w:val="auto"/>
                <w:szCs w:val="21"/>
              </w:rPr>
            </w:pPr>
            <w:r>
              <w:rPr>
                <w:rFonts w:hint="default" w:ascii="Times New Roman" w:hAnsi="Times New Roman" w:eastAsia="宋体" w:cs="Times New Roman"/>
                <w:sz w:val="21"/>
                <w:szCs w:val="21"/>
                <w:lang w:val="en-US" w:eastAsia="zh-CN"/>
              </w:rPr>
              <w:t>检疫废物</w:t>
            </w:r>
          </w:p>
        </w:tc>
        <w:tc>
          <w:tcPr>
            <w:tcW w:w="4982" w:type="dxa"/>
            <w:gridSpan w:val="2"/>
            <w:vAlign w:val="center"/>
          </w:tcPr>
          <w:p>
            <w:pPr>
              <w:pStyle w:val="32"/>
              <w:jc w:val="center"/>
              <w:rPr>
                <w:rFonts w:hint="default" w:ascii="Times New Roman" w:hAnsi="Times New Roman" w:cs="Times New Roman"/>
                <w:color w:val="auto"/>
                <w:lang w:val="en-US"/>
              </w:rPr>
            </w:pPr>
            <w:r>
              <w:rPr>
                <w:rFonts w:hint="default" w:ascii="Times New Roman" w:hAnsi="Times New Roman" w:eastAsia="宋体" w:cs="Times New Roman"/>
                <w:sz w:val="21"/>
                <w:szCs w:val="21"/>
                <w:highlight w:val="none"/>
                <w:lang w:val="en-US" w:eastAsia="zh-CN"/>
              </w:rPr>
              <w:t>送至</w:t>
            </w:r>
            <w:r>
              <w:rPr>
                <w:rFonts w:hint="eastAsia" w:ascii="Times New Roman" w:eastAsia="宋体" w:cs="Times New Roman"/>
                <w:sz w:val="21"/>
                <w:szCs w:val="21"/>
                <w:highlight w:val="none"/>
                <w:lang w:val="en-US" w:eastAsia="zh-CN"/>
              </w:rPr>
              <w:t>哈尔滨国环医疗固体废物无害化集中处置中心有限公司</w:t>
            </w:r>
          </w:p>
        </w:tc>
        <w:tc>
          <w:tcPr>
            <w:tcW w:w="4111" w:type="dxa"/>
            <w:gridSpan w:val="2"/>
            <w:vMerge w:val="continue"/>
            <w:vAlign w:val="center"/>
          </w:tcPr>
          <w:p>
            <w:pPr>
              <w:spacing w:line="0" w:lineRule="atLeast"/>
              <w:jc w:val="center"/>
              <w:rPr>
                <w:rFonts w:hint="default" w:ascii="Times New Roman" w:hAnsi="Times New Roman" w:cs="Times New Roman"/>
                <w:color w:val="auto"/>
                <w:szCs w:val="21"/>
              </w:rPr>
            </w:pPr>
          </w:p>
        </w:tc>
        <w:tc>
          <w:tcPr>
            <w:tcW w:w="1823" w:type="dxa"/>
            <w:gridSpan w:val="4"/>
            <w:vMerge w:val="continue"/>
            <w:vAlign w:val="center"/>
          </w:tcPr>
          <w:p>
            <w:pPr>
              <w:spacing w:line="0" w:lineRule="atLeast"/>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Align w:val="center"/>
          </w:tcPr>
          <w:p>
            <w:pPr>
              <w:spacing w:line="0" w:lineRule="atLeast"/>
              <w:jc w:val="center"/>
              <w:rPr>
                <w:rFonts w:hint="default" w:ascii="Times New Roman" w:hAnsi="Times New Roman" w:cs="Times New Roman"/>
                <w:color w:val="auto"/>
                <w:szCs w:val="21"/>
              </w:rPr>
            </w:pPr>
          </w:p>
        </w:tc>
        <w:tc>
          <w:tcPr>
            <w:tcW w:w="2816" w:type="dxa"/>
            <w:gridSpan w:val="3"/>
            <w:vAlign w:val="center"/>
          </w:tcPr>
          <w:p>
            <w:pPr>
              <w:pStyle w:val="32"/>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废离子交换树脂</w:t>
            </w:r>
          </w:p>
        </w:tc>
        <w:tc>
          <w:tcPr>
            <w:tcW w:w="4982" w:type="dxa"/>
            <w:gridSpan w:val="2"/>
            <w:vAlign w:val="center"/>
          </w:tcPr>
          <w:p>
            <w:pPr>
              <w:pStyle w:val="32"/>
              <w:jc w:val="center"/>
              <w:rPr>
                <w:rFonts w:hint="default" w:ascii="Times New Roman" w:hAnsi="Times New Roman" w:cs="Times New Roman"/>
                <w:color w:val="auto"/>
                <w:highlight w:val="magenta"/>
                <w:lang w:val="en-US" w:eastAsia="zh-CN"/>
              </w:rPr>
            </w:pPr>
            <w:r>
              <w:rPr>
                <w:rFonts w:hint="default" w:ascii="Times New Roman" w:hAnsi="Times New Roman" w:eastAsia="宋体" w:cs="Times New Roman"/>
                <w:sz w:val="21"/>
                <w:szCs w:val="21"/>
                <w:lang w:val="en-US" w:eastAsia="zh-CN"/>
              </w:rPr>
              <w:t>由厂家回收</w:t>
            </w:r>
          </w:p>
        </w:tc>
        <w:tc>
          <w:tcPr>
            <w:tcW w:w="4111" w:type="dxa"/>
            <w:gridSpan w:val="2"/>
            <w:vAlign w:val="center"/>
          </w:tcPr>
          <w:p>
            <w:pPr>
              <w:spacing w:line="0" w:lineRule="atLeast"/>
              <w:jc w:val="center"/>
              <w:rPr>
                <w:rFonts w:hint="default" w:ascii="Times New Roman" w:hAnsi="Times New Roman" w:cs="Times New Roman"/>
                <w:color w:val="auto"/>
                <w:szCs w:val="21"/>
              </w:rPr>
            </w:pPr>
          </w:p>
        </w:tc>
        <w:tc>
          <w:tcPr>
            <w:tcW w:w="1823" w:type="dxa"/>
            <w:gridSpan w:val="4"/>
            <w:vAlign w:val="center"/>
          </w:tcPr>
          <w:p>
            <w:pPr>
              <w:spacing w:line="0" w:lineRule="atLeast"/>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58" w:hRule="atLeast"/>
          <w:jc w:val="center"/>
        </w:trPr>
        <w:tc>
          <w:tcPr>
            <w:tcW w:w="1000" w:type="dxa"/>
            <w:vAlign w:val="center"/>
          </w:tcPr>
          <w:p>
            <w:pPr>
              <w:spacing w:line="0" w:lineRule="atLeast"/>
              <w:jc w:val="center"/>
              <w:rPr>
                <w:rFonts w:hint="default" w:ascii="Times New Roman" w:hAnsi="Times New Roman" w:cs="Times New Roman"/>
                <w:color w:val="auto"/>
                <w:szCs w:val="21"/>
              </w:rPr>
            </w:pPr>
          </w:p>
        </w:tc>
        <w:tc>
          <w:tcPr>
            <w:tcW w:w="2816" w:type="dxa"/>
            <w:gridSpan w:val="3"/>
            <w:vAlign w:val="center"/>
          </w:tcPr>
          <w:p>
            <w:pPr>
              <w:pStyle w:val="32"/>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废润滑油及废润滑油桶</w:t>
            </w:r>
          </w:p>
        </w:tc>
        <w:tc>
          <w:tcPr>
            <w:tcW w:w="4982" w:type="dxa"/>
            <w:gridSpan w:val="2"/>
            <w:vAlign w:val="center"/>
          </w:tcPr>
          <w:p>
            <w:pPr>
              <w:pStyle w:val="32"/>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交由哈尔滨国环医疗固体废物无害化集中处置中心有限公司处置</w:t>
            </w:r>
          </w:p>
        </w:tc>
        <w:tc>
          <w:tcPr>
            <w:tcW w:w="4111" w:type="dxa"/>
            <w:gridSpan w:val="2"/>
            <w:vAlign w:val="center"/>
          </w:tcPr>
          <w:p>
            <w:pPr>
              <w:spacing w:line="0" w:lineRule="atLeast"/>
              <w:jc w:val="center"/>
              <w:rPr>
                <w:rFonts w:hint="default" w:ascii="Times New Roman" w:hAnsi="Times New Roman" w:cs="Times New Roman"/>
                <w:color w:val="auto"/>
                <w:szCs w:val="21"/>
              </w:rPr>
            </w:pPr>
          </w:p>
        </w:tc>
        <w:tc>
          <w:tcPr>
            <w:tcW w:w="1823" w:type="dxa"/>
            <w:gridSpan w:val="4"/>
            <w:vAlign w:val="center"/>
          </w:tcPr>
          <w:p>
            <w:pPr>
              <w:spacing w:line="0" w:lineRule="atLeast"/>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180" w:hRule="atLeast"/>
          <w:jc w:val="center"/>
        </w:trPr>
        <w:tc>
          <w:tcPr>
            <w:tcW w:w="1000" w:type="dxa"/>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风险防范措施</w:t>
            </w:r>
          </w:p>
        </w:tc>
        <w:tc>
          <w:tcPr>
            <w:tcW w:w="2816" w:type="dxa"/>
            <w:gridSpan w:val="3"/>
            <w:vAlign w:val="center"/>
          </w:tcPr>
          <w:p>
            <w:pPr>
              <w:spacing w:line="0" w:lineRule="atLeast"/>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环境风险</w:t>
            </w:r>
          </w:p>
        </w:tc>
        <w:tc>
          <w:tcPr>
            <w:tcW w:w="10916" w:type="dxa"/>
            <w:gridSpan w:val="8"/>
            <w:vAlign w:val="center"/>
          </w:tcPr>
          <w:p>
            <w:pPr>
              <w:spacing w:line="0" w:lineRule="atLeast"/>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val="en-US" w:eastAsia="zh-CN"/>
              </w:rPr>
              <w:t>柴油储罐</w:t>
            </w:r>
            <w:r>
              <w:rPr>
                <w:rFonts w:hint="default" w:ascii="Times New Roman" w:hAnsi="Times New Roman" w:cs="Times New Roman"/>
                <w:color w:val="auto"/>
                <w:szCs w:val="21"/>
              </w:rPr>
              <w:t>周围设置围堰；制定安全生产管理制度、安全操作规程和危险化学品储运方案等方面的程序文件和作业指导书，并严格按要求执行。按设计规范要求配备消防、环保、监控等安全环保设备和实施，确保包装完好。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180" w:hRule="atLeast"/>
          <w:jc w:val="center"/>
        </w:trPr>
        <w:tc>
          <w:tcPr>
            <w:tcW w:w="1000" w:type="dxa"/>
            <w:vAlign w:val="center"/>
          </w:tcPr>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总量</w:t>
            </w:r>
          </w:p>
          <w:p>
            <w:pPr>
              <w:spacing w:line="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指标</w:t>
            </w:r>
          </w:p>
        </w:tc>
        <w:tc>
          <w:tcPr>
            <w:tcW w:w="13732" w:type="dxa"/>
            <w:gridSpan w:val="11"/>
            <w:vAlign w:val="center"/>
          </w:tcPr>
          <w:p>
            <w:pPr>
              <w:spacing w:line="0" w:lineRule="atLeast"/>
              <w:jc w:val="center"/>
              <w:rPr>
                <w:rFonts w:hint="default" w:ascii="Times New Roman" w:hAnsi="Times New Roman" w:eastAsia="宋体" w:cs="Times New Roman"/>
                <w:bCs/>
                <w:color w:val="auto"/>
                <w:szCs w:val="21"/>
                <w:vertAlign w:val="baseline"/>
                <w:lang w:val="en-US" w:eastAsia="zh-CN"/>
              </w:rPr>
            </w:pPr>
            <w:r>
              <w:rPr>
                <w:rFonts w:hint="default" w:ascii="Times New Roman" w:hAnsi="Times New Roman" w:cs="Times New Roman"/>
                <w:bCs/>
                <w:color w:val="auto"/>
                <w:sz w:val="21"/>
                <w:szCs w:val="21"/>
                <w:highlight w:val="none"/>
              </w:rPr>
              <w:t>COD：</w:t>
            </w:r>
            <w:r>
              <w:rPr>
                <w:rFonts w:hint="eastAsia" w:ascii="Times New Roman" w:hAnsi="Times New Roman" w:cs="Times New Roman"/>
                <w:color w:val="auto"/>
                <w:sz w:val="21"/>
                <w:szCs w:val="21"/>
                <w:highlight w:val="none"/>
                <w:lang w:val="en-US" w:eastAsia="zh-CN"/>
              </w:rPr>
              <w:t>19.02</w:t>
            </w:r>
            <w:r>
              <w:rPr>
                <w:rFonts w:hint="default" w:ascii="Times New Roman" w:hAnsi="Times New Roman" w:cs="Times New Roman"/>
                <w:bCs/>
                <w:color w:val="auto"/>
                <w:sz w:val="21"/>
                <w:szCs w:val="21"/>
                <w:highlight w:val="none"/>
              </w:rPr>
              <w:t>t/a；氨氮：</w:t>
            </w:r>
            <w:r>
              <w:rPr>
                <w:rFonts w:hint="eastAsia" w:ascii="Times New Roman" w:hAnsi="Times New Roman" w:eastAsia="宋体" w:cs="Times New Roman"/>
                <w:color w:val="auto"/>
                <w:sz w:val="21"/>
                <w:szCs w:val="21"/>
                <w:highlight w:val="none"/>
                <w:lang w:val="en-US" w:eastAsia="zh-CN"/>
              </w:rPr>
              <w:t>1.49</w:t>
            </w:r>
            <w:r>
              <w:rPr>
                <w:rFonts w:hint="default" w:ascii="Times New Roman" w:hAnsi="Times New Roman" w:cs="Times New Roman"/>
                <w:bCs/>
                <w:color w:val="auto"/>
                <w:sz w:val="21"/>
                <w:szCs w:val="21"/>
                <w:highlight w:val="none"/>
              </w:rPr>
              <w:t>t/a</w:t>
            </w:r>
            <w:r>
              <w:rPr>
                <w:rFonts w:hint="default" w:ascii="Times New Roman" w:hAnsi="Times New Roman" w:cs="Times New Roman"/>
                <w:bCs/>
                <w:color w:val="auto"/>
                <w:sz w:val="21"/>
                <w:szCs w:val="21"/>
                <w:highlight w:val="none"/>
                <w:lang w:eastAsia="zh-CN"/>
              </w:rPr>
              <w:t>；</w:t>
            </w:r>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颗粒物：</w:t>
            </w:r>
            <w:r>
              <w:rPr>
                <w:rFonts w:hint="eastAsia" w:ascii="Times New Roman" w:hAnsi="Times New Roman" w:cs="Times New Roman"/>
                <w:b w:val="0"/>
                <w:bCs w:val="0"/>
                <w:color w:val="auto"/>
                <w:kern w:val="0"/>
                <w:sz w:val="21"/>
                <w:szCs w:val="21"/>
                <w:highlight w:val="none"/>
                <w:lang w:val="en-US" w:eastAsia="zh-CN"/>
              </w:rPr>
              <w:t>0.01</w:t>
            </w:r>
            <w:r>
              <w:rPr>
                <w:rFonts w:hint="default" w:ascii="Times New Roman" w:hAnsi="Times New Roman" w:cs="Times New Roman"/>
                <w:b w:val="0"/>
                <w:bCs w:val="0"/>
                <w:color w:val="auto"/>
                <w:kern w:val="0"/>
                <w:sz w:val="21"/>
                <w:szCs w:val="21"/>
                <w:highlight w:val="none"/>
                <w:lang w:val="en-US" w:eastAsia="zh-CN"/>
              </w:rPr>
              <w:t>t/a；</w:t>
            </w:r>
            <w:r>
              <w:rPr>
                <w:rFonts w:hint="default" w:ascii="Times New Roman" w:hAnsi="Times New Roman" w:eastAsia="宋体" w:cs="Times New Roman"/>
                <w:b w:val="0"/>
                <w:bCs w:val="0"/>
                <w:color w:val="auto"/>
                <w:sz w:val="21"/>
                <w:szCs w:val="21"/>
                <w:highlight w:val="none"/>
              </w:rPr>
              <w:t>SO</w:t>
            </w:r>
            <w:r>
              <w:rPr>
                <w:rFonts w:hint="default" w:ascii="Times New Roman" w:hAnsi="Times New Roman" w:eastAsia="宋体" w:cs="Times New Roman"/>
                <w:b w:val="0"/>
                <w:bCs w:val="0"/>
                <w:color w:val="auto"/>
                <w:sz w:val="21"/>
                <w:szCs w:val="21"/>
                <w:highlight w:val="none"/>
                <w:vertAlign w:val="subscript"/>
              </w:rPr>
              <w:t>2</w:t>
            </w:r>
            <w:r>
              <w:rPr>
                <w:rFonts w:hint="default" w:ascii="Times New Roman" w:hAnsi="Times New Roman" w:eastAsia="宋体" w:cs="Times New Roman"/>
                <w:b w:val="0"/>
                <w:bCs w:val="0"/>
                <w:color w:val="auto"/>
                <w:sz w:val="21"/>
                <w:szCs w:val="21"/>
                <w:highlight w:val="none"/>
                <w:vertAlign w:val="baseline"/>
                <w:lang w:eastAsia="zh-CN"/>
              </w:rPr>
              <w:t>：</w:t>
            </w:r>
            <w:r>
              <w:rPr>
                <w:rFonts w:hint="eastAsia" w:ascii="Times New Roman" w:hAnsi="Times New Roman" w:cs="Times New Roman"/>
                <w:b w:val="0"/>
                <w:bCs w:val="0"/>
                <w:color w:val="auto"/>
                <w:kern w:val="0"/>
                <w:sz w:val="21"/>
                <w:szCs w:val="21"/>
                <w:highlight w:val="none"/>
                <w:lang w:val="en-US" w:eastAsia="zh-CN"/>
              </w:rPr>
              <w:t>0.031</w:t>
            </w:r>
            <w:r>
              <w:rPr>
                <w:rFonts w:hint="default" w:ascii="Times New Roman" w:hAnsi="Times New Roman" w:cs="Times New Roman"/>
                <w:b w:val="0"/>
                <w:bCs w:val="0"/>
                <w:color w:val="auto"/>
                <w:kern w:val="0"/>
                <w:sz w:val="21"/>
                <w:szCs w:val="21"/>
                <w:highlight w:val="none"/>
                <w:lang w:val="en-US" w:eastAsia="zh-CN"/>
              </w:rPr>
              <w:t>t/a；</w:t>
            </w:r>
            <w:r>
              <w:rPr>
                <w:rFonts w:hint="default" w:ascii="Times New Roman" w:hAnsi="Times New Roman" w:eastAsia="宋体" w:cs="Times New Roman"/>
                <w:b w:val="0"/>
                <w:bCs w:val="0"/>
                <w:color w:val="auto"/>
                <w:sz w:val="21"/>
                <w:szCs w:val="21"/>
                <w:highlight w:val="none"/>
              </w:rPr>
              <w:t>NO</w:t>
            </w:r>
            <w:r>
              <w:rPr>
                <w:rFonts w:hint="default" w:ascii="Times New Roman" w:hAnsi="Times New Roman" w:eastAsia="宋体" w:cs="Times New Roman"/>
                <w:b w:val="0"/>
                <w:bCs w:val="0"/>
                <w:color w:val="auto"/>
                <w:sz w:val="21"/>
                <w:szCs w:val="21"/>
                <w:highlight w:val="none"/>
                <w:vertAlign w:val="subscript"/>
              </w:rPr>
              <w:t>X</w:t>
            </w:r>
            <w:r>
              <w:rPr>
                <w:rFonts w:hint="default" w:ascii="Times New Roman" w:hAnsi="Times New Roman" w:eastAsia="宋体" w:cs="Times New Roman"/>
                <w:b w:val="0"/>
                <w:bCs w:val="0"/>
                <w:color w:val="auto"/>
                <w:sz w:val="21"/>
                <w:szCs w:val="21"/>
                <w:highlight w:val="none"/>
                <w:vertAlign w:val="baseline"/>
                <w:lang w:eastAsia="zh-CN"/>
              </w:rPr>
              <w:t>：</w:t>
            </w:r>
            <w:r>
              <w:rPr>
                <w:rFonts w:hint="eastAsia" w:ascii="Times New Roman" w:hAnsi="Times New Roman" w:cs="Times New Roman"/>
                <w:b w:val="0"/>
                <w:bCs w:val="0"/>
                <w:color w:val="auto"/>
                <w:kern w:val="0"/>
                <w:sz w:val="21"/>
                <w:szCs w:val="21"/>
                <w:highlight w:val="none"/>
                <w:lang w:val="en-US" w:eastAsia="zh-CN"/>
              </w:rPr>
              <w:t>0.098</w:t>
            </w:r>
            <w:r>
              <w:rPr>
                <w:rFonts w:hint="default" w:ascii="Times New Roman" w:hAnsi="Times New Roman" w:cs="Times New Roman"/>
                <w:b w:val="0"/>
                <w:bCs w:val="0"/>
                <w:color w:val="auto"/>
                <w:kern w:val="0"/>
                <w:sz w:val="21"/>
                <w:szCs w:val="21"/>
                <w:highlight w:val="none"/>
                <w:lang w:val="en-US" w:eastAsia="zh-CN"/>
              </w:rPr>
              <w:t>t/a</w:t>
            </w:r>
            <w:r>
              <w:rPr>
                <w:rFonts w:hint="eastAsia" w:ascii="Times New Roman" w:hAnsi="Times New Roman" w:cs="Times New Roman"/>
                <w:b w:val="0"/>
                <w:bCs w:val="0"/>
                <w:color w:val="auto"/>
                <w:kern w:val="0"/>
                <w:sz w:val="21"/>
                <w:szCs w:val="21"/>
                <w:highlight w:val="none"/>
                <w:lang w:val="en-US" w:eastAsia="zh-CN"/>
              </w:rPr>
              <w:t>；VOC</w:t>
            </w:r>
            <w:r>
              <w:rPr>
                <w:rFonts w:hint="eastAsia" w:ascii="Times New Roman" w:hAnsi="Times New Roman" w:cs="Times New Roman"/>
                <w:b w:val="0"/>
                <w:bCs w:val="0"/>
                <w:color w:val="auto"/>
                <w:kern w:val="0"/>
                <w:sz w:val="21"/>
                <w:szCs w:val="21"/>
                <w:highlight w:val="none"/>
                <w:vertAlign w:val="subscript"/>
                <w:lang w:val="en-US" w:eastAsia="zh-CN"/>
              </w:rPr>
              <w:t>S</w:t>
            </w:r>
            <w:r>
              <w:rPr>
                <w:rFonts w:hint="eastAsia" w:ascii="Times New Roman" w:hAnsi="Times New Roman" w:cs="Times New Roman"/>
                <w:b w:val="0"/>
                <w:bCs w:val="0"/>
                <w:color w:val="auto"/>
                <w:kern w:val="0"/>
                <w:sz w:val="21"/>
                <w:szCs w:val="21"/>
                <w:highlight w:val="none"/>
                <w:vertAlign w:val="baseline"/>
                <w:lang w:val="en-US" w:eastAsia="zh-CN"/>
              </w:rPr>
              <w:t>:0.000701t/a</w:t>
            </w:r>
          </w:p>
        </w:tc>
      </w:tr>
    </w:tbl>
    <w:p>
      <w:pPr>
        <w:pStyle w:val="6"/>
        <w:spacing w:line="116" w:lineRule="exact"/>
        <w:rPr>
          <w:rFonts w:hint="default" w:ascii="Times New Roman" w:hAnsi="Times New Roman" w:cs="Times New Roman"/>
          <w:sz w:val="10"/>
        </w:rPr>
      </w:pPr>
    </w:p>
    <w:p>
      <w:pPr>
        <w:spacing w:line="116" w:lineRule="exact"/>
        <w:rPr>
          <w:rFonts w:hint="default" w:ascii="Times New Roman" w:hAnsi="Times New Roman" w:cs="Times New Roman"/>
          <w:sz w:val="10"/>
          <w:szCs w:val="10"/>
        </w:rPr>
        <w:sectPr>
          <w:headerReference r:id="rId23" w:type="default"/>
          <w:pgSz w:w="16839" w:h="11906"/>
          <w:pgMar w:top="1259" w:right="1338" w:bottom="1037" w:left="1327" w:header="1019" w:footer="872" w:gutter="0"/>
          <w:pgBorders>
            <w:top w:val="none" w:sz="0" w:space="0"/>
            <w:left w:val="none" w:sz="0" w:space="0"/>
            <w:bottom w:val="none" w:sz="0" w:space="0"/>
            <w:right w:val="none" w:sz="0" w:space="0"/>
          </w:pgBorders>
          <w:pgNumType w:fmt="decimal"/>
          <w:cols w:space="720" w:num="1"/>
        </w:sectPr>
      </w:pPr>
    </w:p>
    <w:p>
      <w:pPr>
        <w:spacing w:before="51"/>
        <w:rPr>
          <w:rFonts w:hint="default" w:ascii="Times New Roman" w:hAnsi="Times New Roman" w:cs="Times New Roman"/>
        </w:rPr>
      </w:pPr>
    </w:p>
    <w:p>
      <w:pPr>
        <w:pStyle w:val="6"/>
        <w:spacing w:line="14" w:lineRule="auto"/>
        <w:rPr>
          <w:rFonts w:hint="default" w:ascii="Times New Roman" w:hAnsi="Times New Roman" w:cs="Times New Roman"/>
          <w:sz w:val="2"/>
        </w:rPr>
      </w:pPr>
    </w:p>
    <w:p>
      <w:pPr>
        <w:spacing w:line="14" w:lineRule="auto"/>
        <w:rPr>
          <w:rFonts w:hint="default" w:ascii="Times New Roman" w:hAnsi="Times New Roman" w:cs="Times New Roman"/>
          <w:sz w:val="2"/>
          <w:szCs w:val="2"/>
        </w:rPr>
        <w:sectPr>
          <w:headerReference r:id="rId24" w:type="default"/>
          <w:footerReference r:id="rId25" w:type="default"/>
          <w:type w:val="continuous"/>
          <w:pgSz w:w="16839" w:h="11906"/>
          <w:pgMar w:top="400" w:right="1338" w:bottom="1037" w:left="1327" w:header="0" w:footer="872" w:gutter="0"/>
          <w:pgBorders>
            <w:top w:val="none" w:sz="0" w:space="0"/>
            <w:left w:val="none" w:sz="0" w:space="0"/>
            <w:bottom w:val="none" w:sz="0" w:space="0"/>
            <w:right w:val="none" w:sz="0" w:space="0"/>
          </w:pgBorders>
          <w:pgNumType w:fmt="decimal"/>
          <w:cols w:equalWidth="0" w:num="1">
            <w:col w:w="14173"/>
          </w:cols>
        </w:sectPr>
      </w:pPr>
    </w:p>
    <w:p>
      <w:pPr>
        <w:keepNext/>
        <w:keepLines/>
        <w:spacing w:line="360" w:lineRule="auto"/>
        <w:outlineLvl w:val="9"/>
        <w:rPr>
          <w:rFonts w:hint="default" w:ascii="Times New Roman" w:hAnsi="Times New Roman" w:eastAsia="宋体" w:cs="Times New Roman"/>
          <w:b/>
          <w:color w:val="auto"/>
          <w:sz w:val="24"/>
          <w:highlight w:val="none"/>
          <w:lang w:val="zh-CN"/>
        </w:rPr>
      </w:pPr>
      <w:r>
        <w:rPr>
          <w:rFonts w:hint="default" w:ascii="Times New Roman" w:hAnsi="Times New Roman" w:eastAsia="宋体" w:cs="Times New Roman"/>
          <w:b/>
          <w:color w:val="auto"/>
          <w:sz w:val="24"/>
          <w:highlight w:val="none"/>
          <w:lang w:val="zh-CN"/>
        </w:rPr>
        <w:t>8.1.</w:t>
      </w:r>
      <w:r>
        <w:rPr>
          <w:rFonts w:hint="default" w:ascii="Times New Roman" w:hAnsi="Times New Roman" w:eastAsia="宋体" w:cs="Times New Roman"/>
          <w:b/>
          <w:color w:val="auto"/>
          <w:sz w:val="24"/>
          <w:highlight w:val="none"/>
          <w:lang w:val="en-US" w:eastAsia="zh-CN"/>
        </w:rPr>
        <w:t>2</w:t>
      </w:r>
      <w:r>
        <w:rPr>
          <w:rFonts w:hint="default" w:ascii="Times New Roman" w:hAnsi="Times New Roman" w:eastAsia="宋体" w:cs="Times New Roman"/>
          <w:b/>
          <w:color w:val="auto"/>
          <w:sz w:val="24"/>
          <w:highlight w:val="none"/>
          <w:lang w:val="zh-CN"/>
        </w:rPr>
        <w:t>.2排放管理要求</w:t>
      </w:r>
    </w:p>
    <w:p>
      <w:pPr>
        <w:spacing w:line="360" w:lineRule="auto"/>
        <w:ind w:firstLine="480" w:firstLineChars="200"/>
        <w:outlineLvl w:val="1"/>
        <w:rPr>
          <w:rFonts w:hint="default" w:ascii="Times New Roman" w:hAnsi="Times New Roman" w:eastAsia="宋体" w:cs="Times New Roman"/>
          <w:color w:val="auto"/>
          <w:sz w:val="24"/>
          <w:highlight w:val="none"/>
        </w:rPr>
      </w:pPr>
      <w:bookmarkStart w:id="483" w:name="_Toc31899"/>
      <w:bookmarkStart w:id="484" w:name="_Toc9681"/>
      <w:r>
        <w:rPr>
          <w:rFonts w:hint="default" w:ascii="Times New Roman" w:hAnsi="Times New Roman" w:eastAsia="宋体" w:cs="Times New Roman"/>
          <w:color w:val="auto"/>
          <w:sz w:val="24"/>
          <w:highlight w:val="none"/>
          <w:lang w:val="zh-CN"/>
        </w:rPr>
        <w:t>（1）</w:t>
      </w:r>
      <w:r>
        <w:rPr>
          <w:rFonts w:hint="default" w:ascii="Times New Roman" w:hAnsi="Times New Roman" w:eastAsia="宋体" w:cs="Times New Roman"/>
          <w:color w:val="auto"/>
          <w:sz w:val="24"/>
          <w:highlight w:val="none"/>
        </w:rPr>
        <w:t>工程组成及原辅材料组分要求</w:t>
      </w:r>
      <w:bookmarkEnd w:id="483"/>
      <w:bookmarkEnd w:id="484"/>
    </w:p>
    <w:p>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highlight w:val="none"/>
          <w:lang w:val="en-US" w:eastAsia="zh-CN"/>
        </w:rPr>
        <w:t>扩建1</w:t>
      </w:r>
      <w:r>
        <w:rPr>
          <w:rFonts w:hint="default" w:ascii="Times New Roman" w:hAnsi="Times New Roman" w:eastAsia="宋体" w:cs="Times New Roman"/>
          <w:color w:val="auto"/>
          <w:sz w:val="24"/>
          <w:highlight w:val="none"/>
        </w:rPr>
        <w:t>条屠宰</w:t>
      </w:r>
      <w:r>
        <w:rPr>
          <w:rFonts w:hint="eastAsia" w:ascii="Times New Roman" w:hAnsi="Times New Roman" w:eastAsia="宋体" w:cs="Times New Roman"/>
          <w:color w:val="auto"/>
          <w:sz w:val="24"/>
          <w:highlight w:val="none"/>
          <w:lang w:val="en-US" w:eastAsia="zh-CN"/>
        </w:rPr>
        <w:t>加工生产</w:t>
      </w:r>
      <w:r>
        <w:rPr>
          <w:rFonts w:hint="default" w:ascii="Times New Roman" w:hAnsi="Times New Roman" w:eastAsia="宋体" w:cs="Times New Roman"/>
          <w:color w:val="auto"/>
          <w:sz w:val="24"/>
          <w:highlight w:val="none"/>
        </w:rPr>
        <w:t>线，</w:t>
      </w:r>
      <w:r>
        <w:rPr>
          <w:rFonts w:hint="eastAsia" w:ascii="Times New Roman" w:hAnsi="Times New Roman" w:eastAsia="宋体" w:cs="Times New Roman"/>
          <w:color w:val="auto"/>
          <w:sz w:val="24"/>
          <w:highlight w:val="none"/>
          <w:lang w:val="en-US" w:eastAsia="zh-CN"/>
        </w:rPr>
        <w:t>扩建后</w:t>
      </w:r>
      <w:r>
        <w:rPr>
          <w:rFonts w:hint="default" w:ascii="Times New Roman" w:hAnsi="Times New Roman" w:eastAsia="宋体" w:cs="Times New Roman"/>
          <w:color w:val="auto"/>
          <w:sz w:val="24"/>
          <w:highlight w:val="none"/>
        </w:rPr>
        <w:t>年屠宰</w:t>
      </w:r>
      <w:r>
        <w:rPr>
          <w:rFonts w:hint="eastAsia" w:ascii="Times New Roman" w:hAnsi="Times New Roman" w:eastAsia="宋体" w:cs="Times New Roman"/>
          <w:color w:val="auto"/>
          <w:sz w:val="24"/>
          <w:highlight w:val="none"/>
          <w:lang w:val="en-US" w:eastAsia="zh-CN"/>
        </w:rPr>
        <w:t>加工生猪16</w:t>
      </w:r>
      <w:r>
        <w:rPr>
          <w:rFonts w:hint="default" w:ascii="Times New Roman" w:hAnsi="Times New Roman" w:eastAsia="宋体" w:cs="Times New Roman"/>
          <w:color w:val="auto"/>
          <w:sz w:val="24"/>
          <w:highlight w:val="none"/>
          <w:lang w:eastAsia="zh-CN"/>
        </w:rPr>
        <w:t>万</w:t>
      </w:r>
      <w:r>
        <w:rPr>
          <w:rFonts w:hint="default" w:ascii="Times New Roman" w:hAnsi="Times New Roman" w:eastAsia="宋体" w:cs="Times New Roman"/>
          <w:color w:val="auto"/>
          <w:sz w:val="24"/>
          <w:highlight w:val="none"/>
        </w:rPr>
        <w:t>头，工程组成包括</w:t>
      </w:r>
      <w:r>
        <w:rPr>
          <w:rFonts w:hint="default" w:ascii="Times New Roman" w:hAnsi="Times New Roman" w:eastAsia="宋体" w:cs="Times New Roman"/>
          <w:color w:val="auto"/>
          <w:sz w:val="24"/>
          <w:highlight w:val="none"/>
          <w:lang w:eastAsia="zh-CN"/>
        </w:rPr>
        <w:t>办公楼</w:t>
      </w:r>
      <w:r>
        <w:rPr>
          <w:rFonts w:hint="default" w:ascii="Times New Roman" w:hAnsi="Times New Roman" w:eastAsia="宋体" w:cs="Times New Roman"/>
          <w:color w:val="auto"/>
          <w:sz w:val="24"/>
          <w:highlight w:val="none"/>
        </w:rPr>
        <w:t>、库房、冷库、屠宰</w:t>
      </w:r>
      <w:r>
        <w:rPr>
          <w:rFonts w:hint="eastAsia" w:ascii="Times New Roman" w:hAnsi="Times New Roman" w:eastAsia="宋体" w:cs="Times New Roman"/>
          <w:color w:val="auto"/>
          <w:sz w:val="24"/>
          <w:highlight w:val="none"/>
          <w:lang w:val="en-US" w:eastAsia="zh-CN"/>
        </w:rPr>
        <w:t>加工</w:t>
      </w:r>
      <w:r>
        <w:rPr>
          <w:rFonts w:hint="default" w:ascii="Times New Roman" w:hAnsi="Times New Roman" w:eastAsia="宋体" w:cs="Times New Roman"/>
          <w:color w:val="auto"/>
          <w:sz w:val="24"/>
          <w:highlight w:val="none"/>
        </w:rPr>
        <w:t>车间、污水处理站、待宰</w:t>
      </w:r>
      <w:r>
        <w:rPr>
          <w:rFonts w:hint="eastAsia" w:ascii="Times New Roman" w:hAnsi="Times New Roman" w:eastAsia="宋体" w:cs="Times New Roman"/>
          <w:color w:val="auto"/>
          <w:sz w:val="24"/>
          <w:highlight w:val="none"/>
          <w:lang w:val="en-US" w:eastAsia="zh-CN"/>
        </w:rPr>
        <w:t>圈</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急宰间、锅炉房</w:t>
      </w:r>
      <w:r>
        <w:rPr>
          <w:rFonts w:hint="eastAsia" w:ascii="Times New Roman" w:hAnsi="Times New Roman" w:eastAsia="宋体" w:cs="Times New Roman"/>
          <w:color w:val="auto"/>
          <w:sz w:val="24"/>
          <w:highlight w:val="none"/>
          <w:lang w:val="en-US" w:eastAsia="zh-CN"/>
        </w:rPr>
        <w:t>、柴油储罐、固废暂存间</w:t>
      </w:r>
      <w:r>
        <w:rPr>
          <w:rFonts w:hint="default" w:ascii="Times New Roman" w:hAnsi="Times New Roman" w:eastAsia="宋体" w:cs="Times New Roman"/>
          <w:color w:val="auto"/>
          <w:sz w:val="24"/>
          <w:highlight w:val="none"/>
        </w:rPr>
        <w:t>等。</w:t>
      </w:r>
    </w:p>
    <w:p>
      <w:pPr>
        <w:spacing w:line="360" w:lineRule="auto"/>
        <w:ind w:firstLine="480" w:firstLineChars="200"/>
        <w:jc w:val="both"/>
        <w:outlineLvl w:val="1"/>
        <w:rPr>
          <w:rFonts w:hint="default" w:ascii="Times New Roman" w:hAnsi="Times New Roman" w:eastAsia="宋体" w:cs="Times New Roman"/>
          <w:color w:val="auto"/>
          <w:sz w:val="24"/>
          <w:highlight w:val="none"/>
        </w:rPr>
      </w:pPr>
      <w:bookmarkStart w:id="485" w:name="_Toc20148"/>
      <w:bookmarkStart w:id="486" w:name="_Toc17438"/>
      <w:r>
        <w:rPr>
          <w:rFonts w:hint="default" w:ascii="Times New Roman" w:hAnsi="Times New Roman" w:eastAsia="宋体" w:cs="Times New Roman"/>
          <w:color w:val="auto"/>
          <w:sz w:val="24"/>
          <w:highlight w:val="none"/>
        </w:rPr>
        <w:t>（2）建设项目拟采取的环境保护措施及主要运行参数</w:t>
      </w:r>
      <w:bookmarkEnd w:id="485"/>
      <w:bookmarkEnd w:id="486"/>
    </w:p>
    <w:p>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fldChar w:fldCharType="begin"/>
      </w:r>
      <w:r>
        <w:rPr>
          <w:rFonts w:hint="default" w:ascii="Times New Roman" w:hAnsi="Times New Roman" w:eastAsia="宋体" w:cs="Times New Roman"/>
          <w:color w:val="auto"/>
          <w:sz w:val="24"/>
          <w:highlight w:val="none"/>
        </w:rPr>
        <w:instrText xml:space="preserve"> = 1 \* GB3 </w:instrText>
      </w:r>
      <w:r>
        <w:rPr>
          <w:rFonts w:hint="default" w:ascii="Times New Roman" w:hAnsi="Times New Roman" w:eastAsia="宋体" w:cs="Times New Roman"/>
          <w:color w:val="auto"/>
          <w:sz w:val="24"/>
          <w:highlight w:val="none"/>
        </w:rPr>
        <w:fldChar w:fldCharType="separate"/>
      </w:r>
      <w:r>
        <w:rPr>
          <w:rFonts w:hint="default" w:ascii="Times New Roman" w:hAnsi="Times New Roman" w:eastAsia="宋体" w:cs="Times New Roman"/>
          <w:color w:val="auto"/>
          <w:sz w:val="24"/>
          <w:highlight w:val="none"/>
        </w:rPr>
        <w:t>①</w:t>
      </w:r>
      <w:r>
        <w:rPr>
          <w:rFonts w:hint="default" w:ascii="Times New Roman" w:hAnsi="Times New Roman" w:eastAsia="宋体" w:cs="Times New Roman"/>
          <w:color w:val="auto"/>
          <w:sz w:val="24"/>
          <w:highlight w:val="none"/>
        </w:rPr>
        <w:fldChar w:fldCharType="end"/>
      </w:r>
      <w:r>
        <w:rPr>
          <w:rFonts w:hint="default" w:ascii="Times New Roman" w:hAnsi="Times New Roman" w:eastAsia="宋体" w:cs="Times New Roman"/>
          <w:color w:val="auto"/>
          <w:sz w:val="24"/>
          <w:highlight w:val="none"/>
        </w:rPr>
        <w:t>固废分类收集、分类处置，实现固废100%处置。</w:t>
      </w:r>
    </w:p>
    <w:p>
      <w:pPr>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lang w:val="zh-CN"/>
        </w:rPr>
        <w:fldChar w:fldCharType="begin"/>
      </w:r>
      <w:r>
        <w:rPr>
          <w:rFonts w:hint="default" w:ascii="Times New Roman" w:hAnsi="Times New Roman" w:eastAsia="宋体" w:cs="Times New Roman"/>
          <w:color w:val="auto"/>
          <w:sz w:val="24"/>
          <w:highlight w:val="none"/>
          <w:lang w:val="zh-CN"/>
        </w:rPr>
        <w:instrText xml:space="preserve"> = 2 \* GB3 </w:instrText>
      </w:r>
      <w:r>
        <w:rPr>
          <w:rFonts w:hint="default" w:ascii="Times New Roman" w:hAnsi="Times New Roman" w:eastAsia="宋体" w:cs="Times New Roman"/>
          <w:color w:val="auto"/>
          <w:sz w:val="24"/>
          <w:highlight w:val="none"/>
          <w:lang w:val="zh-CN"/>
        </w:rPr>
        <w:fldChar w:fldCharType="separate"/>
      </w:r>
      <w:r>
        <w:rPr>
          <w:rFonts w:hint="default" w:ascii="Times New Roman" w:hAnsi="Times New Roman" w:eastAsia="宋体" w:cs="Times New Roman"/>
          <w:color w:val="auto"/>
          <w:sz w:val="24"/>
          <w:highlight w:val="none"/>
          <w:lang w:val="zh-CN"/>
        </w:rPr>
        <w:t>②</w:t>
      </w:r>
      <w:r>
        <w:rPr>
          <w:rFonts w:hint="default" w:ascii="Times New Roman" w:hAnsi="Times New Roman" w:eastAsia="宋体" w:cs="Times New Roman"/>
          <w:color w:val="auto"/>
          <w:sz w:val="24"/>
          <w:highlight w:val="none"/>
          <w:lang w:val="zh-CN"/>
        </w:rPr>
        <w:fldChar w:fldCharType="end"/>
      </w:r>
      <w:r>
        <w:rPr>
          <w:rFonts w:hint="default" w:ascii="Times New Roman" w:hAnsi="Times New Roman" w:eastAsia="宋体" w:cs="Times New Roman"/>
          <w:color w:val="auto"/>
          <w:sz w:val="24"/>
          <w:szCs w:val="24"/>
          <w:highlight w:val="none"/>
          <w:lang w:val="en-US" w:eastAsia="zh-CN"/>
        </w:rPr>
        <w:t>待宰圈定期喷洒生物除臭剂，除臭效率50%，产生的恶臭气体经负压集中收集后，通过活性炭吸附净化后由15m高排气筒排放，收集率约80%左右，恶臭气体净化率不低于70%。屠宰加工车间产生氨、H</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S、臭气浓度经负压集中收集后，通过活性炭吸附净化后由15m高排气筒排放，收集率约80%左右，恶臭气体净化率不低于70%。污水处理站封闭设置，沉淀池和调节池密闭收集气体，为地下式结构，其他池体为地上式结构，经密闭管道负压收集经活性炭吸附后，由15m高排气筒排放，收集率约90%左右，恶臭气体净化率不低于70%。柴油储罐配套一根气相平衡管，卸油时产生非甲烷总烃经管线排入加油车中，油气回收效率90%。</w:t>
      </w:r>
      <w:r>
        <w:rPr>
          <w:rFonts w:hint="default" w:ascii="Times New Roman" w:hAnsi="Times New Roman" w:cs="Times New Roman"/>
          <w:bCs/>
          <w:color w:val="auto"/>
          <w:sz w:val="24"/>
          <w:highlight w:val="none"/>
          <w:lang w:val="en-US" w:eastAsia="zh-CN"/>
        </w:rPr>
        <w:t>本项目生产热源由1台</w:t>
      </w:r>
      <w:r>
        <w:rPr>
          <w:rFonts w:hint="eastAsia" w:ascii="Times New Roman" w:hAnsi="Times New Roman" w:cs="Times New Roman"/>
          <w:bCs/>
          <w:color w:val="auto"/>
          <w:sz w:val="24"/>
          <w:highlight w:val="none"/>
          <w:lang w:val="en-US" w:eastAsia="zh-CN"/>
        </w:rPr>
        <w:t>1t/h燃油蒸汽锅炉</w:t>
      </w:r>
      <w:r>
        <w:rPr>
          <w:rFonts w:hint="default" w:ascii="Times New Roman" w:hAnsi="Times New Roman" w:cs="Times New Roman"/>
          <w:bCs/>
          <w:color w:val="auto"/>
          <w:sz w:val="24"/>
          <w:highlight w:val="none"/>
          <w:lang w:val="en-US" w:eastAsia="zh-CN"/>
        </w:rPr>
        <w:t>供应，产生的烟气经低氮燃烧处理后，经12m高烟囱排放。</w:t>
      </w:r>
      <w:r>
        <w:rPr>
          <w:rFonts w:hint="default" w:ascii="Times New Roman" w:hAnsi="Times New Roman" w:eastAsia="宋体" w:cs="Times New Roman"/>
          <w:color w:val="auto"/>
          <w:sz w:val="24"/>
          <w:szCs w:val="24"/>
          <w:highlight w:val="none"/>
          <w:lang w:val="en-US" w:eastAsia="zh-CN"/>
        </w:rPr>
        <w:t>固废暂存设施定期喷洒生物除臭剂，除臭效率50%。</w:t>
      </w:r>
    </w:p>
    <w:p>
      <w:pPr>
        <w:pStyle w:val="30"/>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fldChar w:fldCharType="begin"/>
      </w:r>
      <w:r>
        <w:rPr>
          <w:rFonts w:hint="default" w:ascii="Times New Roman" w:hAnsi="Times New Roman" w:eastAsia="宋体" w:cs="Times New Roman"/>
          <w:color w:val="auto"/>
          <w:sz w:val="24"/>
          <w:highlight w:val="none"/>
        </w:rPr>
        <w:instrText xml:space="preserve"> = 3 \* GB3 </w:instrText>
      </w:r>
      <w:r>
        <w:rPr>
          <w:rFonts w:hint="default" w:ascii="Times New Roman" w:hAnsi="Times New Roman" w:eastAsia="宋体" w:cs="Times New Roman"/>
          <w:color w:val="auto"/>
          <w:sz w:val="24"/>
          <w:highlight w:val="none"/>
        </w:rPr>
        <w:fldChar w:fldCharType="separate"/>
      </w:r>
      <w:r>
        <w:rPr>
          <w:rFonts w:hint="default" w:ascii="Times New Roman" w:hAnsi="Times New Roman" w:eastAsia="宋体" w:cs="Times New Roman"/>
          <w:color w:val="auto"/>
          <w:sz w:val="24"/>
          <w:highlight w:val="none"/>
        </w:rPr>
        <w:t>③</w:t>
      </w:r>
      <w:r>
        <w:rPr>
          <w:rFonts w:hint="default" w:ascii="Times New Roman" w:hAnsi="Times New Roman" w:eastAsia="宋体" w:cs="Times New Roman"/>
          <w:color w:val="auto"/>
          <w:sz w:val="24"/>
          <w:highlight w:val="none"/>
        </w:rPr>
        <w:fldChar w:fldCharType="end"/>
      </w:r>
      <w:r>
        <w:rPr>
          <w:rFonts w:hint="default" w:ascii="Times New Roman" w:hAnsi="Times New Roman" w:eastAsia="宋体" w:cs="Times New Roman"/>
          <w:color w:val="auto"/>
          <w:sz w:val="24"/>
          <w:highlight w:val="none"/>
        </w:rPr>
        <w:t>废水经厂区污水处理站处理后达到</w:t>
      </w:r>
      <w:r>
        <w:rPr>
          <w:rFonts w:hint="default" w:ascii="Times New Roman" w:hAnsi="Times New Roman" w:eastAsia="宋体" w:cs="Times New Roman"/>
          <w:bCs/>
          <w:color w:val="auto"/>
          <w:sz w:val="24"/>
          <w:highlight w:val="none"/>
        </w:rPr>
        <w:t>《肉类加工工业水污染物排放标准》（GB13457-92）表3三级畜类屠宰加工标准限值，</w:t>
      </w:r>
      <w:r>
        <w:rPr>
          <w:rFonts w:hint="default" w:ascii="Times New Roman" w:hAnsi="Times New Roman" w:eastAsia="宋体" w:cs="Times New Roman"/>
          <w:color w:val="auto"/>
          <w:kern w:val="21"/>
          <w:sz w:val="24"/>
          <w:szCs w:val="24"/>
          <w:highlight w:val="none"/>
          <w:u w:val="none"/>
          <w:lang w:val="en-US" w:eastAsia="zh-CN" w:bidi="ar-SA"/>
        </w:rPr>
        <w:t>排入兴隆镇污水处理厂处理，</w:t>
      </w:r>
      <w:r>
        <w:rPr>
          <w:rFonts w:hint="eastAsia" w:ascii="Times New Roman" w:hAnsi="Times New Roman" w:eastAsia="宋体" w:cs="Times New Roman"/>
          <w:color w:val="auto"/>
          <w:kern w:val="21"/>
          <w:sz w:val="24"/>
          <w:szCs w:val="24"/>
          <w:highlight w:val="none"/>
          <w:u w:val="none"/>
          <w:lang w:val="en-US" w:eastAsia="zh-CN" w:bidi="ar-SA"/>
        </w:rPr>
        <w:t>排入泥河</w:t>
      </w:r>
      <w:r>
        <w:rPr>
          <w:rFonts w:hint="default" w:ascii="Times New Roman" w:hAnsi="Times New Roman" w:eastAsia="宋体" w:cs="Times New Roman"/>
          <w:color w:val="auto"/>
          <w:kern w:val="21"/>
          <w:sz w:val="24"/>
          <w:szCs w:val="24"/>
          <w:highlight w:val="none"/>
          <w:u w:val="none"/>
          <w:lang w:val="en-US" w:eastAsia="zh-CN" w:bidi="ar-SA"/>
        </w:rPr>
        <w:t>。</w:t>
      </w:r>
    </w:p>
    <w:p>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④地下水防渗：</w:t>
      </w:r>
      <w:r>
        <w:rPr>
          <w:rFonts w:hint="eastAsia" w:ascii="Times New Roman" w:hAnsi="Times New Roman" w:eastAsia="宋体" w:cs="Times New Roman"/>
          <w:color w:val="auto"/>
          <w:sz w:val="24"/>
          <w:highlight w:val="none"/>
          <w:lang w:val="en-US" w:eastAsia="zh-CN"/>
        </w:rPr>
        <w:t>柴油储罐周边</w:t>
      </w:r>
      <w:r>
        <w:rPr>
          <w:rFonts w:hint="default" w:ascii="Times New Roman" w:hAnsi="Times New Roman" w:eastAsia="宋体" w:cs="Times New Roman"/>
          <w:color w:val="auto"/>
          <w:sz w:val="24"/>
          <w:highlight w:val="none"/>
        </w:rPr>
        <w:t>按重点防渗区采取防渗措施；事故池按一般防渗区采取防渗措施。</w:t>
      </w:r>
    </w:p>
    <w:p>
      <w:pPr>
        <w:spacing w:line="360" w:lineRule="auto"/>
        <w:ind w:firstLine="480" w:firstLineChars="200"/>
        <w:jc w:val="both"/>
        <w:outlineLvl w:val="1"/>
        <w:rPr>
          <w:rFonts w:hint="default" w:ascii="Times New Roman" w:hAnsi="Times New Roman" w:eastAsia="宋体" w:cs="Times New Roman"/>
          <w:color w:val="auto"/>
          <w:sz w:val="24"/>
          <w:highlight w:val="none"/>
        </w:rPr>
      </w:pPr>
      <w:bookmarkStart w:id="487" w:name="_Toc10586"/>
      <w:bookmarkStart w:id="488" w:name="_Toc22412"/>
      <w:r>
        <w:rPr>
          <w:rFonts w:hint="default" w:ascii="Times New Roman" w:hAnsi="Times New Roman" w:eastAsia="宋体" w:cs="Times New Roman"/>
          <w:color w:val="auto"/>
          <w:sz w:val="24"/>
          <w:highlight w:val="none"/>
        </w:rPr>
        <w:t>（3）社会公开的信息内容</w:t>
      </w:r>
      <w:bookmarkEnd w:id="487"/>
      <w:bookmarkEnd w:id="488"/>
    </w:p>
    <w:p>
      <w:pPr>
        <w:spacing w:line="360" w:lineRule="auto"/>
        <w:ind w:firstLine="480" w:firstLineChars="200"/>
        <w:jc w:val="both"/>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企业应积极主动对污染物定期监测信息进行公开，采用张贴公示版等形式对污染物排放情况、污染防治措施运行情况进行公开，保证公众知情权。</w:t>
      </w:r>
    </w:p>
    <w:p>
      <w:pPr>
        <w:keepNext/>
        <w:keepLines/>
        <w:spacing w:line="360" w:lineRule="auto"/>
        <w:contextualSpacing/>
        <w:jc w:val="both"/>
        <w:outlineLvl w:val="1"/>
        <w:rPr>
          <w:rFonts w:hint="default" w:ascii="Times New Roman" w:hAnsi="Times New Roman" w:eastAsia="宋体" w:cs="Times New Roman"/>
          <w:b/>
          <w:bCs/>
          <w:snapToGrid w:val="0"/>
          <w:color w:val="auto"/>
          <w:kern w:val="0"/>
          <w:sz w:val="30"/>
          <w:szCs w:val="30"/>
          <w:highlight w:val="none"/>
        </w:rPr>
      </w:pPr>
      <w:bookmarkStart w:id="489" w:name="_Toc199"/>
      <w:bookmarkStart w:id="490" w:name="_Toc5758"/>
      <w:r>
        <w:rPr>
          <w:rFonts w:hint="default" w:ascii="Times New Roman" w:hAnsi="Times New Roman" w:eastAsia="宋体" w:cs="Times New Roman"/>
          <w:b/>
          <w:bCs/>
          <w:snapToGrid w:val="0"/>
          <w:color w:val="auto"/>
          <w:kern w:val="0"/>
          <w:sz w:val="30"/>
          <w:szCs w:val="30"/>
          <w:highlight w:val="none"/>
        </w:rPr>
        <w:t>8.2环境监测</w:t>
      </w:r>
      <w:bookmarkEnd w:id="489"/>
      <w:bookmarkEnd w:id="490"/>
    </w:p>
    <w:p>
      <w:pPr>
        <w:spacing w:line="360" w:lineRule="auto"/>
        <w:ind w:firstLine="480" w:firstLineChars="200"/>
        <w:contextualSpacing/>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监测是项目环境保护的“眼睛”，是基本的手段和信息基础，环境监测的特点是以样品的监测结果来推断总体环境质量。因此，必须把握好各个技术环节，包括确定环境监测的项目的范围，采样的位置和数量，采样的时间和方法，样品的分析和数据处理等及其质量保证工作。保证监测数据具有完整的质量特征，准确性、精密性、完整性、代表性和可比性。</w:t>
      </w:r>
    </w:p>
    <w:p>
      <w:pPr>
        <w:pStyle w:val="12"/>
        <w:spacing w:before="0" w:after="0" w:line="360" w:lineRule="auto"/>
        <w:contextualSpacing/>
        <w:jc w:val="both"/>
        <w:rPr>
          <w:rFonts w:hint="default" w:ascii="Times New Roman" w:hAnsi="Times New Roman" w:eastAsia="宋体" w:cs="Times New Roman"/>
          <w:bCs w:val="0"/>
          <w:color w:val="auto"/>
          <w:highlight w:val="none"/>
        </w:rPr>
      </w:pPr>
      <w:r>
        <w:rPr>
          <w:rFonts w:hint="default" w:ascii="Times New Roman" w:hAnsi="Times New Roman" w:eastAsia="宋体" w:cs="Times New Roman"/>
          <w:bCs w:val="0"/>
          <w:color w:val="auto"/>
          <w:highlight w:val="none"/>
        </w:rPr>
        <w:t>8.2.1环境监测的必要性</w:t>
      </w:r>
    </w:p>
    <w:p>
      <w:pPr>
        <w:spacing w:line="360" w:lineRule="auto"/>
        <w:ind w:firstLine="480" w:firstLineChars="200"/>
        <w:contextualSpacing/>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监测既是项目执行管理的需要，也是环保部门了解项目执行情况、研究对策，实行宏观指导的依据。通过现场监测，能及时发现问题和了解运行数据是否理想，达到总结经验、解决问题、改善管理的目的，以确保项目顺利实现预期目的。</w:t>
      </w:r>
    </w:p>
    <w:p>
      <w:pPr>
        <w:pStyle w:val="12"/>
        <w:spacing w:before="0" w:after="0" w:line="360" w:lineRule="auto"/>
        <w:contextualSpacing/>
        <w:jc w:val="both"/>
        <w:rPr>
          <w:rFonts w:hint="default" w:ascii="Times New Roman" w:hAnsi="Times New Roman" w:eastAsia="宋体" w:cs="Times New Roman"/>
          <w:bCs w:val="0"/>
          <w:color w:val="auto"/>
          <w:highlight w:val="none"/>
        </w:rPr>
      </w:pPr>
      <w:r>
        <w:rPr>
          <w:rFonts w:hint="default" w:ascii="Times New Roman" w:hAnsi="Times New Roman" w:eastAsia="宋体" w:cs="Times New Roman"/>
          <w:bCs w:val="0"/>
          <w:color w:val="auto"/>
          <w:highlight w:val="none"/>
        </w:rPr>
        <w:t>8.2.2环境监测机构设置</w:t>
      </w:r>
    </w:p>
    <w:p>
      <w:pPr>
        <w:spacing w:line="360" w:lineRule="auto"/>
        <w:ind w:firstLine="480" w:firstLineChars="200"/>
        <w:contextualSpacing/>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为了及时准确地了解项目的污染物排放情况和污染物治理设施的运行状况，企业应委托有资质的监测机构进行常规监测。</w:t>
      </w:r>
    </w:p>
    <w:p>
      <w:pPr>
        <w:pStyle w:val="12"/>
        <w:spacing w:before="0" w:after="0" w:line="360" w:lineRule="auto"/>
        <w:contextualSpacing/>
        <w:jc w:val="both"/>
        <w:rPr>
          <w:rFonts w:hint="default" w:ascii="Times New Roman" w:hAnsi="Times New Roman" w:eastAsia="宋体" w:cs="Times New Roman"/>
          <w:bCs w:val="0"/>
          <w:color w:val="auto"/>
          <w:highlight w:val="none"/>
        </w:rPr>
      </w:pPr>
      <w:r>
        <w:rPr>
          <w:rFonts w:hint="default" w:ascii="Times New Roman" w:hAnsi="Times New Roman" w:eastAsia="宋体" w:cs="Times New Roman"/>
          <w:bCs w:val="0"/>
          <w:color w:val="auto"/>
          <w:highlight w:val="none"/>
        </w:rPr>
        <w:t>8.2.3环境监测职责</w:t>
      </w:r>
    </w:p>
    <w:p>
      <w:pPr>
        <w:spacing w:line="360" w:lineRule="auto"/>
        <w:ind w:firstLine="480" w:firstLineChars="200"/>
        <w:contextualSpacing/>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根据国家和主管部门颁布的环保法规、污染物排放标准以及企业内部的要求，制订监测计划和实施方案。</w:t>
      </w:r>
    </w:p>
    <w:p>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对生产过程中污染物的排放状况和污染治理设施的处理效果进行定期监测，为设施的运行控制提供依据。</w:t>
      </w:r>
    </w:p>
    <w:p>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监督污染物排放的达标情况。</w:t>
      </w:r>
    </w:p>
    <w:p>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对监测仪器设备进行维护和校验，确保监测数据的准确性、可靠性。</w:t>
      </w:r>
    </w:p>
    <w:p>
      <w:pPr>
        <w:spacing w:line="360" w:lineRule="auto"/>
        <w:ind w:firstLine="480" w:firstLineChars="200"/>
        <w:contextualSpacing/>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作好监测数据的整理记录工作，作好企业污染物排放情况动态变化的档案记载工作。</w:t>
      </w:r>
    </w:p>
    <w:p>
      <w:pPr>
        <w:spacing w:line="360" w:lineRule="auto"/>
        <w:ind w:firstLine="480" w:firstLineChars="200"/>
        <w:contextualSpacing/>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努力学习，不断提高</w:t>
      </w:r>
      <w:r>
        <w:rPr>
          <w:rFonts w:hint="eastAsia" w:ascii="Times New Roman" w:hAnsi="Times New Roman" w:eastAsia="宋体" w:cs="Times New Roman"/>
          <w:color w:val="auto"/>
          <w:sz w:val="24"/>
          <w:highlight w:val="none"/>
          <w:lang w:val="en-US" w:eastAsia="zh-CN"/>
        </w:rPr>
        <w:t>企业</w:t>
      </w:r>
      <w:r>
        <w:rPr>
          <w:rFonts w:hint="default" w:ascii="Times New Roman" w:hAnsi="Times New Roman" w:eastAsia="宋体" w:cs="Times New Roman"/>
          <w:color w:val="auto"/>
          <w:sz w:val="24"/>
          <w:highlight w:val="none"/>
        </w:rPr>
        <w:t>工作人员的业务素质和工作能力。</w:t>
      </w:r>
    </w:p>
    <w:p>
      <w:pPr>
        <w:pStyle w:val="12"/>
        <w:spacing w:before="0" w:after="0" w:line="360" w:lineRule="auto"/>
        <w:contextualSpacing/>
        <w:jc w:val="both"/>
        <w:rPr>
          <w:rFonts w:hint="default" w:ascii="Times New Roman" w:hAnsi="Times New Roman" w:eastAsia="宋体" w:cs="Times New Roman"/>
          <w:bCs w:val="0"/>
          <w:color w:val="auto"/>
          <w:highlight w:val="none"/>
        </w:rPr>
      </w:pPr>
      <w:bookmarkStart w:id="491" w:name="_Toc11758577"/>
      <w:r>
        <w:rPr>
          <w:rFonts w:hint="default" w:ascii="Times New Roman" w:hAnsi="Times New Roman" w:eastAsia="宋体" w:cs="Times New Roman"/>
          <w:bCs w:val="0"/>
          <w:color w:val="auto"/>
          <w:highlight w:val="none"/>
        </w:rPr>
        <w:t>8.2.4设立排放口（源）标识</w:t>
      </w:r>
      <w:bookmarkEnd w:id="491"/>
    </w:p>
    <w:p>
      <w:pPr>
        <w:spacing w:line="360" w:lineRule="auto"/>
        <w:ind w:firstLine="480" w:firstLineChars="200"/>
        <w:contextualSpacing/>
        <w:jc w:val="both"/>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本项目的各排污口按照环境管理要求，必须进行规范化建设，在本项目大气排放源、</w:t>
      </w:r>
      <w:r>
        <w:rPr>
          <w:rFonts w:hint="default" w:ascii="Times New Roman" w:hAnsi="Times New Roman" w:eastAsia="宋体" w:cs="Times New Roman"/>
          <w:snapToGrid w:val="0"/>
          <w:color w:val="auto"/>
          <w:kern w:val="0"/>
          <w:sz w:val="24"/>
          <w:highlight w:val="none"/>
          <w:lang w:val="en-US" w:eastAsia="zh-CN"/>
        </w:rPr>
        <w:t>废水、</w:t>
      </w:r>
      <w:r>
        <w:rPr>
          <w:rFonts w:hint="default" w:ascii="Times New Roman" w:hAnsi="Times New Roman" w:eastAsia="宋体" w:cs="Times New Roman"/>
          <w:snapToGrid w:val="0"/>
          <w:color w:val="auto"/>
          <w:kern w:val="0"/>
          <w:sz w:val="24"/>
          <w:highlight w:val="none"/>
        </w:rPr>
        <w:t>噪声、固废排放源设立规范的环境保护图形标志，按照《环境保护图形标志―排放口（源）》（GB15562.1-1995）</w:t>
      </w:r>
      <w:r>
        <w:rPr>
          <w:rFonts w:hint="default" w:ascii="Times New Roman" w:hAnsi="Times New Roman" w:eastAsia="宋体" w:cs="Times New Roman"/>
          <w:snapToGrid w:val="0"/>
          <w:color w:val="auto"/>
          <w:kern w:val="0"/>
          <w:sz w:val="24"/>
          <w:highlight w:val="none"/>
          <w:lang w:val="en-US" w:eastAsia="zh-CN"/>
        </w:rPr>
        <w:t>及《危险废物识别标志设置技术规范》（HJ1276-2022）</w:t>
      </w:r>
      <w:r>
        <w:rPr>
          <w:rFonts w:hint="default" w:ascii="Times New Roman" w:hAnsi="Times New Roman" w:eastAsia="宋体" w:cs="Times New Roman"/>
          <w:snapToGrid w:val="0"/>
          <w:color w:val="auto"/>
          <w:kern w:val="0"/>
          <w:sz w:val="24"/>
          <w:highlight w:val="none"/>
        </w:rPr>
        <w:t>执行，以利于环境保护行政主管部门对各排放口的监督管理。标志牌制作由国家环境保护总局统一监制，标志牌应设置在与之功能相应的醒目处。</w:t>
      </w:r>
    </w:p>
    <w:p>
      <w:pPr>
        <w:spacing w:line="360" w:lineRule="auto"/>
        <w:ind w:firstLine="480" w:firstLineChars="200"/>
        <w:contextualSpacing/>
        <w:jc w:val="both"/>
        <w:rPr>
          <w:rFonts w:hint="default" w:ascii="Times New Roman" w:hAnsi="Times New Roman" w:eastAsia="宋体" w:cs="Times New Roman"/>
          <w:snapToGrid w:val="0"/>
          <w:color w:val="FF0000"/>
          <w:kern w:val="0"/>
          <w:sz w:val="24"/>
          <w:highlight w:val="none"/>
        </w:rPr>
      </w:pPr>
      <w:r>
        <w:rPr>
          <w:rFonts w:hint="default" w:ascii="Times New Roman" w:hAnsi="Times New Roman" w:eastAsia="宋体" w:cs="Times New Roman"/>
          <w:snapToGrid w:val="0"/>
          <w:color w:val="auto"/>
          <w:kern w:val="0"/>
          <w:sz w:val="24"/>
          <w:highlight w:val="none"/>
          <w:lang w:val="en-US" w:eastAsia="zh-CN"/>
        </w:rPr>
        <w:t>废水排放口、</w:t>
      </w:r>
      <w:r>
        <w:rPr>
          <w:rFonts w:hint="default" w:ascii="Times New Roman" w:hAnsi="Times New Roman" w:eastAsia="宋体" w:cs="Times New Roman"/>
          <w:snapToGrid w:val="0"/>
          <w:color w:val="auto"/>
          <w:kern w:val="0"/>
          <w:sz w:val="24"/>
          <w:highlight w:val="none"/>
        </w:rPr>
        <w:t>废气排放口、固废</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噪声排放源图形符号分为提示图形符号和警告图形符号两种，图形符号与说明见下图。</w:t>
      </w:r>
    </w:p>
    <w:p>
      <w:pPr>
        <w:spacing w:line="360" w:lineRule="auto"/>
        <w:ind w:firstLine="420" w:firstLineChars="200"/>
        <w:jc w:val="center"/>
        <w:rPr>
          <w:rFonts w:hint="default" w:ascii="Times New Roman" w:hAnsi="Times New Roman" w:eastAsia="宋体" w:cs="Times New Roman"/>
          <w:b/>
          <w:snapToGrid w:val="0"/>
          <w:color w:val="FF0000"/>
          <w:kern w:val="0"/>
          <w:sz w:val="24"/>
          <w:highlight w:val="none"/>
          <w:lang w:val="zh-CN"/>
        </w:rPr>
      </w:pPr>
      <w:r>
        <w:rPr>
          <w:rFonts w:hint="default" w:ascii="Times New Roman" w:hAnsi="Times New Roman" w:eastAsia="宋体" w:cs="Times New Roman"/>
          <w:highlight w:val="none"/>
        </w:rPr>
        <w:object>
          <v:shape id="_x0000_i1035" o:spt="75" type="#_x0000_t75" style="height:365.3pt;width:407.65pt;" o:ole="t" filled="f" o:preferrelative="t" stroked="f" coordsize="21600,21600">
            <v:path/>
            <v:fill on="f" focussize="0,0"/>
            <v:stroke on="f"/>
            <v:imagedata r:id="rId89" o:title=""/>
            <o:lock v:ext="edit" aspectratio="f"/>
            <w10:wrap type="none"/>
            <w10:anchorlock/>
          </v:shape>
          <o:OLEObject Type="Embed" ProgID="Visio.Drawing.11" ShapeID="_x0000_i1035" DrawAspect="Content" ObjectID="_1468075735" r:id="rId88">
            <o:LockedField>false</o:LockedField>
          </o:OLEObject>
        </w:object>
      </w:r>
      <w:r>
        <w:rPr>
          <w:rFonts w:hint="default" w:ascii="Times New Roman" w:hAnsi="Times New Roman" w:eastAsia="宋体" w:cs="Times New Roman"/>
          <w:b/>
          <w:snapToGrid w:val="0"/>
          <w:color w:val="auto"/>
          <w:kern w:val="0"/>
          <w:sz w:val="24"/>
          <w:highlight w:val="none"/>
          <w:lang w:val="zh-CN"/>
        </w:rPr>
        <w:t>图8-2-1</w:t>
      </w:r>
      <w:r>
        <w:rPr>
          <w:rFonts w:hint="default" w:ascii="Times New Roman" w:hAnsi="Times New Roman" w:eastAsia="宋体" w:cs="Times New Roman"/>
          <w:b/>
          <w:snapToGrid w:val="0"/>
          <w:color w:val="auto"/>
          <w:kern w:val="0"/>
          <w:sz w:val="24"/>
          <w:highlight w:val="none"/>
          <w:lang w:val="en-US" w:eastAsia="zh-CN"/>
        </w:rPr>
        <w:t>污水、</w:t>
      </w:r>
      <w:r>
        <w:rPr>
          <w:rFonts w:hint="default" w:ascii="Times New Roman" w:hAnsi="Times New Roman" w:eastAsia="宋体" w:cs="Times New Roman"/>
          <w:b/>
          <w:snapToGrid w:val="0"/>
          <w:color w:val="auto"/>
          <w:kern w:val="0"/>
          <w:sz w:val="24"/>
          <w:highlight w:val="none"/>
          <w:lang w:val="zh-CN"/>
        </w:rPr>
        <w:t>废气、噪声和固废排放口（源）图形符号与说明</w:t>
      </w:r>
    </w:p>
    <w:p>
      <w:pPr>
        <w:pStyle w:val="12"/>
        <w:spacing w:before="0" w:after="0" w:line="360" w:lineRule="auto"/>
        <w:contextualSpacing/>
        <w:rPr>
          <w:rFonts w:hint="default" w:ascii="Times New Roman" w:hAnsi="Times New Roman" w:eastAsia="宋体" w:cs="Times New Roman"/>
          <w:bCs w:val="0"/>
          <w:color w:val="auto"/>
          <w:highlight w:val="none"/>
        </w:rPr>
      </w:pPr>
      <w:bookmarkStart w:id="492" w:name="_Toc11758578"/>
      <w:r>
        <w:rPr>
          <w:rFonts w:hint="default" w:ascii="Times New Roman" w:hAnsi="Times New Roman" w:eastAsia="宋体" w:cs="Times New Roman"/>
          <w:bCs w:val="0"/>
          <w:color w:val="auto"/>
          <w:highlight w:val="none"/>
        </w:rPr>
        <w:t>8.2.5环境监测计划</w:t>
      </w:r>
      <w:bookmarkEnd w:id="492"/>
    </w:p>
    <w:p>
      <w:pPr>
        <w:spacing w:line="360" w:lineRule="auto"/>
        <w:ind w:firstLine="480" w:firstLineChars="200"/>
        <w:contextualSpacing/>
        <w:jc w:val="both"/>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w:t>
      </w:r>
      <w:r>
        <w:rPr>
          <w:rFonts w:hint="eastAsia" w:ascii="Times New Roman" w:hAnsi="Times New Roman" w:eastAsia="宋体" w:cs="Times New Roman"/>
          <w:snapToGrid w:val="0"/>
          <w:color w:val="auto"/>
          <w:kern w:val="0"/>
          <w:sz w:val="24"/>
          <w:highlight w:val="none"/>
          <w:lang w:val="en-US" w:eastAsia="zh-CN"/>
        </w:rPr>
        <w:t>中华人民共和国环境保护法</w:t>
      </w:r>
      <w:r>
        <w:rPr>
          <w:rFonts w:hint="default" w:ascii="Times New Roman" w:hAnsi="Times New Roman" w:eastAsia="宋体" w:cs="Times New Roman"/>
          <w:snapToGrid w:val="0"/>
          <w:color w:val="auto"/>
          <w:kern w:val="0"/>
          <w:sz w:val="24"/>
          <w:highlight w:val="none"/>
        </w:rPr>
        <w:t>》第四十二条明确提出“重点排污单位应当按照国家有关规定和监测规范安装使用监测设备，保证监测设备正常运行，保存原始监测记录”；第五十五条要求“重点排污单位应当如实向社会公开其主要污染物的名称、排放方式、排放浓度和总量、超标排放情况，以及防治污染设施的建设和运行情况，接受社会监督”。根据《排污单位自行监测技术指南总则》（HJ819-2017）、《排污单位自行监测技术指南 农副食品加工业》（HJ986-2018），排污单位应掌握本单位的污染排放状况及其对周边环境质量的影响，对污染物排放、周边环境质量影响进行监测。</w:t>
      </w:r>
    </w:p>
    <w:p>
      <w:pPr>
        <w:spacing w:line="360" w:lineRule="auto"/>
        <w:ind w:firstLine="480" w:firstLineChars="200"/>
        <w:contextualSpacing/>
        <w:jc w:val="both"/>
        <w:outlineLvl w:val="1"/>
        <w:rPr>
          <w:rFonts w:hint="default" w:ascii="Times New Roman" w:hAnsi="Times New Roman" w:eastAsia="宋体" w:cs="Times New Roman"/>
          <w:snapToGrid w:val="0"/>
          <w:color w:val="auto"/>
          <w:kern w:val="0"/>
          <w:sz w:val="24"/>
          <w:highlight w:val="none"/>
        </w:rPr>
      </w:pPr>
      <w:bookmarkStart w:id="493" w:name="_Toc30168"/>
      <w:bookmarkStart w:id="494" w:name="_Toc25488"/>
      <w:r>
        <w:rPr>
          <w:rFonts w:hint="default" w:ascii="Times New Roman" w:hAnsi="Times New Roman" w:eastAsia="宋体" w:cs="Times New Roman"/>
          <w:snapToGrid w:val="0"/>
          <w:color w:val="auto"/>
          <w:kern w:val="0"/>
          <w:sz w:val="24"/>
          <w:highlight w:val="none"/>
        </w:rPr>
        <w:t>（1）污染物排放监测</w:t>
      </w:r>
      <w:bookmarkEnd w:id="493"/>
      <w:bookmarkEnd w:id="494"/>
    </w:p>
    <w:p>
      <w:pPr>
        <w:spacing w:line="360" w:lineRule="auto"/>
        <w:ind w:firstLine="480" w:firstLineChars="200"/>
        <w:contextualSpacing/>
        <w:jc w:val="both"/>
        <w:rPr>
          <w:rFonts w:hint="default" w:ascii="Times New Roman" w:hAnsi="Times New Roman" w:eastAsia="宋体" w:cs="Times New Roman"/>
          <w:snapToGrid w:val="0"/>
          <w:color w:val="auto"/>
          <w:kern w:val="0"/>
          <w:sz w:val="24"/>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Times New Roman" w:hAnsi="Times New Roman" w:eastAsia="宋体" w:cs="Times New Roman"/>
          <w:snapToGrid w:val="0"/>
          <w:color w:val="auto"/>
          <w:kern w:val="0"/>
          <w:sz w:val="24"/>
          <w:highlight w:val="none"/>
        </w:rPr>
        <w:t>本项目污染源监测计划见表8-2-1。企业委托有资质的监测单位进行污染源监测，并将监测报告存档。</w:t>
      </w:r>
    </w:p>
    <w:p>
      <w:pPr>
        <w:spacing w:line="360" w:lineRule="auto"/>
        <w:jc w:val="center"/>
        <w:rPr>
          <w:rFonts w:hint="default" w:ascii="Times New Roman" w:hAnsi="Times New Roman" w:eastAsia="宋体" w:cs="Times New Roman"/>
          <w:b/>
          <w:snapToGrid w:val="0"/>
          <w:color w:val="auto"/>
          <w:kern w:val="0"/>
          <w:sz w:val="24"/>
          <w:highlight w:val="magenta"/>
          <w:lang w:val="zh-CN"/>
        </w:rPr>
      </w:pPr>
      <w:r>
        <w:rPr>
          <w:rFonts w:hint="default" w:ascii="Times New Roman" w:hAnsi="Times New Roman" w:eastAsia="宋体" w:cs="Times New Roman"/>
          <w:b/>
          <w:snapToGrid w:val="0"/>
          <w:color w:val="auto"/>
          <w:kern w:val="0"/>
          <w:sz w:val="24"/>
          <w:highlight w:val="none"/>
          <w:lang w:val="zh-CN"/>
        </w:rPr>
        <w:t>表8-2-1污染源监测计划一览表</w:t>
      </w:r>
    </w:p>
    <w:tbl>
      <w:tblPr>
        <w:tblStyle w:val="5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14"/>
        <w:gridCol w:w="1243"/>
        <w:gridCol w:w="2385"/>
        <w:gridCol w:w="1301"/>
        <w:gridCol w:w="1813"/>
        <w:gridCol w:w="956"/>
        <w:gridCol w:w="814"/>
        <w:gridCol w:w="1814"/>
        <w:gridCol w:w="26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39"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项目</w:t>
            </w:r>
          </w:p>
        </w:tc>
        <w:tc>
          <w:tcPr>
            <w:tcW w:w="30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污染源</w:t>
            </w:r>
          </w:p>
        </w:tc>
        <w:tc>
          <w:tcPr>
            <w:tcW w:w="453"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监测指标</w:t>
            </w:r>
          </w:p>
        </w:tc>
        <w:tc>
          <w:tcPr>
            <w:tcW w:w="856"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环境保护措施</w:t>
            </w:r>
          </w:p>
        </w:tc>
        <w:tc>
          <w:tcPr>
            <w:tcW w:w="35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监测点位</w:t>
            </w:r>
          </w:p>
        </w:tc>
        <w:tc>
          <w:tcPr>
            <w:tcW w:w="654"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执行标准</w:t>
            </w:r>
          </w:p>
        </w:tc>
        <w:tc>
          <w:tcPr>
            <w:tcW w:w="35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监测频次</w:t>
            </w:r>
          </w:p>
        </w:tc>
        <w:tc>
          <w:tcPr>
            <w:tcW w:w="30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监测技术</w:t>
            </w:r>
          </w:p>
        </w:tc>
        <w:tc>
          <w:tcPr>
            <w:tcW w:w="654"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采样方法</w:t>
            </w:r>
          </w:p>
        </w:tc>
        <w:tc>
          <w:tcPr>
            <w:tcW w:w="93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监测分析方法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8" w:hRule="atLeast"/>
          <w:jc w:val="center"/>
        </w:trPr>
        <w:tc>
          <w:tcPr>
            <w:tcW w:w="139"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废气</w:t>
            </w:r>
          </w:p>
        </w:tc>
        <w:tc>
          <w:tcPr>
            <w:tcW w:w="302"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待宰</w:t>
            </w:r>
            <w:r>
              <w:rPr>
                <w:rFonts w:hint="eastAsia" w:ascii="Times New Roman" w:hAnsi="Times New Roman" w:eastAsia="宋体" w:cs="Times New Roman"/>
                <w:snapToGrid w:val="0"/>
                <w:color w:val="auto"/>
                <w:kern w:val="0"/>
                <w:sz w:val="21"/>
                <w:szCs w:val="21"/>
                <w:highlight w:val="none"/>
                <w:lang w:val="en-US" w:eastAsia="zh-CN"/>
              </w:rPr>
              <w:t>圈</w:t>
            </w:r>
            <w:r>
              <w:rPr>
                <w:rFonts w:hint="default" w:ascii="Times New Roman" w:hAnsi="Times New Roman" w:eastAsia="宋体" w:cs="Times New Roman"/>
                <w:snapToGrid w:val="0"/>
                <w:color w:val="auto"/>
                <w:kern w:val="0"/>
                <w:sz w:val="21"/>
                <w:szCs w:val="21"/>
                <w:highlight w:val="none"/>
                <w:lang w:val="zh-CN"/>
              </w:rPr>
              <w:t>、屠宰</w:t>
            </w:r>
            <w:r>
              <w:rPr>
                <w:rFonts w:hint="eastAsia" w:ascii="Times New Roman" w:hAnsi="Times New Roman" w:eastAsia="宋体" w:cs="Times New Roman"/>
                <w:snapToGrid w:val="0"/>
                <w:color w:val="auto"/>
                <w:kern w:val="0"/>
                <w:sz w:val="21"/>
                <w:szCs w:val="21"/>
                <w:highlight w:val="none"/>
                <w:lang w:val="en-US" w:eastAsia="zh-CN"/>
              </w:rPr>
              <w:t>加工</w:t>
            </w:r>
            <w:r>
              <w:rPr>
                <w:rFonts w:hint="default" w:ascii="Times New Roman" w:hAnsi="Times New Roman" w:eastAsia="宋体" w:cs="Times New Roman"/>
                <w:snapToGrid w:val="0"/>
                <w:color w:val="auto"/>
                <w:kern w:val="0"/>
                <w:sz w:val="21"/>
                <w:szCs w:val="21"/>
                <w:highlight w:val="none"/>
                <w:lang w:val="zh-CN"/>
              </w:rPr>
              <w:t>车间、污水处理站无组织排放</w:t>
            </w:r>
          </w:p>
        </w:tc>
        <w:tc>
          <w:tcPr>
            <w:tcW w:w="453"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臭气浓度</w:t>
            </w:r>
          </w:p>
        </w:tc>
        <w:tc>
          <w:tcPr>
            <w:tcW w:w="856"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待宰</w:t>
            </w:r>
            <w:r>
              <w:rPr>
                <w:rFonts w:hint="eastAsia" w:ascii="Times New Roman" w:hAnsi="Times New Roman" w:eastAsia="宋体" w:cs="Times New Roman"/>
                <w:snapToGrid w:val="0"/>
                <w:color w:val="auto"/>
                <w:kern w:val="0"/>
                <w:sz w:val="21"/>
                <w:szCs w:val="21"/>
                <w:highlight w:val="none"/>
                <w:lang w:val="en-US" w:eastAsia="zh-CN"/>
              </w:rPr>
              <w:t>圈</w:t>
            </w:r>
            <w:r>
              <w:rPr>
                <w:rFonts w:hint="default" w:ascii="Times New Roman" w:hAnsi="Times New Roman" w:eastAsia="宋体" w:cs="Times New Roman"/>
                <w:snapToGrid w:val="0"/>
                <w:color w:val="auto"/>
                <w:kern w:val="0"/>
                <w:sz w:val="21"/>
                <w:szCs w:val="21"/>
                <w:highlight w:val="none"/>
              </w:rPr>
              <w:t>及时清扫，并采取投加或喷洒除臭剂</w:t>
            </w:r>
          </w:p>
        </w:tc>
        <w:tc>
          <w:tcPr>
            <w:tcW w:w="352"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厂界</w:t>
            </w:r>
          </w:p>
        </w:tc>
        <w:tc>
          <w:tcPr>
            <w:tcW w:w="654"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《恶臭污染物排放标准》（GB14554-1993）表1中二级新改扩建标准</w:t>
            </w:r>
          </w:p>
        </w:tc>
        <w:tc>
          <w:tcPr>
            <w:tcW w:w="352"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1次/半年</w:t>
            </w:r>
          </w:p>
        </w:tc>
        <w:tc>
          <w:tcPr>
            <w:tcW w:w="302"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手工监测技术</w:t>
            </w:r>
          </w:p>
        </w:tc>
        <w:tc>
          <w:tcPr>
            <w:tcW w:w="654"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参照《恶臭污染物排放标准》(GB14554-93)及GB/T16157、HJ/T397执行</w:t>
            </w:r>
          </w:p>
        </w:tc>
        <w:tc>
          <w:tcPr>
            <w:tcW w:w="93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《空气质量恶臭的测定三点比较式臭袋法》（GB/T 14675-1993）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139"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453"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硫化氢</w:t>
            </w:r>
          </w:p>
        </w:tc>
        <w:tc>
          <w:tcPr>
            <w:tcW w:w="856"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93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亚甲蓝分光光度法《空气和废气监测分析方法》(第四版增补版)国家环保总局(2003) P171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139"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453"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氨</w:t>
            </w:r>
          </w:p>
        </w:tc>
        <w:tc>
          <w:tcPr>
            <w:tcW w:w="856"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93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环境空气和废气氨的测定纳氏试剂分光光度法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9"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废气</w:t>
            </w:r>
          </w:p>
        </w:tc>
        <w:tc>
          <w:tcPr>
            <w:tcW w:w="302"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屠宰车间</w:t>
            </w:r>
          </w:p>
        </w:tc>
        <w:tc>
          <w:tcPr>
            <w:tcW w:w="453"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臭气浓度</w:t>
            </w:r>
          </w:p>
        </w:tc>
        <w:tc>
          <w:tcPr>
            <w:tcW w:w="856"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屠宰车间封闭，</w:t>
            </w:r>
            <w:r>
              <w:rPr>
                <w:rFonts w:hint="default" w:ascii="Times New Roman" w:hAnsi="Times New Roman" w:eastAsia="宋体" w:cs="Times New Roman"/>
                <w:bCs/>
                <w:snapToGrid w:val="0"/>
                <w:color w:val="auto"/>
                <w:kern w:val="0"/>
                <w:sz w:val="21"/>
                <w:szCs w:val="21"/>
                <w:highlight w:val="none"/>
              </w:rPr>
              <w:t>产生的恶臭气体经负压集中收集后，通过活性炭吸附净化后由15m高排气筒（DA001）排放</w:t>
            </w:r>
          </w:p>
        </w:tc>
        <w:tc>
          <w:tcPr>
            <w:tcW w:w="352"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排气筒</w:t>
            </w:r>
            <w:r>
              <w:rPr>
                <w:rFonts w:hint="default" w:ascii="Times New Roman" w:hAnsi="Times New Roman" w:eastAsia="宋体" w:cs="Times New Roman"/>
                <w:snapToGrid w:val="0"/>
                <w:color w:val="auto"/>
                <w:kern w:val="0"/>
                <w:sz w:val="21"/>
                <w:szCs w:val="21"/>
                <w:highlight w:val="none"/>
              </w:rPr>
              <w:t>（DA00</w:t>
            </w:r>
            <w:r>
              <w:rPr>
                <w:rFonts w:hint="eastAsia" w:ascii="Times New Roman" w:hAnsi="Times New Roman" w:eastAsia="宋体" w:cs="Times New Roman"/>
                <w:snapToGrid w:val="0"/>
                <w:color w:val="auto"/>
                <w:kern w:val="0"/>
                <w:sz w:val="21"/>
                <w:szCs w:val="21"/>
                <w:highlight w:val="none"/>
                <w:lang w:val="en-US" w:eastAsia="zh-CN"/>
              </w:rPr>
              <w:t>3</w:t>
            </w:r>
            <w:r>
              <w:rPr>
                <w:rFonts w:hint="default" w:ascii="Times New Roman" w:hAnsi="Times New Roman" w:eastAsia="宋体" w:cs="Times New Roman"/>
                <w:snapToGrid w:val="0"/>
                <w:color w:val="auto"/>
                <w:kern w:val="0"/>
                <w:sz w:val="21"/>
                <w:szCs w:val="21"/>
                <w:highlight w:val="none"/>
              </w:rPr>
              <w:t>）</w:t>
            </w:r>
          </w:p>
        </w:tc>
        <w:tc>
          <w:tcPr>
            <w:tcW w:w="654" w:type="pct"/>
            <w:vMerge w:val="restart"/>
            <w:vAlign w:val="center"/>
          </w:tcPr>
          <w:p>
            <w:pPr>
              <w:pStyle w:val="36"/>
              <w:adjustRightInd w:val="0"/>
              <w:snapToGrid w:val="0"/>
              <w:spacing w:line="0" w:lineRule="atLeast"/>
              <w:contextualSpacing/>
              <w:rPr>
                <w:rFonts w:hint="default" w:ascii="Times New Roman" w:hAnsi="Times New Roman" w:eastAsia="宋体" w:cs="Times New Roman"/>
                <w:snapToGrid w:val="0"/>
                <w:color w:val="auto"/>
                <w:kern w:val="0"/>
                <w:sz w:val="21"/>
                <w:highlight w:val="none"/>
              </w:rPr>
            </w:pPr>
            <w:r>
              <w:rPr>
                <w:rFonts w:hint="default" w:ascii="Times New Roman" w:hAnsi="Times New Roman" w:eastAsia="宋体" w:cs="Times New Roman"/>
                <w:snapToGrid w:val="0"/>
                <w:color w:val="auto"/>
                <w:kern w:val="0"/>
                <w:sz w:val="21"/>
                <w:highlight w:val="none"/>
              </w:rPr>
              <w:t>满足《恶臭污染物排放标准》（GB14554-93）表2标准要求</w:t>
            </w:r>
          </w:p>
        </w:tc>
        <w:tc>
          <w:tcPr>
            <w:tcW w:w="352"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1次/半年</w:t>
            </w:r>
          </w:p>
        </w:tc>
        <w:tc>
          <w:tcPr>
            <w:tcW w:w="302" w:type="pct"/>
            <w:vMerge w:val="restart"/>
            <w:vAlign w:val="center"/>
          </w:tcPr>
          <w:p>
            <w:pPr>
              <w:pStyle w:val="36"/>
              <w:adjustRightInd w:val="0"/>
              <w:snapToGrid w:val="0"/>
              <w:spacing w:line="0" w:lineRule="atLeast"/>
              <w:contextualSpacing/>
              <w:rPr>
                <w:rFonts w:hint="default" w:ascii="Times New Roman" w:hAnsi="Times New Roman" w:eastAsia="宋体" w:cs="Times New Roman"/>
                <w:snapToGrid w:val="0"/>
                <w:color w:val="auto"/>
                <w:kern w:val="0"/>
                <w:sz w:val="21"/>
                <w:highlight w:val="none"/>
              </w:rPr>
            </w:pPr>
            <w:r>
              <w:rPr>
                <w:rFonts w:hint="default" w:ascii="Times New Roman" w:hAnsi="Times New Roman" w:eastAsia="宋体" w:cs="Times New Roman"/>
                <w:snapToGrid w:val="0"/>
                <w:color w:val="auto"/>
                <w:kern w:val="0"/>
                <w:sz w:val="21"/>
                <w:highlight w:val="none"/>
              </w:rPr>
              <w:t>手工监测技术</w:t>
            </w:r>
          </w:p>
        </w:tc>
        <w:tc>
          <w:tcPr>
            <w:tcW w:w="654" w:type="pct"/>
            <w:vMerge w:val="restart"/>
            <w:vAlign w:val="center"/>
          </w:tcPr>
          <w:p>
            <w:pPr>
              <w:pStyle w:val="36"/>
              <w:adjustRightInd w:val="0"/>
              <w:snapToGrid w:val="0"/>
              <w:spacing w:line="0" w:lineRule="atLeast"/>
              <w:contextualSpacing/>
              <w:rPr>
                <w:rFonts w:hint="default" w:ascii="Times New Roman" w:hAnsi="Times New Roman" w:eastAsia="宋体" w:cs="Times New Roman"/>
                <w:snapToGrid w:val="0"/>
                <w:color w:val="auto"/>
                <w:kern w:val="0"/>
                <w:sz w:val="21"/>
                <w:highlight w:val="none"/>
              </w:rPr>
            </w:pPr>
            <w:r>
              <w:rPr>
                <w:rFonts w:hint="default" w:ascii="Times New Roman" w:hAnsi="Times New Roman" w:eastAsia="宋体" w:cs="Times New Roman"/>
                <w:snapToGrid w:val="0"/>
                <w:color w:val="auto"/>
                <w:kern w:val="0"/>
                <w:sz w:val="21"/>
                <w:highlight w:val="none"/>
                <w:lang w:val="zh-CN"/>
              </w:rPr>
              <w:t>参照《恶臭污染物排放标准》(GB14554-93)及GB/T16157、HJ/T397执行</w:t>
            </w:r>
          </w:p>
        </w:tc>
        <w:tc>
          <w:tcPr>
            <w:tcW w:w="932"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《空气质量恶臭的测定三点比较式臭袋法》（GB/T 14675-1993）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139"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453"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硫化氢</w:t>
            </w:r>
          </w:p>
        </w:tc>
        <w:tc>
          <w:tcPr>
            <w:tcW w:w="856"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932"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亚甲蓝分光光度法《空气和废气监测分析方法》(第四版增补版)国家环保总局(2003) P171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39"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453"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氨</w:t>
            </w:r>
          </w:p>
        </w:tc>
        <w:tc>
          <w:tcPr>
            <w:tcW w:w="856"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932"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环境空气和废气氨的测定纳氏试剂分光光度法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39"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污水处理站</w:t>
            </w:r>
          </w:p>
        </w:tc>
        <w:tc>
          <w:tcPr>
            <w:tcW w:w="453"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臭气浓度</w:t>
            </w:r>
          </w:p>
        </w:tc>
        <w:tc>
          <w:tcPr>
            <w:tcW w:w="856"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color w:val="auto"/>
                <w:spacing w:val="0"/>
                <w:sz w:val="21"/>
                <w:szCs w:val="21"/>
              </w:rPr>
              <w:t>污泥处理</w:t>
            </w:r>
            <w:r>
              <w:rPr>
                <w:rFonts w:hint="eastAsia" w:ascii="Times New Roman" w:hAnsi="Times New Roman" w:eastAsia="宋体" w:cs="Times New Roman"/>
                <w:color w:val="auto"/>
                <w:spacing w:val="0"/>
                <w:sz w:val="21"/>
                <w:szCs w:val="21"/>
                <w:lang w:val="en-US" w:eastAsia="zh-CN"/>
              </w:rPr>
              <w:t>站</w:t>
            </w:r>
            <w:r>
              <w:rPr>
                <w:rFonts w:hint="default" w:ascii="Times New Roman" w:hAnsi="Times New Roman" w:eastAsia="宋体" w:cs="Times New Roman"/>
                <w:color w:val="auto"/>
                <w:spacing w:val="0"/>
                <w:sz w:val="21"/>
                <w:szCs w:val="21"/>
              </w:rPr>
              <w:t>收集气体</w:t>
            </w:r>
            <w:r>
              <w:rPr>
                <w:rFonts w:hint="default" w:ascii="Times New Roman" w:hAnsi="Times New Roman" w:eastAsia="宋体" w:cs="Times New Roman"/>
                <w:color w:val="auto"/>
                <w:spacing w:val="0"/>
                <w:sz w:val="21"/>
                <w:szCs w:val="21"/>
                <w:lang w:val="en-US" w:eastAsia="zh-CN"/>
              </w:rPr>
              <w:t>+负压</w:t>
            </w:r>
            <w:r>
              <w:rPr>
                <w:rFonts w:hint="default" w:ascii="Times New Roman" w:hAnsi="Times New Roman" w:eastAsia="宋体" w:cs="Times New Roman"/>
                <w:color w:val="auto"/>
                <w:spacing w:val="0"/>
                <w:sz w:val="21"/>
                <w:szCs w:val="21"/>
              </w:rPr>
              <w:t>收集</w:t>
            </w:r>
            <w:r>
              <w:rPr>
                <w:rFonts w:hint="default" w:ascii="Times New Roman" w:hAnsi="Times New Roman" w:eastAsia="宋体" w:cs="Times New Roman"/>
                <w:color w:val="auto"/>
                <w:spacing w:val="0"/>
                <w:sz w:val="21"/>
                <w:szCs w:val="21"/>
                <w:lang w:val="en-US" w:eastAsia="zh-CN"/>
              </w:rPr>
              <w:t>+活性炭吸附装置+</w:t>
            </w:r>
            <w:r>
              <w:rPr>
                <w:rFonts w:hint="default" w:ascii="Times New Roman" w:hAnsi="Times New Roman" w:eastAsia="宋体" w:cs="Times New Roman"/>
                <w:color w:val="auto"/>
                <w:spacing w:val="0"/>
                <w:kern w:val="2"/>
                <w:sz w:val="21"/>
                <w:szCs w:val="21"/>
              </w:rPr>
              <w:t>15m高排气筒</w:t>
            </w:r>
            <w:r>
              <w:rPr>
                <w:rFonts w:hint="eastAsia" w:ascii="Times New Roman" w:hAnsi="Times New Roman" w:eastAsia="宋体" w:cs="Times New Roman"/>
                <w:color w:val="auto"/>
                <w:spacing w:val="0"/>
                <w:kern w:val="2"/>
                <w:sz w:val="21"/>
                <w:szCs w:val="21"/>
                <w:lang w:eastAsia="zh-CN"/>
              </w:rPr>
              <w:t>（</w:t>
            </w:r>
            <w:r>
              <w:rPr>
                <w:rFonts w:hint="eastAsia" w:ascii="Times New Roman" w:hAnsi="Times New Roman" w:eastAsia="宋体" w:cs="Times New Roman"/>
                <w:color w:val="auto"/>
                <w:spacing w:val="0"/>
                <w:kern w:val="2"/>
                <w:sz w:val="21"/>
                <w:szCs w:val="21"/>
                <w:lang w:val="en-US" w:eastAsia="zh-CN"/>
              </w:rPr>
              <w:t>DA004</w:t>
            </w:r>
            <w:r>
              <w:rPr>
                <w:rFonts w:hint="eastAsia" w:ascii="Times New Roman" w:hAnsi="Times New Roman" w:eastAsia="宋体" w:cs="Times New Roman"/>
                <w:color w:val="auto"/>
                <w:spacing w:val="0"/>
                <w:kern w:val="2"/>
                <w:sz w:val="21"/>
                <w:szCs w:val="21"/>
                <w:lang w:eastAsia="zh-CN"/>
              </w:rPr>
              <w:t>）</w:t>
            </w:r>
            <w:r>
              <w:rPr>
                <w:rFonts w:hint="eastAsia" w:ascii="Times New Roman" w:hAnsi="Times New Roman" w:eastAsia="宋体" w:cs="Times New Roman"/>
                <w:color w:val="auto"/>
                <w:spacing w:val="0"/>
                <w:kern w:val="2"/>
                <w:sz w:val="21"/>
                <w:szCs w:val="21"/>
                <w:lang w:val="en-US" w:eastAsia="zh-CN"/>
              </w:rPr>
              <w:t>排放</w:t>
            </w:r>
          </w:p>
        </w:tc>
        <w:tc>
          <w:tcPr>
            <w:tcW w:w="352"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排气筒</w:t>
            </w:r>
            <w:r>
              <w:rPr>
                <w:rFonts w:hint="default" w:ascii="Times New Roman" w:hAnsi="Times New Roman" w:eastAsia="宋体" w:cs="Times New Roman"/>
                <w:snapToGrid w:val="0"/>
                <w:color w:val="auto"/>
                <w:kern w:val="0"/>
                <w:sz w:val="21"/>
                <w:szCs w:val="21"/>
                <w:highlight w:val="none"/>
              </w:rPr>
              <w:t>（DA00</w:t>
            </w:r>
            <w:r>
              <w:rPr>
                <w:rFonts w:hint="eastAsia" w:ascii="Times New Roman" w:hAnsi="Times New Roman" w:eastAsia="宋体" w:cs="Times New Roman"/>
                <w:snapToGrid w:val="0"/>
                <w:color w:val="auto"/>
                <w:kern w:val="0"/>
                <w:sz w:val="21"/>
                <w:szCs w:val="21"/>
                <w:highlight w:val="none"/>
                <w:lang w:val="en-US" w:eastAsia="zh-CN"/>
              </w:rPr>
              <w:t>4</w:t>
            </w:r>
            <w:r>
              <w:rPr>
                <w:rFonts w:hint="default" w:ascii="Times New Roman" w:hAnsi="Times New Roman" w:eastAsia="宋体" w:cs="Times New Roman"/>
                <w:snapToGrid w:val="0"/>
                <w:color w:val="auto"/>
                <w:kern w:val="0"/>
                <w:sz w:val="21"/>
                <w:szCs w:val="21"/>
                <w:highlight w:val="none"/>
              </w:rPr>
              <w:t>）</w:t>
            </w: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52"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1次/半年</w:t>
            </w:r>
          </w:p>
        </w:tc>
        <w:tc>
          <w:tcPr>
            <w:tcW w:w="302"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手工监测技术</w:t>
            </w:r>
          </w:p>
        </w:tc>
        <w:tc>
          <w:tcPr>
            <w:tcW w:w="654"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参照《恶臭污染物排放标准》(GB14554-93)及GB/T16157、HJ/T397执行</w:t>
            </w:r>
          </w:p>
        </w:tc>
        <w:tc>
          <w:tcPr>
            <w:tcW w:w="932"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《空气质量恶臭的测定三点比较式臭袋法》（GB/T 14675-1993）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39"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废气</w:t>
            </w: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453"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硫化氢</w:t>
            </w:r>
          </w:p>
        </w:tc>
        <w:tc>
          <w:tcPr>
            <w:tcW w:w="856"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1次/半年</w:t>
            </w:r>
          </w:p>
        </w:tc>
        <w:tc>
          <w:tcPr>
            <w:tcW w:w="302"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手工监测技术</w:t>
            </w:r>
          </w:p>
        </w:tc>
        <w:tc>
          <w:tcPr>
            <w:tcW w:w="654"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参照《恶臭污染物排放标准》(GB14554-93)及GB/T16157、HJ/T397执行</w:t>
            </w:r>
          </w:p>
        </w:tc>
        <w:tc>
          <w:tcPr>
            <w:tcW w:w="932"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亚甲蓝分光光度法《空气和废气监测分析方法》(第四版增补版)国家环保总局(2003) P171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39"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453"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氨</w:t>
            </w:r>
          </w:p>
        </w:tc>
        <w:tc>
          <w:tcPr>
            <w:tcW w:w="856"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932"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环境空气和废气氨的测定纳氏试剂分光光度法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39"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FF0000"/>
                <w:kern w:val="0"/>
                <w:sz w:val="20"/>
                <w:szCs w:val="21"/>
                <w:highlight w:val="none"/>
                <w:lang w:val="zh-CN"/>
              </w:rPr>
            </w:pPr>
          </w:p>
        </w:tc>
        <w:tc>
          <w:tcPr>
            <w:tcW w:w="302"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待宰间</w:t>
            </w:r>
          </w:p>
        </w:tc>
        <w:tc>
          <w:tcPr>
            <w:tcW w:w="453"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臭气浓度</w:t>
            </w:r>
          </w:p>
        </w:tc>
        <w:tc>
          <w:tcPr>
            <w:tcW w:w="856"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待宰间封闭，</w:t>
            </w:r>
            <w:r>
              <w:rPr>
                <w:rFonts w:hint="default" w:ascii="Times New Roman" w:hAnsi="Times New Roman" w:eastAsia="宋体" w:cs="Times New Roman"/>
                <w:bCs/>
                <w:snapToGrid w:val="0"/>
                <w:color w:val="auto"/>
                <w:kern w:val="0"/>
                <w:sz w:val="21"/>
                <w:szCs w:val="21"/>
                <w:highlight w:val="none"/>
              </w:rPr>
              <w:t>及时清扫，并投加或喷洒除臭剂，产生的恶臭气体经负压集中收集后，通过活性炭吸附净化后由15m高排气筒（DA00</w:t>
            </w:r>
            <w:r>
              <w:rPr>
                <w:rFonts w:hint="default" w:ascii="Times New Roman" w:hAnsi="Times New Roman" w:eastAsia="宋体" w:cs="Times New Roman"/>
                <w:bCs/>
                <w:snapToGrid w:val="0"/>
                <w:color w:val="auto"/>
                <w:kern w:val="0"/>
                <w:sz w:val="21"/>
                <w:szCs w:val="21"/>
                <w:highlight w:val="none"/>
                <w:lang w:val="en-US" w:eastAsia="zh-CN"/>
              </w:rPr>
              <w:t>3</w:t>
            </w:r>
            <w:r>
              <w:rPr>
                <w:rFonts w:hint="default" w:ascii="Times New Roman" w:hAnsi="Times New Roman" w:eastAsia="宋体" w:cs="Times New Roman"/>
                <w:bCs/>
                <w:snapToGrid w:val="0"/>
                <w:color w:val="auto"/>
                <w:kern w:val="0"/>
                <w:sz w:val="21"/>
                <w:szCs w:val="21"/>
                <w:highlight w:val="none"/>
              </w:rPr>
              <w:t>）排放</w:t>
            </w:r>
          </w:p>
        </w:tc>
        <w:tc>
          <w:tcPr>
            <w:tcW w:w="352"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0"/>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排气筒</w:t>
            </w:r>
            <w:r>
              <w:rPr>
                <w:rFonts w:hint="default" w:ascii="Times New Roman" w:hAnsi="Times New Roman" w:eastAsia="宋体" w:cs="Times New Roman"/>
                <w:snapToGrid w:val="0"/>
                <w:color w:val="auto"/>
                <w:kern w:val="0"/>
                <w:sz w:val="21"/>
                <w:szCs w:val="21"/>
                <w:highlight w:val="none"/>
              </w:rPr>
              <w:t>（DA00</w:t>
            </w:r>
            <w:r>
              <w:rPr>
                <w:rFonts w:hint="eastAsia" w:ascii="Times New Roman" w:hAnsi="Times New Roman" w:eastAsia="宋体" w:cs="Times New Roman"/>
                <w:snapToGrid w:val="0"/>
                <w:color w:val="auto"/>
                <w:kern w:val="0"/>
                <w:sz w:val="21"/>
                <w:szCs w:val="21"/>
                <w:highlight w:val="none"/>
                <w:lang w:val="en-US" w:eastAsia="zh-CN"/>
              </w:rPr>
              <w:t>2</w:t>
            </w:r>
            <w:r>
              <w:rPr>
                <w:rFonts w:hint="default" w:ascii="Times New Roman" w:hAnsi="Times New Roman" w:eastAsia="宋体" w:cs="Times New Roman"/>
                <w:snapToGrid w:val="0"/>
                <w:color w:val="auto"/>
                <w:kern w:val="0"/>
                <w:sz w:val="21"/>
                <w:szCs w:val="21"/>
                <w:highlight w:val="none"/>
              </w:rPr>
              <w:t>）</w:t>
            </w: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0"/>
                <w:szCs w:val="21"/>
                <w:highlight w:val="none"/>
                <w:lang w:val="zh-CN"/>
              </w:rPr>
            </w:pPr>
          </w:p>
        </w:tc>
        <w:tc>
          <w:tcPr>
            <w:tcW w:w="352"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1次/半年</w:t>
            </w:r>
          </w:p>
        </w:tc>
        <w:tc>
          <w:tcPr>
            <w:tcW w:w="302"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手工监测技术</w:t>
            </w:r>
          </w:p>
        </w:tc>
        <w:tc>
          <w:tcPr>
            <w:tcW w:w="654"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参照《恶臭污染物排放标准》(GB14554-93)及GB/T16157、HJ/T397执行</w:t>
            </w:r>
          </w:p>
        </w:tc>
        <w:tc>
          <w:tcPr>
            <w:tcW w:w="932"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《空气质量恶臭的测定三点比较式臭袋法》（GB/T 14675-1993）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139"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FF0000"/>
                <w:kern w:val="0"/>
                <w:sz w:val="20"/>
                <w:szCs w:val="21"/>
                <w:highlight w:val="none"/>
                <w:lang w:val="zh-CN"/>
              </w:rPr>
            </w:pP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0"/>
                <w:szCs w:val="21"/>
                <w:highlight w:val="none"/>
                <w:lang w:val="zh-CN"/>
              </w:rPr>
            </w:pPr>
          </w:p>
        </w:tc>
        <w:tc>
          <w:tcPr>
            <w:tcW w:w="453"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硫化氢</w:t>
            </w:r>
          </w:p>
        </w:tc>
        <w:tc>
          <w:tcPr>
            <w:tcW w:w="856"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0"/>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0"/>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0"/>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0"/>
                <w:szCs w:val="21"/>
                <w:highlight w:val="none"/>
                <w:lang w:val="zh-CN"/>
              </w:rPr>
            </w:pP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0"/>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0"/>
                <w:szCs w:val="21"/>
                <w:highlight w:val="none"/>
                <w:lang w:val="zh-CN"/>
              </w:rPr>
            </w:pPr>
          </w:p>
        </w:tc>
        <w:tc>
          <w:tcPr>
            <w:tcW w:w="932"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亚甲蓝分光光度法《空气和废气监测分析方法》(第四版增补版)国家环保总局(2003) P171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39"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FF0000"/>
                <w:kern w:val="0"/>
                <w:sz w:val="20"/>
                <w:szCs w:val="21"/>
                <w:highlight w:val="none"/>
                <w:lang w:val="zh-CN"/>
              </w:rPr>
            </w:pP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0"/>
                <w:szCs w:val="21"/>
                <w:highlight w:val="none"/>
                <w:lang w:val="zh-CN"/>
              </w:rPr>
            </w:pPr>
          </w:p>
        </w:tc>
        <w:tc>
          <w:tcPr>
            <w:tcW w:w="453"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氨</w:t>
            </w:r>
          </w:p>
        </w:tc>
        <w:tc>
          <w:tcPr>
            <w:tcW w:w="856"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0"/>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0"/>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0"/>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0"/>
                <w:szCs w:val="21"/>
                <w:highlight w:val="none"/>
                <w:lang w:val="zh-CN"/>
              </w:rPr>
            </w:pP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0"/>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0"/>
                <w:szCs w:val="21"/>
                <w:highlight w:val="none"/>
                <w:lang w:val="zh-CN"/>
              </w:rPr>
            </w:pPr>
          </w:p>
        </w:tc>
        <w:tc>
          <w:tcPr>
            <w:tcW w:w="932"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环境空气和废气氨的测定纳氏试剂分光光度法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39"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FF0000"/>
                <w:kern w:val="0"/>
                <w:sz w:val="20"/>
                <w:szCs w:val="21"/>
                <w:highlight w:val="none"/>
                <w:lang w:val="zh-CN"/>
              </w:rPr>
            </w:pPr>
          </w:p>
        </w:tc>
        <w:tc>
          <w:tcPr>
            <w:tcW w:w="302"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rPr>
              <w:t>锅炉房</w:t>
            </w:r>
          </w:p>
        </w:tc>
        <w:tc>
          <w:tcPr>
            <w:tcW w:w="453"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rPr>
              <w:t>颗粒物</w:t>
            </w:r>
          </w:p>
        </w:tc>
        <w:tc>
          <w:tcPr>
            <w:tcW w:w="856"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rPr>
              <w:t>锅炉烟气经</w:t>
            </w:r>
            <w:r>
              <w:rPr>
                <w:rFonts w:hint="eastAsia" w:ascii="Times New Roman" w:hAnsi="Times New Roman" w:eastAsia="宋体" w:cs="Times New Roman"/>
                <w:snapToGrid w:val="0"/>
                <w:color w:val="auto"/>
                <w:kern w:val="0"/>
                <w:sz w:val="21"/>
                <w:szCs w:val="21"/>
                <w:highlight w:val="none"/>
                <w:lang w:val="en-US" w:eastAsia="zh-CN"/>
              </w:rPr>
              <w:t>低氮燃烧</w:t>
            </w:r>
            <w:r>
              <w:rPr>
                <w:rFonts w:hint="default" w:ascii="Times New Roman" w:hAnsi="Times New Roman" w:eastAsia="宋体" w:cs="Times New Roman"/>
                <w:snapToGrid w:val="0"/>
                <w:color w:val="auto"/>
                <w:kern w:val="0"/>
                <w:sz w:val="21"/>
                <w:szCs w:val="21"/>
                <w:highlight w:val="none"/>
                <w:lang w:val="en-US" w:eastAsia="zh-CN"/>
              </w:rPr>
              <w:t>处理后，通过</w:t>
            </w:r>
            <w:r>
              <w:rPr>
                <w:rFonts w:hint="eastAsia" w:ascii="Times New Roman" w:hAnsi="Times New Roman" w:eastAsia="宋体" w:cs="Times New Roman"/>
                <w:snapToGrid w:val="0"/>
                <w:color w:val="auto"/>
                <w:kern w:val="0"/>
                <w:sz w:val="21"/>
                <w:szCs w:val="21"/>
                <w:highlight w:val="none"/>
                <w:lang w:val="en-US" w:eastAsia="zh-CN"/>
              </w:rPr>
              <w:t>12</w:t>
            </w:r>
            <w:r>
              <w:rPr>
                <w:rFonts w:hint="default" w:ascii="Times New Roman" w:hAnsi="Times New Roman" w:eastAsia="宋体" w:cs="Times New Roman"/>
                <w:snapToGrid w:val="0"/>
                <w:color w:val="auto"/>
                <w:kern w:val="0"/>
                <w:sz w:val="21"/>
                <w:szCs w:val="21"/>
                <w:highlight w:val="none"/>
                <w:lang w:val="en-US" w:eastAsia="zh-CN"/>
              </w:rPr>
              <w:t>m高烟囱排放</w:t>
            </w:r>
          </w:p>
        </w:tc>
        <w:tc>
          <w:tcPr>
            <w:tcW w:w="352" w:type="pct"/>
            <w:vMerge w:val="restart"/>
            <w:vAlign w:val="center"/>
          </w:tcPr>
          <w:p>
            <w:pPr>
              <w:adjustRightInd w:val="0"/>
              <w:snapToGrid w:val="0"/>
              <w:spacing w:line="0" w:lineRule="atLeast"/>
              <w:contextualSpacing/>
              <w:jc w:val="center"/>
              <w:rPr>
                <w:rFonts w:hint="eastAsia"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rPr>
              <w:t>烟囱（DA00</w:t>
            </w:r>
            <w:r>
              <w:rPr>
                <w:rFonts w:hint="eastAsia" w:ascii="Times New Roman" w:hAnsi="Times New Roman" w:eastAsia="宋体" w:cs="Times New Roman"/>
                <w:snapToGrid w:val="0"/>
                <w:color w:val="auto"/>
                <w:kern w:val="0"/>
                <w:sz w:val="21"/>
                <w:szCs w:val="21"/>
                <w:highlight w:val="none"/>
                <w:lang w:val="en-US" w:eastAsia="zh-CN"/>
              </w:rPr>
              <w:t>1</w:t>
            </w:r>
          </w:p>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rPr>
              <w:t>）</w:t>
            </w:r>
          </w:p>
        </w:tc>
        <w:tc>
          <w:tcPr>
            <w:tcW w:w="654"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color w:val="auto"/>
                <w:sz w:val="21"/>
                <w:szCs w:val="21"/>
              </w:rPr>
              <w:t>《锅炉大气污染物排放标准》（GB13271-2014）</w:t>
            </w:r>
            <w:r>
              <w:rPr>
                <w:rFonts w:hint="default" w:ascii="Times New Roman" w:hAnsi="Times New Roman" w:eastAsia="宋体" w:cs="Times New Roman"/>
                <w:color w:val="auto"/>
                <w:sz w:val="21"/>
                <w:szCs w:val="21"/>
                <w:lang w:eastAsia="zh-CN"/>
              </w:rPr>
              <w:t>燃油</w:t>
            </w:r>
            <w:r>
              <w:rPr>
                <w:rFonts w:hint="default" w:ascii="Times New Roman" w:hAnsi="Times New Roman" w:eastAsia="宋体" w:cs="Times New Roman"/>
                <w:color w:val="auto"/>
                <w:sz w:val="21"/>
                <w:szCs w:val="21"/>
              </w:rPr>
              <w:t>锅炉表</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排放标准</w:t>
            </w:r>
          </w:p>
        </w:tc>
        <w:tc>
          <w:tcPr>
            <w:tcW w:w="352" w:type="pct"/>
            <w:vMerge w:val="restar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kern w:val="0"/>
                <w:highlight w:val="none"/>
              </w:rPr>
              <w:t>1次/月</w:t>
            </w:r>
          </w:p>
        </w:tc>
        <w:tc>
          <w:tcPr>
            <w:tcW w:w="302" w:type="pct"/>
            <w:vMerge w:val="restart"/>
            <w:vAlign w:val="center"/>
          </w:tcPr>
          <w:p>
            <w:pPr>
              <w:pStyle w:val="36"/>
              <w:adjustRightInd w:val="0"/>
              <w:snapToGrid w:val="0"/>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kern w:val="0"/>
                <w:highlight w:val="none"/>
              </w:rPr>
              <w:t>手工监测技术</w:t>
            </w:r>
          </w:p>
        </w:tc>
        <w:tc>
          <w:tcPr>
            <w:tcW w:w="654" w:type="pct"/>
            <w:vMerge w:val="restart"/>
            <w:vAlign w:val="center"/>
          </w:tcPr>
          <w:p>
            <w:pPr>
              <w:pStyle w:val="36"/>
              <w:adjustRightInd w:val="0"/>
              <w:snapToGrid w:val="0"/>
              <w:jc w:val="both"/>
              <w:rPr>
                <w:rFonts w:hint="default" w:ascii="Times New Roman" w:hAnsi="Times New Roman" w:eastAsia="宋体" w:cs="Times New Roman"/>
                <w:snapToGrid w:val="0"/>
                <w:color w:val="FF0000"/>
                <w:kern w:val="0"/>
                <w:sz w:val="20"/>
                <w:szCs w:val="21"/>
                <w:highlight w:val="none"/>
                <w:lang w:val="zh-CN"/>
              </w:rPr>
            </w:pPr>
            <w:r>
              <w:rPr>
                <w:rFonts w:hint="eastAsia" w:ascii="Times New Roman" w:hAnsi="Times New Roman" w:eastAsia="宋体" w:cs="Times New Roman"/>
                <w:snapToGrid w:val="0"/>
                <w:highlight w:val="none"/>
                <w:lang w:val="en-US" w:eastAsia="zh-CN"/>
              </w:rPr>
              <w:t>参</w:t>
            </w:r>
            <w:r>
              <w:rPr>
                <w:rFonts w:hint="default" w:ascii="Times New Roman" w:hAnsi="Times New Roman" w:eastAsia="宋体" w:cs="Times New Roman"/>
                <w:snapToGrid w:val="0"/>
                <w:highlight w:val="none"/>
              </w:rPr>
              <w:t>照GB/T16157或HJ/T397规定执行</w:t>
            </w:r>
          </w:p>
        </w:tc>
        <w:tc>
          <w:tcPr>
            <w:tcW w:w="932"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FF0000"/>
                <w:kern w:val="0"/>
                <w:sz w:val="21"/>
                <w:szCs w:val="21"/>
                <w:highlight w:val="none"/>
                <w:lang w:val="zh-CN"/>
              </w:rPr>
            </w:pPr>
            <w:r>
              <w:rPr>
                <w:rFonts w:hint="default" w:ascii="Times New Roman" w:hAnsi="Times New Roman" w:eastAsia="宋体" w:cs="Times New Roman"/>
                <w:snapToGrid w:val="0"/>
                <w:highlight w:val="none"/>
              </w:rPr>
              <w:t>《固定汚染源排气中颗粒物测定与气态污染物采样方法》（GB/T16157-1996）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39"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FF0000"/>
                <w:kern w:val="0"/>
                <w:sz w:val="20"/>
                <w:szCs w:val="21"/>
                <w:highlight w:val="none"/>
                <w:lang w:val="zh-CN"/>
              </w:rPr>
            </w:pP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en-US" w:eastAsia="zh-CN"/>
              </w:rPr>
            </w:pPr>
          </w:p>
        </w:tc>
        <w:tc>
          <w:tcPr>
            <w:tcW w:w="453"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rPr>
              <w:t>氮氧化物</w:t>
            </w:r>
          </w:p>
        </w:tc>
        <w:tc>
          <w:tcPr>
            <w:tcW w:w="856"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FF0000"/>
                <w:kern w:val="0"/>
                <w:sz w:val="20"/>
                <w:szCs w:val="21"/>
                <w:highlight w:val="none"/>
                <w:lang w:val="zh-CN"/>
              </w:rPr>
            </w:pPr>
          </w:p>
        </w:tc>
        <w:tc>
          <w:tcPr>
            <w:tcW w:w="932"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FF0000"/>
                <w:kern w:val="0"/>
                <w:sz w:val="21"/>
                <w:szCs w:val="21"/>
                <w:highlight w:val="none"/>
                <w:lang w:val="zh-CN"/>
              </w:rPr>
            </w:pPr>
            <w:r>
              <w:rPr>
                <w:rFonts w:hint="default" w:ascii="Times New Roman" w:hAnsi="Times New Roman" w:eastAsia="宋体" w:cs="Times New Roman"/>
                <w:snapToGrid w:val="0"/>
                <w:highlight w:val="none"/>
              </w:rPr>
              <w:t>《固定汚染源排气中氮氧化物的测定 盐酸萘乙二胺分光光度法》（HJ/T 43-1999）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39"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FF0000"/>
                <w:kern w:val="0"/>
                <w:sz w:val="20"/>
                <w:szCs w:val="21"/>
                <w:highlight w:val="none"/>
                <w:lang w:val="zh-CN"/>
              </w:rPr>
            </w:pP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en-US" w:eastAsia="zh-CN"/>
              </w:rPr>
            </w:pPr>
          </w:p>
        </w:tc>
        <w:tc>
          <w:tcPr>
            <w:tcW w:w="453"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rPr>
              <w:t>二氧化硫</w:t>
            </w:r>
          </w:p>
        </w:tc>
        <w:tc>
          <w:tcPr>
            <w:tcW w:w="856"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FF0000"/>
                <w:kern w:val="0"/>
                <w:sz w:val="20"/>
                <w:szCs w:val="21"/>
                <w:highlight w:val="none"/>
                <w:lang w:val="zh-CN"/>
              </w:rPr>
            </w:pPr>
          </w:p>
        </w:tc>
        <w:tc>
          <w:tcPr>
            <w:tcW w:w="932"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FF0000"/>
                <w:kern w:val="0"/>
                <w:sz w:val="21"/>
                <w:szCs w:val="21"/>
                <w:highlight w:val="none"/>
                <w:lang w:val="zh-CN"/>
              </w:rPr>
            </w:pPr>
            <w:r>
              <w:rPr>
                <w:rFonts w:hint="default" w:ascii="Times New Roman" w:hAnsi="Times New Roman" w:eastAsia="宋体" w:cs="Times New Roman"/>
                <w:snapToGrid w:val="0"/>
                <w:highlight w:val="none"/>
              </w:rPr>
              <w:t>《固定汚染源排气中二氧化硫的测定 碘量法》（HJ/T 56-2000）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39"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FF0000"/>
                <w:kern w:val="0"/>
                <w:sz w:val="20"/>
                <w:szCs w:val="21"/>
                <w:highlight w:val="none"/>
                <w:lang w:val="zh-CN"/>
              </w:rPr>
            </w:pP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en-US" w:eastAsia="zh-CN"/>
              </w:rPr>
            </w:pPr>
          </w:p>
        </w:tc>
        <w:tc>
          <w:tcPr>
            <w:tcW w:w="453"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highlight w:val="none"/>
                <w:lang w:val="en-US"/>
              </w:rPr>
              <w:t>林格曼黑度</w:t>
            </w:r>
          </w:p>
        </w:tc>
        <w:tc>
          <w:tcPr>
            <w:tcW w:w="856"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spacing w:line="0" w:lineRule="atLeast"/>
              <w:contextualSpacing/>
              <w:jc w:val="center"/>
              <w:rPr>
                <w:rFonts w:hint="default" w:ascii="Times New Roman" w:hAnsi="Times New Roman" w:eastAsia="宋体" w:cs="Times New Roman"/>
                <w:snapToGrid w:val="0"/>
                <w:color w:val="FF0000"/>
                <w:kern w:val="0"/>
                <w:sz w:val="20"/>
                <w:szCs w:val="21"/>
                <w:highlight w:val="none"/>
                <w:lang w:val="zh-CN"/>
              </w:rPr>
            </w:pPr>
          </w:p>
        </w:tc>
        <w:tc>
          <w:tcPr>
            <w:tcW w:w="932" w:type="pct"/>
            <w:vAlign w:val="center"/>
          </w:tcPr>
          <w:p>
            <w:pPr>
              <w:adjustRightInd w:val="0"/>
              <w:snapToGrid w:val="0"/>
              <w:spacing w:line="0" w:lineRule="atLeast"/>
              <w:contextualSpacing/>
              <w:jc w:val="center"/>
              <w:rPr>
                <w:rFonts w:hint="default" w:ascii="Times New Roman" w:hAnsi="Times New Roman" w:eastAsia="宋体" w:cs="Times New Roman"/>
                <w:snapToGrid w:val="0"/>
                <w:color w:val="FF0000"/>
                <w:kern w:val="0"/>
                <w:sz w:val="21"/>
                <w:szCs w:val="21"/>
                <w:highlight w:val="none"/>
                <w:lang w:val="zh-CN"/>
              </w:rPr>
            </w:pPr>
            <w:r>
              <w:rPr>
                <w:rFonts w:hint="default" w:ascii="Times New Roman" w:hAnsi="Times New Roman" w:eastAsia="宋体" w:cs="Times New Roman"/>
                <w:snapToGrid w:val="0"/>
                <w:highlight w:val="none"/>
                <w:lang w:val="en-US"/>
              </w:rPr>
              <w:t>固定污染源排放烟气黑度的测定 林格曼烟气黑度图法 HJ/T398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139"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厂界噪声</w:t>
            </w:r>
          </w:p>
        </w:tc>
        <w:tc>
          <w:tcPr>
            <w:tcW w:w="30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厂界</w:t>
            </w:r>
          </w:p>
        </w:tc>
        <w:tc>
          <w:tcPr>
            <w:tcW w:w="453"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昼夜噪声等效A声级</w:t>
            </w:r>
          </w:p>
        </w:tc>
        <w:tc>
          <w:tcPr>
            <w:tcW w:w="856"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选用低噪声设备、厂房隔声、基础减振、绿化降噪措施</w:t>
            </w:r>
          </w:p>
        </w:tc>
        <w:tc>
          <w:tcPr>
            <w:tcW w:w="35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厂界外1m，高度1.2m以上</w:t>
            </w:r>
          </w:p>
        </w:tc>
        <w:tc>
          <w:tcPr>
            <w:tcW w:w="654"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bCs/>
                <w:snapToGrid w:val="0"/>
                <w:color w:val="auto"/>
                <w:kern w:val="0"/>
                <w:sz w:val="21"/>
                <w:szCs w:val="21"/>
                <w:highlight w:val="none"/>
              </w:rPr>
              <w:t>《工业企业厂界环境噪声排放标准》（GB12348-2008）表1中2类标准</w:t>
            </w:r>
          </w:p>
        </w:tc>
        <w:tc>
          <w:tcPr>
            <w:tcW w:w="35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1次/季度</w:t>
            </w:r>
          </w:p>
        </w:tc>
        <w:tc>
          <w:tcPr>
            <w:tcW w:w="30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手工监测技术</w:t>
            </w:r>
          </w:p>
        </w:tc>
        <w:tc>
          <w:tcPr>
            <w:tcW w:w="654"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参照《工业企业厂界环境噪声排放标准》（GB12348-2008）</w:t>
            </w:r>
          </w:p>
        </w:tc>
        <w:tc>
          <w:tcPr>
            <w:tcW w:w="93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参照《工业企业厂界环境噪声排放标准》（GB12348-2008）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39"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废水</w:t>
            </w:r>
          </w:p>
        </w:tc>
        <w:tc>
          <w:tcPr>
            <w:tcW w:w="302"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废水总排口</w:t>
            </w:r>
          </w:p>
        </w:tc>
        <w:tc>
          <w:tcPr>
            <w:tcW w:w="453"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pH</w:t>
            </w:r>
          </w:p>
        </w:tc>
        <w:tc>
          <w:tcPr>
            <w:tcW w:w="856"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cs="Times New Roman"/>
                <w:color w:val="auto"/>
                <w:szCs w:val="21"/>
                <w:lang w:val="en-US" w:eastAsia="zh-CN"/>
              </w:rPr>
              <w:t>项目产生的废水经管道送入厂内污水处理站，污水处理站采用沉淀池+气浮池+调节池+水解酸化+好氧生物池+MBR膜池+污泥消化池+消毒工艺处理后，废水满足《肉类加工工业水污染物排放标准》</w:t>
            </w:r>
            <w:r>
              <w:rPr>
                <w:rFonts w:hint="default" w:ascii="Times New Roman" w:hAnsi="Times New Roman" w:cs="Times New Roman"/>
                <w:color w:val="auto"/>
                <w:szCs w:val="21"/>
              </w:rPr>
              <w:t>（GB13457-92）表3</w:t>
            </w:r>
            <w:r>
              <w:rPr>
                <w:rFonts w:hint="default" w:ascii="Times New Roman" w:hAnsi="Times New Roman" w:cs="Times New Roman"/>
                <w:color w:val="auto"/>
                <w:szCs w:val="21"/>
                <w:lang w:val="en-US" w:eastAsia="zh-CN"/>
              </w:rPr>
              <w:t>中畜类屠宰加工及肉制品加工三级标准及兴隆镇污水处理厂设计进水水质指标的要求后排入兴隆镇污水处理厂处理，</w:t>
            </w:r>
            <w:r>
              <w:rPr>
                <w:rFonts w:hint="eastAsia" w:ascii="Times New Roman" w:hAnsi="Times New Roman" w:cs="Times New Roman"/>
                <w:color w:val="auto"/>
                <w:szCs w:val="21"/>
                <w:lang w:val="en-US" w:eastAsia="zh-CN"/>
              </w:rPr>
              <w:t>排入泥河</w:t>
            </w:r>
            <w:r>
              <w:rPr>
                <w:rFonts w:hint="default" w:ascii="Times New Roman" w:hAnsi="Times New Roman" w:cs="Times New Roman"/>
                <w:color w:val="auto"/>
                <w:szCs w:val="21"/>
                <w:lang w:val="en-US" w:eastAsia="zh-CN"/>
              </w:rPr>
              <w:t>。</w:t>
            </w:r>
          </w:p>
        </w:tc>
        <w:tc>
          <w:tcPr>
            <w:tcW w:w="352"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污水排放口（DW001）</w:t>
            </w:r>
          </w:p>
        </w:tc>
        <w:tc>
          <w:tcPr>
            <w:tcW w:w="654" w:type="pct"/>
            <w:vMerge w:val="restart"/>
            <w:vAlign w:val="center"/>
          </w:tcPr>
          <w:p>
            <w:pPr>
              <w:adjustRightInd w:val="0"/>
              <w:snapToGrid w:val="0"/>
              <w:jc w:val="center"/>
              <w:rPr>
                <w:rFonts w:hint="eastAsia"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bCs/>
                <w:snapToGrid w:val="0"/>
                <w:color w:val="auto"/>
                <w:kern w:val="0"/>
                <w:sz w:val="21"/>
                <w:szCs w:val="21"/>
                <w:highlight w:val="none"/>
              </w:rPr>
              <w:t>《肉类加工工业水污染物排放标准》（GB13457-92）表3三级畜类屠宰加工标准限值</w:t>
            </w:r>
            <w:r>
              <w:rPr>
                <w:rFonts w:hint="eastAsia" w:ascii="Times New Roman" w:hAnsi="Times New Roman" w:eastAsia="宋体" w:cs="Times New Roman"/>
                <w:bCs/>
                <w:snapToGrid w:val="0"/>
                <w:color w:val="auto"/>
                <w:kern w:val="0"/>
                <w:sz w:val="21"/>
                <w:szCs w:val="21"/>
                <w:highlight w:val="none"/>
                <w:lang w:val="en-US" w:eastAsia="zh-CN"/>
              </w:rPr>
              <w:t>及</w:t>
            </w:r>
            <w:r>
              <w:rPr>
                <w:rFonts w:hint="default" w:ascii="Times New Roman" w:hAnsi="Times New Roman" w:cs="Times New Roman"/>
                <w:color w:val="auto"/>
                <w:szCs w:val="21"/>
                <w:lang w:val="en-US" w:eastAsia="zh-CN"/>
              </w:rPr>
              <w:t>兴隆镇污水处理厂设计进水水质指标</w:t>
            </w:r>
          </w:p>
        </w:tc>
        <w:tc>
          <w:tcPr>
            <w:tcW w:w="35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自动监测</w:t>
            </w:r>
          </w:p>
        </w:tc>
        <w:tc>
          <w:tcPr>
            <w:tcW w:w="30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在线监测</w:t>
            </w:r>
          </w:p>
        </w:tc>
        <w:tc>
          <w:tcPr>
            <w:tcW w:w="654"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参照HJ/T353、HJ/T354、HJ/T355</w:t>
            </w:r>
          </w:p>
        </w:tc>
        <w:tc>
          <w:tcPr>
            <w:tcW w:w="93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水质 pH的测定 玻璃电极法 GB 6920-1986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39"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453"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化学需氧量</w:t>
            </w:r>
          </w:p>
        </w:tc>
        <w:tc>
          <w:tcPr>
            <w:tcW w:w="856"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自动监测</w:t>
            </w:r>
          </w:p>
        </w:tc>
        <w:tc>
          <w:tcPr>
            <w:tcW w:w="30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在线监测</w:t>
            </w: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93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水质 化学需氧量的测定 重铬酸盐法 HJ 828-2017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39"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453"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氨氮</w:t>
            </w:r>
          </w:p>
        </w:tc>
        <w:tc>
          <w:tcPr>
            <w:tcW w:w="856"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自动监测</w:t>
            </w:r>
          </w:p>
        </w:tc>
        <w:tc>
          <w:tcPr>
            <w:tcW w:w="30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在线监测</w:t>
            </w: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93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水质 氨氮的测定 纳氏试剂分光光度法 HJ 535-2009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39"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453"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五日生化需氧量</w:t>
            </w:r>
          </w:p>
        </w:tc>
        <w:tc>
          <w:tcPr>
            <w:tcW w:w="856"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1次/季度</w:t>
            </w:r>
          </w:p>
        </w:tc>
        <w:tc>
          <w:tcPr>
            <w:tcW w:w="30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手工监测技术</w:t>
            </w:r>
          </w:p>
        </w:tc>
        <w:tc>
          <w:tcPr>
            <w:tcW w:w="654"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参照HJ494、HJ495、HJ/T91</w:t>
            </w:r>
          </w:p>
        </w:tc>
        <w:tc>
          <w:tcPr>
            <w:tcW w:w="93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水质 五日生化需氧量（BOD</w:t>
            </w:r>
            <w:r>
              <w:rPr>
                <w:rFonts w:hint="default" w:ascii="Times New Roman" w:hAnsi="Times New Roman" w:eastAsia="宋体" w:cs="Times New Roman"/>
                <w:snapToGrid w:val="0"/>
                <w:color w:val="auto"/>
                <w:kern w:val="0"/>
                <w:sz w:val="21"/>
                <w:szCs w:val="21"/>
                <w:highlight w:val="none"/>
                <w:vertAlign w:val="subscript"/>
              </w:rPr>
              <w:t>5</w:t>
            </w:r>
            <w:r>
              <w:rPr>
                <w:rFonts w:hint="default" w:ascii="Times New Roman" w:hAnsi="Times New Roman" w:eastAsia="宋体" w:cs="Times New Roman"/>
                <w:snapToGrid w:val="0"/>
                <w:color w:val="auto"/>
                <w:kern w:val="0"/>
                <w:sz w:val="21"/>
                <w:szCs w:val="21"/>
                <w:highlight w:val="none"/>
              </w:rPr>
              <w:t>）的测定 稀释与接种法 HJ 505-2009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39"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453"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悬浮物</w:t>
            </w:r>
          </w:p>
        </w:tc>
        <w:tc>
          <w:tcPr>
            <w:tcW w:w="856"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1次/季度</w:t>
            </w:r>
          </w:p>
        </w:tc>
        <w:tc>
          <w:tcPr>
            <w:tcW w:w="30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手工监测技术</w:t>
            </w: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93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水质悬浮物的测定 多管发酵法和滤膜法 HJ/T 347-2007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39"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453"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动植物油</w:t>
            </w:r>
          </w:p>
        </w:tc>
        <w:tc>
          <w:tcPr>
            <w:tcW w:w="856"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1次/季度</w:t>
            </w:r>
          </w:p>
        </w:tc>
        <w:tc>
          <w:tcPr>
            <w:tcW w:w="30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手工监测技术</w:t>
            </w: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93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水质动植物油的测定 分光光度法 HJ 506-2009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39"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453"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大肠菌群数</w:t>
            </w:r>
          </w:p>
        </w:tc>
        <w:tc>
          <w:tcPr>
            <w:tcW w:w="856"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1次/季度</w:t>
            </w:r>
          </w:p>
        </w:tc>
        <w:tc>
          <w:tcPr>
            <w:tcW w:w="30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手工监测技术</w:t>
            </w: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93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水质 粪大肠菌群的测定 多管发酵法和滤膜法 HJ/T 347-2007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39"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雨水排放口</w:t>
            </w:r>
          </w:p>
        </w:tc>
        <w:tc>
          <w:tcPr>
            <w:tcW w:w="453"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化学需氧量</w:t>
            </w:r>
          </w:p>
        </w:tc>
        <w:tc>
          <w:tcPr>
            <w:tcW w:w="856"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w:t>
            </w:r>
          </w:p>
        </w:tc>
        <w:tc>
          <w:tcPr>
            <w:tcW w:w="352"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雨水排放口</w:t>
            </w:r>
          </w:p>
        </w:tc>
        <w:tc>
          <w:tcPr>
            <w:tcW w:w="654"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w:t>
            </w:r>
          </w:p>
        </w:tc>
        <w:tc>
          <w:tcPr>
            <w:tcW w:w="352"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1次/日</w:t>
            </w:r>
          </w:p>
        </w:tc>
        <w:tc>
          <w:tcPr>
            <w:tcW w:w="302" w:type="pct"/>
            <w:vMerge w:val="restar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手工监测技术</w:t>
            </w: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93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水质 化学需氧量的测定 重铬酸盐法 HJ 828-2017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39"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453"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悬浮物</w:t>
            </w:r>
          </w:p>
        </w:tc>
        <w:tc>
          <w:tcPr>
            <w:tcW w:w="856"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5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302"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654" w:type="pct"/>
            <w:vMerge w:val="continue"/>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p>
        </w:tc>
        <w:tc>
          <w:tcPr>
            <w:tcW w:w="93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水质悬浮物的测定 多管发酵法和滤膜法 HJ/T 347-2007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139"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地下水</w:t>
            </w:r>
          </w:p>
        </w:tc>
        <w:tc>
          <w:tcPr>
            <w:tcW w:w="302" w:type="pct"/>
            <w:vAlign w:val="center"/>
          </w:tcPr>
          <w:p>
            <w:pPr>
              <w:adjustRightInd w:val="0"/>
              <w:snapToGrid w:val="0"/>
              <w:jc w:val="center"/>
              <w:rPr>
                <w:rFonts w:hint="default" w:ascii="Times New Roman" w:hAnsi="Times New Roman" w:eastAsia="宋体" w:cs="Times New Roman"/>
                <w:b/>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设置跟踪监测井</w:t>
            </w:r>
          </w:p>
        </w:tc>
        <w:tc>
          <w:tcPr>
            <w:tcW w:w="453"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rPr>
              <w:t>COD、氨氮</w:t>
            </w:r>
            <w:r>
              <w:rPr>
                <w:rFonts w:hint="eastAsia" w:ascii="Times New Roman" w:hAnsi="Times New Roman" w:eastAsia="宋体" w:cs="Times New Roman"/>
                <w:snapToGrid w:val="0"/>
                <w:color w:val="auto"/>
                <w:kern w:val="0"/>
                <w:sz w:val="21"/>
                <w:szCs w:val="21"/>
                <w:highlight w:val="none"/>
                <w:lang w:eastAsia="zh-CN"/>
              </w:rPr>
              <w:t>、</w:t>
            </w:r>
            <w:r>
              <w:rPr>
                <w:rFonts w:hint="eastAsia" w:ascii="Times New Roman" w:hAnsi="Times New Roman" w:eastAsia="宋体" w:cs="Times New Roman"/>
                <w:snapToGrid w:val="0"/>
                <w:color w:val="auto"/>
                <w:kern w:val="0"/>
                <w:sz w:val="21"/>
                <w:szCs w:val="21"/>
                <w:highlight w:val="none"/>
                <w:lang w:val="en-US" w:eastAsia="zh-CN"/>
              </w:rPr>
              <w:t>石油类</w:t>
            </w:r>
          </w:p>
        </w:tc>
        <w:tc>
          <w:tcPr>
            <w:tcW w:w="856"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eastAsia" w:ascii="Times New Roman" w:hAnsi="Times New Roman" w:eastAsia="宋体" w:cs="Times New Roman"/>
                <w:snapToGrid w:val="0"/>
                <w:color w:val="auto"/>
                <w:kern w:val="0"/>
                <w:sz w:val="21"/>
                <w:szCs w:val="21"/>
                <w:highlight w:val="none"/>
                <w:lang w:val="en-US" w:eastAsia="zh-CN"/>
              </w:rPr>
              <w:t>柴油储罐周边</w:t>
            </w:r>
            <w:r>
              <w:rPr>
                <w:rFonts w:hint="default" w:ascii="Times New Roman" w:hAnsi="Times New Roman" w:eastAsia="宋体" w:cs="Times New Roman"/>
                <w:snapToGrid w:val="0"/>
                <w:color w:val="auto"/>
                <w:kern w:val="0"/>
                <w:sz w:val="21"/>
                <w:szCs w:val="21"/>
                <w:highlight w:val="none"/>
              </w:rPr>
              <w:t>按重点防渗区采取防渗措施；</w:t>
            </w:r>
            <w:r>
              <w:rPr>
                <w:rFonts w:hint="default" w:ascii="Times New Roman" w:hAnsi="Times New Roman" w:eastAsia="宋体" w:cs="Times New Roman"/>
                <w:snapToGrid w:val="0"/>
                <w:color w:val="auto"/>
                <w:kern w:val="0"/>
                <w:sz w:val="21"/>
                <w:szCs w:val="21"/>
                <w:highlight w:val="none"/>
                <w:lang w:val="en-US" w:eastAsia="zh-CN"/>
              </w:rPr>
              <w:t>急宰间、</w:t>
            </w:r>
            <w:r>
              <w:rPr>
                <w:rFonts w:hint="default" w:ascii="Times New Roman" w:hAnsi="Times New Roman" w:eastAsia="宋体" w:cs="Times New Roman"/>
                <w:snapToGrid w:val="0"/>
                <w:color w:val="auto"/>
                <w:kern w:val="0"/>
                <w:sz w:val="21"/>
                <w:szCs w:val="21"/>
                <w:highlight w:val="none"/>
              </w:rPr>
              <w:t>待宰</w:t>
            </w:r>
            <w:r>
              <w:rPr>
                <w:rFonts w:hint="eastAsia" w:ascii="Times New Roman" w:hAnsi="Times New Roman" w:eastAsia="宋体" w:cs="Times New Roman"/>
                <w:snapToGrid w:val="0"/>
                <w:color w:val="auto"/>
                <w:kern w:val="0"/>
                <w:sz w:val="21"/>
                <w:szCs w:val="21"/>
                <w:highlight w:val="none"/>
                <w:lang w:val="en-US" w:eastAsia="zh-CN"/>
              </w:rPr>
              <w:t>圈</w:t>
            </w:r>
            <w:r>
              <w:rPr>
                <w:rFonts w:hint="default" w:ascii="Times New Roman" w:hAnsi="Times New Roman" w:eastAsia="宋体" w:cs="Times New Roman"/>
                <w:snapToGrid w:val="0"/>
                <w:color w:val="auto"/>
                <w:kern w:val="0"/>
                <w:sz w:val="21"/>
                <w:szCs w:val="21"/>
                <w:highlight w:val="none"/>
              </w:rPr>
              <w:t>、屠宰</w:t>
            </w:r>
            <w:r>
              <w:rPr>
                <w:rFonts w:hint="eastAsia" w:ascii="Times New Roman" w:hAnsi="Times New Roman" w:eastAsia="宋体" w:cs="Times New Roman"/>
                <w:snapToGrid w:val="0"/>
                <w:color w:val="auto"/>
                <w:kern w:val="0"/>
                <w:sz w:val="21"/>
                <w:szCs w:val="21"/>
                <w:highlight w:val="none"/>
                <w:lang w:val="en-US" w:eastAsia="zh-CN"/>
              </w:rPr>
              <w:t>加工</w:t>
            </w:r>
            <w:r>
              <w:rPr>
                <w:rFonts w:hint="default" w:ascii="Times New Roman" w:hAnsi="Times New Roman" w:eastAsia="宋体" w:cs="Times New Roman"/>
                <w:snapToGrid w:val="0"/>
                <w:color w:val="auto"/>
                <w:kern w:val="0"/>
                <w:sz w:val="21"/>
                <w:szCs w:val="21"/>
                <w:highlight w:val="none"/>
              </w:rPr>
              <w:t>车间、</w:t>
            </w:r>
            <w:r>
              <w:rPr>
                <w:rFonts w:hint="default" w:ascii="Times New Roman" w:hAnsi="Times New Roman" w:eastAsia="宋体" w:cs="Times New Roman"/>
                <w:snapToGrid w:val="0"/>
                <w:color w:val="auto"/>
                <w:kern w:val="0"/>
                <w:sz w:val="21"/>
                <w:szCs w:val="21"/>
                <w:highlight w:val="none"/>
                <w:lang w:val="en-GB"/>
              </w:rPr>
              <w:t>冷库、</w:t>
            </w:r>
            <w:r>
              <w:rPr>
                <w:rFonts w:hint="default" w:ascii="Times New Roman" w:hAnsi="Times New Roman" w:eastAsia="宋体" w:cs="Times New Roman"/>
                <w:snapToGrid w:val="0"/>
                <w:color w:val="auto"/>
                <w:kern w:val="0"/>
                <w:sz w:val="21"/>
                <w:szCs w:val="21"/>
                <w:highlight w:val="none"/>
              </w:rPr>
              <w:t>污水处理站、事故池按一般防渗区采取防渗措施；</w:t>
            </w:r>
            <w:r>
              <w:rPr>
                <w:rFonts w:hint="default" w:ascii="Times New Roman" w:hAnsi="Times New Roman" w:eastAsia="宋体" w:cs="Times New Roman"/>
                <w:snapToGrid w:val="0"/>
                <w:color w:val="auto"/>
                <w:kern w:val="0"/>
                <w:sz w:val="21"/>
                <w:szCs w:val="21"/>
                <w:highlight w:val="none"/>
                <w:lang w:val="en-GB" w:eastAsia="zh-CN"/>
              </w:rPr>
              <w:t>办公楼</w:t>
            </w:r>
            <w:r>
              <w:rPr>
                <w:rFonts w:hint="default" w:ascii="Times New Roman" w:hAnsi="Times New Roman" w:eastAsia="宋体" w:cs="Times New Roman"/>
                <w:snapToGrid w:val="0"/>
                <w:color w:val="auto"/>
                <w:kern w:val="0"/>
                <w:sz w:val="21"/>
                <w:szCs w:val="21"/>
                <w:highlight w:val="none"/>
                <w:lang w:val="en-GB"/>
              </w:rPr>
              <w:t>、</w:t>
            </w:r>
            <w:r>
              <w:rPr>
                <w:rFonts w:hint="eastAsia" w:ascii="Times New Roman" w:hAnsi="Times New Roman" w:eastAsia="宋体" w:cs="Times New Roman"/>
                <w:snapToGrid w:val="0"/>
                <w:color w:val="auto"/>
                <w:kern w:val="0"/>
                <w:sz w:val="21"/>
                <w:szCs w:val="21"/>
                <w:highlight w:val="none"/>
                <w:lang w:val="en-US" w:eastAsia="zh-CN"/>
              </w:rPr>
              <w:t>宿舍、</w:t>
            </w:r>
            <w:r>
              <w:rPr>
                <w:rFonts w:hint="default" w:ascii="Times New Roman" w:hAnsi="Times New Roman" w:eastAsia="宋体" w:cs="Times New Roman"/>
                <w:snapToGrid w:val="0"/>
                <w:color w:val="auto"/>
                <w:kern w:val="0"/>
                <w:sz w:val="21"/>
                <w:szCs w:val="21"/>
                <w:highlight w:val="none"/>
                <w:lang w:val="en-GB"/>
              </w:rPr>
              <w:t>库房等</w:t>
            </w:r>
            <w:r>
              <w:rPr>
                <w:rFonts w:hint="default" w:ascii="Times New Roman" w:hAnsi="Times New Roman" w:eastAsia="宋体" w:cs="Times New Roman"/>
                <w:snapToGrid w:val="0"/>
                <w:color w:val="auto"/>
                <w:kern w:val="0"/>
                <w:sz w:val="21"/>
                <w:szCs w:val="21"/>
                <w:highlight w:val="none"/>
              </w:rPr>
              <w:t>采取简单防渗</w:t>
            </w:r>
          </w:p>
        </w:tc>
        <w:tc>
          <w:tcPr>
            <w:tcW w:w="35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设置跟踪监测井</w:t>
            </w:r>
          </w:p>
        </w:tc>
        <w:tc>
          <w:tcPr>
            <w:tcW w:w="654"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w:t>
            </w:r>
          </w:p>
        </w:tc>
        <w:tc>
          <w:tcPr>
            <w:tcW w:w="35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每年1次</w:t>
            </w:r>
          </w:p>
        </w:tc>
        <w:tc>
          <w:tcPr>
            <w:tcW w:w="30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手工监测技术</w:t>
            </w:r>
          </w:p>
        </w:tc>
        <w:tc>
          <w:tcPr>
            <w:tcW w:w="654"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rPr>
              <w:t>参照HJ610-2016</w:t>
            </w:r>
          </w:p>
        </w:tc>
        <w:tc>
          <w:tcPr>
            <w:tcW w:w="932" w:type="pct"/>
            <w:vAlign w:val="center"/>
          </w:tcPr>
          <w:p>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zh-CN"/>
              </w:rPr>
              <w:t>参照《地下水质量标准》（GB/T14848-2017）、</w:t>
            </w:r>
            <w:r>
              <w:rPr>
                <w:rFonts w:hint="default" w:ascii="Times New Roman" w:hAnsi="Times New Roman" w:eastAsia="宋体" w:cs="Times New Roman"/>
                <w:snapToGrid w:val="0"/>
                <w:color w:val="auto"/>
                <w:kern w:val="0"/>
                <w:szCs w:val="21"/>
                <w:highlight w:val="none"/>
              </w:rPr>
              <w:t>《地表水环境质量标准》（GB3838-2002）</w:t>
            </w:r>
          </w:p>
        </w:tc>
      </w:tr>
    </w:tbl>
    <w:p>
      <w:pPr>
        <w:pStyle w:val="29"/>
        <w:rPr>
          <w:rFonts w:hint="default" w:ascii="Times New Roman" w:hAnsi="Times New Roman" w:eastAsia="宋体" w:cs="Times New Roman"/>
          <w:highlight w:val="yellow"/>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pPr>
        <w:spacing w:line="360" w:lineRule="auto"/>
        <w:ind w:firstLine="480" w:firstLineChars="200"/>
        <w:contextualSpacing/>
        <w:jc w:val="both"/>
        <w:outlineLvl w:val="1"/>
        <w:rPr>
          <w:rFonts w:hint="default" w:ascii="Times New Roman" w:hAnsi="Times New Roman" w:eastAsia="宋体" w:cs="Times New Roman"/>
          <w:color w:val="auto"/>
          <w:sz w:val="24"/>
          <w:highlight w:val="none"/>
        </w:rPr>
      </w:pPr>
      <w:bookmarkStart w:id="495" w:name="_Toc8939"/>
      <w:bookmarkStart w:id="496" w:name="_Toc20559"/>
      <w:r>
        <w:rPr>
          <w:rFonts w:hint="default" w:ascii="Times New Roman" w:hAnsi="Times New Roman" w:eastAsia="宋体" w:cs="Times New Roman"/>
          <w:color w:val="auto"/>
          <w:sz w:val="24"/>
          <w:highlight w:val="none"/>
        </w:rPr>
        <w:t>（2）信息报告</w:t>
      </w:r>
      <w:bookmarkEnd w:id="495"/>
      <w:bookmarkEnd w:id="496"/>
    </w:p>
    <w:p>
      <w:pPr>
        <w:spacing w:line="360" w:lineRule="auto"/>
        <w:ind w:firstLine="480" w:firstLineChars="200"/>
        <w:contextualSpacing/>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排污单位应编写自行监测年度报告，年度报告至少应包含以下内容：</w:t>
      </w:r>
    </w:p>
    <w:p>
      <w:pPr>
        <w:spacing w:line="360" w:lineRule="auto"/>
        <w:ind w:firstLine="480" w:firstLineChars="200"/>
        <w:contextualSpacing/>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a）监测方案的调整变化情况及变更原因；</w:t>
      </w:r>
    </w:p>
    <w:p>
      <w:pPr>
        <w:spacing w:line="360" w:lineRule="auto"/>
        <w:ind w:firstLine="480" w:firstLineChars="200"/>
        <w:contextualSpacing/>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b）企业及各主要生产设施（至少涵盖废气主要污染源相关生产设施）全年运行天数，各监测点、各监测指标全年监测次数、超标情况、浓度分布情况；</w:t>
      </w:r>
    </w:p>
    <w:p>
      <w:pPr>
        <w:spacing w:line="360" w:lineRule="auto"/>
        <w:ind w:firstLine="480" w:firstLineChars="200"/>
        <w:contextualSpacing/>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c）按要求开展的周边环境质量影响状况监测结果；</w:t>
      </w:r>
    </w:p>
    <w:p>
      <w:pPr>
        <w:spacing w:line="360" w:lineRule="auto"/>
        <w:ind w:firstLine="480" w:firstLineChars="200"/>
        <w:contextualSpacing/>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d）自行监测开展的其他情况说明；</w:t>
      </w:r>
    </w:p>
    <w:p>
      <w:pPr>
        <w:spacing w:line="360" w:lineRule="auto"/>
        <w:ind w:firstLine="480" w:firstLineChars="200"/>
        <w:contextualSpacing/>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e）排污单位实现达标排放所采取的主要措施。</w:t>
      </w:r>
    </w:p>
    <w:p>
      <w:pPr>
        <w:spacing w:line="360" w:lineRule="auto"/>
        <w:ind w:firstLine="480" w:firstLineChars="200"/>
        <w:contextualSpacing/>
        <w:jc w:val="both"/>
        <w:outlineLvl w:val="1"/>
        <w:rPr>
          <w:rFonts w:hint="default" w:ascii="Times New Roman" w:hAnsi="Times New Roman" w:eastAsia="宋体" w:cs="Times New Roman"/>
          <w:color w:val="auto"/>
          <w:sz w:val="24"/>
          <w:highlight w:val="none"/>
        </w:rPr>
      </w:pPr>
      <w:bookmarkStart w:id="497" w:name="_Toc25667"/>
      <w:bookmarkStart w:id="498" w:name="_Toc20698"/>
      <w:r>
        <w:rPr>
          <w:rFonts w:hint="default" w:ascii="Times New Roman" w:hAnsi="Times New Roman" w:eastAsia="宋体" w:cs="Times New Roman"/>
          <w:color w:val="auto"/>
          <w:sz w:val="24"/>
          <w:highlight w:val="none"/>
        </w:rPr>
        <w:t>（3）应急报告</w:t>
      </w:r>
      <w:bookmarkEnd w:id="497"/>
      <w:bookmarkEnd w:id="498"/>
    </w:p>
    <w:p>
      <w:pPr>
        <w:spacing w:line="360" w:lineRule="auto"/>
        <w:ind w:firstLine="480" w:firstLineChars="200"/>
        <w:contextualSpacing/>
        <w:jc w:val="both"/>
        <w:rPr>
          <w:rFonts w:hint="default" w:ascii="Times New Roman" w:hAnsi="Times New Roman" w:eastAsia="宋体" w:cs="Times New Roman"/>
          <w:snapToGrid w:val="0"/>
          <w:color w:val="auto"/>
          <w:sz w:val="24"/>
          <w:highlight w:val="none"/>
        </w:rPr>
      </w:pPr>
      <w:r>
        <w:rPr>
          <w:rFonts w:hint="default" w:ascii="Times New Roman" w:hAnsi="Times New Roman" w:eastAsia="宋体" w:cs="Times New Roman"/>
          <w:snapToGrid w:val="0"/>
          <w:color w:val="auto"/>
          <w:sz w:val="24"/>
          <w:highlight w:val="none"/>
        </w:rPr>
        <w:t>监测结果出现超标的，排污单位应加密监测，并检查超标原因。短期内无法实现稳定达标排放的，应向环境保护主管部门提交事故分析报告，说明事故发生的原因，采取减轻或防止污染的措施，以及今后的预防及改进措施等。</w:t>
      </w:r>
    </w:p>
    <w:p>
      <w:pPr>
        <w:spacing w:line="360" w:lineRule="auto"/>
        <w:ind w:firstLine="480" w:firstLineChars="200"/>
        <w:contextualSpacing/>
        <w:jc w:val="both"/>
        <w:outlineLvl w:val="1"/>
        <w:rPr>
          <w:rFonts w:hint="default" w:ascii="Times New Roman" w:hAnsi="Times New Roman" w:eastAsia="宋体" w:cs="Times New Roman"/>
          <w:snapToGrid w:val="0"/>
          <w:color w:val="auto"/>
          <w:sz w:val="24"/>
          <w:highlight w:val="none"/>
        </w:rPr>
      </w:pPr>
      <w:bookmarkStart w:id="499" w:name="_Toc10392"/>
      <w:bookmarkStart w:id="500" w:name="_Toc28918"/>
      <w:r>
        <w:rPr>
          <w:rFonts w:hint="default" w:ascii="Times New Roman" w:hAnsi="Times New Roman" w:eastAsia="宋体" w:cs="Times New Roman"/>
          <w:snapToGrid w:val="0"/>
          <w:color w:val="auto"/>
          <w:sz w:val="24"/>
          <w:highlight w:val="none"/>
        </w:rPr>
        <w:t>（4）信息公开</w:t>
      </w:r>
      <w:bookmarkEnd w:id="499"/>
      <w:bookmarkEnd w:id="500"/>
    </w:p>
    <w:p>
      <w:pPr>
        <w:spacing w:line="360" w:lineRule="auto"/>
        <w:ind w:firstLine="480" w:firstLineChars="200"/>
        <w:contextualSpacing/>
        <w:jc w:val="both"/>
        <w:rPr>
          <w:rFonts w:hint="default" w:ascii="Times New Roman" w:hAnsi="Times New Roman" w:eastAsia="宋体" w:cs="Times New Roman"/>
          <w:snapToGrid w:val="0"/>
          <w:color w:val="auto"/>
          <w:sz w:val="24"/>
          <w:highlight w:val="none"/>
        </w:rPr>
      </w:pPr>
      <w:r>
        <w:rPr>
          <w:rFonts w:hint="default" w:ascii="Times New Roman" w:hAnsi="Times New Roman" w:eastAsia="宋体" w:cs="Times New Roman"/>
          <w:snapToGrid w:val="0"/>
          <w:color w:val="auto"/>
          <w:sz w:val="24"/>
          <w:highlight w:val="none"/>
        </w:rPr>
        <w:t>排污单位自行监测信息公开内容及方式按照《企业事业单位环境信息公开办法》（环境保护部令第31号）、《国家重点监控企业自行监测及信息公开办法（试行）》（环发[2013]81号）、</w:t>
      </w:r>
      <w:r>
        <w:rPr>
          <w:rFonts w:hint="default" w:ascii="Times New Roman" w:hAnsi="Times New Roman" w:eastAsia="宋体" w:cs="Times New Roman"/>
          <w:snapToGrid w:val="0"/>
          <w:color w:val="auto"/>
          <w:kern w:val="0"/>
          <w:sz w:val="24"/>
          <w:highlight w:val="none"/>
        </w:rPr>
        <w:t>《排污单位自行监测技术指南总则》（HJ819-2017）</w:t>
      </w:r>
      <w:r>
        <w:rPr>
          <w:rFonts w:hint="default" w:ascii="Times New Roman" w:hAnsi="Times New Roman" w:eastAsia="宋体" w:cs="Times New Roman"/>
          <w:snapToGrid w:val="0"/>
          <w:color w:val="auto"/>
          <w:sz w:val="24"/>
          <w:highlight w:val="none"/>
        </w:rPr>
        <w:t>执行。非重点排污单位的信息公开要求由地方环境保护主管部门确定。</w:t>
      </w:r>
    </w:p>
    <w:p>
      <w:pPr>
        <w:keepNext/>
        <w:keepLines/>
        <w:spacing w:line="360" w:lineRule="auto"/>
        <w:contextualSpacing/>
        <w:jc w:val="both"/>
        <w:outlineLvl w:val="1"/>
        <w:rPr>
          <w:rFonts w:hint="default" w:ascii="Times New Roman" w:hAnsi="Times New Roman" w:eastAsia="宋体" w:cs="Times New Roman"/>
          <w:bCs/>
          <w:snapToGrid w:val="0"/>
          <w:color w:val="auto"/>
          <w:kern w:val="0"/>
          <w:sz w:val="28"/>
          <w:szCs w:val="32"/>
          <w:highlight w:val="none"/>
        </w:rPr>
      </w:pPr>
      <w:bookmarkStart w:id="501" w:name="_Toc11758579"/>
      <w:bookmarkStart w:id="502" w:name="_Toc10895"/>
      <w:bookmarkStart w:id="503" w:name="_Toc14770"/>
      <w:r>
        <w:rPr>
          <w:rFonts w:hint="default" w:ascii="Times New Roman" w:hAnsi="Times New Roman" w:eastAsia="宋体" w:cs="Times New Roman"/>
          <w:bCs/>
          <w:snapToGrid w:val="0"/>
          <w:color w:val="auto"/>
          <w:kern w:val="0"/>
          <w:sz w:val="28"/>
          <w:szCs w:val="32"/>
          <w:highlight w:val="none"/>
        </w:rPr>
        <w:t>8.3环境保护竣工验收</w:t>
      </w:r>
      <w:bookmarkEnd w:id="501"/>
      <w:bookmarkEnd w:id="502"/>
      <w:bookmarkEnd w:id="503"/>
    </w:p>
    <w:p>
      <w:pPr>
        <w:spacing w:line="360" w:lineRule="auto"/>
        <w:ind w:firstLine="480" w:firstLineChars="200"/>
        <w:contextualSpacing/>
        <w:jc w:val="both"/>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本项目中的污染防治措施必须与主体工程同时设计、同时施工、同时投产使用。防治污染的设施必须经原审批环境影响报告书的环境保护行政主管部门验收合格后，项目方可投入生产和使用。</w:t>
      </w:r>
    </w:p>
    <w:p>
      <w:pPr>
        <w:spacing w:line="360" w:lineRule="auto"/>
        <w:ind w:firstLine="480" w:firstLineChars="200"/>
        <w:contextualSpacing/>
        <w:jc w:val="both"/>
        <w:rPr>
          <w:rFonts w:hint="default" w:ascii="Times New Roman" w:hAnsi="Times New Roman" w:eastAsia="宋体" w:cs="Times New Roman"/>
          <w:snapToGrid w:val="0"/>
          <w:color w:val="auto"/>
          <w:kern w:val="0"/>
          <w:sz w:val="24"/>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Times New Roman" w:hAnsi="Times New Roman" w:eastAsia="宋体" w:cs="Times New Roman"/>
          <w:snapToGrid w:val="0"/>
          <w:color w:val="auto"/>
          <w:kern w:val="0"/>
          <w:sz w:val="24"/>
          <w:highlight w:val="none"/>
        </w:rPr>
        <w:t>拟建项目建成后，环境保护措施竣工验收情况详见表8-3-1。</w:t>
      </w:r>
    </w:p>
    <w:p>
      <w:pPr>
        <w:spacing w:line="360" w:lineRule="auto"/>
        <w:contextualSpacing/>
        <w:jc w:val="center"/>
        <w:rPr>
          <w:rFonts w:hint="default" w:ascii="Times New Roman" w:hAnsi="Times New Roman" w:eastAsia="宋体" w:cs="Times New Roman"/>
          <w:b/>
          <w:snapToGrid w:val="0"/>
          <w:color w:val="auto"/>
          <w:kern w:val="0"/>
          <w:sz w:val="24"/>
          <w:highlight w:val="none"/>
          <w:lang w:val="zh-CN"/>
        </w:rPr>
      </w:pPr>
      <w:r>
        <w:rPr>
          <w:rFonts w:hint="default" w:ascii="Times New Roman" w:hAnsi="Times New Roman" w:eastAsia="宋体" w:cs="Times New Roman"/>
          <w:b/>
          <w:snapToGrid w:val="0"/>
          <w:color w:val="auto"/>
          <w:kern w:val="0"/>
          <w:sz w:val="24"/>
          <w:highlight w:val="none"/>
          <w:lang w:val="zh-CN"/>
        </w:rPr>
        <w:t>表8-3-1建设项目竣工环境保护验收一览表</w:t>
      </w:r>
    </w:p>
    <w:tbl>
      <w:tblPr>
        <w:tblStyle w:val="24"/>
        <w:tblW w:w="513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1418"/>
        <w:gridCol w:w="1843"/>
        <w:gridCol w:w="2551"/>
        <w:gridCol w:w="3727"/>
        <w:gridCol w:w="3781"/>
        <w:gridCol w:w="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1242"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类型</w:t>
            </w:r>
          </w:p>
        </w:tc>
        <w:tc>
          <w:tcPr>
            <w:tcW w:w="1418"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类别</w:t>
            </w:r>
          </w:p>
        </w:tc>
        <w:tc>
          <w:tcPr>
            <w:tcW w:w="1843"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污染源</w:t>
            </w: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污染物</w:t>
            </w:r>
          </w:p>
        </w:tc>
        <w:tc>
          <w:tcPr>
            <w:tcW w:w="3727"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建设内容</w:t>
            </w:r>
          </w:p>
        </w:tc>
        <w:tc>
          <w:tcPr>
            <w:tcW w:w="3782" w:type="dxa"/>
            <w:gridSpan w:val="2"/>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验收标准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5" w:hRule="atLeast"/>
        </w:trPr>
        <w:tc>
          <w:tcPr>
            <w:tcW w:w="1242" w:type="dxa"/>
            <w:vMerge w:val="restart"/>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废水</w:t>
            </w:r>
          </w:p>
        </w:tc>
        <w:tc>
          <w:tcPr>
            <w:tcW w:w="1418"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生产废水</w:t>
            </w:r>
          </w:p>
        </w:tc>
        <w:tc>
          <w:tcPr>
            <w:tcW w:w="1843" w:type="dxa"/>
            <w:shd w:val="clear" w:color="auto" w:fill="auto"/>
            <w:vAlign w:val="center"/>
          </w:tcPr>
          <w:p>
            <w:pPr>
              <w:pStyle w:val="3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待宰</w:t>
            </w:r>
            <w:r>
              <w:rPr>
                <w:rFonts w:hint="eastAsia" w:ascii="Times New Roman" w:hAnsi="Times New Roman" w:eastAsia="宋体" w:cs="Times New Roman"/>
                <w:snapToGrid w:val="0"/>
                <w:color w:val="auto"/>
                <w:highlight w:val="none"/>
                <w:lang w:val="en-US" w:eastAsia="zh-CN"/>
              </w:rPr>
              <w:t>圈</w:t>
            </w:r>
            <w:r>
              <w:rPr>
                <w:rFonts w:hint="default" w:ascii="Times New Roman" w:hAnsi="Times New Roman" w:eastAsia="宋体" w:cs="Times New Roman"/>
                <w:snapToGrid w:val="0"/>
                <w:color w:val="auto"/>
                <w:highlight w:val="none"/>
              </w:rPr>
              <w:t>、屠宰</w:t>
            </w:r>
            <w:r>
              <w:rPr>
                <w:rFonts w:hint="eastAsia" w:ascii="Times New Roman" w:hAnsi="Times New Roman" w:eastAsia="宋体" w:cs="Times New Roman"/>
                <w:snapToGrid w:val="0"/>
                <w:color w:val="auto"/>
                <w:highlight w:val="none"/>
                <w:lang w:val="en-US" w:eastAsia="zh-CN"/>
              </w:rPr>
              <w:t>加工</w:t>
            </w:r>
            <w:r>
              <w:rPr>
                <w:rFonts w:hint="default" w:ascii="Times New Roman" w:hAnsi="Times New Roman" w:eastAsia="宋体" w:cs="Times New Roman"/>
                <w:snapToGrid w:val="0"/>
                <w:color w:val="auto"/>
                <w:highlight w:val="none"/>
              </w:rPr>
              <w:t>车间</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lang w:val="en-US" w:eastAsia="zh-CN"/>
              </w:rPr>
              <w:t>急宰间</w:t>
            </w:r>
          </w:p>
        </w:tc>
        <w:tc>
          <w:tcPr>
            <w:tcW w:w="2551" w:type="dxa"/>
            <w:vMerge w:val="restart"/>
            <w:shd w:val="clear" w:color="auto" w:fill="auto"/>
            <w:vAlign w:val="center"/>
          </w:tcPr>
          <w:p>
            <w:pPr>
              <w:widowControl/>
              <w:adjustRightInd w:val="0"/>
              <w:snapToGrid w:val="0"/>
              <w:jc w:val="center"/>
              <w:rPr>
                <w:rFonts w:hint="default" w:ascii="Times New Roman" w:hAnsi="Times New Roman" w:eastAsia="宋体" w:cs="Times New Roman"/>
                <w:color w:val="auto"/>
                <w:kern w:val="32"/>
                <w:szCs w:val="21"/>
                <w:highlight w:val="none"/>
              </w:rPr>
            </w:pPr>
            <w:r>
              <w:rPr>
                <w:rFonts w:hint="default" w:ascii="Times New Roman" w:hAnsi="Times New Roman" w:eastAsia="宋体" w:cs="Times New Roman"/>
                <w:snapToGrid w:val="0"/>
                <w:color w:val="auto"/>
                <w:szCs w:val="21"/>
                <w:highlight w:val="none"/>
              </w:rPr>
              <w:t>pH、COD、BOD</w:t>
            </w:r>
            <w:r>
              <w:rPr>
                <w:rFonts w:hint="default" w:ascii="Times New Roman" w:hAnsi="Times New Roman" w:eastAsia="宋体" w:cs="Times New Roman"/>
                <w:snapToGrid w:val="0"/>
                <w:color w:val="auto"/>
                <w:szCs w:val="21"/>
                <w:highlight w:val="none"/>
                <w:vertAlign w:val="subscript"/>
              </w:rPr>
              <w:t>5</w:t>
            </w:r>
            <w:r>
              <w:rPr>
                <w:rFonts w:hint="default" w:ascii="Times New Roman" w:hAnsi="Times New Roman" w:eastAsia="宋体" w:cs="Times New Roman"/>
                <w:snapToGrid w:val="0"/>
                <w:color w:val="auto"/>
                <w:szCs w:val="21"/>
                <w:highlight w:val="none"/>
              </w:rPr>
              <w:t>、SS、动植物油、氨氮、</w:t>
            </w:r>
            <w:r>
              <w:rPr>
                <w:rFonts w:hint="default" w:ascii="Times New Roman" w:hAnsi="Times New Roman" w:eastAsia="宋体" w:cs="Times New Roman"/>
                <w:bCs/>
                <w:color w:val="auto"/>
                <w:kern w:val="32"/>
                <w:szCs w:val="21"/>
                <w:highlight w:val="none"/>
              </w:rPr>
              <w:t>大肠菌群数</w:t>
            </w:r>
          </w:p>
        </w:tc>
        <w:tc>
          <w:tcPr>
            <w:tcW w:w="3727" w:type="dxa"/>
            <w:vMerge w:val="restart"/>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经沉淀池+气浮池+调节池+水解酸化+好氧生物池+MBR膜池+污泥消化池+消毒工艺处理后，</w:t>
            </w:r>
            <w:r>
              <w:rPr>
                <w:rFonts w:hint="default" w:ascii="Times New Roman" w:hAnsi="Times New Roman" w:eastAsia="宋体" w:cs="Times New Roman"/>
                <w:snapToGrid w:val="0"/>
                <w:color w:val="auto"/>
                <w:highlight w:val="none"/>
              </w:rPr>
              <w:t>最终排入</w:t>
            </w:r>
            <w:r>
              <w:rPr>
                <w:rFonts w:hint="default" w:ascii="Times New Roman" w:hAnsi="Times New Roman" w:eastAsia="宋体" w:cs="Times New Roman"/>
                <w:snapToGrid w:val="0"/>
                <w:color w:val="auto"/>
                <w:highlight w:val="none"/>
                <w:lang w:val="en-US" w:eastAsia="zh-CN"/>
              </w:rPr>
              <w:t>兴隆镇</w:t>
            </w:r>
            <w:r>
              <w:rPr>
                <w:rFonts w:hint="default" w:ascii="Times New Roman" w:hAnsi="Times New Roman" w:eastAsia="宋体" w:cs="Times New Roman"/>
                <w:snapToGrid w:val="0"/>
                <w:color w:val="auto"/>
                <w:highlight w:val="none"/>
              </w:rPr>
              <w:t>污水处理厂</w:t>
            </w:r>
          </w:p>
        </w:tc>
        <w:tc>
          <w:tcPr>
            <w:tcW w:w="3782" w:type="dxa"/>
            <w:gridSpan w:val="2"/>
            <w:vMerge w:val="restart"/>
            <w:shd w:val="clear" w:color="auto" w:fill="auto"/>
            <w:vAlign w:val="center"/>
          </w:tcPr>
          <w:p>
            <w:pPr>
              <w:pStyle w:val="3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bCs/>
                <w:snapToGrid w:val="0"/>
                <w:color w:val="auto"/>
                <w:highlight w:val="none"/>
              </w:rPr>
              <w:t>《肉类加工工业水污染物排放标准》（GB13457-92）表3三级畜类屠宰加工标准限值</w:t>
            </w:r>
            <w:r>
              <w:rPr>
                <w:rFonts w:hint="eastAsia" w:ascii="Times New Roman" w:hAnsi="Times New Roman" w:eastAsia="宋体" w:cs="Times New Roman"/>
                <w:bCs/>
                <w:snapToGrid w:val="0"/>
                <w:color w:val="auto"/>
                <w:highlight w:val="none"/>
                <w:lang w:val="en-US" w:eastAsia="zh-CN"/>
              </w:rPr>
              <w:t>及</w:t>
            </w:r>
            <w:r>
              <w:rPr>
                <w:rFonts w:hint="default" w:ascii="Times New Roman" w:hAnsi="Times New Roman" w:eastAsia="宋体" w:cs="Times New Roman"/>
                <w:snapToGrid w:val="0"/>
                <w:color w:val="auto"/>
                <w:highlight w:val="none"/>
                <w:lang w:val="en-US" w:eastAsia="zh-CN"/>
              </w:rPr>
              <w:t>兴隆镇</w:t>
            </w:r>
            <w:r>
              <w:rPr>
                <w:rFonts w:hint="default" w:ascii="Times New Roman" w:hAnsi="Times New Roman" w:eastAsia="宋体" w:cs="Times New Roman"/>
                <w:snapToGrid w:val="0"/>
                <w:color w:val="auto"/>
                <w:highlight w:val="none"/>
              </w:rPr>
              <w:t>污水处理厂</w:t>
            </w:r>
            <w:r>
              <w:rPr>
                <w:rFonts w:hint="eastAsia" w:ascii="Times New Roman" w:hAnsi="Times New Roman" w:eastAsia="宋体" w:cs="Times New Roman"/>
                <w:snapToGrid w:val="0"/>
                <w:color w:val="auto"/>
                <w:highlight w:val="none"/>
                <w:lang w:val="en-US" w:eastAsia="zh-CN"/>
              </w:rPr>
              <w:t>进水指标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418" w:type="dxa"/>
            <w:shd w:val="clear" w:color="auto" w:fill="auto"/>
            <w:vAlign w:val="center"/>
          </w:tcPr>
          <w:p>
            <w:pPr>
              <w:pStyle w:val="3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锅炉排污水及软水制备排污水</w:t>
            </w:r>
          </w:p>
        </w:tc>
        <w:tc>
          <w:tcPr>
            <w:tcW w:w="1843" w:type="dxa"/>
            <w:shd w:val="clear" w:color="auto" w:fill="auto"/>
            <w:vAlign w:val="center"/>
          </w:tcPr>
          <w:p>
            <w:pPr>
              <w:pStyle w:val="3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锅炉房</w:t>
            </w:r>
          </w:p>
        </w:tc>
        <w:tc>
          <w:tcPr>
            <w:tcW w:w="2551" w:type="dxa"/>
            <w:vMerge w:val="continue"/>
            <w:shd w:val="clear" w:color="auto" w:fill="auto"/>
            <w:vAlign w:val="center"/>
          </w:tcPr>
          <w:p>
            <w:pPr>
              <w:pStyle w:val="36"/>
              <w:jc w:val="both"/>
              <w:rPr>
                <w:rFonts w:hint="default" w:ascii="Times New Roman" w:hAnsi="Times New Roman" w:eastAsia="宋体" w:cs="Times New Roman"/>
                <w:snapToGrid w:val="0"/>
                <w:color w:val="auto"/>
                <w:highlight w:val="none"/>
              </w:rPr>
            </w:pPr>
          </w:p>
        </w:tc>
        <w:tc>
          <w:tcPr>
            <w:tcW w:w="3727"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3782" w:type="dxa"/>
            <w:gridSpan w:val="2"/>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418"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生活污水</w:t>
            </w:r>
          </w:p>
        </w:tc>
        <w:tc>
          <w:tcPr>
            <w:tcW w:w="1843"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员工生活</w:t>
            </w:r>
          </w:p>
        </w:tc>
        <w:tc>
          <w:tcPr>
            <w:tcW w:w="2551" w:type="dxa"/>
            <w:vMerge w:val="continue"/>
            <w:shd w:val="clear" w:color="auto" w:fill="auto"/>
            <w:vAlign w:val="center"/>
          </w:tcPr>
          <w:p>
            <w:pPr>
              <w:pStyle w:val="36"/>
              <w:jc w:val="both"/>
              <w:rPr>
                <w:rFonts w:hint="default" w:ascii="Times New Roman" w:hAnsi="Times New Roman" w:eastAsia="宋体" w:cs="Times New Roman"/>
                <w:snapToGrid w:val="0"/>
                <w:color w:val="auto"/>
                <w:highlight w:val="none"/>
              </w:rPr>
            </w:pPr>
          </w:p>
        </w:tc>
        <w:tc>
          <w:tcPr>
            <w:tcW w:w="3727"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3782" w:type="dxa"/>
            <w:gridSpan w:val="2"/>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418"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地下水监测井</w:t>
            </w:r>
          </w:p>
        </w:tc>
        <w:tc>
          <w:tcPr>
            <w:tcW w:w="1843"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w:t>
            </w:r>
            <w:r>
              <w:rPr>
                <w:rFonts w:hint="default" w:ascii="Times New Roman" w:hAnsi="Times New Roman" w:eastAsia="宋体" w:cs="Times New Roman"/>
                <w:snapToGrid w:val="0"/>
                <w:color w:val="auto"/>
                <w:kern w:val="0"/>
                <w:highlight w:val="none"/>
              </w:rPr>
              <w:t>氨氮</w:t>
            </w:r>
          </w:p>
        </w:tc>
        <w:tc>
          <w:tcPr>
            <w:tcW w:w="3727"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地下水下游（厂区</w:t>
            </w:r>
            <w:r>
              <w:rPr>
                <w:rFonts w:hint="default" w:ascii="Times New Roman" w:hAnsi="Times New Roman" w:eastAsia="宋体" w:cs="Times New Roman"/>
                <w:snapToGrid w:val="0"/>
                <w:color w:val="auto"/>
                <w:highlight w:val="none"/>
                <w:lang w:val="en-US" w:eastAsia="zh-CN"/>
              </w:rPr>
              <w:t>东</w:t>
            </w:r>
            <w:r>
              <w:rPr>
                <w:rFonts w:hint="default" w:ascii="Times New Roman" w:hAnsi="Times New Roman" w:eastAsia="宋体" w:cs="Times New Roman"/>
                <w:snapToGrid w:val="0"/>
                <w:color w:val="auto"/>
                <w:highlight w:val="none"/>
              </w:rPr>
              <w:t>侧）设置1口监测井</w:t>
            </w:r>
          </w:p>
        </w:tc>
        <w:tc>
          <w:tcPr>
            <w:tcW w:w="3782" w:type="dxa"/>
            <w:gridSpan w:val="2"/>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地下水下游（厂区</w:t>
            </w:r>
            <w:r>
              <w:rPr>
                <w:rFonts w:hint="default" w:ascii="Times New Roman" w:hAnsi="Times New Roman" w:eastAsia="宋体" w:cs="Times New Roman"/>
                <w:snapToGrid w:val="0"/>
                <w:color w:val="auto"/>
                <w:highlight w:val="none"/>
                <w:lang w:val="en-US" w:eastAsia="zh-CN"/>
              </w:rPr>
              <w:t>东</w:t>
            </w:r>
            <w:r>
              <w:rPr>
                <w:rFonts w:hint="default" w:ascii="Times New Roman" w:hAnsi="Times New Roman" w:eastAsia="宋体" w:cs="Times New Roman"/>
                <w:snapToGrid w:val="0"/>
                <w:color w:val="auto"/>
                <w:highlight w:val="none"/>
              </w:rPr>
              <w:t>侧）设置1口监测井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3"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418" w:type="dxa"/>
            <w:vMerge w:val="restart"/>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地下水污染防治</w:t>
            </w:r>
          </w:p>
        </w:tc>
        <w:tc>
          <w:tcPr>
            <w:tcW w:w="1843" w:type="dxa"/>
            <w:shd w:val="clear" w:color="auto" w:fill="auto"/>
            <w:vAlign w:val="center"/>
          </w:tcPr>
          <w:p>
            <w:pPr>
              <w:pStyle w:val="3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GB" w:eastAsia="zh-CN"/>
              </w:rPr>
              <w:t>办公楼</w:t>
            </w:r>
            <w:r>
              <w:rPr>
                <w:rFonts w:hint="default" w:ascii="Times New Roman" w:hAnsi="Times New Roman" w:eastAsia="宋体" w:cs="Times New Roman"/>
                <w:color w:val="auto"/>
                <w:highlight w:val="none"/>
                <w:lang w:val="en-GB"/>
              </w:rPr>
              <w:t>、库房等</w:t>
            </w: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COD、氨氮</w:t>
            </w:r>
          </w:p>
        </w:tc>
        <w:tc>
          <w:tcPr>
            <w:tcW w:w="3727" w:type="dxa"/>
            <w:shd w:val="clear" w:color="auto" w:fill="auto"/>
            <w:vAlign w:val="center"/>
          </w:tcPr>
          <w:p>
            <w:pPr>
              <w:pStyle w:val="3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简单防渗</w:t>
            </w:r>
          </w:p>
        </w:tc>
        <w:tc>
          <w:tcPr>
            <w:tcW w:w="3782" w:type="dxa"/>
            <w:gridSpan w:val="2"/>
            <w:shd w:val="clear" w:color="auto" w:fill="auto"/>
            <w:vAlign w:val="center"/>
          </w:tcPr>
          <w:p>
            <w:pPr>
              <w:pStyle w:val="3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对其地面采用混凝土进行一般地面硬化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1"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418"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843" w:type="dxa"/>
            <w:shd w:val="clear" w:color="auto" w:fill="auto"/>
            <w:vAlign w:val="center"/>
          </w:tcPr>
          <w:p>
            <w:pPr>
              <w:pStyle w:val="3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急宰间、</w:t>
            </w:r>
            <w:r>
              <w:rPr>
                <w:rFonts w:hint="default" w:ascii="Times New Roman" w:hAnsi="Times New Roman" w:eastAsia="宋体" w:cs="Times New Roman"/>
                <w:color w:val="auto"/>
                <w:highlight w:val="none"/>
              </w:rPr>
              <w:t>待宰</w:t>
            </w:r>
            <w:r>
              <w:rPr>
                <w:rFonts w:hint="eastAsia" w:ascii="Times New Roman" w:hAnsi="Times New Roman" w:eastAsia="宋体" w:cs="Times New Roman"/>
                <w:color w:val="auto"/>
                <w:highlight w:val="none"/>
                <w:lang w:val="en-US" w:eastAsia="zh-CN"/>
              </w:rPr>
              <w:t>圈</w:t>
            </w:r>
            <w:r>
              <w:rPr>
                <w:rFonts w:hint="default" w:ascii="Times New Roman" w:hAnsi="Times New Roman" w:eastAsia="宋体" w:cs="Times New Roman"/>
                <w:color w:val="auto"/>
                <w:highlight w:val="none"/>
              </w:rPr>
              <w:t>、屠宰</w:t>
            </w:r>
            <w:r>
              <w:rPr>
                <w:rFonts w:hint="eastAsia" w:ascii="Times New Roman" w:hAnsi="Times New Roman" w:eastAsia="宋体" w:cs="Times New Roman"/>
                <w:color w:val="auto"/>
                <w:highlight w:val="none"/>
                <w:lang w:val="en-US" w:eastAsia="zh-CN"/>
              </w:rPr>
              <w:t>加工</w:t>
            </w:r>
            <w:r>
              <w:rPr>
                <w:rFonts w:hint="default" w:ascii="Times New Roman" w:hAnsi="Times New Roman" w:eastAsia="宋体" w:cs="Times New Roman"/>
                <w:color w:val="auto"/>
                <w:highlight w:val="none"/>
              </w:rPr>
              <w:t>车间、</w:t>
            </w:r>
            <w:r>
              <w:rPr>
                <w:rFonts w:hint="default" w:ascii="Times New Roman" w:hAnsi="Times New Roman" w:eastAsia="宋体" w:cs="Times New Roman"/>
                <w:color w:val="auto"/>
                <w:highlight w:val="none"/>
                <w:lang w:val="en-GB"/>
              </w:rPr>
              <w:t>冷库、</w:t>
            </w:r>
            <w:r>
              <w:rPr>
                <w:rFonts w:hint="default" w:ascii="Times New Roman" w:hAnsi="Times New Roman" w:eastAsia="宋体" w:cs="Times New Roman"/>
                <w:color w:val="auto"/>
                <w:highlight w:val="none"/>
              </w:rPr>
              <w:t>污水处理站、事故池</w:t>
            </w: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COD、氨氮</w:t>
            </w:r>
          </w:p>
        </w:tc>
        <w:tc>
          <w:tcPr>
            <w:tcW w:w="3727" w:type="dxa"/>
            <w:shd w:val="clear" w:color="auto" w:fill="auto"/>
            <w:vAlign w:val="center"/>
          </w:tcPr>
          <w:p>
            <w:pPr>
              <w:pStyle w:val="3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一般防渗</w:t>
            </w:r>
          </w:p>
        </w:tc>
        <w:tc>
          <w:tcPr>
            <w:tcW w:w="3782" w:type="dxa"/>
            <w:gridSpan w:val="2"/>
            <w:shd w:val="clear" w:color="auto" w:fill="auto"/>
            <w:vAlign w:val="center"/>
          </w:tcPr>
          <w:p>
            <w:pPr>
              <w:pStyle w:val="36"/>
              <w:rPr>
                <w:rFonts w:hint="eastAsia" w:ascii="Times New Roman" w:hAnsi="Times New Roman" w:eastAsia="宋体" w:cs="Times New Roman"/>
                <w:color w:val="auto"/>
                <w:highlight w:val="none"/>
                <w:lang w:val="en-GB" w:eastAsia="zh-CN"/>
              </w:rPr>
            </w:pPr>
            <w:r>
              <w:rPr>
                <w:rFonts w:hint="default" w:ascii="Times New Roman" w:hAnsi="Times New Roman" w:cs="Times New Roman"/>
                <w:color w:val="auto"/>
                <w:lang w:val="en-GB"/>
              </w:rPr>
              <w:t>事故池池体及地面</w:t>
            </w:r>
            <w:r>
              <w:rPr>
                <w:rFonts w:hint="eastAsia" w:ascii="Times New Roman" w:hAnsi="Times New Roman" w:cs="Times New Roman"/>
                <w:color w:val="auto"/>
                <w:lang w:val="en-US" w:eastAsia="zh-CN"/>
              </w:rPr>
              <w:t>进行</w:t>
            </w:r>
            <w:r>
              <w:rPr>
                <w:rFonts w:hint="default" w:ascii="Times New Roman" w:hAnsi="Times New Roman" w:cs="Times New Roman"/>
                <w:color w:val="auto"/>
                <w:lang w:val="en-GB"/>
              </w:rPr>
              <w:t>基础防渗，防渗层为至少1m厚粘土层或2mm厚高密度聚乙烯，需满足等效黏土防渗层Mb≥1.5m，K≤1×10</w:t>
            </w:r>
            <w:r>
              <w:rPr>
                <w:rFonts w:hint="default" w:ascii="Times New Roman" w:hAnsi="Times New Roman" w:cs="Times New Roman"/>
                <w:color w:val="auto"/>
                <w:vertAlign w:val="superscript"/>
                <w:lang w:val="en-GB"/>
              </w:rPr>
              <w:t>-7</w:t>
            </w:r>
            <w:r>
              <w:rPr>
                <w:rFonts w:hint="default" w:ascii="Times New Roman" w:hAnsi="Times New Roman" w:cs="Times New Roman"/>
                <w:color w:val="auto"/>
                <w:lang w:val="en-GB"/>
              </w:rPr>
              <w:t>cm/s的要求</w:t>
            </w:r>
            <w:r>
              <w:rPr>
                <w:rFonts w:hint="eastAsia" w:ascii="Times New Roman" w:hAnsi="Times New Roman" w:cs="Times New Roman"/>
                <w:color w:val="auto"/>
                <w:lang w:val="en-GB"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7"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418"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843" w:type="dxa"/>
            <w:shd w:val="clear" w:color="auto" w:fill="auto"/>
            <w:vAlign w:val="center"/>
          </w:tcPr>
          <w:p>
            <w:pPr>
              <w:pStyle w:val="3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柴油储罐周边</w:t>
            </w: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3727" w:type="dxa"/>
            <w:shd w:val="clear" w:color="auto" w:fill="auto"/>
            <w:vAlign w:val="center"/>
          </w:tcPr>
          <w:p>
            <w:pPr>
              <w:pStyle w:val="3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重点防渗</w:t>
            </w:r>
          </w:p>
        </w:tc>
        <w:tc>
          <w:tcPr>
            <w:tcW w:w="3782" w:type="dxa"/>
            <w:gridSpan w:val="2"/>
            <w:shd w:val="clear" w:color="auto" w:fill="auto"/>
            <w:vAlign w:val="center"/>
          </w:tcPr>
          <w:p>
            <w:pPr>
              <w:pStyle w:val="3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基础防渗层为至少1m厚粘土层（渗透系数K≤10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cm/s）或2mm厚高密度聚乙烯或至少2mm厚的其他人工材料（渗透系数K≤10</w:t>
            </w:r>
            <w:r>
              <w:rPr>
                <w:rFonts w:hint="default" w:ascii="Times New Roman" w:hAnsi="Times New Roman" w:eastAsia="宋体" w:cs="Times New Roman"/>
                <w:color w:val="auto"/>
                <w:highlight w:val="none"/>
                <w:vertAlign w:val="superscript"/>
              </w:rPr>
              <w:t>-10</w:t>
            </w:r>
            <w:r>
              <w:rPr>
                <w:rFonts w:hint="default" w:ascii="Times New Roman" w:hAnsi="Times New Roman" w:eastAsia="宋体" w:cs="Times New Roman"/>
                <w:color w:val="auto"/>
                <w:highlight w:val="none"/>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242" w:type="dxa"/>
            <w:vMerge w:val="restart"/>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废气</w:t>
            </w:r>
          </w:p>
        </w:tc>
        <w:tc>
          <w:tcPr>
            <w:tcW w:w="1418"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恶臭</w:t>
            </w:r>
          </w:p>
        </w:tc>
        <w:tc>
          <w:tcPr>
            <w:tcW w:w="1843"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待宰间</w:t>
            </w: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、臭气浓度</w:t>
            </w:r>
          </w:p>
        </w:tc>
        <w:tc>
          <w:tcPr>
            <w:tcW w:w="3727"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及时清扫，并采取投加或喷洒除臭剂</w:t>
            </w:r>
          </w:p>
        </w:tc>
        <w:tc>
          <w:tcPr>
            <w:tcW w:w="3782" w:type="dxa"/>
            <w:gridSpan w:val="2"/>
            <w:vMerge w:val="restart"/>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《恶臭污染物排放标准》（GB14554-1993）表1中二级新改扩建标准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418"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恶臭</w:t>
            </w:r>
          </w:p>
        </w:tc>
        <w:tc>
          <w:tcPr>
            <w:tcW w:w="1843"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屠宰</w:t>
            </w:r>
            <w:r>
              <w:rPr>
                <w:rFonts w:hint="eastAsia" w:ascii="Times New Roman" w:hAnsi="Times New Roman" w:eastAsia="宋体" w:cs="Times New Roman"/>
                <w:snapToGrid w:val="0"/>
                <w:color w:val="auto"/>
                <w:highlight w:val="none"/>
                <w:lang w:val="en-US" w:eastAsia="zh-CN"/>
              </w:rPr>
              <w:t>加工</w:t>
            </w:r>
            <w:r>
              <w:rPr>
                <w:rFonts w:hint="default" w:ascii="Times New Roman" w:hAnsi="Times New Roman" w:eastAsia="宋体" w:cs="Times New Roman"/>
                <w:snapToGrid w:val="0"/>
                <w:color w:val="auto"/>
                <w:highlight w:val="none"/>
              </w:rPr>
              <w:t>车间</w:t>
            </w: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、臭气浓度</w:t>
            </w:r>
          </w:p>
        </w:tc>
        <w:tc>
          <w:tcPr>
            <w:tcW w:w="3727" w:type="dxa"/>
            <w:shd w:val="clear" w:color="auto" w:fill="auto"/>
            <w:vAlign w:val="center"/>
          </w:tcPr>
          <w:p>
            <w:pP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及时清扫，并采取投加或喷洒除臭剂</w:t>
            </w:r>
          </w:p>
        </w:tc>
        <w:tc>
          <w:tcPr>
            <w:tcW w:w="3782" w:type="dxa"/>
            <w:gridSpan w:val="2"/>
            <w:vMerge w:val="continue"/>
            <w:shd w:val="clear" w:color="auto" w:fill="auto"/>
            <w:vAlign w:val="center"/>
          </w:tcPr>
          <w:p>
            <w:pPr>
              <w:pStyle w:val="36"/>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418"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恶臭</w:t>
            </w:r>
          </w:p>
        </w:tc>
        <w:tc>
          <w:tcPr>
            <w:tcW w:w="1843"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污水处理站</w:t>
            </w: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、臭气浓度</w:t>
            </w:r>
          </w:p>
        </w:tc>
        <w:tc>
          <w:tcPr>
            <w:tcW w:w="3727" w:type="dxa"/>
            <w:shd w:val="clear" w:color="auto" w:fill="auto"/>
            <w:vAlign w:val="center"/>
          </w:tcPr>
          <w:p>
            <w:pP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及时清扫，并采取投加或喷洒除臭剂</w:t>
            </w:r>
          </w:p>
        </w:tc>
        <w:tc>
          <w:tcPr>
            <w:tcW w:w="3782" w:type="dxa"/>
            <w:gridSpan w:val="2"/>
            <w:vMerge w:val="continue"/>
            <w:shd w:val="clear" w:color="auto" w:fill="auto"/>
            <w:vAlign w:val="center"/>
          </w:tcPr>
          <w:p>
            <w:pPr>
              <w:pStyle w:val="36"/>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418"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恶臭</w:t>
            </w:r>
          </w:p>
        </w:tc>
        <w:tc>
          <w:tcPr>
            <w:tcW w:w="1843"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屠宰车间</w:t>
            </w:r>
          </w:p>
        </w:tc>
        <w:tc>
          <w:tcPr>
            <w:tcW w:w="2551" w:type="dxa"/>
            <w:shd w:val="clear" w:color="auto" w:fill="auto"/>
            <w:vAlign w:val="center"/>
          </w:tcPr>
          <w:p>
            <w:pPr>
              <w:pStyle w:val="3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、臭气浓度</w:t>
            </w:r>
          </w:p>
        </w:tc>
        <w:tc>
          <w:tcPr>
            <w:tcW w:w="3727" w:type="dxa"/>
            <w:vAlign w:val="center"/>
          </w:tcPr>
          <w:p>
            <w:pPr>
              <w:pStyle w:val="3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kern w:val="0"/>
                <w:highlight w:val="none"/>
              </w:rPr>
              <w:t>屠宰车间封闭，</w:t>
            </w:r>
            <w:r>
              <w:rPr>
                <w:rFonts w:hint="default" w:ascii="Times New Roman" w:hAnsi="Times New Roman" w:eastAsia="宋体" w:cs="Times New Roman"/>
                <w:bCs/>
                <w:snapToGrid w:val="0"/>
                <w:color w:val="auto"/>
                <w:kern w:val="0"/>
                <w:highlight w:val="none"/>
              </w:rPr>
              <w:t>产生的恶臭气体经负压集中收集后，通过活性炭吸附净化后由15m高排气筒（DA001）排放</w:t>
            </w:r>
          </w:p>
        </w:tc>
        <w:tc>
          <w:tcPr>
            <w:tcW w:w="3782" w:type="dxa"/>
            <w:gridSpan w:val="2"/>
            <w:vMerge w:val="restart"/>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《恶臭污染物排放标准》（GB14554-93）表2标准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418"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恶臭</w:t>
            </w:r>
          </w:p>
        </w:tc>
        <w:tc>
          <w:tcPr>
            <w:tcW w:w="1843"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污水处理站</w:t>
            </w: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、臭气浓度</w:t>
            </w:r>
          </w:p>
        </w:tc>
        <w:tc>
          <w:tcPr>
            <w:tcW w:w="3727" w:type="dxa"/>
            <w:vAlign w:val="center"/>
          </w:tcPr>
          <w:p>
            <w:pPr>
              <w:pStyle w:val="3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kern w:val="0"/>
                <w:highlight w:val="none"/>
              </w:rPr>
              <w:t>污水处理站封闭，</w:t>
            </w:r>
            <w:r>
              <w:rPr>
                <w:rFonts w:hint="default" w:ascii="Times New Roman" w:hAnsi="Times New Roman" w:eastAsia="宋体" w:cs="Times New Roman"/>
                <w:bCs/>
                <w:snapToGrid w:val="0"/>
                <w:color w:val="auto"/>
                <w:kern w:val="0"/>
                <w:highlight w:val="none"/>
              </w:rPr>
              <w:t>产生的恶臭气体经负压集中收集后，通过活性炭吸附净化后由15m高排气筒（DA002）排放</w:t>
            </w:r>
          </w:p>
        </w:tc>
        <w:tc>
          <w:tcPr>
            <w:tcW w:w="3782" w:type="dxa"/>
            <w:gridSpan w:val="2"/>
            <w:vMerge w:val="continue"/>
            <w:shd w:val="clear" w:color="auto" w:fill="auto"/>
            <w:vAlign w:val="center"/>
          </w:tcPr>
          <w:p>
            <w:pPr>
              <w:pStyle w:val="36"/>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418"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恶臭</w:t>
            </w:r>
          </w:p>
        </w:tc>
        <w:tc>
          <w:tcPr>
            <w:tcW w:w="1843"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待宰间</w:t>
            </w: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、臭气浓度</w:t>
            </w:r>
          </w:p>
        </w:tc>
        <w:tc>
          <w:tcPr>
            <w:tcW w:w="3727" w:type="dxa"/>
            <w:vAlign w:val="center"/>
          </w:tcPr>
          <w:p>
            <w:pPr>
              <w:pStyle w:val="3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待宰间封闭，</w:t>
            </w:r>
            <w:r>
              <w:rPr>
                <w:rFonts w:hint="default" w:ascii="Times New Roman" w:hAnsi="Times New Roman" w:eastAsia="宋体" w:cs="Times New Roman"/>
                <w:bCs/>
                <w:color w:val="auto"/>
                <w:highlight w:val="none"/>
              </w:rPr>
              <w:t>及时清扫，并投加或喷洒除臭剂，产生的恶臭气体经负压集中收集后，通过活性炭吸附净化后由15m高排气筒（DA00</w:t>
            </w:r>
            <w:r>
              <w:rPr>
                <w:rFonts w:hint="default" w:ascii="Times New Roman" w:hAnsi="Times New Roman" w:eastAsia="宋体" w:cs="Times New Roman"/>
                <w:bCs/>
                <w:color w:val="auto"/>
                <w:highlight w:val="none"/>
                <w:lang w:val="en-US" w:eastAsia="zh-CN"/>
              </w:rPr>
              <w:t>3</w:t>
            </w:r>
            <w:r>
              <w:rPr>
                <w:rFonts w:hint="default" w:ascii="Times New Roman" w:hAnsi="Times New Roman" w:eastAsia="宋体" w:cs="Times New Roman"/>
                <w:bCs/>
                <w:color w:val="auto"/>
                <w:highlight w:val="none"/>
              </w:rPr>
              <w:t>）排放</w:t>
            </w:r>
          </w:p>
        </w:tc>
        <w:tc>
          <w:tcPr>
            <w:tcW w:w="3782" w:type="dxa"/>
            <w:gridSpan w:val="2"/>
            <w:vMerge w:val="continue"/>
            <w:shd w:val="clear" w:color="auto" w:fill="auto"/>
            <w:vAlign w:val="center"/>
          </w:tcPr>
          <w:p>
            <w:pPr>
              <w:pStyle w:val="36"/>
              <w:rPr>
                <w:rFonts w:hint="default" w:ascii="Times New Roman" w:hAnsi="Times New Roman" w:eastAsia="宋体" w:cs="Times New Roman"/>
                <w:color w:val="FF000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418" w:type="dxa"/>
            <w:shd w:val="clear" w:color="auto" w:fill="auto"/>
            <w:vAlign w:val="center"/>
          </w:tcPr>
          <w:p>
            <w:pPr>
              <w:pStyle w:val="3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锅炉烟气</w:t>
            </w:r>
          </w:p>
        </w:tc>
        <w:tc>
          <w:tcPr>
            <w:tcW w:w="1843" w:type="dxa"/>
            <w:shd w:val="clear" w:color="auto" w:fill="auto"/>
            <w:vAlign w:val="center"/>
          </w:tcPr>
          <w:p>
            <w:pPr>
              <w:pStyle w:val="3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锅炉房</w:t>
            </w: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颗粒物、二氧化硫、氮氧化物</w:t>
            </w:r>
          </w:p>
        </w:tc>
        <w:tc>
          <w:tcPr>
            <w:tcW w:w="3727" w:type="dxa"/>
            <w:vAlign w:val="center"/>
          </w:tcPr>
          <w:p>
            <w:pPr>
              <w:pStyle w:val="3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烟气经</w:t>
            </w:r>
            <w:r>
              <w:rPr>
                <w:rFonts w:hint="eastAsia" w:ascii="Times New Roman" w:hAnsi="Times New Roman" w:eastAsia="宋体" w:cs="Times New Roman"/>
                <w:color w:val="auto"/>
                <w:highlight w:val="none"/>
                <w:lang w:val="en-US" w:eastAsia="zh-CN"/>
              </w:rPr>
              <w:t>低氮燃烧器</w:t>
            </w:r>
            <w:r>
              <w:rPr>
                <w:rFonts w:hint="default" w:ascii="Times New Roman" w:hAnsi="Times New Roman" w:eastAsia="宋体" w:cs="Times New Roman"/>
                <w:color w:val="auto"/>
                <w:highlight w:val="none"/>
                <w:lang w:val="en-US" w:eastAsia="zh-CN"/>
              </w:rPr>
              <w:t>处理后，通过</w:t>
            </w:r>
            <w:r>
              <w:rPr>
                <w:rFonts w:hint="eastAsia"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highlight w:val="none"/>
                <w:lang w:val="en-US" w:eastAsia="zh-CN"/>
              </w:rPr>
              <w:t>m高烟囱（DA005）排放</w:t>
            </w:r>
          </w:p>
        </w:tc>
        <w:tc>
          <w:tcPr>
            <w:tcW w:w="3782" w:type="dxa"/>
            <w:gridSpan w:val="2"/>
            <w:shd w:val="clear" w:color="auto" w:fill="auto"/>
            <w:vAlign w:val="center"/>
          </w:tcPr>
          <w:p>
            <w:pPr>
              <w:pStyle w:val="36"/>
              <w:rPr>
                <w:rFonts w:hint="default" w:ascii="Times New Roman" w:hAnsi="Times New Roman" w:eastAsia="宋体" w:cs="Times New Roman"/>
                <w:color w:val="FF0000"/>
                <w:highlight w:val="none"/>
              </w:rPr>
            </w:pPr>
            <w:r>
              <w:rPr>
                <w:rFonts w:hint="default" w:ascii="Times New Roman" w:hAnsi="Times New Roman" w:eastAsia="宋体" w:cs="Times New Roman"/>
                <w:color w:val="auto"/>
                <w:sz w:val="21"/>
                <w:szCs w:val="21"/>
              </w:rPr>
              <w:t>《锅炉大气污染物排放标准》（GB13271-2014）</w:t>
            </w:r>
            <w:r>
              <w:rPr>
                <w:rFonts w:hint="default" w:ascii="Times New Roman" w:hAnsi="Times New Roman" w:eastAsia="宋体" w:cs="Times New Roman"/>
                <w:color w:val="auto"/>
                <w:sz w:val="21"/>
                <w:szCs w:val="21"/>
                <w:lang w:eastAsia="zh-CN"/>
              </w:rPr>
              <w:t>燃油</w:t>
            </w:r>
            <w:r>
              <w:rPr>
                <w:rFonts w:hint="default" w:ascii="Times New Roman" w:hAnsi="Times New Roman" w:eastAsia="宋体" w:cs="Times New Roman"/>
                <w:color w:val="auto"/>
                <w:sz w:val="21"/>
                <w:szCs w:val="21"/>
              </w:rPr>
              <w:t>锅炉表</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242"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w:t>
            </w:r>
          </w:p>
        </w:tc>
        <w:tc>
          <w:tcPr>
            <w:tcW w:w="1418"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噪声控制</w:t>
            </w:r>
          </w:p>
        </w:tc>
        <w:tc>
          <w:tcPr>
            <w:tcW w:w="1843"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压缩机、风机、生产设备等</w:t>
            </w: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w:t>
            </w:r>
          </w:p>
        </w:tc>
        <w:tc>
          <w:tcPr>
            <w:tcW w:w="3727" w:type="dxa"/>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选用低噪声设备、厂房隔声、基础减振、绿化降噪措施</w:t>
            </w:r>
          </w:p>
        </w:tc>
        <w:tc>
          <w:tcPr>
            <w:tcW w:w="3782" w:type="dxa"/>
            <w:gridSpan w:val="2"/>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bCs/>
                <w:snapToGrid w:val="0"/>
                <w:color w:val="auto"/>
                <w:kern w:val="0"/>
                <w:highlight w:val="none"/>
              </w:rPr>
              <w:t>《工业企业厂界环境噪声排放标准》（GB12348-2008）表1中2类标准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42" w:type="dxa"/>
            <w:vMerge w:val="restart"/>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固废</w:t>
            </w:r>
          </w:p>
        </w:tc>
        <w:tc>
          <w:tcPr>
            <w:tcW w:w="1418" w:type="dxa"/>
            <w:vMerge w:val="restart"/>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厂区</w:t>
            </w:r>
          </w:p>
        </w:tc>
        <w:tc>
          <w:tcPr>
            <w:tcW w:w="1843" w:type="dxa"/>
            <w:vMerge w:val="restart"/>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待宰间</w:t>
            </w: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粪便</w:t>
            </w:r>
          </w:p>
        </w:tc>
        <w:tc>
          <w:tcPr>
            <w:tcW w:w="3727" w:type="dxa"/>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暂存于待宰间内储粪池内，日产日清，使用密闭运输车运走作为有机肥原料外卖</w:t>
            </w:r>
          </w:p>
        </w:tc>
        <w:tc>
          <w:tcPr>
            <w:tcW w:w="3782" w:type="dxa"/>
            <w:gridSpan w:val="2"/>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综合利用，处置率100%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418"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843"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lang w:val="en-US" w:eastAsia="zh-CN"/>
              </w:rPr>
            </w:pPr>
            <w:r>
              <w:rPr>
                <w:rFonts w:hint="eastAsia" w:ascii="Times New Roman" w:hAnsi="Times New Roman" w:eastAsia="宋体" w:cs="Times New Roman"/>
                <w:snapToGrid w:val="0"/>
                <w:color w:val="auto"/>
                <w:highlight w:val="none"/>
                <w:lang w:val="en-US" w:eastAsia="zh-CN"/>
              </w:rPr>
              <w:t>检疫不合格猪</w:t>
            </w:r>
          </w:p>
        </w:tc>
        <w:tc>
          <w:tcPr>
            <w:tcW w:w="3727" w:type="dxa"/>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委托</w:t>
            </w:r>
            <w:r>
              <w:rPr>
                <w:rFonts w:hint="default" w:ascii="Times New Roman" w:hAnsi="Times New Roman" w:eastAsia="宋体" w:cs="Times New Roman"/>
                <w:color w:val="auto"/>
                <w:highlight w:val="none"/>
                <w:lang w:eastAsia="zh-CN"/>
              </w:rPr>
              <w:t>无害化处理有限公司</w:t>
            </w:r>
            <w:r>
              <w:rPr>
                <w:rFonts w:hint="default" w:ascii="Times New Roman" w:hAnsi="Times New Roman" w:eastAsia="宋体" w:cs="Times New Roman"/>
                <w:color w:val="auto"/>
                <w:highlight w:val="none"/>
              </w:rPr>
              <w:t>处理</w:t>
            </w:r>
          </w:p>
        </w:tc>
        <w:tc>
          <w:tcPr>
            <w:tcW w:w="3782" w:type="dxa"/>
            <w:gridSpan w:val="2"/>
            <w:shd w:val="clear" w:color="auto" w:fill="auto"/>
            <w:vAlign w:val="center"/>
          </w:tcPr>
          <w:p>
            <w:pPr>
              <w:pStyle w:val="36"/>
              <w:rPr>
                <w:rFonts w:hint="default" w:ascii="Times New Roman" w:hAnsi="Times New Roman" w:eastAsia="宋体" w:cs="Times New Roman"/>
                <w:snapToGrid w:val="0"/>
                <w:color w:val="auto"/>
                <w:kern w:val="0"/>
                <w:highlight w:val="none"/>
                <w:lang w:val="zh-CN"/>
              </w:rPr>
            </w:pPr>
            <w:r>
              <w:rPr>
                <w:rFonts w:hint="default" w:ascii="Times New Roman" w:hAnsi="Times New Roman" w:eastAsia="宋体" w:cs="Times New Roman"/>
                <w:snapToGrid w:val="0"/>
                <w:color w:val="auto"/>
                <w:highlight w:val="none"/>
              </w:rPr>
              <w:t>无害化处理，处置率100%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418"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843" w:type="dxa"/>
            <w:vMerge w:val="restart"/>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污水处理站</w:t>
            </w: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污泥及栅渣</w:t>
            </w:r>
          </w:p>
        </w:tc>
        <w:tc>
          <w:tcPr>
            <w:tcW w:w="3727" w:type="dxa"/>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采用压滤机脱水后，送生活垃圾填埋场处理</w:t>
            </w:r>
          </w:p>
        </w:tc>
        <w:tc>
          <w:tcPr>
            <w:tcW w:w="3782" w:type="dxa"/>
            <w:gridSpan w:val="2"/>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418"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843"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隔油工段废油脂和落地油</w:t>
            </w:r>
          </w:p>
        </w:tc>
        <w:tc>
          <w:tcPr>
            <w:tcW w:w="3727" w:type="dxa"/>
            <w:vAlign w:val="center"/>
          </w:tcPr>
          <w:p>
            <w:pPr>
              <w:pStyle w:val="3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集中收集交由</w:t>
            </w:r>
            <w:r>
              <w:rPr>
                <w:rFonts w:hint="eastAsia" w:ascii="Times New Roman" w:hAnsi="Times New Roman" w:eastAsia="宋体" w:cs="Times New Roman"/>
                <w:color w:val="auto"/>
                <w:highlight w:val="none"/>
                <w:lang w:eastAsia="zh-CN"/>
              </w:rPr>
              <w:t>哈尔滨国环医疗固体废物无害化集中处置中心有限公司</w:t>
            </w:r>
            <w:r>
              <w:rPr>
                <w:rFonts w:hint="default" w:ascii="Times New Roman" w:hAnsi="Times New Roman" w:eastAsia="宋体" w:cs="Times New Roman"/>
                <w:color w:val="auto"/>
                <w:highlight w:val="none"/>
              </w:rPr>
              <w:t>处置</w:t>
            </w:r>
          </w:p>
        </w:tc>
        <w:tc>
          <w:tcPr>
            <w:tcW w:w="3782" w:type="dxa"/>
            <w:gridSpan w:val="2"/>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418"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1843"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活性炭吸附装置</w:t>
            </w:r>
          </w:p>
        </w:tc>
        <w:tc>
          <w:tcPr>
            <w:tcW w:w="2551" w:type="dxa"/>
            <w:shd w:val="clear" w:color="auto" w:fill="auto"/>
            <w:vAlign w:val="center"/>
          </w:tcPr>
          <w:p>
            <w:pPr>
              <w:pStyle w:val="3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废活性炭</w:t>
            </w:r>
          </w:p>
        </w:tc>
        <w:tc>
          <w:tcPr>
            <w:tcW w:w="3727" w:type="dxa"/>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交由厂家再生利用</w:t>
            </w:r>
          </w:p>
        </w:tc>
        <w:tc>
          <w:tcPr>
            <w:tcW w:w="378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418"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843" w:type="dxa"/>
            <w:vMerge w:val="restart"/>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屠宰车间</w:t>
            </w:r>
          </w:p>
        </w:tc>
        <w:tc>
          <w:tcPr>
            <w:tcW w:w="2551" w:type="dxa"/>
            <w:shd w:val="clear" w:color="auto" w:fill="auto"/>
            <w:vAlign w:val="center"/>
          </w:tcPr>
          <w:p>
            <w:pPr>
              <w:spacing w:line="0" w:lineRule="atLeas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szCs w:val="21"/>
                <w:highlight w:val="none"/>
              </w:rPr>
              <w:t>肠胃内容物</w:t>
            </w:r>
          </w:p>
        </w:tc>
        <w:tc>
          <w:tcPr>
            <w:tcW w:w="3727" w:type="dxa"/>
            <w:vAlign w:val="center"/>
          </w:tcPr>
          <w:p>
            <w:pPr>
              <w:pStyle w:val="36"/>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同粪便暂存于待宰间内储粪池内，日产日清，使用密闭运输车运走作为有机肥原料外卖</w:t>
            </w:r>
          </w:p>
        </w:tc>
        <w:tc>
          <w:tcPr>
            <w:tcW w:w="378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418"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843"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2551" w:type="dxa"/>
            <w:shd w:val="clear" w:color="auto" w:fill="auto"/>
            <w:vAlign w:val="center"/>
          </w:tcPr>
          <w:p>
            <w:pPr>
              <w:spacing w:line="0" w:lineRule="atLeas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检疫废物</w:t>
            </w:r>
          </w:p>
        </w:tc>
        <w:tc>
          <w:tcPr>
            <w:tcW w:w="3727" w:type="dxa"/>
            <w:vAlign w:val="center"/>
          </w:tcPr>
          <w:p>
            <w:pPr>
              <w:rPr>
                <w:rFonts w:hint="default" w:ascii="Times New Roman" w:hAnsi="Times New Roman" w:eastAsia="宋体" w:cs="Times New Roman"/>
                <w:color w:val="auto"/>
                <w:highlight w:val="none"/>
              </w:rPr>
            </w:pPr>
            <w:r>
              <w:rPr>
                <w:rFonts w:hint="default" w:ascii="Times New Roman" w:hAnsi="Times New Roman" w:eastAsia="宋体" w:cs="Times New Roman"/>
                <w:sz w:val="21"/>
                <w:szCs w:val="21"/>
                <w:highlight w:val="none"/>
                <w:lang w:val="en-US" w:eastAsia="zh-CN"/>
              </w:rPr>
              <w:t>送至</w:t>
            </w:r>
            <w:r>
              <w:rPr>
                <w:rFonts w:hint="eastAsia" w:ascii="Times New Roman" w:eastAsia="宋体" w:cs="Times New Roman"/>
                <w:sz w:val="21"/>
                <w:szCs w:val="21"/>
                <w:highlight w:val="none"/>
                <w:lang w:val="en-US" w:eastAsia="zh-CN"/>
              </w:rPr>
              <w:t>哈尔滨国环医疗固体废物无害化集中处置中心有限公司</w:t>
            </w:r>
          </w:p>
        </w:tc>
        <w:tc>
          <w:tcPr>
            <w:tcW w:w="378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418"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843"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2551" w:type="dxa"/>
            <w:shd w:val="clear" w:color="auto" w:fill="auto"/>
            <w:vAlign w:val="center"/>
          </w:tcPr>
          <w:p>
            <w:pPr>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病变腺体、内脏</w:t>
            </w:r>
          </w:p>
        </w:tc>
        <w:tc>
          <w:tcPr>
            <w:tcW w:w="3727" w:type="dxa"/>
            <w:vAlign w:val="center"/>
          </w:tcPr>
          <w:p>
            <w:pPr>
              <w:rPr>
                <w:rFonts w:hint="default" w:ascii="Times New Roman" w:hAnsi="Times New Roman" w:eastAsia="宋体" w:cs="Times New Roman"/>
                <w:bCs/>
                <w:color w:val="auto"/>
                <w:highlight w:val="none"/>
              </w:rPr>
            </w:pPr>
            <w:r>
              <w:rPr>
                <w:rFonts w:hint="default" w:ascii="Times New Roman" w:hAnsi="Times New Roman" w:eastAsia="宋体" w:cs="Times New Roman"/>
                <w:sz w:val="21"/>
                <w:szCs w:val="21"/>
                <w:highlight w:val="none"/>
                <w:lang w:val="en-US" w:eastAsia="zh-CN"/>
              </w:rPr>
              <w:t>送至</w:t>
            </w:r>
            <w:r>
              <w:rPr>
                <w:rFonts w:hint="eastAsia" w:ascii="Times New Roman" w:eastAsia="宋体" w:cs="Times New Roman"/>
                <w:sz w:val="21"/>
                <w:szCs w:val="21"/>
                <w:highlight w:val="none"/>
                <w:lang w:val="en-US" w:eastAsia="zh-CN"/>
              </w:rPr>
              <w:t>巴彦县燊缘无害化处理有限公司</w:t>
            </w:r>
            <w:r>
              <w:rPr>
                <w:rFonts w:hint="default" w:ascii="Times New Roman" w:hAnsi="Times New Roman" w:eastAsia="宋体" w:cs="Times New Roman"/>
                <w:sz w:val="21"/>
                <w:szCs w:val="21"/>
                <w:highlight w:val="none"/>
                <w:lang w:val="en-US" w:eastAsia="zh-CN"/>
              </w:rPr>
              <w:t>处理</w:t>
            </w:r>
          </w:p>
        </w:tc>
        <w:tc>
          <w:tcPr>
            <w:tcW w:w="378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418"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843"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2551" w:type="dxa"/>
            <w:shd w:val="clear" w:color="auto" w:fill="auto"/>
            <w:vAlign w:val="center"/>
          </w:tcPr>
          <w:p>
            <w:pPr>
              <w:spacing w:line="0" w:lineRule="atLeast"/>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废弃</w:t>
            </w:r>
            <w:r>
              <w:rPr>
                <w:rFonts w:hint="default" w:ascii="Times New Roman" w:hAnsi="Times New Roman" w:eastAsia="宋体" w:cs="Times New Roman"/>
                <w:color w:val="auto"/>
                <w:szCs w:val="21"/>
                <w:highlight w:val="none"/>
                <w:lang w:val="en-US" w:eastAsia="zh-CN"/>
              </w:rPr>
              <w:t>脂肪</w:t>
            </w:r>
          </w:p>
        </w:tc>
        <w:tc>
          <w:tcPr>
            <w:tcW w:w="3727" w:type="dxa"/>
            <w:vAlign w:val="center"/>
          </w:tcPr>
          <w:p>
            <w:pPr>
              <w:pStyle w:val="36"/>
              <w:rPr>
                <w:rFonts w:hint="default"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highlight w:val="none"/>
                <w:lang w:val="en-US" w:eastAsia="zh-CN"/>
              </w:rPr>
              <w:t>集中外售处理</w:t>
            </w:r>
          </w:p>
        </w:tc>
        <w:tc>
          <w:tcPr>
            <w:tcW w:w="378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418"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843"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2551" w:type="dxa"/>
            <w:shd w:val="clear" w:color="auto" w:fill="auto"/>
            <w:vAlign w:val="center"/>
          </w:tcPr>
          <w:p>
            <w:pPr>
              <w:spacing w:line="0" w:lineRule="atLeast"/>
              <w:jc w:val="center"/>
              <w:rPr>
                <w:rFonts w:hint="default" w:ascii="Times New Roman" w:hAnsi="Times New Roman" w:eastAsia="宋体" w:cs="Times New Roman"/>
                <w:color w:val="auto"/>
                <w:szCs w:val="21"/>
                <w:highlight w:val="magenta"/>
                <w:lang w:val="en-US" w:eastAsia="zh-CN"/>
              </w:rPr>
            </w:pPr>
            <w:r>
              <w:rPr>
                <w:rFonts w:hint="eastAsia" w:ascii="Times New Roman" w:hAnsi="Times New Roman" w:eastAsia="宋体" w:cs="Times New Roman"/>
                <w:color w:val="auto"/>
                <w:szCs w:val="21"/>
                <w:highlight w:val="none"/>
                <w:lang w:val="en-US" w:eastAsia="zh-CN"/>
              </w:rPr>
              <w:t>猪毛</w:t>
            </w:r>
          </w:p>
        </w:tc>
        <w:tc>
          <w:tcPr>
            <w:tcW w:w="3727" w:type="dxa"/>
            <w:vAlign w:val="center"/>
          </w:tcPr>
          <w:p>
            <w:pPr>
              <w:pStyle w:val="36"/>
              <w:rPr>
                <w:rFonts w:hint="default" w:ascii="Times New Roman" w:hAnsi="Times New Roman" w:eastAsia="宋体" w:cs="Times New Roman"/>
                <w:bCs/>
                <w:color w:val="auto"/>
                <w:highlight w:val="magenta"/>
              </w:rPr>
            </w:pPr>
            <w:r>
              <w:rPr>
                <w:rFonts w:hint="default" w:ascii="Times New Roman" w:hAnsi="Times New Roman" w:eastAsia="宋体" w:cs="Times New Roman"/>
                <w:snapToGrid w:val="0"/>
                <w:color w:val="000000"/>
                <w:kern w:val="0"/>
                <w:sz w:val="21"/>
                <w:szCs w:val="21"/>
                <w:lang w:val="en-US" w:eastAsia="zh-CN" w:bidi="ar-SA"/>
              </w:rPr>
              <w:t>外售至毛刷厂</w:t>
            </w:r>
          </w:p>
        </w:tc>
        <w:tc>
          <w:tcPr>
            <w:tcW w:w="378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418"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843"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2551" w:type="dxa"/>
            <w:shd w:val="clear" w:color="auto" w:fill="auto"/>
            <w:vAlign w:val="center"/>
          </w:tcPr>
          <w:p>
            <w:pPr>
              <w:spacing w:line="0" w:lineRule="atLeas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highlight w:val="none"/>
              </w:rPr>
              <w:t>废</w:t>
            </w:r>
            <w:r>
              <w:rPr>
                <w:rFonts w:hint="eastAsia" w:ascii="Times New Roman" w:hAnsi="Times New Roman" w:eastAsia="宋体" w:cs="Times New Roman"/>
                <w:bCs/>
                <w:color w:val="auto"/>
                <w:highlight w:val="none"/>
                <w:lang w:val="en-US" w:eastAsia="zh-CN"/>
              </w:rPr>
              <w:t>外</w:t>
            </w:r>
            <w:r>
              <w:rPr>
                <w:rFonts w:hint="default" w:ascii="Times New Roman" w:hAnsi="Times New Roman" w:eastAsia="宋体" w:cs="Times New Roman"/>
                <w:bCs/>
                <w:color w:val="auto"/>
                <w:highlight w:val="none"/>
              </w:rPr>
              <w:t>包装</w:t>
            </w:r>
          </w:p>
        </w:tc>
        <w:tc>
          <w:tcPr>
            <w:tcW w:w="3727" w:type="dxa"/>
            <w:vAlign w:val="center"/>
          </w:tcPr>
          <w:p>
            <w:pPr>
              <w:pStyle w:val="36"/>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集中收集，外售综合利用</w:t>
            </w:r>
          </w:p>
        </w:tc>
        <w:tc>
          <w:tcPr>
            <w:tcW w:w="378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418"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843" w:type="dxa"/>
            <w:vMerge w:val="continue"/>
            <w:shd w:val="clear" w:color="auto" w:fill="auto"/>
            <w:vAlign w:val="center"/>
          </w:tcPr>
          <w:p>
            <w:pPr>
              <w:pStyle w:val="36"/>
              <w:rPr>
                <w:rFonts w:hint="default" w:ascii="Times New Roman" w:hAnsi="Times New Roman" w:eastAsia="宋体" w:cs="Times New Roman"/>
                <w:snapToGrid w:val="0"/>
                <w:color w:val="auto"/>
                <w:highlight w:val="none"/>
              </w:rPr>
            </w:pPr>
          </w:p>
        </w:tc>
        <w:tc>
          <w:tcPr>
            <w:tcW w:w="2551" w:type="dxa"/>
            <w:shd w:val="clear" w:color="auto" w:fill="auto"/>
            <w:vAlign w:val="center"/>
          </w:tcPr>
          <w:p>
            <w:pPr>
              <w:spacing w:line="0" w:lineRule="atLeast"/>
              <w:jc w:val="center"/>
              <w:rPr>
                <w:rFonts w:hint="default" w:ascii="Times New Roman" w:hAnsi="Times New Roman" w:eastAsia="宋体" w:cs="Times New Roman"/>
                <w:bCs/>
                <w:color w:val="auto"/>
                <w:highlight w:val="none"/>
              </w:rPr>
            </w:pPr>
            <w:r>
              <w:rPr>
                <w:rFonts w:hint="eastAsia" w:ascii="Times New Roman" w:hAnsi="Times New Roman" w:eastAsia="宋体" w:cs="Times New Roman"/>
                <w:sz w:val="21"/>
                <w:szCs w:val="21"/>
                <w:lang w:val="en-US" w:eastAsia="zh-CN"/>
              </w:rPr>
              <w:t>废润滑油及废润滑油桶</w:t>
            </w:r>
          </w:p>
        </w:tc>
        <w:tc>
          <w:tcPr>
            <w:tcW w:w="3727" w:type="dxa"/>
            <w:vAlign w:val="center"/>
          </w:tcPr>
          <w:p>
            <w:pPr>
              <w:pStyle w:val="36"/>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lang w:val="en-US" w:eastAsia="zh-CN"/>
              </w:rPr>
              <w:t>交由</w:t>
            </w:r>
            <w:r>
              <w:rPr>
                <w:rFonts w:hint="eastAsia" w:ascii="Times New Roman" w:hAnsi="Times New Roman" w:eastAsia="宋体" w:cs="Times New Roman"/>
                <w:bCs/>
                <w:color w:val="auto"/>
                <w:highlight w:val="none"/>
                <w:lang w:val="en-US" w:eastAsia="zh-CN"/>
              </w:rPr>
              <w:t>哈尔滨国环医疗固体废物无害化集中处置中心有限公司</w:t>
            </w:r>
            <w:r>
              <w:rPr>
                <w:rFonts w:hint="default" w:ascii="Times New Roman" w:hAnsi="Times New Roman" w:eastAsia="宋体" w:cs="Times New Roman"/>
                <w:bCs/>
                <w:color w:val="auto"/>
                <w:highlight w:val="none"/>
                <w:lang w:val="en-US" w:eastAsia="zh-CN"/>
              </w:rPr>
              <w:t>处置</w:t>
            </w:r>
          </w:p>
        </w:tc>
        <w:tc>
          <w:tcPr>
            <w:tcW w:w="378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418"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843" w:type="dxa"/>
            <w:shd w:val="clear" w:color="auto" w:fill="auto"/>
            <w:vAlign w:val="center"/>
          </w:tcPr>
          <w:p>
            <w:pPr>
              <w:pStyle w:val="36"/>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lang w:eastAsia="zh-CN"/>
              </w:rPr>
              <w:t>办公楼</w:t>
            </w: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生活垃圾</w:t>
            </w:r>
          </w:p>
        </w:tc>
        <w:tc>
          <w:tcPr>
            <w:tcW w:w="3727" w:type="dxa"/>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由市政部门统一处理</w:t>
            </w:r>
          </w:p>
        </w:tc>
        <w:tc>
          <w:tcPr>
            <w:tcW w:w="3781" w:type="dxa"/>
            <w:shd w:val="clear" w:color="auto" w:fill="auto"/>
            <w:vAlign w:val="center"/>
          </w:tcPr>
          <w:p>
            <w:pPr>
              <w:pStyle w:val="3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370" w:hRule="atLeast"/>
        </w:trPr>
        <w:tc>
          <w:tcPr>
            <w:tcW w:w="1242"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418" w:type="dxa"/>
            <w:vMerge w:val="continue"/>
            <w:shd w:val="clear" w:color="auto" w:fill="auto"/>
            <w:vAlign w:val="center"/>
          </w:tcPr>
          <w:p>
            <w:pPr>
              <w:pStyle w:val="36"/>
              <w:rPr>
                <w:rFonts w:hint="default" w:ascii="Times New Roman" w:hAnsi="Times New Roman" w:eastAsia="宋体" w:cs="Times New Roman"/>
                <w:snapToGrid w:val="0"/>
                <w:color w:val="FF0000"/>
                <w:highlight w:val="none"/>
              </w:rPr>
            </w:pPr>
          </w:p>
        </w:tc>
        <w:tc>
          <w:tcPr>
            <w:tcW w:w="1843" w:type="dxa"/>
            <w:shd w:val="clear" w:color="auto" w:fill="auto"/>
            <w:vAlign w:val="center"/>
          </w:tcPr>
          <w:p>
            <w:pPr>
              <w:pStyle w:val="3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锅炉房</w:t>
            </w:r>
          </w:p>
        </w:tc>
        <w:tc>
          <w:tcPr>
            <w:tcW w:w="2551" w:type="dxa"/>
            <w:shd w:val="clear" w:color="auto" w:fill="auto"/>
            <w:vAlign w:val="center"/>
          </w:tcPr>
          <w:p>
            <w:pPr>
              <w:pStyle w:val="3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废离子交换树脂</w:t>
            </w:r>
          </w:p>
        </w:tc>
        <w:tc>
          <w:tcPr>
            <w:tcW w:w="3727" w:type="dxa"/>
            <w:vAlign w:val="center"/>
          </w:tcPr>
          <w:p>
            <w:pPr>
              <w:pStyle w:val="3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由厂家回收利用</w:t>
            </w:r>
          </w:p>
        </w:tc>
        <w:tc>
          <w:tcPr>
            <w:tcW w:w="3781" w:type="dxa"/>
            <w:shd w:val="clear" w:color="auto" w:fill="auto"/>
            <w:vAlign w:val="center"/>
          </w:tcPr>
          <w:p>
            <w:pPr>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处置率100%</w:t>
            </w:r>
          </w:p>
        </w:tc>
      </w:tr>
    </w:tbl>
    <w:p>
      <w:pPr>
        <w:widowControl/>
        <w:jc w:val="left"/>
        <w:rPr>
          <w:rFonts w:hint="default" w:ascii="Times New Roman" w:hAnsi="Times New Roman" w:eastAsia="宋体" w:cs="Times New Roman"/>
          <w:color w:val="FF0000"/>
          <w:kern w:val="0"/>
          <w:sz w:val="24"/>
          <w:highlight w:val="yellow"/>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pPr>
        <w:keepNext/>
        <w:keepLines/>
        <w:spacing w:line="360" w:lineRule="auto"/>
        <w:contextualSpacing/>
        <w:jc w:val="left"/>
        <w:outlineLvl w:val="1"/>
        <w:rPr>
          <w:rFonts w:hint="default" w:ascii="Times New Roman" w:hAnsi="Times New Roman" w:eastAsia="宋体" w:cs="Times New Roman"/>
          <w:b/>
          <w:bCs/>
          <w:snapToGrid w:val="0"/>
          <w:color w:val="auto"/>
          <w:kern w:val="0"/>
          <w:sz w:val="30"/>
          <w:szCs w:val="30"/>
          <w:highlight w:val="none"/>
        </w:rPr>
      </w:pPr>
      <w:bookmarkStart w:id="504" w:name="_Toc15991728"/>
      <w:bookmarkStart w:id="505" w:name="_Toc4117"/>
      <w:bookmarkStart w:id="506" w:name="_Toc511"/>
      <w:bookmarkStart w:id="507" w:name="_Toc454962811"/>
      <w:bookmarkStart w:id="508" w:name="_Toc477954592"/>
      <w:r>
        <w:rPr>
          <w:rFonts w:hint="default" w:ascii="Times New Roman" w:hAnsi="Times New Roman" w:eastAsia="宋体" w:cs="Times New Roman"/>
          <w:b/>
          <w:bCs/>
          <w:snapToGrid w:val="0"/>
          <w:color w:val="auto"/>
          <w:kern w:val="0"/>
          <w:sz w:val="30"/>
          <w:szCs w:val="30"/>
          <w:highlight w:val="none"/>
        </w:rPr>
        <w:t>8.4总量控制</w:t>
      </w:r>
      <w:bookmarkEnd w:id="504"/>
      <w:bookmarkEnd w:id="505"/>
      <w:bookmarkEnd w:id="506"/>
    </w:p>
    <w:p>
      <w:pPr>
        <w:pStyle w:val="12"/>
        <w:spacing w:before="0" w:after="0" w:line="360" w:lineRule="auto"/>
        <w:contextualSpacing/>
        <w:rPr>
          <w:rFonts w:hint="default" w:ascii="Times New Roman" w:hAnsi="Times New Roman" w:eastAsia="宋体" w:cs="Times New Roman"/>
          <w:bCs w:val="0"/>
          <w:color w:val="auto"/>
          <w:highlight w:val="none"/>
        </w:rPr>
      </w:pPr>
      <w:bookmarkStart w:id="509" w:name="_Toc15991729"/>
      <w:r>
        <w:rPr>
          <w:rFonts w:hint="default" w:ascii="Times New Roman" w:hAnsi="Times New Roman" w:eastAsia="宋体" w:cs="Times New Roman"/>
          <w:bCs w:val="0"/>
          <w:color w:val="auto"/>
          <w:highlight w:val="none"/>
        </w:rPr>
        <w:t>8.4.1总量控制的意义和原则</w:t>
      </w:r>
      <w:bookmarkEnd w:id="509"/>
    </w:p>
    <w:p>
      <w:pPr>
        <w:pStyle w:val="45"/>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实施总量控制将促进资源、能源的合理利用和优化配置，加速产业结构的调整，实现经济增长方式的根本转变；实施总量控制可以较好地协调经济发展与环境保护之间的关系，推动可持续发展战略的实行。</w:t>
      </w:r>
    </w:p>
    <w:p>
      <w:pPr>
        <w:pStyle w:val="45"/>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本工程属于</w:t>
      </w:r>
      <w:r>
        <w:rPr>
          <w:rFonts w:hint="eastAsia" w:cs="Times New Roman"/>
          <w:color w:val="auto"/>
          <w:highlight w:val="none"/>
          <w:lang w:val="en-US" w:eastAsia="zh-CN"/>
        </w:rPr>
        <w:t>生猪</w:t>
      </w:r>
      <w:r>
        <w:rPr>
          <w:rFonts w:hint="default" w:ascii="Times New Roman" w:hAnsi="Times New Roman" w:eastAsia="宋体" w:cs="Times New Roman"/>
          <w:color w:val="auto"/>
          <w:highlight w:val="none"/>
        </w:rPr>
        <w:t>屠宰项目，总量控制应以哈尔滨市总量控制规划为目标，将本工程投产后排放的污染物总量纳入其总量控制规划中，通过区域调整平衡，实现哈尔滨市污染物排放总量控制的目标。</w:t>
      </w:r>
    </w:p>
    <w:p>
      <w:pPr>
        <w:pStyle w:val="12"/>
        <w:spacing w:before="0" w:after="0" w:line="360" w:lineRule="auto"/>
        <w:contextualSpacing/>
        <w:jc w:val="both"/>
        <w:rPr>
          <w:rFonts w:hint="default" w:ascii="Times New Roman" w:hAnsi="Times New Roman" w:eastAsia="宋体" w:cs="Times New Roman"/>
          <w:bCs w:val="0"/>
          <w:color w:val="auto"/>
          <w:highlight w:val="none"/>
        </w:rPr>
      </w:pPr>
      <w:bookmarkStart w:id="510" w:name="_Toc15991730"/>
      <w:r>
        <w:rPr>
          <w:rFonts w:hint="default" w:ascii="Times New Roman" w:hAnsi="Times New Roman" w:eastAsia="宋体" w:cs="Times New Roman"/>
          <w:bCs w:val="0"/>
          <w:color w:val="auto"/>
          <w:highlight w:val="none"/>
        </w:rPr>
        <w:t>8.4.2总量控制因子</w:t>
      </w:r>
      <w:bookmarkEnd w:id="510"/>
    </w:p>
    <w:p>
      <w:pPr>
        <w:pStyle w:val="45"/>
        <w:keepNext w:val="0"/>
        <w:keepLines w:val="0"/>
        <w:pageBreakBefore w:val="0"/>
        <w:wordWrap/>
        <w:overflowPunct/>
        <w:topLinePunct w:val="0"/>
        <w:bidi w:val="0"/>
        <w:adjustRightInd/>
        <w:snapToGrid/>
        <w:spacing w:line="360" w:lineRule="auto"/>
        <w:ind w:firstLine="480" w:firstLineChars="200"/>
        <w:contextualSpacing/>
        <w:jc w:val="both"/>
        <w:outlineLvl w:val="1"/>
        <w:rPr>
          <w:rFonts w:hint="eastAsia" w:ascii="Times New Roman" w:hAnsi="Times New Roman" w:eastAsia="宋体" w:cs="Times New Roman"/>
          <w:color w:val="auto"/>
          <w:highlight w:val="none"/>
          <w:lang w:eastAsia="zh-CN"/>
        </w:rPr>
      </w:pPr>
      <w:bookmarkStart w:id="511" w:name="_Toc14279"/>
      <w:bookmarkStart w:id="512" w:name="_Toc18604"/>
      <w:r>
        <w:rPr>
          <w:rFonts w:hint="default" w:ascii="Times New Roman" w:hAnsi="Times New Roman" w:eastAsia="宋体" w:cs="Times New Roman"/>
          <w:color w:val="auto"/>
          <w:highlight w:val="none"/>
        </w:rPr>
        <w:t>（1）水污染物总量控制指标</w:t>
      </w:r>
      <w:bookmarkEnd w:id="511"/>
      <w:bookmarkEnd w:id="512"/>
    </w:p>
    <w:p>
      <w:pPr>
        <w:pStyle w:val="45"/>
        <w:keepNext w:val="0"/>
        <w:keepLines w:val="0"/>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本项目废水经厂区污水处理站处理后达到</w:t>
      </w:r>
      <w:r>
        <w:rPr>
          <w:rFonts w:hint="default" w:ascii="Times New Roman" w:hAnsi="Times New Roman" w:eastAsia="宋体" w:cs="Times New Roman"/>
          <w:bCs/>
          <w:color w:val="auto"/>
          <w:highlight w:val="none"/>
        </w:rPr>
        <w:t>《肉类加工工业水污染物排放标准》（GB13457-92）表3三级畜类屠宰加工标准限值，计算过程如下。</w:t>
      </w:r>
    </w:p>
    <w:p>
      <w:pPr>
        <w:pStyle w:val="45"/>
        <w:keepNext w:val="0"/>
        <w:keepLines w:val="0"/>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核定排放总量：</w:t>
      </w:r>
    </w:p>
    <w:p>
      <w:pPr>
        <w:pStyle w:val="45"/>
        <w:keepNext w:val="0"/>
        <w:keepLines w:val="0"/>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本项目COD核定排放量=</w:t>
      </w:r>
      <w:r>
        <w:rPr>
          <w:rFonts w:hint="eastAsia" w:cs="Times New Roman"/>
          <w:color w:val="auto"/>
          <w:highlight w:val="none"/>
          <w:lang w:val="en-US" w:eastAsia="zh-CN"/>
        </w:rPr>
        <w:t>79932.69</w:t>
      </w:r>
      <w:r>
        <w:rPr>
          <w:rFonts w:hint="default" w:ascii="Times New Roman" w:hAnsi="Times New Roman" w:eastAsia="宋体" w:cs="Times New Roman"/>
          <w:color w:val="auto"/>
          <w:highlight w:val="none"/>
        </w:rPr>
        <w:t>t/a×</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00mg/L×10</w:t>
      </w:r>
      <w:r>
        <w:rPr>
          <w:rFonts w:hint="default" w:ascii="Times New Roman" w:hAnsi="Times New Roman" w:eastAsia="宋体" w:cs="Times New Roman"/>
          <w:color w:val="auto"/>
          <w:highlight w:val="none"/>
          <w:vertAlign w:val="superscript"/>
        </w:rPr>
        <w:t>-6</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39.97</w:t>
      </w:r>
      <w:r>
        <w:rPr>
          <w:rFonts w:hint="default" w:ascii="Times New Roman" w:hAnsi="Times New Roman" w:eastAsia="宋体" w:cs="Times New Roman"/>
          <w:color w:val="auto"/>
          <w:highlight w:val="none"/>
        </w:rPr>
        <w:t>t/a</w:t>
      </w:r>
    </w:p>
    <w:p>
      <w:pPr>
        <w:pStyle w:val="45"/>
        <w:keepNext w:val="0"/>
        <w:keepLines w:val="0"/>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rPr>
        <w:t>本项目氨氮核定排放量=</w:t>
      </w:r>
      <w:r>
        <w:rPr>
          <w:rFonts w:hint="default" w:ascii="Times New Roman" w:hAnsi="Times New Roman" w:eastAsia="宋体" w:cs="Times New Roman"/>
          <w:color w:val="auto"/>
          <w:highlight w:val="none"/>
          <w:lang w:val="en-US" w:eastAsia="zh-CN"/>
        </w:rPr>
        <w:t>预测排放量=</w:t>
      </w:r>
      <w:r>
        <w:rPr>
          <w:rFonts w:hint="eastAsia" w:cs="Times New Roman"/>
          <w:color w:val="auto"/>
          <w:highlight w:val="none"/>
          <w:lang w:val="en-US" w:eastAsia="zh-CN"/>
        </w:rPr>
        <w:t>1.49</w:t>
      </w:r>
      <w:r>
        <w:rPr>
          <w:rFonts w:hint="default" w:ascii="Times New Roman" w:hAnsi="Times New Roman" w:eastAsia="宋体" w:cs="Times New Roman"/>
          <w:color w:val="auto"/>
          <w:highlight w:val="none"/>
          <w:lang w:val="en-US" w:eastAsia="zh-CN"/>
        </w:rPr>
        <w:t>t/a</w:t>
      </w:r>
    </w:p>
    <w:p>
      <w:pPr>
        <w:keepNext w:val="0"/>
        <w:keepLines w:val="0"/>
        <w:pageBreakBefore w:val="0"/>
        <w:wordWrap/>
        <w:overflowPunct/>
        <w:topLinePunct w:val="0"/>
        <w:bidi w:val="0"/>
        <w:spacing w:line="360" w:lineRule="auto"/>
        <w:ind w:firstLine="528" w:firstLineChars="200"/>
        <w:jc w:val="both"/>
        <w:outlineLvl w:val="1"/>
        <w:rPr>
          <w:rFonts w:hint="default" w:ascii="Times New Roman" w:hAnsi="Times New Roman" w:eastAsia="宋体" w:cs="Times New Roman"/>
          <w:b/>
          <w:bCs/>
          <w:color w:val="auto"/>
          <w:sz w:val="24"/>
          <w:highlight w:val="none"/>
        </w:rPr>
      </w:pPr>
      <w:bookmarkStart w:id="513" w:name="_Toc10317"/>
      <w:bookmarkStart w:id="514" w:name="_Toc15730"/>
      <w:r>
        <w:rPr>
          <w:rFonts w:hint="default" w:ascii="Times New Roman" w:hAnsi="Times New Roman" w:eastAsia="宋体" w:cs="Times New Roman"/>
          <w:color w:val="auto"/>
          <w:spacing w:val="12"/>
          <w:kern w:val="2"/>
          <w:sz w:val="24"/>
          <w:szCs w:val="24"/>
          <w:highlight w:val="none"/>
        </w:rPr>
        <w:t>（2）大气污染物总量控制指标</w:t>
      </w:r>
      <w:bookmarkEnd w:id="513"/>
      <w:bookmarkEnd w:id="514"/>
    </w:p>
    <w:p>
      <w:pPr>
        <w:pStyle w:val="36"/>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fldChar w:fldCharType="begin"/>
      </w:r>
      <w:r>
        <w:rPr>
          <w:rFonts w:hint="default" w:ascii="Times New Roman" w:hAnsi="Times New Roman" w:eastAsia="宋体" w:cs="Times New Roman"/>
          <w:color w:val="auto"/>
          <w:sz w:val="24"/>
          <w:szCs w:val="24"/>
          <w:lang w:val="en-US" w:eastAsia="zh-CN"/>
        </w:rPr>
        <w:instrText xml:space="preserve"> = 1 \* GB3 \* MERGEFORMAT </w:instrText>
      </w:r>
      <w:r>
        <w:rPr>
          <w:rFonts w:hint="default" w:ascii="Times New Roman" w:hAnsi="Times New Roman" w:eastAsia="宋体" w:cs="Times New Roman"/>
          <w:color w:val="auto"/>
          <w:sz w:val="24"/>
          <w:szCs w:val="24"/>
          <w:lang w:val="en-US" w:eastAsia="zh-CN"/>
        </w:rPr>
        <w:fldChar w:fldCharType="separate"/>
      </w:r>
      <w:r>
        <w:rPr>
          <w:rFonts w:hint="default" w:ascii="Times New Roman" w:hAnsi="Times New Roman" w:cs="Times New Roman"/>
          <w:color w:val="auto"/>
          <w:sz w:val="24"/>
          <w:szCs w:val="24"/>
        </w:rPr>
        <w:t>①</w:t>
      </w:r>
      <w:r>
        <w:rPr>
          <w:rFonts w:hint="default" w:ascii="Times New Roman" w:hAnsi="Times New Roman" w:eastAsia="宋体" w:cs="Times New Roman"/>
          <w:color w:val="auto"/>
          <w:sz w:val="24"/>
          <w:szCs w:val="24"/>
          <w:lang w:val="en-US" w:eastAsia="zh-CN"/>
        </w:rPr>
        <w:fldChar w:fldCharType="end"/>
      </w:r>
      <w:r>
        <w:rPr>
          <w:rFonts w:hint="default" w:ascii="Times New Roman" w:hAnsi="Times New Roman" w:eastAsia="宋体" w:cs="Times New Roman"/>
          <w:color w:val="auto"/>
          <w:sz w:val="24"/>
          <w:szCs w:val="24"/>
          <w:lang w:val="en-US" w:eastAsia="zh-CN"/>
        </w:rPr>
        <w:t>燃油</w:t>
      </w:r>
      <w:r>
        <w:rPr>
          <w:rFonts w:hint="default" w:ascii="Times New Roman" w:hAnsi="Times New Roman" w:eastAsia="宋体" w:cs="Times New Roman"/>
          <w:color w:val="auto"/>
          <w:sz w:val="24"/>
          <w:szCs w:val="24"/>
        </w:rPr>
        <w:t>锅炉烟尘</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SO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、NO</w:t>
      </w:r>
      <w:r>
        <w:rPr>
          <w:rFonts w:hint="default" w:ascii="Times New Roman" w:hAnsi="Times New Roman" w:eastAsia="宋体" w:cs="Times New Roman"/>
          <w:color w:val="auto"/>
          <w:sz w:val="24"/>
          <w:szCs w:val="24"/>
          <w:vertAlign w:val="subscript"/>
        </w:rPr>
        <w:t>x</w:t>
      </w:r>
      <w:r>
        <w:rPr>
          <w:rFonts w:hint="default" w:ascii="Times New Roman" w:hAnsi="Times New Roman" w:eastAsia="宋体" w:cs="Times New Roman"/>
          <w:color w:val="auto"/>
          <w:sz w:val="24"/>
          <w:szCs w:val="24"/>
        </w:rPr>
        <w:t>核定排放总量按《排污许可证申请与核发技术规范农副食品加工工业—屠宰及肉类加工工业》（HJ 860.3—2018）计算</w:t>
      </w:r>
      <w:r>
        <w:rPr>
          <w:rFonts w:hint="default" w:ascii="Times New Roman" w:hAnsi="Times New Roman" w:eastAsia="宋体" w:cs="Times New Roman"/>
          <w:color w:val="auto"/>
          <w:sz w:val="24"/>
          <w:szCs w:val="24"/>
          <w:lang w:eastAsia="zh-CN"/>
        </w:rPr>
        <w:t>。</w:t>
      </w:r>
    </w:p>
    <w:p>
      <w:pPr>
        <w:pStyle w:val="36"/>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燃油锅炉废气污染物许可排放量计算公式如下：</w:t>
      </w:r>
    </w:p>
    <w:p>
      <w:pPr>
        <w:pStyle w:val="36"/>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cs="Times New Roman"/>
          <w:color w:val="auto"/>
        </w:rPr>
        <w:drawing>
          <wp:inline distT="0" distB="0" distL="114300" distR="114300">
            <wp:extent cx="1887855" cy="266700"/>
            <wp:effectExtent l="0" t="0" r="17145" b="0"/>
            <wp:docPr id="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
                    <pic:cNvPicPr>
                      <a:picLocks noChangeAspect="1"/>
                    </pic:cNvPicPr>
                  </pic:nvPicPr>
                  <pic:blipFill>
                    <a:blip r:embed="rId90"/>
                    <a:stretch>
                      <a:fillRect/>
                    </a:stretch>
                  </pic:blipFill>
                  <pic:spPr>
                    <a:xfrm>
                      <a:off x="0" y="0"/>
                      <a:ext cx="1887855" cy="26670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式中：</w:t>
      </w:r>
      <w:r>
        <w:rPr>
          <w:rFonts w:hint="default" w:ascii="Times New Roman" w:hAnsi="Times New Roman" w:eastAsia="宋体" w:cs="Times New Roman"/>
          <w:i/>
          <w:color w:val="auto"/>
          <w:kern w:val="0"/>
          <w:sz w:val="24"/>
          <w:szCs w:val="24"/>
          <w:lang w:val="en-US" w:eastAsia="zh-CN" w:bidi="ar"/>
        </w:rPr>
        <w:t>D</w:t>
      </w:r>
      <w:r>
        <w:rPr>
          <w:rFonts w:hint="default" w:ascii="Times New Roman" w:hAnsi="Times New Roman" w:eastAsia="宋体" w:cs="Times New Roman"/>
          <w:i/>
          <w:color w:val="auto"/>
          <w:kern w:val="0"/>
          <w:sz w:val="24"/>
          <w:szCs w:val="24"/>
          <w:vertAlign w:val="subscript"/>
          <w:lang w:val="en-US" w:eastAsia="zh-CN" w:bidi="ar"/>
        </w:rPr>
        <w:t>ij</w:t>
      </w:r>
      <w:r>
        <w:rPr>
          <w:rFonts w:hint="default" w:ascii="Times New Roman" w:hAnsi="Times New Roman" w:eastAsia="宋体" w:cs="Times New Roman"/>
          <w:color w:val="auto"/>
          <w:kern w:val="0"/>
          <w:sz w:val="24"/>
          <w:szCs w:val="24"/>
          <w:lang w:val="en-US" w:eastAsia="zh-CN" w:bidi="ar"/>
        </w:rPr>
        <w:t>—第</w:t>
      </w:r>
      <w:r>
        <w:rPr>
          <w:rFonts w:hint="default" w:ascii="Times New Roman" w:hAnsi="Times New Roman" w:eastAsia="宋体" w:cs="Times New Roman"/>
          <w:i/>
          <w:color w:val="auto"/>
          <w:kern w:val="0"/>
          <w:sz w:val="24"/>
          <w:szCs w:val="24"/>
          <w:lang w:val="en-US" w:eastAsia="zh-CN" w:bidi="ar"/>
        </w:rPr>
        <w:t>i</w:t>
      </w:r>
      <w:r>
        <w:rPr>
          <w:rFonts w:hint="default" w:ascii="Times New Roman" w:hAnsi="Times New Roman" w:eastAsia="宋体" w:cs="Times New Roman"/>
          <w:color w:val="auto"/>
          <w:kern w:val="0"/>
          <w:sz w:val="24"/>
          <w:szCs w:val="24"/>
          <w:lang w:val="en-US" w:eastAsia="zh-CN" w:bidi="ar"/>
        </w:rPr>
        <w:t>个锅炉排放口废气第</w:t>
      </w:r>
      <w:r>
        <w:rPr>
          <w:rFonts w:hint="default" w:ascii="Times New Roman" w:hAnsi="Times New Roman" w:eastAsia="宋体" w:cs="Times New Roman"/>
          <w:i/>
          <w:color w:val="auto"/>
          <w:kern w:val="0"/>
          <w:sz w:val="24"/>
          <w:szCs w:val="24"/>
          <w:lang w:val="en-US" w:eastAsia="zh-CN" w:bidi="ar"/>
        </w:rPr>
        <w:t>j</w:t>
      </w:r>
      <w:r>
        <w:rPr>
          <w:rFonts w:hint="default" w:ascii="Times New Roman" w:hAnsi="Times New Roman" w:eastAsia="宋体" w:cs="Times New Roman"/>
          <w:color w:val="auto"/>
          <w:kern w:val="0"/>
          <w:sz w:val="24"/>
          <w:szCs w:val="24"/>
          <w:lang w:val="en-US" w:eastAsia="zh-CN" w:bidi="ar"/>
        </w:rPr>
        <w:t xml:space="preserve">项大气污染物年许可排放量，t/a；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i/>
          <w:color w:val="auto"/>
          <w:kern w:val="0"/>
          <w:sz w:val="24"/>
          <w:szCs w:val="24"/>
          <w:lang w:val="en-US" w:eastAsia="zh-CN" w:bidi="ar"/>
        </w:rPr>
        <w:t>R</w:t>
      </w:r>
      <w:r>
        <w:rPr>
          <w:rFonts w:hint="default" w:ascii="Times New Roman" w:hAnsi="Times New Roman" w:eastAsia="宋体" w:cs="Times New Roman"/>
          <w:i/>
          <w:color w:val="auto"/>
          <w:kern w:val="0"/>
          <w:sz w:val="24"/>
          <w:szCs w:val="24"/>
          <w:vertAlign w:val="subscript"/>
          <w:lang w:val="en-US" w:eastAsia="zh-CN" w:bidi="ar"/>
        </w:rPr>
        <w:t>i</w:t>
      </w:r>
      <w:r>
        <w:rPr>
          <w:rFonts w:hint="default" w:ascii="Times New Roman" w:hAnsi="Times New Roman" w:eastAsia="宋体" w:cs="Times New Roman"/>
          <w:color w:val="auto"/>
          <w:kern w:val="0"/>
          <w:sz w:val="24"/>
          <w:szCs w:val="24"/>
          <w:lang w:val="en-US" w:eastAsia="zh-CN" w:bidi="ar"/>
        </w:rPr>
        <w:t>—第</w:t>
      </w:r>
      <w:r>
        <w:rPr>
          <w:rFonts w:hint="default" w:ascii="Times New Roman" w:hAnsi="Times New Roman" w:eastAsia="宋体" w:cs="Times New Roman"/>
          <w:i/>
          <w:color w:val="auto"/>
          <w:kern w:val="0"/>
          <w:sz w:val="24"/>
          <w:szCs w:val="24"/>
          <w:lang w:val="en-US" w:eastAsia="zh-CN" w:bidi="ar"/>
        </w:rPr>
        <w:t>i</w:t>
      </w:r>
      <w:r>
        <w:rPr>
          <w:rFonts w:hint="default" w:ascii="Times New Roman" w:hAnsi="Times New Roman" w:eastAsia="宋体" w:cs="Times New Roman"/>
          <w:color w:val="auto"/>
          <w:kern w:val="0"/>
          <w:sz w:val="24"/>
          <w:szCs w:val="24"/>
          <w:lang w:val="en-US" w:eastAsia="zh-CN" w:bidi="ar"/>
        </w:rPr>
        <w:t xml:space="preserve">个锅炉排放口设计燃料用量，燃油单位为t/a；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i/>
          <w:color w:val="auto"/>
          <w:kern w:val="0"/>
          <w:sz w:val="24"/>
          <w:szCs w:val="24"/>
          <w:lang w:val="en-US" w:eastAsia="zh-CN" w:bidi="ar"/>
        </w:rPr>
        <w:t>Q</w:t>
      </w:r>
      <w:r>
        <w:rPr>
          <w:rFonts w:hint="default" w:ascii="Times New Roman" w:hAnsi="Times New Roman" w:eastAsia="宋体" w:cs="Times New Roman"/>
          <w:i/>
          <w:color w:val="auto"/>
          <w:kern w:val="0"/>
          <w:sz w:val="24"/>
          <w:szCs w:val="24"/>
          <w:vertAlign w:val="subscript"/>
          <w:lang w:val="en-US" w:eastAsia="zh-CN" w:bidi="ar"/>
        </w:rPr>
        <w:t>i</w:t>
      </w:r>
      <w:r>
        <w:rPr>
          <w:rFonts w:hint="default" w:ascii="Times New Roman" w:hAnsi="Times New Roman" w:eastAsia="宋体" w:cs="Times New Roman"/>
          <w:color w:val="auto"/>
          <w:kern w:val="0"/>
          <w:sz w:val="24"/>
          <w:szCs w:val="24"/>
          <w:lang w:val="en-US" w:eastAsia="zh-CN" w:bidi="ar"/>
        </w:rPr>
        <w:t>—第</w:t>
      </w:r>
      <w:r>
        <w:rPr>
          <w:rFonts w:hint="default" w:ascii="Times New Roman" w:hAnsi="Times New Roman" w:eastAsia="宋体" w:cs="Times New Roman"/>
          <w:i/>
          <w:color w:val="auto"/>
          <w:kern w:val="0"/>
          <w:sz w:val="24"/>
          <w:szCs w:val="24"/>
          <w:lang w:val="en-US" w:eastAsia="zh-CN" w:bidi="ar"/>
        </w:rPr>
        <w:t>i</w:t>
      </w:r>
      <w:r>
        <w:rPr>
          <w:rFonts w:hint="default" w:ascii="Times New Roman" w:hAnsi="Times New Roman" w:eastAsia="宋体" w:cs="Times New Roman"/>
          <w:color w:val="auto"/>
          <w:kern w:val="0"/>
          <w:sz w:val="24"/>
          <w:szCs w:val="24"/>
          <w:lang w:val="en-US" w:eastAsia="zh-CN" w:bidi="ar"/>
        </w:rPr>
        <w:t>个锅炉排放口基准排气量，燃油时单位为</w:t>
      </w:r>
      <w:r>
        <w:rPr>
          <w:rFonts w:hint="default" w:ascii="Times New Roman" w:hAnsi="Times New Roman" w:eastAsia="宋体" w:cs="Times New Roman"/>
          <w:i/>
          <w:color w:val="auto"/>
          <w:kern w:val="0"/>
          <w:sz w:val="24"/>
          <w:szCs w:val="24"/>
          <w:lang w:val="en-US" w:eastAsia="zh-CN" w:bidi="ar"/>
        </w:rPr>
        <w:t>N</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/kg燃油，具体取值见表5；地方有更严格排放标准要求的，按照地方排放标准从严确定；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1200" w:firstLineChars="500"/>
        <w:jc w:val="both"/>
        <w:textAlignment w:val="auto"/>
        <w:rPr>
          <w:rFonts w:hint="default" w:ascii="Times New Roman" w:hAnsi="Times New Roman" w:eastAsia="宋体" w:cs="Times New Roman"/>
          <w:color w:val="auto"/>
          <w:spacing w:val="12"/>
          <w:kern w:val="2"/>
          <w:sz w:val="24"/>
          <w:szCs w:val="24"/>
        </w:rPr>
      </w:pPr>
      <w:r>
        <w:rPr>
          <w:rFonts w:hint="default" w:ascii="Times New Roman" w:hAnsi="Times New Roman" w:eastAsia="宋体" w:cs="Times New Roman"/>
          <w:i/>
          <w:color w:val="auto"/>
          <w:kern w:val="0"/>
          <w:sz w:val="24"/>
          <w:szCs w:val="24"/>
          <w:lang w:val="en-US" w:eastAsia="zh-CN" w:bidi="ar"/>
        </w:rPr>
        <w:t>C</w:t>
      </w:r>
      <w:r>
        <w:rPr>
          <w:rFonts w:hint="default" w:ascii="Times New Roman" w:hAnsi="Times New Roman" w:eastAsia="宋体" w:cs="Times New Roman"/>
          <w:i/>
          <w:color w:val="auto"/>
          <w:kern w:val="0"/>
          <w:sz w:val="24"/>
          <w:szCs w:val="24"/>
          <w:vertAlign w:val="subscript"/>
          <w:lang w:val="en-US" w:eastAsia="zh-CN" w:bidi="ar"/>
        </w:rPr>
        <w:t>ij</w:t>
      </w:r>
      <w:r>
        <w:rPr>
          <w:rFonts w:hint="default" w:ascii="Times New Roman" w:hAnsi="Times New Roman" w:eastAsia="宋体" w:cs="Times New Roman"/>
          <w:color w:val="auto"/>
          <w:kern w:val="0"/>
          <w:sz w:val="24"/>
          <w:szCs w:val="24"/>
          <w:lang w:val="en-US" w:eastAsia="zh-CN" w:bidi="ar"/>
        </w:rPr>
        <w:t>—第</w:t>
      </w:r>
      <w:r>
        <w:rPr>
          <w:rFonts w:hint="default" w:ascii="Times New Roman" w:hAnsi="Times New Roman" w:eastAsia="宋体" w:cs="Times New Roman"/>
          <w:i/>
          <w:color w:val="auto"/>
          <w:kern w:val="0"/>
          <w:sz w:val="24"/>
          <w:szCs w:val="24"/>
          <w:lang w:val="en-US" w:eastAsia="zh-CN" w:bidi="ar"/>
        </w:rPr>
        <w:t>i</w:t>
      </w:r>
      <w:r>
        <w:rPr>
          <w:rFonts w:hint="default" w:ascii="Times New Roman" w:hAnsi="Times New Roman" w:eastAsia="宋体" w:cs="Times New Roman"/>
          <w:color w:val="auto"/>
          <w:kern w:val="0"/>
          <w:sz w:val="24"/>
          <w:szCs w:val="24"/>
          <w:lang w:val="en-US" w:eastAsia="zh-CN" w:bidi="ar"/>
        </w:rPr>
        <w:t>个锅炉排放口废气第</w:t>
      </w:r>
      <w:r>
        <w:rPr>
          <w:rFonts w:hint="default" w:ascii="Times New Roman" w:hAnsi="Times New Roman" w:eastAsia="宋体" w:cs="Times New Roman"/>
          <w:i/>
          <w:color w:val="auto"/>
          <w:kern w:val="0"/>
          <w:sz w:val="24"/>
          <w:szCs w:val="24"/>
          <w:lang w:val="en-US" w:eastAsia="zh-CN" w:bidi="ar"/>
        </w:rPr>
        <w:t>j</w:t>
      </w:r>
      <w:r>
        <w:rPr>
          <w:rFonts w:hint="default" w:ascii="Times New Roman" w:hAnsi="Times New Roman" w:eastAsia="宋体" w:cs="Times New Roman"/>
          <w:color w:val="auto"/>
          <w:kern w:val="0"/>
          <w:sz w:val="24"/>
          <w:szCs w:val="24"/>
          <w:lang w:val="en-US" w:eastAsia="zh-CN" w:bidi="ar"/>
        </w:rPr>
        <w:t>项大气污染物许可排放浓度限值，mg/</w:t>
      </w:r>
      <w:r>
        <w:rPr>
          <w:rFonts w:hint="default" w:ascii="Times New Roman" w:hAnsi="Times New Roman" w:eastAsia="宋体" w:cs="Times New Roman"/>
          <w:i/>
          <w:color w:val="auto"/>
          <w:kern w:val="0"/>
          <w:sz w:val="24"/>
          <w:szCs w:val="24"/>
          <w:lang w:val="en-US" w:eastAsia="zh-CN" w:bidi="ar"/>
        </w:rPr>
        <w:t>N</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w:t>
      </w:r>
    </w:p>
    <w:p>
      <w:pPr>
        <w:pStyle w:val="36"/>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核定排放总量（t/a）=</w:t>
      </w:r>
      <w:r>
        <w:rPr>
          <w:rFonts w:hint="eastAsia" w:ascii="Times New Roman" w:hAnsi="Times New Roman" w:eastAsia="宋体" w:cs="Times New Roman"/>
          <w:color w:val="auto"/>
          <w:sz w:val="24"/>
          <w:szCs w:val="24"/>
          <w:highlight w:val="none"/>
          <w:lang w:val="en-US" w:eastAsia="zh-CN"/>
        </w:rPr>
        <w:t>36</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13.8</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200</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0.8</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vertAlign w:val="superscript"/>
          <w:lang w:val="en-US" w:eastAsia="zh-CN"/>
        </w:rPr>
        <w:t>-6</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0.08</w:t>
      </w:r>
      <w:r>
        <w:rPr>
          <w:rFonts w:hint="default" w:ascii="Times New Roman" w:hAnsi="Times New Roman" w:eastAsia="宋体" w:cs="Times New Roman"/>
          <w:color w:val="auto"/>
          <w:sz w:val="24"/>
          <w:szCs w:val="24"/>
          <w:highlight w:val="none"/>
          <w:lang w:val="en-US" w:eastAsia="zh-CN"/>
        </w:rPr>
        <w:t>t/a</w:t>
      </w:r>
    </w:p>
    <w:p>
      <w:pPr>
        <w:pStyle w:val="36"/>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NO</w:t>
      </w:r>
      <w:r>
        <w:rPr>
          <w:rFonts w:hint="default" w:ascii="Times New Roman" w:hAnsi="Times New Roman" w:eastAsia="宋体" w:cs="Times New Roman"/>
          <w:color w:val="auto"/>
          <w:sz w:val="24"/>
          <w:szCs w:val="24"/>
          <w:highlight w:val="none"/>
          <w:vertAlign w:val="subscript"/>
        </w:rPr>
        <w:t>X</w:t>
      </w:r>
      <w:r>
        <w:rPr>
          <w:rFonts w:hint="default" w:ascii="Times New Roman" w:hAnsi="Times New Roman" w:eastAsia="宋体" w:cs="Times New Roman"/>
          <w:color w:val="auto"/>
          <w:sz w:val="24"/>
          <w:szCs w:val="24"/>
          <w:highlight w:val="none"/>
        </w:rPr>
        <w:t>核定排放总量（t/a）=</w:t>
      </w:r>
      <w:r>
        <w:rPr>
          <w:rFonts w:hint="eastAsia" w:ascii="Times New Roman" w:hAnsi="Times New Roman" w:eastAsia="宋体" w:cs="Times New Roman"/>
          <w:color w:val="auto"/>
          <w:sz w:val="24"/>
          <w:szCs w:val="24"/>
          <w:highlight w:val="none"/>
          <w:lang w:val="en-US" w:eastAsia="zh-CN"/>
        </w:rPr>
        <w:t>36</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13.8</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50</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vertAlign w:val="superscript"/>
          <w:lang w:val="en-US" w:eastAsia="zh-CN"/>
        </w:rPr>
        <w:t>-6</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0.12</w:t>
      </w:r>
      <w:r>
        <w:rPr>
          <w:rFonts w:hint="default" w:ascii="Times New Roman" w:hAnsi="Times New Roman" w:eastAsia="宋体" w:cs="Times New Roman"/>
          <w:color w:val="auto"/>
          <w:sz w:val="24"/>
          <w:szCs w:val="24"/>
          <w:highlight w:val="none"/>
          <w:lang w:val="en-US" w:eastAsia="zh-CN"/>
        </w:rPr>
        <w:t>t/a</w:t>
      </w:r>
    </w:p>
    <w:p>
      <w:pPr>
        <w:pStyle w:val="5"/>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颗粒物核定排放总量（t/a）=</w:t>
      </w:r>
      <w:r>
        <w:rPr>
          <w:rFonts w:hint="eastAsia" w:ascii="Times New Roman" w:hAnsi="Times New Roman" w:eastAsia="宋体" w:cs="Times New Roman"/>
          <w:color w:val="auto"/>
          <w:sz w:val="24"/>
          <w:szCs w:val="24"/>
          <w:highlight w:val="none"/>
          <w:lang w:val="en-US" w:eastAsia="zh-CN"/>
        </w:rPr>
        <w:t>36</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13.8</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30×10</w:t>
      </w:r>
      <w:r>
        <w:rPr>
          <w:rFonts w:hint="default" w:ascii="Times New Roman" w:hAnsi="Times New Roman" w:eastAsia="宋体" w:cs="Times New Roman"/>
          <w:color w:val="auto"/>
          <w:sz w:val="24"/>
          <w:szCs w:val="24"/>
          <w:highlight w:val="none"/>
          <w:vertAlign w:val="superscript"/>
          <w:lang w:val="en-US" w:eastAsia="zh-CN"/>
        </w:rPr>
        <w:t>-6</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0.015</w:t>
      </w:r>
      <w:r>
        <w:rPr>
          <w:rFonts w:hint="default" w:ascii="Times New Roman" w:hAnsi="Times New Roman" w:eastAsia="宋体" w:cs="Times New Roman"/>
          <w:color w:val="auto"/>
          <w:sz w:val="24"/>
          <w:szCs w:val="24"/>
          <w:highlight w:val="none"/>
          <w:lang w:val="en-US" w:eastAsia="zh-CN"/>
        </w:rPr>
        <w:t>t/a</w:t>
      </w:r>
    </w:p>
    <w:p>
      <w:pPr>
        <w:pStyle w:val="6"/>
        <w:keepNext w:val="0"/>
        <w:keepLines w:val="0"/>
        <w:pageBreakBefore w:val="0"/>
        <w:widowControl w:val="0"/>
        <w:numPr>
          <w:ilvl w:val="0"/>
          <w:numId w:val="0"/>
        </w:numPr>
        <w:kinsoku/>
        <w:wordWrap/>
        <w:overflowPunct/>
        <w:topLinePunct w:val="0"/>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olor w:val="auto"/>
          <w:kern w:val="24"/>
          <w:sz w:val="24"/>
          <w:lang w:val="en-US" w:eastAsia="zh-CN"/>
        </w:rPr>
      </w:pPr>
      <w:r>
        <w:rPr>
          <w:rFonts w:hint="default" w:ascii="Times New Roman" w:hAnsi="Times New Roman" w:eastAsia="宋体" w:cs="Times New Roman"/>
          <w:color w:val="auto"/>
          <w:kern w:val="24"/>
          <w:sz w:val="24"/>
          <w:szCs w:val="24"/>
          <w:lang w:val="en-US" w:eastAsia="zh-CN"/>
        </w:rPr>
        <w:fldChar w:fldCharType="begin"/>
      </w:r>
      <w:r>
        <w:rPr>
          <w:rFonts w:hint="default" w:ascii="Times New Roman" w:hAnsi="Times New Roman" w:eastAsia="宋体" w:cs="Times New Roman"/>
          <w:color w:val="auto"/>
          <w:kern w:val="24"/>
          <w:sz w:val="24"/>
          <w:szCs w:val="24"/>
          <w:lang w:val="en-US" w:eastAsia="zh-CN"/>
        </w:rPr>
        <w:instrText xml:space="preserve"> = 2 \* GB3 \* MERGEFORMAT </w:instrText>
      </w:r>
      <w:r>
        <w:rPr>
          <w:rFonts w:hint="default" w:ascii="Times New Roman" w:hAnsi="Times New Roman" w:eastAsia="宋体" w:cs="Times New Roman"/>
          <w:color w:val="auto"/>
          <w:kern w:val="24"/>
          <w:sz w:val="24"/>
          <w:szCs w:val="24"/>
          <w:lang w:val="en-US" w:eastAsia="zh-CN"/>
        </w:rPr>
        <w:fldChar w:fldCharType="separate"/>
      </w:r>
      <w:r>
        <w:rPr>
          <w:rFonts w:hint="default" w:ascii="Times New Roman" w:hAnsi="Times New Roman" w:cs="Times New Roman"/>
          <w:color w:val="auto"/>
          <w:sz w:val="24"/>
          <w:szCs w:val="24"/>
        </w:rPr>
        <w:t>②</w:t>
      </w:r>
      <w:r>
        <w:rPr>
          <w:rFonts w:hint="default" w:ascii="Times New Roman" w:hAnsi="Times New Roman" w:eastAsia="宋体" w:cs="Times New Roman"/>
          <w:color w:val="auto"/>
          <w:kern w:val="24"/>
          <w:sz w:val="24"/>
          <w:szCs w:val="24"/>
          <w:lang w:val="en-US" w:eastAsia="zh-CN"/>
        </w:rPr>
        <w:fldChar w:fldCharType="end"/>
      </w:r>
      <w:r>
        <w:rPr>
          <w:rFonts w:hint="default" w:ascii="Times New Roman" w:hAnsi="Times New Roman" w:eastAsia="宋体" w:cs="Times New Roman"/>
          <w:color w:val="auto"/>
          <w:kern w:val="24"/>
          <w:sz w:val="24"/>
          <w:szCs w:val="24"/>
          <w:lang w:val="en-US" w:eastAsia="zh-CN"/>
        </w:rPr>
        <w:t>非甲烷总</w:t>
      </w:r>
      <w:r>
        <w:rPr>
          <w:rFonts w:hint="default" w:ascii="Times New Roman" w:hAnsi="Times New Roman" w:eastAsia="宋体" w:cs="Times New Roman"/>
          <w:color w:val="auto"/>
          <w:kern w:val="24"/>
          <w:sz w:val="24"/>
          <w:lang w:val="en-US" w:eastAsia="zh-CN"/>
        </w:rPr>
        <w:t>烃排放量</w:t>
      </w:r>
    </w:p>
    <w:p>
      <w:pPr>
        <w:keepNext w:val="0"/>
        <w:keepLines w:val="0"/>
        <w:pageBreakBefore w:val="0"/>
        <w:wordWrap/>
        <w:overflowPunct/>
        <w:topLinePunct w:val="0"/>
        <w:bidi w:val="0"/>
        <w:adjustRightInd w:val="0"/>
        <w:spacing w:line="360" w:lineRule="auto"/>
        <w:ind w:firstLine="480" w:firstLineChars="200"/>
        <w:rPr>
          <w:rFonts w:hint="default"/>
          <w:highlight w:val="none"/>
        </w:rPr>
      </w:pPr>
      <w:bookmarkStart w:id="515" w:name="_Toc8997"/>
      <w:r>
        <w:rPr>
          <w:rFonts w:hint="default" w:ascii="Times New Roman" w:hAnsi="Times New Roman" w:eastAsia="宋体" w:cs="Times New Roman"/>
          <w:snapToGrid w:val="0"/>
          <w:color w:val="auto"/>
          <w:kern w:val="0"/>
          <w:sz w:val="24"/>
          <w:szCs w:val="24"/>
          <w:highlight w:val="none"/>
          <w:lang w:val="en-US" w:eastAsia="zh-CN" w:bidi="ar-SA"/>
        </w:rPr>
        <w:t>柴油储罐无组织非甲烷总烃排放量：</w:t>
      </w:r>
      <w:r>
        <w:rPr>
          <w:rFonts w:hint="eastAsia" w:ascii="Times New Roman" w:hAnsi="Times New Roman" w:eastAsia="宋体" w:cs="Times New Roman"/>
          <w:snapToGrid w:val="0"/>
          <w:color w:val="auto"/>
          <w:kern w:val="0"/>
          <w:sz w:val="24"/>
          <w:szCs w:val="24"/>
          <w:highlight w:val="none"/>
          <w:lang w:val="en-US" w:eastAsia="zh-CN" w:bidi="ar-SA"/>
        </w:rPr>
        <w:t>0.002</w:t>
      </w:r>
      <w:r>
        <w:rPr>
          <w:rFonts w:hint="default" w:ascii="Times New Roman" w:hAnsi="Times New Roman" w:eastAsia="宋体" w:cs="Times New Roman"/>
          <w:snapToGrid w:val="0"/>
          <w:color w:val="auto"/>
          <w:kern w:val="0"/>
          <w:sz w:val="24"/>
          <w:szCs w:val="24"/>
          <w:highlight w:val="none"/>
          <w:lang w:val="en-US" w:eastAsia="zh-CN" w:bidi="ar-SA"/>
        </w:rPr>
        <w:t>t/a</w:t>
      </w:r>
      <w:bookmarkEnd w:id="515"/>
      <w:r>
        <w:rPr>
          <w:rFonts w:hint="eastAsia" w:ascii="Times New Roman" w:hAnsi="Times New Roman" w:eastAsia="宋体" w:cs="Times New Roman"/>
          <w:snapToGrid w:val="0"/>
          <w:color w:val="auto"/>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b/>
          <w:bCs/>
          <w:color w:val="auto"/>
          <w:sz w:val="24"/>
          <w:highlight w:val="none"/>
          <w:lang w:eastAsia="zh-CN"/>
        </w:rPr>
      </w:pPr>
      <w:r>
        <w:rPr>
          <w:rFonts w:hint="default" w:ascii="Times New Roman" w:hAnsi="Times New Roman" w:eastAsia="宋体" w:cs="Times New Roman"/>
          <w:b/>
          <w:bCs/>
          <w:color w:val="auto"/>
          <w:sz w:val="24"/>
          <w:highlight w:val="none"/>
        </w:rPr>
        <w:t>表8-4-1  本项目总量指标表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41"/>
        <w:gridCol w:w="2843"/>
        <w:gridCol w:w="28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66" w:type="pct"/>
            <w:vAlign w:val="center"/>
          </w:tcPr>
          <w:p>
            <w:pPr>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污染物</w:t>
            </w:r>
          </w:p>
        </w:tc>
        <w:tc>
          <w:tcPr>
            <w:tcW w:w="1667" w:type="pct"/>
            <w:vAlign w:val="center"/>
          </w:tcPr>
          <w:p>
            <w:pPr>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预测排放量（t/a）</w:t>
            </w:r>
          </w:p>
        </w:tc>
        <w:tc>
          <w:tcPr>
            <w:tcW w:w="1666" w:type="pct"/>
            <w:vAlign w:val="center"/>
          </w:tcPr>
          <w:p>
            <w:pPr>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核定排放量（t/a）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666" w:type="pct"/>
            <w:vAlign w:val="center"/>
          </w:tcPr>
          <w:p>
            <w:pPr>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COD</w:t>
            </w:r>
          </w:p>
        </w:tc>
        <w:tc>
          <w:tcPr>
            <w:tcW w:w="1667" w:type="pct"/>
            <w:vAlign w:val="center"/>
          </w:tcPr>
          <w:p>
            <w:pPr>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rPr>
              <w:t>19.02</w:t>
            </w:r>
          </w:p>
        </w:tc>
        <w:tc>
          <w:tcPr>
            <w:tcW w:w="1666" w:type="pct"/>
            <w:vAlign w:val="center"/>
          </w:tcPr>
          <w:p>
            <w:pPr>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rPr>
              <w:t>37.12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66" w:type="pct"/>
            <w:vAlign w:val="center"/>
          </w:tcPr>
          <w:p>
            <w:pPr>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NH</w:t>
            </w:r>
            <w:r>
              <w:rPr>
                <w:rFonts w:hint="default" w:ascii="Times New Roman" w:hAnsi="Times New Roman" w:eastAsia="宋体" w:cs="Times New Roman"/>
                <w:b w:val="0"/>
                <w:bCs w:val="0"/>
                <w:color w:val="auto"/>
                <w:kern w:val="0"/>
                <w:sz w:val="21"/>
                <w:szCs w:val="21"/>
                <w:highlight w:val="none"/>
                <w:vertAlign w:val="subscript"/>
              </w:rPr>
              <w:t>3</w:t>
            </w:r>
            <w:r>
              <w:rPr>
                <w:rFonts w:hint="default" w:ascii="Times New Roman" w:hAnsi="Times New Roman" w:eastAsia="宋体" w:cs="Times New Roman"/>
                <w:b w:val="0"/>
                <w:bCs w:val="0"/>
                <w:color w:val="auto"/>
                <w:kern w:val="0"/>
                <w:sz w:val="21"/>
                <w:szCs w:val="21"/>
                <w:highlight w:val="none"/>
              </w:rPr>
              <w:t>-N</w:t>
            </w:r>
          </w:p>
        </w:tc>
        <w:tc>
          <w:tcPr>
            <w:tcW w:w="1667" w:type="pct"/>
            <w:vAlign w:val="center"/>
          </w:tcPr>
          <w:p>
            <w:pPr>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rPr>
              <w:t>1.49</w:t>
            </w:r>
          </w:p>
        </w:tc>
        <w:tc>
          <w:tcPr>
            <w:tcW w:w="1666" w:type="pct"/>
            <w:vAlign w:val="center"/>
          </w:tcPr>
          <w:p>
            <w:pPr>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rPr>
              <w:t>1.49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2839" w:type="dxa"/>
            <w:vAlign w:val="center"/>
          </w:tcPr>
          <w:p>
            <w:pPr>
              <w:pStyle w:val="20"/>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rPr>
            </w:pPr>
            <w:bookmarkStart w:id="516" w:name="_Toc15991732"/>
            <w:r>
              <w:rPr>
                <w:rFonts w:hint="default" w:ascii="Times New Roman" w:hAnsi="Times New Roman" w:eastAsia="宋体" w:cs="Times New Roman"/>
                <w:b w:val="0"/>
                <w:bCs w:val="0"/>
                <w:smallCaps w:val="0"/>
                <w:color w:val="auto"/>
                <w:spacing w:val="0"/>
                <w:w w:val="100"/>
                <w:kern w:val="21"/>
                <w:position w:val="0"/>
                <w:sz w:val="21"/>
                <w:szCs w:val="21"/>
                <w:highlight w:val="none"/>
                <w:lang w:val="en-US" w:eastAsia="zh-CN"/>
              </w:rPr>
              <w:t>颗粒物</w:t>
            </w:r>
          </w:p>
        </w:tc>
        <w:tc>
          <w:tcPr>
            <w:tcW w:w="2841" w:type="dxa"/>
            <w:vAlign w:val="center"/>
          </w:tcPr>
          <w:p>
            <w:pPr>
              <w:pStyle w:val="36"/>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snapToGrid w:val="0"/>
                <w:color w:val="auto"/>
                <w:highlight w:val="none"/>
                <w:lang w:val="en-US" w:eastAsia="zh-CN"/>
              </w:rPr>
              <w:t>0.01</w:t>
            </w:r>
          </w:p>
        </w:tc>
        <w:tc>
          <w:tcPr>
            <w:tcW w:w="1666" w:type="pct"/>
            <w:vAlign w:val="center"/>
          </w:tcPr>
          <w:p>
            <w:pPr>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rPr>
              <w:t>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2839" w:type="dxa"/>
            <w:vAlign w:val="center"/>
          </w:tcPr>
          <w:p>
            <w:pPr>
              <w:pStyle w:val="20"/>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sz w:val="24"/>
                <w:szCs w:val="24"/>
                <w:highlight w:val="none"/>
              </w:rPr>
              <w:t>SO</w:t>
            </w:r>
            <w:r>
              <w:rPr>
                <w:rFonts w:hint="default" w:ascii="Times New Roman" w:hAnsi="Times New Roman" w:eastAsia="宋体" w:cs="Times New Roman"/>
                <w:b w:val="0"/>
                <w:bCs w:val="0"/>
                <w:color w:val="auto"/>
                <w:sz w:val="24"/>
                <w:szCs w:val="24"/>
                <w:highlight w:val="none"/>
                <w:vertAlign w:val="subscript"/>
              </w:rPr>
              <w:t>2</w:t>
            </w:r>
          </w:p>
        </w:tc>
        <w:tc>
          <w:tcPr>
            <w:tcW w:w="2841" w:type="dxa"/>
            <w:vAlign w:val="center"/>
          </w:tcPr>
          <w:p>
            <w:pPr>
              <w:pStyle w:val="36"/>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snapToGrid w:val="0"/>
                <w:color w:val="auto"/>
                <w:highlight w:val="none"/>
                <w:lang w:val="en-US" w:eastAsia="zh-CN"/>
              </w:rPr>
              <w:t>0.031</w:t>
            </w:r>
          </w:p>
        </w:tc>
        <w:tc>
          <w:tcPr>
            <w:tcW w:w="1666" w:type="pct"/>
            <w:vAlign w:val="center"/>
          </w:tcPr>
          <w:p>
            <w:pPr>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2839" w:type="dxa"/>
            <w:vAlign w:val="center"/>
          </w:tcPr>
          <w:p>
            <w:pPr>
              <w:pStyle w:val="20"/>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sz w:val="24"/>
                <w:szCs w:val="24"/>
                <w:highlight w:val="none"/>
              </w:rPr>
              <w:t>NO</w:t>
            </w:r>
            <w:r>
              <w:rPr>
                <w:rFonts w:hint="default" w:ascii="Times New Roman" w:hAnsi="Times New Roman" w:eastAsia="宋体" w:cs="Times New Roman"/>
                <w:b w:val="0"/>
                <w:bCs w:val="0"/>
                <w:color w:val="auto"/>
                <w:sz w:val="24"/>
                <w:szCs w:val="24"/>
                <w:highlight w:val="none"/>
                <w:vertAlign w:val="subscript"/>
              </w:rPr>
              <w:t>X</w:t>
            </w:r>
          </w:p>
        </w:tc>
        <w:tc>
          <w:tcPr>
            <w:tcW w:w="2841" w:type="dxa"/>
            <w:vAlign w:val="center"/>
          </w:tcPr>
          <w:p>
            <w:pPr>
              <w:pStyle w:val="36"/>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snapToGrid w:val="0"/>
                <w:color w:val="auto"/>
                <w:highlight w:val="none"/>
                <w:lang w:val="en-US" w:eastAsia="zh-CN"/>
              </w:rPr>
              <w:t>0.098</w:t>
            </w:r>
          </w:p>
        </w:tc>
        <w:tc>
          <w:tcPr>
            <w:tcW w:w="1666" w:type="pct"/>
            <w:vAlign w:val="center"/>
          </w:tcPr>
          <w:p>
            <w:pPr>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rPr>
            </w:pPr>
            <w:r>
              <w:rPr>
                <w:rFonts w:hint="eastAsia" w:ascii="Times New Roman" w:hAnsi="Times New Roman" w:eastAsia="宋体" w:cs="Times New Roman"/>
                <w:b w:val="0"/>
                <w:bCs w:val="0"/>
                <w:color w:val="auto"/>
                <w:kern w:val="0"/>
                <w:sz w:val="21"/>
                <w:szCs w:val="21"/>
                <w:highlight w:val="none"/>
                <w:lang w:val="en-US" w:eastAsia="zh-CN"/>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2839" w:type="dxa"/>
            <w:vAlign w:val="center"/>
          </w:tcPr>
          <w:p>
            <w:pPr>
              <w:pStyle w:val="20"/>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VOC</w:t>
            </w:r>
            <w:r>
              <w:rPr>
                <w:rFonts w:hint="eastAsia" w:ascii="Times New Roman" w:hAnsi="Times New Roman" w:eastAsia="宋体" w:cs="Times New Roman"/>
                <w:b w:val="0"/>
                <w:bCs w:val="0"/>
                <w:color w:val="auto"/>
                <w:sz w:val="24"/>
                <w:szCs w:val="24"/>
                <w:highlight w:val="none"/>
                <w:vertAlign w:val="subscript"/>
                <w:lang w:val="en-US" w:eastAsia="zh-CN"/>
              </w:rPr>
              <w:t>S</w:t>
            </w:r>
          </w:p>
        </w:tc>
        <w:tc>
          <w:tcPr>
            <w:tcW w:w="2841" w:type="dxa"/>
            <w:vAlign w:val="center"/>
          </w:tcPr>
          <w:p>
            <w:pPr>
              <w:pStyle w:val="36"/>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snapToGrid w:val="0"/>
                <w:color w:val="auto"/>
                <w:highlight w:val="none"/>
                <w:lang w:val="en-US" w:eastAsia="zh-CN"/>
              </w:rPr>
            </w:pPr>
            <w:r>
              <w:rPr>
                <w:rFonts w:hint="eastAsia" w:ascii="Times New Roman" w:hAnsi="Times New Roman" w:eastAsia="宋体" w:cs="Times New Roman"/>
                <w:b w:val="0"/>
                <w:bCs w:val="0"/>
                <w:snapToGrid w:val="0"/>
                <w:color w:val="auto"/>
                <w:highlight w:val="none"/>
                <w:lang w:val="en-US" w:eastAsia="zh-CN"/>
              </w:rPr>
              <w:t>0.000701</w:t>
            </w:r>
          </w:p>
        </w:tc>
        <w:tc>
          <w:tcPr>
            <w:tcW w:w="1666" w:type="pct"/>
            <w:vAlign w:val="center"/>
          </w:tcPr>
          <w:p>
            <w:pPr>
              <w:keepNext w:val="0"/>
              <w:keepLines w:val="0"/>
              <w:pageBreakBefore w:val="0"/>
              <w:widowControl w:val="0"/>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rPr>
              <w:t>0.002</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highlight w:val="none"/>
        </w:rPr>
      </w:pPr>
      <w:r>
        <w:rPr>
          <w:rFonts w:hint="default" w:ascii="Times New Roman" w:hAnsi="Times New Roman" w:eastAsia="宋体" w:cs="Times New Roman"/>
          <w:sz w:val="24"/>
          <w:szCs w:val="24"/>
          <w:highlight w:val="none"/>
          <w:lang w:val="en-US" w:eastAsia="zh-CN"/>
        </w:rPr>
        <w:t>COD、氨氮纳入</w:t>
      </w:r>
      <w:r>
        <w:rPr>
          <w:rFonts w:hint="eastAsia" w:ascii="Times New Roman" w:hAnsi="Times New Roman" w:eastAsia="宋体" w:cs="Times New Roman"/>
          <w:sz w:val="24"/>
          <w:szCs w:val="24"/>
          <w:highlight w:val="none"/>
          <w:lang w:val="en-US" w:eastAsia="zh-CN"/>
        </w:rPr>
        <w:t>兴隆镇</w:t>
      </w:r>
      <w:r>
        <w:rPr>
          <w:rFonts w:hint="default" w:ascii="Times New Roman" w:hAnsi="Times New Roman" w:eastAsia="宋体" w:cs="Times New Roman"/>
          <w:sz w:val="24"/>
          <w:szCs w:val="24"/>
          <w:highlight w:val="none"/>
          <w:lang w:val="en-US" w:eastAsia="zh-CN"/>
        </w:rPr>
        <w:t>污水处理厂总量指标，颗粒物、氮氧化物、二氧化硫由哈尔滨市</w:t>
      </w:r>
      <w:r>
        <w:rPr>
          <w:rFonts w:hint="eastAsia" w:ascii="Times New Roman" w:hAnsi="Times New Roman" w:eastAsia="宋体" w:cs="Times New Roman"/>
          <w:sz w:val="24"/>
          <w:szCs w:val="24"/>
          <w:highlight w:val="none"/>
          <w:lang w:val="en-US" w:eastAsia="zh-CN"/>
        </w:rPr>
        <w:t>巴彦</w:t>
      </w:r>
      <w:r>
        <w:rPr>
          <w:rFonts w:hint="default" w:ascii="Times New Roman" w:hAnsi="Times New Roman" w:eastAsia="宋体" w:cs="Times New Roman"/>
          <w:sz w:val="24"/>
          <w:szCs w:val="24"/>
          <w:highlight w:val="none"/>
          <w:lang w:val="en-US" w:eastAsia="zh-CN"/>
        </w:rPr>
        <w:t>生态环境局调控。</w:t>
      </w:r>
    </w:p>
    <w:p>
      <w:pPr>
        <w:keepNext/>
        <w:keepLines/>
        <w:spacing w:line="360" w:lineRule="auto"/>
        <w:contextualSpacing/>
        <w:jc w:val="left"/>
        <w:outlineLvl w:val="1"/>
        <w:rPr>
          <w:rFonts w:hint="default" w:ascii="Times New Roman" w:hAnsi="Times New Roman" w:eastAsia="宋体" w:cs="Times New Roman"/>
          <w:b/>
          <w:bCs/>
          <w:snapToGrid w:val="0"/>
          <w:color w:val="auto"/>
          <w:kern w:val="0"/>
          <w:sz w:val="30"/>
          <w:szCs w:val="30"/>
          <w:highlight w:val="none"/>
        </w:rPr>
      </w:pPr>
      <w:bookmarkStart w:id="517" w:name="_Toc30709"/>
      <w:bookmarkStart w:id="518" w:name="_Toc10073"/>
      <w:r>
        <w:rPr>
          <w:rFonts w:hint="default" w:ascii="Times New Roman" w:hAnsi="Times New Roman" w:eastAsia="宋体" w:cs="Times New Roman"/>
          <w:b/>
          <w:bCs/>
          <w:snapToGrid w:val="0"/>
          <w:color w:val="auto"/>
          <w:kern w:val="0"/>
          <w:sz w:val="30"/>
          <w:szCs w:val="30"/>
          <w:highlight w:val="none"/>
        </w:rPr>
        <w:t>8.5与排污许可证制度衔接</w:t>
      </w:r>
      <w:bookmarkEnd w:id="516"/>
      <w:bookmarkEnd w:id="517"/>
      <w:bookmarkEnd w:id="518"/>
    </w:p>
    <w:bookmarkEnd w:id="507"/>
    <w:bookmarkEnd w:id="508"/>
    <w:p>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关于做好环境影响评价制度与排污许可制衔接相关工作的通知》中要求：环境影响评价审批部门要做好建设项目环境影响报告书（表）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p>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本项目属于《固定污染源排污许可分类管理名录（2019年版）》中八、农副食品加工业13  13、屠宰及肉类加工135，年屠宰生猪10万头及以上的，年屠宰肉牛1万头及以上的，年屠宰肉羊15万头及以上的，年屠宰禽类1000万只及以上的为重点管理，因此本项目属于重点管理。</w:t>
      </w:r>
    </w:p>
    <w:p>
      <w:pPr>
        <w:rPr>
          <w:rFonts w:hint="default" w:ascii="Times New Roman" w:hAnsi="Times New Roman" w:cs="Times New Roman"/>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pPr>
        <w:pageBreakBefore w:val="0"/>
        <w:widowControl/>
        <w:tabs>
          <w:tab w:val="left" w:leader="middleDot" w:pos="7371"/>
        </w:tabs>
        <w:kinsoku/>
        <w:wordWrap/>
        <w:overflowPunct/>
        <w:topLinePunct w:val="0"/>
        <w:autoSpaceDE/>
        <w:autoSpaceDN/>
        <w:bidi w:val="0"/>
        <w:adjustRightInd/>
        <w:snapToGrid/>
        <w:spacing w:line="360" w:lineRule="auto"/>
        <w:contextualSpacing/>
        <w:jc w:val="both"/>
        <w:textAlignment w:val="auto"/>
        <w:outlineLvl w:val="0"/>
        <w:rPr>
          <w:rFonts w:hint="default" w:ascii="Times New Roman" w:hAnsi="Times New Roman" w:cs="Times New Roman"/>
          <w:lang w:val="en-US"/>
        </w:rPr>
      </w:pPr>
      <w:bookmarkStart w:id="519" w:name="_Toc25098"/>
      <w:r>
        <w:rPr>
          <w:rFonts w:hint="default" w:ascii="Times New Roman" w:hAnsi="Times New Roman" w:eastAsia="宋体" w:cs="Times New Roman"/>
          <w:b/>
          <w:snapToGrid/>
          <w:color w:val="auto"/>
          <w:kern w:val="0"/>
          <w:sz w:val="32"/>
          <w:szCs w:val="32"/>
          <w:lang w:eastAsia="zh-CN"/>
        </w:rPr>
        <w:t xml:space="preserve">9  </w:t>
      </w:r>
      <w:r>
        <w:rPr>
          <w:rFonts w:hint="default" w:ascii="Times New Roman" w:hAnsi="Times New Roman" w:eastAsia="宋体" w:cs="Times New Roman"/>
          <w:b/>
          <w:snapToGrid/>
          <w:color w:val="auto"/>
          <w:kern w:val="0"/>
          <w:sz w:val="32"/>
          <w:szCs w:val="32"/>
          <w:lang w:val="en-US" w:eastAsia="zh-CN"/>
        </w:rPr>
        <w:t>环境影响评价结论</w:t>
      </w:r>
      <w:bookmarkEnd w:id="519"/>
    </w:p>
    <w:p>
      <w:pPr>
        <w:keepNext/>
        <w:keepLines/>
        <w:pageBreakBefore w:val="0"/>
        <w:widowControl w:val="0"/>
        <w:kinsoku/>
        <w:wordWrap/>
        <w:overflowPunct/>
        <w:topLinePunct w:val="0"/>
        <w:autoSpaceDE/>
        <w:autoSpaceDN/>
        <w:bidi w:val="0"/>
        <w:adjustRightInd/>
        <w:snapToGrid/>
        <w:spacing w:line="360" w:lineRule="auto"/>
        <w:contextualSpacing/>
        <w:jc w:val="both"/>
        <w:textAlignment w:val="auto"/>
        <w:outlineLvl w:val="1"/>
        <w:rPr>
          <w:rFonts w:hint="default" w:ascii="Times New Roman" w:hAnsi="Times New Roman" w:eastAsia="宋体" w:cs="Times New Roman"/>
          <w:b/>
          <w:bCs/>
          <w:snapToGrid w:val="0"/>
          <w:color w:val="auto"/>
          <w:kern w:val="0"/>
          <w:sz w:val="30"/>
          <w:szCs w:val="30"/>
          <w:lang w:val="en-US" w:eastAsia="zh-CN"/>
        </w:rPr>
      </w:pPr>
      <w:bookmarkStart w:id="520" w:name="_Toc19818"/>
      <w:r>
        <w:rPr>
          <w:rFonts w:hint="default" w:ascii="Times New Roman" w:hAnsi="Times New Roman" w:eastAsia="宋体" w:cs="Times New Roman"/>
          <w:b/>
          <w:bCs/>
          <w:snapToGrid w:val="0"/>
          <w:color w:val="auto"/>
          <w:kern w:val="0"/>
          <w:sz w:val="30"/>
          <w:szCs w:val="30"/>
          <w:lang w:eastAsia="zh-CN"/>
        </w:rPr>
        <w:t xml:space="preserve">9.1 </w:t>
      </w:r>
      <w:r>
        <w:rPr>
          <w:rFonts w:hint="default" w:ascii="Times New Roman" w:hAnsi="Times New Roman" w:eastAsia="宋体" w:cs="Times New Roman"/>
          <w:b/>
          <w:bCs/>
          <w:snapToGrid w:val="0"/>
          <w:color w:val="auto"/>
          <w:kern w:val="0"/>
          <w:sz w:val="30"/>
          <w:szCs w:val="30"/>
          <w:lang w:val="en-US" w:eastAsia="zh-CN"/>
        </w:rPr>
        <w:t>评价结论</w:t>
      </w:r>
      <w:bookmarkEnd w:id="520"/>
    </w:p>
    <w:p>
      <w:pPr>
        <w:pStyle w:val="12"/>
        <w:pageBreakBefore w:val="0"/>
        <w:wordWrap/>
        <w:overflowPunct/>
        <w:topLinePunct w:val="0"/>
        <w:bidi w:val="0"/>
        <w:spacing w:before="0" w:after="0" w:line="360" w:lineRule="auto"/>
        <w:contextualSpacing/>
        <w:jc w:val="both"/>
        <w:rPr>
          <w:rFonts w:hint="default" w:ascii="Times New Roman" w:hAnsi="Times New Roman" w:cs="Times New Roman"/>
          <w:lang w:eastAsia="zh-CN"/>
        </w:rPr>
      </w:pPr>
      <w:bookmarkStart w:id="521" w:name="_Toc15991735"/>
      <w:r>
        <w:rPr>
          <w:rFonts w:hint="default" w:ascii="Times New Roman" w:hAnsi="Times New Roman" w:eastAsia="宋体" w:cs="Times New Roman"/>
          <w:bCs w:val="0"/>
          <w:color w:val="auto"/>
        </w:rPr>
        <w:t>9.1.1建设概况</w:t>
      </w:r>
      <w:bookmarkEnd w:id="521"/>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default" w:ascii="Times New Roman" w:hAnsi="Times New Roman" w:eastAsia="宋体" w:cs="Times New Roman"/>
          <w:spacing w:val="-2"/>
          <w:sz w:val="24"/>
          <w:szCs w:val="24"/>
        </w:rPr>
      </w:pPr>
      <w:r>
        <w:rPr>
          <w:rFonts w:hint="default" w:ascii="Times New Roman" w:hAnsi="Times New Roman" w:eastAsia="宋体" w:cs="Times New Roman"/>
          <w:spacing w:val="-1"/>
          <w:sz w:val="24"/>
          <w:szCs w:val="24"/>
          <w:lang w:eastAsia="zh-CN"/>
        </w:rPr>
        <w:t>哈尔滨华康肉制品加工有限责任公司拟投资</w:t>
      </w:r>
      <w:r>
        <w:rPr>
          <w:rFonts w:hint="default" w:ascii="Times New Roman" w:hAnsi="Times New Roman" w:eastAsia="宋体" w:cs="Times New Roman"/>
          <w:spacing w:val="-1"/>
          <w:sz w:val="24"/>
          <w:szCs w:val="24"/>
          <w:lang w:val="en-US" w:eastAsia="zh-CN"/>
        </w:rPr>
        <w:t>12000</w:t>
      </w:r>
      <w:r>
        <w:rPr>
          <w:rFonts w:hint="default" w:ascii="Times New Roman" w:hAnsi="Times New Roman" w:eastAsia="宋体" w:cs="Times New Roman"/>
          <w:spacing w:val="-1"/>
          <w:sz w:val="24"/>
          <w:szCs w:val="24"/>
          <w:lang w:eastAsia="zh-CN"/>
        </w:rPr>
        <w:t>万元建设生猪机械化屠宰场扩建项目，对现有</w:t>
      </w:r>
      <w:r>
        <w:rPr>
          <w:rFonts w:hint="default" w:ascii="Times New Roman" w:hAnsi="Times New Roman" w:eastAsia="宋体" w:cs="Times New Roman"/>
          <w:spacing w:val="-1"/>
          <w:sz w:val="24"/>
          <w:szCs w:val="24"/>
          <w:lang w:val="en-US" w:eastAsia="zh-CN"/>
        </w:rPr>
        <w:t>生产线</w:t>
      </w:r>
      <w:r>
        <w:rPr>
          <w:rFonts w:hint="default" w:ascii="Times New Roman" w:hAnsi="Times New Roman" w:eastAsia="宋体" w:cs="Times New Roman"/>
          <w:spacing w:val="-1"/>
          <w:sz w:val="24"/>
          <w:szCs w:val="24"/>
          <w:lang w:eastAsia="zh-CN"/>
        </w:rPr>
        <w:t>进行改造，</w:t>
      </w:r>
      <w:r>
        <w:rPr>
          <w:rFonts w:hint="eastAsia" w:ascii="Times New Roman" w:hAnsi="Times New Roman" w:eastAsia="宋体" w:cs="Times New Roman"/>
          <w:spacing w:val="-1"/>
          <w:sz w:val="24"/>
          <w:szCs w:val="24"/>
          <w:lang w:val="en-US" w:eastAsia="zh-CN"/>
        </w:rPr>
        <w:t>新</w:t>
      </w:r>
      <w:r>
        <w:rPr>
          <w:rFonts w:hint="default" w:ascii="Times New Roman" w:hAnsi="Times New Roman" w:eastAsia="宋体" w:cs="Times New Roman"/>
          <w:spacing w:val="-1"/>
          <w:sz w:val="24"/>
          <w:szCs w:val="24"/>
          <w:lang w:eastAsia="zh-CN"/>
        </w:rPr>
        <w:t>购置和安装</w:t>
      </w:r>
      <w:r>
        <w:rPr>
          <w:rFonts w:hint="eastAsia" w:ascii="Times New Roman" w:hAnsi="Times New Roman" w:eastAsia="宋体" w:cs="Times New Roman"/>
          <w:spacing w:val="-1"/>
          <w:sz w:val="24"/>
          <w:szCs w:val="24"/>
          <w:lang w:val="en-US" w:eastAsia="zh-CN"/>
        </w:rPr>
        <w:t>1</w:t>
      </w:r>
      <w:r>
        <w:rPr>
          <w:rFonts w:hint="default" w:ascii="Times New Roman" w:hAnsi="Times New Roman" w:eastAsia="宋体" w:cs="Times New Roman"/>
          <w:spacing w:val="-1"/>
          <w:sz w:val="24"/>
          <w:szCs w:val="24"/>
          <w:lang w:eastAsia="zh-CN"/>
        </w:rPr>
        <w:t xml:space="preserve">条机械化生猪屠宰线、检疫系统 </w:t>
      </w:r>
      <w:r>
        <w:rPr>
          <w:rFonts w:hint="default" w:ascii="Times New Roman" w:hAnsi="Times New Roman" w:eastAsia="宋体" w:cs="Times New Roman"/>
          <w:spacing w:val="-3"/>
          <w:sz w:val="24"/>
          <w:szCs w:val="24"/>
        </w:rPr>
        <w:t>；配套供电、供排水、锅炉和消防等工程建设。项目达产后可新增屠宰生猪</w:t>
      </w:r>
      <w:r>
        <w:rPr>
          <w:rFonts w:hint="default" w:ascii="Times New Roman" w:hAnsi="Times New Roman" w:eastAsia="宋体" w:cs="Times New Roman"/>
          <w:spacing w:val="-3"/>
          <w:sz w:val="24"/>
          <w:szCs w:val="24"/>
          <w:lang w:val="en-US" w:eastAsia="zh-CN"/>
        </w:rPr>
        <w:t>15.1</w:t>
      </w:r>
      <w:r>
        <w:rPr>
          <w:rFonts w:hint="default" w:ascii="Times New Roman" w:hAnsi="Times New Roman" w:eastAsia="宋体" w:cs="Times New Roman"/>
          <w:spacing w:val="-3"/>
          <w:sz w:val="24"/>
          <w:szCs w:val="24"/>
        </w:rPr>
        <w:t>万头/年，全厂屠年宰生猪产能为</w:t>
      </w:r>
      <w:r>
        <w:rPr>
          <w:rFonts w:hint="default" w:ascii="Times New Roman" w:hAnsi="Times New Roman" w:eastAsia="宋体" w:cs="Times New Roman"/>
          <w:spacing w:val="-3"/>
          <w:sz w:val="24"/>
          <w:szCs w:val="24"/>
          <w:lang w:val="en-US" w:eastAsia="zh-CN"/>
        </w:rPr>
        <w:t>16</w:t>
      </w:r>
      <w:r>
        <w:rPr>
          <w:rFonts w:hint="default" w:ascii="Times New Roman" w:hAnsi="Times New Roman" w:eastAsia="宋体" w:cs="Times New Roman"/>
          <w:spacing w:val="-3"/>
          <w:sz w:val="24"/>
          <w:szCs w:val="24"/>
        </w:rPr>
        <w:t xml:space="preserve"> 万头</w:t>
      </w:r>
      <w:r>
        <w:rPr>
          <w:rFonts w:hint="default" w:ascii="Times New Roman" w:hAnsi="Times New Roman" w:eastAsia="宋体" w:cs="Times New Roman"/>
          <w:spacing w:val="-2"/>
          <w:sz w:val="24"/>
          <w:szCs w:val="24"/>
        </w:rPr>
        <w:t>。</w:t>
      </w:r>
    </w:p>
    <w:p>
      <w:pPr>
        <w:pStyle w:val="12"/>
        <w:pageBreakBefore w:val="0"/>
        <w:widowControl w:val="0"/>
        <w:kinsoku/>
        <w:wordWrap/>
        <w:overflowPunct/>
        <w:topLinePunct w:val="0"/>
        <w:autoSpaceDE/>
        <w:autoSpaceDN/>
        <w:bidi w:val="0"/>
        <w:adjustRightInd/>
        <w:snapToGrid/>
        <w:spacing w:before="0" w:after="0" w:line="360" w:lineRule="auto"/>
        <w:contextualSpacing/>
        <w:jc w:val="both"/>
        <w:textAlignment w:val="auto"/>
        <w:rPr>
          <w:rFonts w:hint="default" w:ascii="Times New Roman" w:hAnsi="Times New Roman" w:eastAsia="宋体" w:cs="Times New Roman"/>
          <w:bCs w:val="0"/>
          <w:snapToGrid/>
          <w:color w:val="auto"/>
          <w:kern w:val="2"/>
          <w:lang w:eastAsia="zh-CN"/>
        </w:rPr>
      </w:pPr>
      <w:r>
        <w:rPr>
          <w:rFonts w:hint="default" w:ascii="Times New Roman" w:hAnsi="Times New Roman" w:eastAsia="宋体" w:cs="Times New Roman"/>
          <w:bCs w:val="0"/>
          <w:snapToGrid/>
          <w:color w:val="auto"/>
          <w:kern w:val="2"/>
          <w:lang w:eastAsia="zh-CN"/>
        </w:rPr>
        <w:t>9.1.2项目符合性结论</w:t>
      </w:r>
    </w:p>
    <w:p>
      <w:pPr>
        <w:pageBreakBefore w:val="0"/>
        <w:wordWrap/>
        <w:overflowPunct/>
        <w:topLinePunct w:val="0"/>
        <w:bidi w:val="0"/>
        <w:spacing w:line="360" w:lineRule="auto"/>
        <w:ind w:firstLine="480" w:firstLineChars="200"/>
        <w:jc w:val="both"/>
        <w:outlineLvl w:val="9"/>
        <w:rPr>
          <w:rFonts w:hint="default" w:ascii="Times New Roman" w:hAnsi="Times New Roman" w:cs="Times New Roman"/>
          <w:b/>
          <w:color w:val="auto"/>
          <w:sz w:val="24"/>
        </w:rPr>
      </w:pPr>
      <w:r>
        <w:rPr>
          <w:rFonts w:hint="default" w:ascii="Times New Roman" w:hAnsi="Times New Roman" w:cs="Times New Roman"/>
          <w:b/>
          <w:color w:val="auto"/>
          <w:sz w:val="24"/>
        </w:rPr>
        <w:t>9.1.2.1产业政策符合性结论</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根据</w:t>
      </w:r>
      <w:r>
        <w:rPr>
          <w:rFonts w:hint="default" w:ascii="Times New Roman" w:hAnsi="Times New Roman" w:eastAsia="宋体" w:cs="Times New Roman"/>
          <w:color w:val="auto"/>
          <w:lang w:eastAsia="zh-CN"/>
        </w:rPr>
        <w:t>《产业结构调整指导目录》（2024年本）</w:t>
      </w:r>
      <w:r>
        <w:rPr>
          <w:rFonts w:hint="default" w:ascii="Times New Roman" w:hAnsi="Times New Roman" w:eastAsia="宋体" w:cs="Times New Roman"/>
          <w:color w:val="auto"/>
        </w:rPr>
        <w:t>，年屠宰生猪15万头及以下、肉牛1万头及以下、肉羊15万只及以下、活禽1000万只及以下的屠宰建设项目（少数民族地区除外）为限制类；桥式劈半锯、敞式生猪烫毛机等生猪屠宰设备和猪、牛、羊、禽手工屠宰工艺为淘汰类。</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本项目采用全自动屠宰生产线设计年屠宰</w:t>
      </w:r>
      <w:r>
        <w:rPr>
          <w:rFonts w:hint="eastAsia" w:cs="Times New Roman"/>
          <w:color w:val="auto"/>
          <w:lang w:val="en-US" w:eastAsia="zh-CN"/>
        </w:rPr>
        <w:t>16</w:t>
      </w:r>
      <w:r>
        <w:rPr>
          <w:rFonts w:hint="default" w:ascii="Times New Roman" w:hAnsi="Times New Roman" w:eastAsia="宋体" w:cs="Times New Roman"/>
          <w:color w:val="auto"/>
          <w:lang w:eastAsia="zh-CN"/>
        </w:rPr>
        <w:t>万</w:t>
      </w:r>
      <w:r>
        <w:rPr>
          <w:rFonts w:hint="default" w:ascii="Times New Roman" w:hAnsi="Times New Roman" w:eastAsia="宋体" w:cs="Times New Roman"/>
          <w:color w:val="auto"/>
        </w:rPr>
        <w:t>头</w:t>
      </w:r>
      <w:r>
        <w:rPr>
          <w:rFonts w:hint="eastAsia" w:cs="Times New Roman"/>
          <w:color w:val="auto"/>
          <w:lang w:val="en-US" w:eastAsia="zh-CN"/>
        </w:rPr>
        <w:t>生猪</w:t>
      </w:r>
      <w:r>
        <w:rPr>
          <w:rFonts w:hint="default" w:ascii="Times New Roman" w:hAnsi="Times New Roman" w:eastAsia="宋体" w:cs="Times New Roman"/>
          <w:color w:val="auto"/>
        </w:rPr>
        <w:t>，采取的工艺和设备均不属于</w:t>
      </w:r>
      <w:r>
        <w:rPr>
          <w:rFonts w:hint="default" w:ascii="Times New Roman" w:hAnsi="Times New Roman" w:eastAsia="宋体" w:cs="Times New Roman"/>
          <w:color w:val="auto"/>
          <w:lang w:eastAsia="zh-CN"/>
        </w:rPr>
        <w:t>《产业结构调整指导目录》（2024年本）</w:t>
      </w:r>
      <w:r>
        <w:rPr>
          <w:rFonts w:hint="default" w:ascii="Times New Roman" w:hAnsi="Times New Roman" w:eastAsia="宋体" w:cs="Times New Roman"/>
          <w:color w:val="auto"/>
        </w:rPr>
        <w:t>中的鼓励类、限制类和淘汰类，为允许类项目，符合国家产业政策。</w:t>
      </w:r>
    </w:p>
    <w:p>
      <w:pPr>
        <w:pageBreakBefore w:val="0"/>
        <w:wordWrap/>
        <w:overflowPunct/>
        <w:topLinePunct w:val="0"/>
        <w:bidi w:val="0"/>
        <w:spacing w:line="360" w:lineRule="auto"/>
        <w:ind w:firstLine="480" w:firstLineChars="200"/>
        <w:jc w:val="both"/>
        <w:outlineLvl w:val="9"/>
        <w:rPr>
          <w:rFonts w:hint="default" w:ascii="Times New Roman" w:hAnsi="Times New Roman" w:cs="Times New Roman"/>
          <w:b/>
          <w:color w:val="auto"/>
          <w:sz w:val="24"/>
        </w:rPr>
      </w:pPr>
      <w:r>
        <w:rPr>
          <w:rFonts w:hint="default" w:ascii="Times New Roman" w:hAnsi="Times New Roman" w:cs="Times New Roman"/>
          <w:b/>
          <w:color w:val="auto"/>
          <w:sz w:val="24"/>
        </w:rPr>
        <w:t>9.1.2.2场址选择合理性结论</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snapToGrid w:val="0"/>
          <w:color w:val="auto"/>
        </w:rPr>
        <w:t>本项目位于黑龙江省</w:t>
      </w:r>
      <w:r>
        <w:rPr>
          <w:rFonts w:hint="default" w:ascii="Times New Roman" w:hAnsi="Times New Roman" w:eastAsia="宋体" w:cs="Times New Roman"/>
          <w:spacing w:val="-1"/>
          <w:sz w:val="24"/>
          <w:szCs w:val="24"/>
          <w:lang w:eastAsia="zh-CN"/>
        </w:rPr>
        <w:t>哈尔滨市巴彦县兴隆镇中兴村南门外</w:t>
      </w:r>
      <w:r>
        <w:rPr>
          <w:rFonts w:hint="default" w:ascii="Times New Roman" w:hAnsi="Times New Roman" w:eastAsia="宋体" w:cs="Times New Roman"/>
          <w:snapToGrid w:val="0"/>
          <w:color w:val="auto"/>
        </w:rPr>
        <w:t>，用地为工业用地，厂区评价范围内无风景名胜区、自然保护区、水源保护区等敏感区分布，项目选址合理。</w:t>
      </w:r>
    </w:p>
    <w:p>
      <w:pPr>
        <w:pageBreakBefore w:val="0"/>
        <w:wordWrap/>
        <w:overflowPunct/>
        <w:topLinePunct w:val="0"/>
        <w:bidi w:val="0"/>
        <w:spacing w:line="360" w:lineRule="auto"/>
        <w:jc w:val="both"/>
        <w:outlineLvl w:val="3"/>
        <w:rPr>
          <w:rFonts w:hint="default" w:ascii="Times New Roman" w:hAnsi="Times New Roman" w:cs="Times New Roman"/>
          <w:b/>
          <w:color w:val="auto"/>
          <w:sz w:val="24"/>
        </w:rPr>
      </w:pPr>
      <w:bookmarkStart w:id="522" w:name="_Toc15991737"/>
      <w:r>
        <w:rPr>
          <w:rFonts w:hint="default" w:ascii="Times New Roman" w:hAnsi="Times New Roman" w:cs="Times New Roman"/>
          <w:b/>
          <w:color w:val="auto"/>
          <w:sz w:val="24"/>
        </w:rPr>
        <w:t>9.1.3环境质量现状评价结论</w:t>
      </w:r>
      <w:bookmarkEnd w:id="522"/>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（1）地表水环境质量现状评价结论</w:t>
      </w:r>
    </w:p>
    <w:p>
      <w:pPr>
        <w:spacing w:line="360" w:lineRule="auto"/>
        <w:ind w:firstLine="480" w:firstLineChars="200"/>
        <w:jc w:val="both"/>
        <w:rPr>
          <w:rFonts w:hint="default" w:ascii="Times New Roman" w:hAnsi="Times New Roman" w:cs="Times New Roman"/>
          <w:bCs/>
          <w:color w:val="auto"/>
          <w:sz w:val="24"/>
          <w:lang w:eastAsia="zh-CN"/>
        </w:rPr>
      </w:pPr>
      <w:r>
        <w:rPr>
          <w:rFonts w:hint="default" w:ascii="Times New Roman" w:hAnsi="Times New Roman" w:cs="Times New Roman"/>
          <w:bCs/>
          <w:color w:val="auto"/>
          <w:sz w:val="24"/>
        </w:rPr>
        <w:t>根据</w:t>
      </w:r>
      <w:r>
        <w:rPr>
          <w:rFonts w:hint="default" w:ascii="Times New Roman" w:hAnsi="Times New Roman" w:cs="Times New Roman"/>
          <w:bCs/>
          <w:color w:val="auto"/>
          <w:sz w:val="24"/>
          <w:lang w:eastAsia="zh-CN"/>
        </w:rPr>
        <w:t>《哈尔滨市生态环境质量报告书（2022年）》（黑龙江省哈尔滨生态环境监测中心，2023年6月），202</w:t>
      </w:r>
      <w:r>
        <w:rPr>
          <w:rFonts w:hint="default" w:ascii="Times New Roman" w:hAnsi="Times New Roman" w:cs="Times New Roman"/>
          <w:bCs/>
          <w:color w:val="auto"/>
          <w:sz w:val="24"/>
          <w:lang w:val="en-US" w:eastAsia="zh-CN"/>
        </w:rPr>
        <w:t>2</w:t>
      </w:r>
      <w:r>
        <w:rPr>
          <w:rFonts w:hint="default" w:ascii="Times New Roman" w:hAnsi="Times New Roman" w:cs="Times New Roman"/>
          <w:bCs/>
          <w:color w:val="auto"/>
          <w:sz w:val="24"/>
          <w:lang w:eastAsia="zh-CN"/>
        </w:rPr>
        <w:t>年松花江哈尔滨江段12条主要一级支流总体状况为良，水质总体好转。</w:t>
      </w:r>
    </w:p>
    <w:p>
      <w:pPr>
        <w:spacing w:line="360" w:lineRule="auto"/>
        <w:ind w:firstLine="480" w:firstLineChars="200"/>
        <w:jc w:val="both"/>
        <w:rPr>
          <w:rFonts w:hint="default" w:ascii="Times New Roman" w:hAnsi="Times New Roman" w:cs="Times New Roman"/>
          <w:bCs/>
          <w:color w:val="auto"/>
          <w:sz w:val="24"/>
          <w:lang w:eastAsia="zh-CN"/>
        </w:rPr>
      </w:pPr>
      <w:r>
        <w:rPr>
          <w:rFonts w:hint="default" w:ascii="Times New Roman" w:hAnsi="Times New Roman" w:cs="Times New Roman"/>
          <w:bCs/>
          <w:color w:val="auto"/>
          <w:sz w:val="24"/>
          <w:lang w:eastAsia="zh-CN"/>
        </w:rPr>
        <w:t>岔林河口内、白杨木河水质符合Ⅱ；蚂蚁河口内、巴兰河口内、木兰达河口内、阿什河口内、牡丹江口内、呼兰河口内、倭肯河口内、拉林河口内水质符合Ⅲ类；蜚克图河水质符合IV类标准；少陵河桥水质符合Ⅴ类。其中少陵河桥水质属于重度污染，蜚克图河水质属于轻度污染。202</w:t>
      </w:r>
      <w:r>
        <w:rPr>
          <w:rFonts w:hint="default" w:ascii="Times New Roman" w:hAnsi="Times New Roman" w:cs="Times New Roman"/>
          <w:bCs/>
          <w:color w:val="auto"/>
          <w:sz w:val="24"/>
          <w:lang w:val="en-US" w:eastAsia="zh-CN"/>
        </w:rPr>
        <w:t>2</w:t>
      </w:r>
      <w:r>
        <w:rPr>
          <w:rFonts w:hint="default" w:ascii="Times New Roman" w:hAnsi="Times New Roman" w:cs="Times New Roman"/>
          <w:bCs/>
          <w:color w:val="auto"/>
          <w:sz w:val="24"/>
          <w:lang w:eastAsia="zh-CN"/>
        </w:rPr>
        <w:t>年松花江哈尔滨段12条主要一级支流口内断面各项指标浓度差异较大。各断面溶解氧均好于Ⅰ类标准，高锰酸盐指数指标少陵河桥达到IV类标准，其它断面达到Ⅲ类标准；氨氮指标巨源镇达到IV类标准，少陵河桥达到V类标准，其它断面达到Ⅲ类标准；总磷指标阿什河口内、巨源镇和少陵河桥达到IV类标准，其它断面达到Ⅲ类标准；化学需氧量指标少陵河桥达到IV类标准，其它断面达到Ⅲ类标准；生化需氧量指标均达到Ⅲ类标准。</w:t>
      </w:r>
    </w:p>
    <w:p>
      <w:pPr>
        <w:pStyle w:val="45"/>
        <w:keepNext w:val="0"/>
        <w:keepLines w:val="0"/>
        <w:pageBreakBefore w:val="0"/>
        <w:kinsoku/>
        <w:wordWrap/>
        <w:overflowPunct/>
        <w:topLinePunct w:val="0"/>
        <w:autoSpaceDE/>
        <w:autoSpaceDN/>
        <w:bidi w:val="0"/>
        <w:adjustRightInd/>
        <w:snapToGrid/>
        <w:spacing w:line="360" w:lineRule="auto"/>
        <w:ind w:firstLine="480" w:firstLineChars="200"/>
        <w:contextualSpacing/>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（2）地下水环境质量现状评价结论</w:t>
      </w:r>
    </w:p>
    <w:p>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1#</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2#</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3#</w:t>
      </w:r>
      <w:r>
        <w:rPr>
          <w:rFonts w:hint="default" w:ascii="Times New Roman" w:hAnsi="Times New Roman" w:cs="Times New Roman"/>
          <w:color w:val="auto"/>
          <w:sz w:val="24"/>
        </w:rPr>
        <w:t>监测点</w:t>
      </w:r>
      <w:r>
        <w:rPr>
          <w:rFonts w:hint="default" w:ascii="Times New Roman" w:hAnsi="Times New Roman" w:cs="Times New Roman"/>
          <w:color w:val="auto"/>
          <w:sz w:val="24"/>
          <w:lang w:val="en-US" w:eastAsia="zh-CN"/>
        </w:rPr>
        <w:t>各</w:t>
      </w:r>
      <w:r>
        <w:rPr>
          <w:rFonts w:hint="default" w:ascii="Times New Roman" w:hAnsi="Times New Roman" w:cs="Times New Roman"/>
          <w:color w:val="auto"/>
          <w:sz w:val="24"/>
        </w:rPr>
        <w:t>监测因子均符合《地下水质量标准》（GB/T14848-2017）中Ⅲ类标准，</w:t>
      </w:r>
      <w:r>
        <w:rPr>
          <w:rFonts w:hint="default" w:ascii="Times New Roman" w:hAnsi="Times New Roman" w:cs="Times New Roman"/>
          <w:color w:val="auto"/>
          <w:sz w:val="24"/>
          <w:lang w:val="en-US" w:eastAsia="zh-CN"/>
        </w:rPr>
        <w:t>监测点</w:t>
      </w:r>
      <w:r>
        <w:rPr>
          <w:rFonts w:hint="default" w:ascii="Times New Roman" w:hAnsi="Times New Roman" w:eastAsia="宋体" w:cs="Times New Roman"/>
          <w:smallCaps w:val="0"/>
          <w:snapToGrid w:val="0"/>
          <w:color w:val="auto"/>
          <w:kern w:val="2"/>
          <w:sz w:val="24"/>
          <w:szCs w:val="24"/>
          <w:lang w:val="en-US" w:eastAsia="zh-CN" w:bidi="ar-SA"/>
        </w:rPr>
        <w:t>1#处地下水为25-A型，</w:t>
      </w:r>
      <w:r>
        <w:rPr>
          <w:rFonts w:hint="default" w:ascii="Times New Roman" w:hAnsi="Times New Roman" w:cs="Times New Roman"/>
          <w:color w:val="auto"/>
          <w:sz w:val="24"/>
        </w:rPr>
        <w:t>表示矿化度小于1.5g/L的HCO</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vertAlign w:val="superscript"/>
        </w:rPr>
        <w:t>-</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Cl</w:t>
      </w:r>
      <w:r>
        <w:rPr>
          <w:rFonts w:hint="default" w:ascii="Times New Roman" w:hAnsi="Times New Roman" w:cs="Times New Roman"/>
          <w:color w:val="auto"/>
          <w:sz w:val="24"/>
          <w:vertAlign w:val="superscript"/>
          <w:lang w:val="en-US" w:eastAsia="zh-CN"/>
        </w:rPr>
        <w:t>-</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Ca</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-Na</w:t>
      </w:r>
      <w:r>
        <w:rPr>
          <w:rFonts w:hint="default" w:ascii="Times New Roman" w:hAnsi="Times New Roman" w:cs="Times New Roman"/>
          <w:color w:val="auto"/>
          <w:sz w:val="24"/>
          <w:vertAlign w:val="superscript"/>
          <w:lang w:val="en-US" w:eastAsia="zh-CN"/>
        </w:rPr>
        <w:t>+</w:t>
      </w:r>
      <w:r>
        <w:rPr>
          <w:rFonts w:hint="default" w:ascii="Times New Roman" w:hAnsi="Times New Roman" w:cs="Times New Roman"/>
          <w:color w:val="auto"/>
          <w:sz w:val="24"/>
        </w:rPr>
        <w:t>型水</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监测点</w:t>
      </w:r>
      <w:r>
        <w:rPr>
          <w:rFonts w:hint="default" w:ascii="Times New Roman" w:hAnsi="Times New Roman" w:eastAsia="宋体" w:cs="Times New Roman"/>
          <w:smallCaps w:val="0"/>
          <w:snapToGrid w:val="0"/>
          <w:color w:val="auto"/>
          <w:kern w:val="2"/>
          <w:sz w:val="24"/>
          <w:szCs w:val="24"/>
          <w:lang w:val="en-US" w:eastAsia="zh-CN" w:bidi="ar-SA"/>
        </w:rPr>
        <w:t>2#~3#处地下水为4-A型，</w:t>
      </w:r>
      <w:r>
        <w:rPr>
          <w:rFonts w:hint="default" w:ascii="Times New Roman" w:hAnsi="Times New Roman" w:cs="Times New Roman"/>
          <w:color w:val="auto"/>
          <w:sz w:val="24"/>
        </w:rPr>
        <w:t>表示矿化度小于1.5g/L的HCO</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vertAlign w:val="superscript"/>
        </w:rPr>
        <w:t>-</w:t>
      </w:r>
      <w:r>
        <w:rPr>
          <w:rFonts w:hint="default" w:ascii="Times New Roman" w:hAnsi="Times New Roman" w:cs="Times New Roman"/>
          <w:color w:val="auto"/>
          <w:sz w:val="24"/>
          <w:lang w:val="en-US" w:eastAsia="zh-CN"/>
        </w:rPr>
        <w:t>-Na</w:t>
      </w:r>
      <w:r>
        <w:rPr>
          <w:rFonts w:hint="default" w:ascii="Times New Roman" w:hAnsi="Times New Roman" w:cs="Times New Roman"/>
          <w:color w:val="auto"/>
          <w:sz w:val="24"/>
          <w:vertAlign w:val="superscript"/>
          <w:lang w:val="en-US" w:eastAsia="zh-CN"/>
        </w:rPr>
        <w:t>+</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Ca</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型水。</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（3）大气环境质量现状评价结论</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eastAsia="宋体" w:cs="Times New Roman"/>
          <w:smallCaps w:val="0"/>
          <w:snapToGrid w:val="0"/>
          <w:color w:val="auto"/>
          <w:kern w:val="2"/>
          <w:sz w:val="24"/>
          <w:szCs w:val="24"/>
          <w:lang w:val="en-US" w:eastAsia="zh-CN" w:bidi="ar-SA"/>
        </w:rPr>
        <w:t>根据《哈尔滨市生态环境质量报告书2</w:t>
      </w:r>
      <w:r>
        <w:rPr>
          <w:rFonts w:hint="default" w:ascii="Times New Roman" w:hAnsi="Times New Roman" w:cs="Times New Roman"/>
          <w:smallCaps w:val="0"/>
          <w:snapToGrid w:val="0"/>
          <w:color w:val="auto"/>
          <w:kern w:val="2"/>
          <w:sz w:val="24"/>
          <w:szCs w:val="24"/>
          <w:lang w:val="en-US" w:eastAsia="zh-CN" w:bidi="ar-SA"/>
        </w:rPr>
        <w:t>022</w:t>
      </w:r>
      <w:r>
        <w:rPr>
          <w:rFonts w:hint="default" w:ascii="Times New Roman" w:hAnsi="Times New Roman" w:eastAsia="宋体" w:cs="Times New Roman"/>
          <w:smallCaps w:val="0"/>
          <w:snapToGrid w:val="0"/>
          <w:color w:val="auto"/>
          <w:kern w:val="2"/>
          <w:sz w:val="24"/>
          <w:szCs w:val="24"/>
          <w:lang w:val="en-US" w:eastAsia="zh-CN" w:bidi="ar-SA"/>
        </w:rPr>
        <w:t>年》，202</w:t>
      </w:r>
      <w:r>
        <w:rPr>
          <w:rFonts w:hint="default" w:ascii="Times New Roman" w:hAnsi="Times New Roman" w:cs="Times New Roman"/>
          <w:smallCaps w:val="0"/>
          <w:snapToGrid w:val="0"/>
          <w:color w:val="auto"/>
          <w:kern w:val="2"/>
          <w:sz w:val="24"/>
          <w:szCs w:val="24"/>
          <w:lang w:val="en-US" w:eastAsia="zh-CN" w:bidi="ar-SA"/>
        </w:rPr>
        <w:t>2</w:t>
      </w:r>
      <w:r>
        <w:rPr>
          <w:rFonts w:hint="default" w:ascii="Times New Roman" w:hAnsi="Times New Roman" w:eastAsia="宋体" w:cs="Times New Roman"/>
          <w:smallCaps w:val="0"/>
          <w:snapToGrid w:val="0"/>
          <w:color w:val="auto"/>
          <w:kern w:val="2"/>
          <w:sz w:val="24"/>
          <w:szCs w:val="24"/>
          <w:lang w:val="en-US" w:eastAsia="zh-CN" w:bidi="ar-SA"/>
        </w:rPr>
        <w:t>年哈尔滨市环境空气质量有效监测天数36</w:t>
      </w:r>
      <w:r>
        <w:rPr>
          <w:rFonts w:hint="default" w:ascii="Times New Roman" w:hAnsi="Times New Roman" w:cs="Times New Roman"/>
          <w:smallCaps w:val="0"/>
          <w:snapToGrid w:val="0"/>
          <w:color w:val="auto"/>
          <w:kern w:val="2"/>
          <w:sz w:val="24"/>
          <w:szCs w:val="24"/>
          <w:lang w:val="en-US" w:eastAsia="zh-CN" w:bidi="ar-SA"/>
        </w:rPr>
        <w:t>5</w:t>
      </w:r>
      <w:r>
        <w:rPr>
          <w:rFonts w:hint="default" w:ascii="Times New Roman" w:hAnsi="Times New Roman" w:eastAsia="宋体" w:cs="Times New Roman"/>
          <w:smallCaps w:val="0"/>
          <w:snapToGrid w:val="0"/>
          <w:color w:val="auto"/>
          <w:kern w:val="2"/>
          <w:sz w:val="24"/>
          <w:szCs w:val="24"/>
          <w:lang w:val="en-US" w:eastAsia="zh-CN" w:bidi="ar-SA"/>
        </w:rPr>
        <w:t>天，达标3</w:t>
      </w:r>
      <w:r>
        <w:rPr>
          <w:rFonts w:hint="default" w:ascii="Times New Roman" w:hAnsi="Times New Roman" w:cs="Times New Roman"/>
          <w:smallCaps w:val="0"/>
          <w:snapToGrid w:val="0"/>
          <w:color w:val="auto"/>
          <w:kern w:val="2"/>
          <w:sz w:val="24"/>
          <w:szCs w:val="24"/>
          <w:lang w:val="en-US" w:eastAsia="zh-CN" w:bidi="ar-SA"/>
        </w:rPr>
        <w:t>10</w:t>
      </w:r>
      <w:r>
        <w:rPr>
          <w:rFonts w:hint="default" w:ascii="Times New Roman" w:hAnsi="Times New Roman" w:eastAsia="宋体" w:cs="Times New Roman"/>
          <w:smallCaps w:val="0"/>
          <w:snapToGrid w:val="0"/>
          <w:color w:val="auto"/>
          <w:kern w:val="2"/>
          <w:sz w:val="24"/>
          <w:szCs w:val="24"/>
          <w:lang w:val="en-US" w:eastAsia="zh-CN" w:bidi="ar-SA"/>
        </w:rPr>
        <w:t>天，达标率8</w:t>
      </w:r>
      <w:r>
        <w:rPr>
          <w:rFonts w:hint="default" w:ascii="Times New Roman" w:hAnsi="Times New Roman" w:cs="Times New Roman"/>
          <w:smallCaps w:val="0"/>
          <w:snapToGrid w:val="0"/>
          <w:color w:val="auto"/>
          <w:kern w:val="2"/>
          <w:sz w:val="24"/>
          <w:szCs w:val="24"/>
          <w:lang w:val="en-US" w:eastAsia="zh-CN" w:bidi="ar-SA"/>
        </w:rPr>
        <w:t>4</w:t>
      </w:r>
      <w:r>
        <w:rPr>
          <w:rFonts w:hint="default" w:ascii="Times New Roman" w:hAnsi="Times New Roman" w:eastAsia="宋体" w:cs="Times New Roman"/>
          <w:smallCaps w:val="0"/>
          <w:snapToGrid w:val="0"/>
          <w:color w:val="auto"/>
          <w:kern w:val="2"/>
          <w:sz w:val="24"/>
          <w:szCs w:val="24"/>
          <w:lang w:val="en-US" w:eastAsia="zh-CN" w:bidi="ar-SA"/>
        </w:rPr>
        <w:t>.</w:t>
      </w:r>
      <w:r>
        <w:rPr>
          <w:rFonts w:hint="default" w:ascii="Times New Roman" w:hAnsi="Times New Roman" w:cs="Times New Roman"/>
          <w:smallCaps w:val="0"/>
          <w:snapToGrid w:val="0"/>
          <w:color w:val="auto"/>
          <w:kern w:val="2"/>
          <w:sz w:val="24"/>
          <w:szCs w:val="24"/>
          <w:lang w:val="en-US" w:eastAsia="zh-CN" w:bidi="ar-SA"/>
        </w:rPr>
        <w:t>9</w:t>
      </w:r>
      <w:r>
        <w:rPr>
          <w:rFonts w:hint="default" w:ascii="Times New Roman" w:hAnsi="Times New Roman" w:eastAsia="宋体" w:cs="Times New Roman"/>
          <w:smallCaps w:val="0"/>
          <w:snapToGrid w:val="0"/>
          <w:color w:val="auto"/>
          <w:kern w:val="2"/>
          <w:sz w:val="24"/>
          <w:szCs w:val="24"/>
          <w:lang w:val="en-US" w:eastAsia="zh-CN" w:bidi="ar-SA"/>
        </w:rPr>
        <w:t>%。其中优167天，良143天。超标</w:t>
      </w:r>
      <w:r>
        <w:rPr>
          <w:rFonts w:hint="default" w:ascii="Times New Roman" w:hAnsi="Times New Roman" w:cs="Times New Roman"/>
          <w:smallCaps w:val="0"/>
          <w:snapToGrid w:val="0"/>
          <w:color w:val="auto"/>
          <w:kern w:val="2"/>
          <w:sz w:val="24"/>
          <w:szCs w:val="24"/>
          <w:lang w:val="en-US" w:eastAsia="zh-CN" w:bidi="ar-SA"/>
        </w:rPr>
        <w:t>55</w:t>
      </w:r>
      <w:r>
        <w:rPr>
          <w:rFonts w:hint="default" w:ascii="Times New Roman" w:hAnsi="Times New Roman" w:eastAsia="宋体" w:cs="Times New Roman"/>
          <w:smallCaps w:val="0"/>
          <w:snapToGrid w:val="0"/>
          <w:color w:val="auto"/>
          <w:kern w:val="2"/>
          <w:sz w:val="24"/>
          <w:szCs w:val="24"/>
          <w:lang w:val="en-US" w:eastAsia="zh-CN" w:bidi="ar-SA"/>
        </w:rPr>
        <w:t>天，其中轻度污染</w:t>
      </w:r>
      <w:r>
        <w:rPr>
          <w:rFonts w:hint="default" w:ascii="Times New Roman" w:hAnsi="Times New Roman" w:cs="Times New Roman"/>
          <w:smallCaps w:val="0"/>
          <w:snapToGrid w:val="0"/>
          <w:color w:val="auto"/>
          <w:kern w:val="2"/>
          <w:sz w:val="24"/>
          <w:szCs w:val="24"/>
          <w:lang w:val="en-US" w:eastAsia="zh-CN" w:bidi="ar-SA"/>
        </w:rPr>
        <w:t>31</w:t>
      </w:r>
      <w:r>
        <w:rPr>
          <w:rFonts w:hint="default" w:ascii="Times New Roman" w:hAnsi="Times New Roman" w:eastAsia="宋体" w:cs="Times New Roman"/>
          <w:smallCaps w:val="0"/>
          <w:snapToGrid w:val="0"/>
          <w:color w:val="auto"/>
          <w:kern w:val="2"/>
          <w:sz w:val="24"/>
          <w:szCs w:val="24"/>
          <w:lang w:val="en-US" w:eastAsia="zh-CN" w:bidi="ar-SA"/>
        </w:rPr>
        <w:t>天，中度污染</w:t>
      </w:r>
      <w:r>
        <w:rPr>
          <w:rFonts w:hint="default" w:ascii="Times New Roman" w:hAnsi="Times New Roman" w:cs="Times New Roman"/>
          <w:smallCaps w:val="0"/>
          <w:snapToGrid w:val="0"/>
          <w:color w:val="auto"/>
          <w:kern w:val="2"/>
          <w:sz w:val="24"/>
          <w:szCs w:val="24"/>
          <w:lang w:val="en-US" w:eastAsia="zh-CN" w:bidi="ar-SA"/>
        </w:rPr>
        <w:t>14</w:t>
      </w:r>
      <w:r>
        <w:rPr>
          <w:rFonts w:hint="default" w:ascii="Times New Roman" w:hAnsi="Times New Roman" w:eastAsia="宋体" w:cs="Times New Roman"/>
          <w:smallCaps w:val="0"/>
          <w:snapToGrid w:val="0"/>
          <w:color w:val="auto"/>
          <w:kern w:val="2"/>
          <w:sz w:val="24"/>
          <w:szCs w:val="24"/>
          <w:lang w:val="en-US" w:eastAsia="zh-CN" w:bidi="ar-SA"/>
        </w:rPr>
        <w:t>天，重度污染9天，严重污染1天。超标天数中首要污染物</w:t>
      </w:r>
      <w:r>
        <w:rPr>
          <w:rFonts w:hint="default" w:ascii="Times New Roman" w:hAnsi="Times New Roman" w:cs="Times New Roman"/>
          <w:smallCaps w:val="0"/>
          <w:snapToGrid w:val="0"/>
          <w:color w:val="auto"/>
          <w:kern w:val="2"/>
          <w:sz w:val="24"/>
          <w:szCs w:val="24"/>
          <w:lang w:val="en-US" w:eastAsia="zh-CN" w:bidi="ar-SA"/>
        </w:rPr>
        <w:t>47</w:t>
      </w:r>
      <w:r>
        <w:rPr>
          <w:rFonts w:hint="default" w:ascii="Times New Roman" w:hAnsi="Times New Roman" w:eastAsia="宋体" w:cs="Times New Roman"/>
          <w:smallCaps w:val="0"/>
          <w:snapToGrid w:val="0"/>
          <w:color w:val="auto"/>
          <w:kern w:val="2"/>
          <w:sz w:val="24"/>
          <w:szCs w:val="24"/>
          <w:lang w:val="en-US" w:eastAsia="zh-CN" w:bidi="ar-SA"/>
        </w:rPr>
        <w:t>天为细颗粒物，</w:t>
      </w:r>
      <w:r>
        <w:rPr>
          <w:rFonts w:hint="default" w:ascii="Times New Roman" w:hAnsi="Times New Roman" w:cs="Times New Roman"/>
          <w:smallCaps w:val="0"/>
          <w:snapToGrid w:val="0"/>
          <w:color w:val="auto"/>
          <w:kern w:val="2"/>
          <w:sz w:val="24"/>
          <w:szCs w:val="24"/>
          <w:lang w:val="en-US" w:eastAsia="zh-CN" w:bidi="ar-SA"/>
        </w:rPr>
        <w:t>3</w:t>
      </w:r>
      <w:r>
        <w:rPr>
          <w:rFonts w:hint="default" w:ascii="Times New Roman" w:hAnsi="Times New Roman" w:eastAsia="宋体" w:cs="Times New Roman"/>
          <w:smallCaps w:val="0"/>
          <w:snapToGrid w:val="0"/>
          <w:color w:val="auto"/>
          <w:kern w:val="2"/>
          <w:sz w:val="24"/>
          <w:szCs w:val="24"/>
          <w:lang w:val="en-US" w:eastAsia="zh-CN" w:bidi="ar-SA"/>
        </w:rPr>
        <w:t>天为臭氧，5天为可吸入颗粒物</w:t>
      </w:r>
      <w:r>
        <w:rPr>
          <w:rFonts w:hint="default" w:ascii="Times New Roman" w:hAnsi="Times New Roman" w:cs="Times New Roman"/>
          <w:smallCaps w:val="0"/>
          <w:snapToGrid w:val="0"/>
          <w:color w:val="auto"/>
          <w:kern w:val="2"/>
          <w:sz w:val="24"/>
          <w:szCs w:val="24"/>
          <w:lang w:val="en-US" w:eastAsia="zh-CN" w:bidi="ar-SA"/>
        </w:rPr>
        <w:t>，1天为二氧化氮</w:t>
      </w:r>
      <w:r>
        <w:rPr>
          <w:rFonts w:hint="default" w:ascii="Times New Roman" w:hAnsi="Times New Roman" w:eastAsia="宋体" w:cs="Times New Roman"/>
          <w:smallCaps w:val="0"/>
          <w:snapToGrid w:val="0"/>
          <w:color w:val="auto"/>
          <w:kern w:val="2"/>
          <w:sz w:val="24"/>
          <w:szCs w:val="24"/>
          <w:lang w:val="en-US" w:eastAsia="zh-CN" w:bidi="ar-SA"/>
        </w:rPr>
        <w:t>。年度综合指数为3.80。除细颗粒物总体评价未达到二级标准，其他</w:t>
      </w:r>
      <w:r>
        <w:rPr>
          <w:rFonts w:hint="default" w:ascii="Times New Roman" w:hAnsi="Times New Roman" w:cs="Times New Roman"/>
          <w:smallCaps w:val="0"/>
          <w:snapToGrid w:val="0"/>
          <w:color w:val="auto"/>
          <w:kern w:val="2"/>
          <w:sz w:val="24"/>
          <w:szCs w:val="24"/>
          <w:lang w:val="en-US" w:eastAsia="zh-CN" w:bidi="ar-SA"/>
        </w:rPr>
        <w:t>五</w:t>
      </w:r>
      <w:r>
        <w:rPr>
          <w:rFonts w:hint="default" w:ascii="Times New Roman" w:hAnsi="Times New Roman" w:eastAsia="宋体" w:cs="Times New Roman"/>
          <w:smallCaps w:val="0"/>
          <w:snapToGrid w:val="0"/>
          <w:color w:val="auto"/>
          <w:kern w:val="2"/>
          <w:sz w:val="24"/>
          <w:szCs w:val="24"/>
          <w:lang w:val="en-US" w:eastAsia="zh-CN" w:bidi="ar-SA"/>
        </w:rPr>
        <w:t>项污染物均达到二级标准。</w:t>
      </w:r>
      <w:r>
        <w:rPr>
          <w:rFonts w:hint="default" w:ascii="Times New Roman" w:hAnsi="Times New Roman" w:eastAsia="宋体" w:cs="Times New Roman"/>
          <w:color w:val="auto"/>
          <w:kern w:val="2"/>
          <w:sz w:val="24"/>
          <w:szCs w:val="24"/>
          <w:highlight w:val="none"/>
          <w:lang w:val="en-US" w:eastAsia="zh-CN" w:bidi="ar-SA"/>
        </w:rPr>
        <w:t>综上，本项目所在区域属于环境空气质量不达标区，主要超标污染物为细颗粒物（PM</w:t>
      </w:r>
      <w:r>
        <w:rPr>
          <w:rFonts w:hint="default" w:ascii="Times New Roman" w:hAnsi="Times New Roman" w:eastAsia="宋体" w:cs="Times New Roman"/>
          <w:color w:val="auto"/>
          <w:kern w:val="2"/>
          <w:sz w:val="24"/>
          <w:szCs w:val="24"/>
          <w:highlight w:val="none"/>
          <w:vertAlign w:val="subscript"/>
          <w:lang w:val="en-US" w:eastAsia="zh-CN" w:bidi="ar-SA"/>
        </w:rPr>
        <w:t>2.5</w:t>
      </w:r>
      <w:r>
        <w:rPr>
          <w:rFonts w:hint="default" w:ascii="Times New Roman" w:hAnsi="Times New Roman" w:eastAsia="宋体" w:cs="Times New Roman"/>
          <w:color w:val="auto"/>
          <w:kern w:val="2"/>
          <w:sz w:val="24"/>
          <w:szCs w:val="24"/>
          <w:highlight w:val="none"/>
          <w:vertAlign w:val="baseli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w:t>
      </w:r>
    </w:p>
    <w:p>
      <w:pPr>
        <w:pStyle w:val="45"/>
        <w:pageBreakBefore w:val="0"/>
        <w:wordWrap/>
        <w:overflowPunct/>
        <w:topLinePunct w:val="0"/>
        <w:bidi w:val="0"/>
        <w:adjustRightInd/>
        <w:snapToGrid/>
        <w:spacing w:line="360" w:lineRule="auto"/>
        <w:ind w:firstLine="480" w:firstLineChars="200"/>
        <w:jc w:val="both"/>
        <w:rPr>
          <w:rFonts w:hint="eastAsia" w:ascii="Times New Roman" w:hAnsi="Times New Roman" w:eastAsia="宋体" w:cs="Times New Roman"/>
          <w:color w:val="auto"/>
          <w:highlight w:val="magenta"/>
          <w:lang w:eastAsia="zh-CN"/>
        </w:rPr>
      </w:pPr>
      <w:r>
        <w:rPr>
          <w:rFonts w:hint="default" w:ascii="Times New Roman" w:hAnsi="Times New Roman" w:cs="Times New Roman"/>
          <w:color w:val="auto"/>
        </w:rPr>
        <w:t>通过补充监测结果表明，</w:t>
      </w:r>
      <w:r>
        <w:rPr>
          <w:rFonts w:hint="default" w:ascii="Times New Roman" w:hAnsi="Times New Roman" w:eastAsia="宋体" w:cs="Times New Roman"/>
          <w:color w:val="auto"/>
          <w:sz w:val="24"/>
          <w:szCs w:val="24"/>
          <w:highlight w:val="none"/>
          <w:lang w:eastAsia="zh-CN"/>
        </w:rPr>
        <w:t>总悬浮颗粒物（</w:t>
      </w:r>
      <w:r>
        <w:rPr>
          <w:rFonts w:hint="default" w:ascii="Times New Roman" w:hAnsi="Times New Roman" w:eastAsia="宋体" w:cs="Times New Roman"/>
          <w:color w:val="auto"/>
          <w:sz w:val="24"/>
          <w:szCs w:val="24"/>
          <w:highlight w:val="none"/>
          <w:lang w:val="en-US" w:eastAsia="zh-CN"/>
        </w:rPr>
        <w:t>TSP</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rPr>
        <w:t>满足《环境空气质量标准》（GB3095-2012）中二级标准，</w:t>
      </w:r>
      <w:r>
        <w:rPr>
          <w:rFonts w:hint="default" w:ascii="Times New Roman" w:hAnsi="Times New Roman" w:eastAsia="宋体" w:cs="Times New Roman"/>
          <w:color w:val="auto"/>
        </w:rPr>
        <w:t>监测点NH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vertAlign w:val="baseline"/>
          <w:lang w:eastAsia="zh-CN"/>
        </w:rPr>
        <w:t>、</w:t>
      </w:r>
      <w:r>
        <w:rPr>
          <w:rFonts w:hint="default" w:ascii="Times New Roman" w:hAnsi="Times New Roman" w:eastAsia="宋体" w:cs="Times New Roman"/>
          <w:color w:val="auto"/>
        </w:rPr>
        <w:t>H</w:t>
      </w:r>
      <w:r>
        <w:rPr>
          <w:rFonts w:hint="default" w:ascii="Times New Roman" w:hAnsi="Times New Roman" w:eastAsia="宋体" w:cs="Times New Roman"/>
          <w:color w:val="auto"/>
          <w:vertAlign w:val="subscript"/>
        </w:rPr>
        <w:t>2</w:t>
      </w:r>
      <w:r>
        <w:rPr>
          <w:rFonts w:hint="default" w:ascii="Times New Roman" w:hAnsi="Times New Roman" w:eastAsia="宋体" w:cs="Times New Roman"/>
          <w:color w:val="auto"/>
        </w:rPr>
        <w:t>S未检出，满足《环境影响评价技术导则大气环境》（HJ 2.2-2018）附录D标准。</w:t>
      </w:r>
      <w:r>
        <w:rPr>
          <w:rFonts w:hint="default" w:ascii="Times New Roman" w:hAnsi="Times New Roman" w:eastAsia="宋体" w:cs="Times New Roman"/>
          <w:color w:val="auto"/>
          <w:sz w:val="24"/>
          <w:szCs w:val="24"/>
          <w:highlight w:val="none"/>
        </w:rPr>
        <w:t>非甲烷总烃满足</w:t>
      </w:r>
      <w:r>
        <w:rPr>
          <w:rFonts w:hint="default" w:ascii="Times New Roman" w:hAnsi="Times New Roman" w:cs="Times New Roman"/>
          <w:color w:val="auto"/>
          <w:sz w:val="24"/>
          <w:szCs w:val="24"/>
          <w:highlight w:val="none"/>
        </w:rPr>
        <w:t>《大气污染物综合排放</w:t>
      </w:r>
      <w:r>
        <w:rPr>
          <w:rFonts w:hint="default" w:ascii="Times New Roman" w:hAnsi="Times New Roman" w:eastAsia="宋体" w:cs="Times New Roman"/>
          <w:color w:val="auto"/>
          <w:sz w:val="24"/>
          <w:szCs w:val="24"/>
          <w:highlight w:val="none"/>
        </w:rPr>
        <w:t>标准详解》</w:t>
      </w:r>
      <w:r>
        <w:rPr>
          <w:rFonts w:hint="default" w:ascii="Times New Roman" w:hAnsi="Times New Roman" w:eastAsia="宋体" w:cs="Times New Roman"/>
          <w:color w:val="auto"/>
          <w:sz w:val="24"/>
          <w:szCs w:val="24"/>
          <w:highlight w:val="none"/>
          <w:lang w:eastAsia="zh-CN"/>
        </w:rPr>
        <w:t>要求</w:t>
      </w:r>
      <w:r>
        <w:rPr>
          <w:rFonts w:hint="eastAsia" w:cs="Times New Roman"/>
          <w:color w:val="auto"/>
          <w:sz w:val="24"/>
          <w:szCs w:val="24"/>
          <w:highlight w:val="none"/>
          <w:lang w:eastAsia="zh-CN"/>
        </w:rPr>
        <w:t>。</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（4）声环境质量现状评价结论</w:t>
      </w:r>
    </w:p>
    <w:p>
      <w:pPr>
        <w:pageBreakBefore w:val="0"/>
        <w:wordWrap/>
        <w:overflowPunct/>
        <w:topLinePunct w:val="0"/>
        <w:bidi w:val="0"/>
        <w:spacing w:line="360" w:lineRule="auto"/>
        <w:ind w:firstLine="480" w:firstLineChars="200"/>
        <w:contextualSpacing/>
        <w:jc w:val="both"/>
        <w:rPr>
          <w:rFonts w:hint="default" w:ascii="Times New Roman" w:hAnsi="Times New Roman" w:cs="Times New Roman"/>
          <w:color w:val="auto"/>
          <w:sz w:val="24"/>
        </w:rPr>
      </w:pPr>
      <w:r>
        <w:rPr>
          <w:rFonts w:hint="default" w:ascii="Times New Roman" w:hAnsi="Times New Roman" w:cs="Times New Roman"/>
          <w:color w:val="auto"/>
          <w:sz w:val="24"/>
        </w:rPr>
        <w:t>项目区评价范围内各监测点昼间及夜间等效连续A声级均无超标现象，达标率100%，评价区厂界噪声背景值满足《声环境质量标准》（GB3096-2008）2类标准。</w:t>
      </w:r>
    </w:p>
    <w:p>
      <w:pPr>
        <w:pStyle w:val="12"/>
        <w:pageBreakBefore w:val="0"/>
        <w:wordWrap/>
        <w:overflowPunct/>
        <w:topLinePunct w:val="0"/>
        <w:bidi w:val="0"/>
        <w:spacing w:before="0" w:after="0" w:line="360" w:lineRule="auto"/>
        <w:contextualSpacing/>
        <w:jc w:val="both"/>
        <w:rPr>
          <w:rFonts w:hint="default" w:ascii="Times New Roman" w:hAnsi="Times New Roman" w:eastAsia="宋体" w:cs="Times New Roman"/>
          <w:bCs w:val="0"/>
          <w:color w:val="auto"/>
        </w:rPr>
      </w:pPr>
      <w:bookmarkStart w:id="523" w:name="_Toc15991738"/>
      <w:r>
        <w:rPr>
          <w:rFonts w:hint="default" w:ascii="Times New Roman" w:hAnsi="Times New Roman" w:eastAsia="宋体" w:cs="Times New Roman"/>
          <w:bCs w:val="0"/>
          <w:color w:val="auto"/>
        </w:rPr>
        <w:t>9.1.4污染防治措施可行性结论</w:t>
      </w:r>
      <w:bookmarkEnd w:id="523"/>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（1）大气</w:t>
      </w:r>
    </w:p>
    <w:p>
      <w:pPr>
        <w:pStyle w:val="45"/>
        <w:pageBreakBefore w:val="0"/>
        <w:wordWrap/>
        <w:overflowPunct/>
        <w:topLinePunct w:val="0"/>
        <w:bidi w:val="0"/>
        <w:spacing w:line="360" w:lineRule="auto"/>
        <w:ind w:firstLine="480" w:firstLineChars="200"/>
        <w:contextualSpacing/>
        <w:jc w:val="both"/>
        <w:rPr>
          <w:rFonts w:hint="default" w:ascii="Times New Roman" w:hAnsi="Times New Roman" w:cs="Times New Roman"/>
          <w:bCs/>
          <w:color w:val="auto"/>
        </w:rPr>
      </w:pPr>
      <w:r>
        <w:rPr>
          <w:rFonts w:hint="default" w:ascii="Times New Roman" w:hAnsi="Times New Roman" w:cs="Times New Roman"/>
          <w:bCs/>
          <w:color w:val="auto"/>
        </w:rPr>
        <w:t>本项目屠宰</w:t>
      </w:r>
      <w:r>
        <w:rPr>
          <w:rFonts w:hint="eastAsia" w:cs="Times New Roman"/>
          <w:bCs/>
          <w:color w:val="auto"/>
          <w:lang w:val="en-US" w:eastAsia="zh-CN"/>
        </w:rPr>
        <w:t>加工</w:t>
      </w:r>
      <w:r>
        <w:rPr>
          <w:rFonts w:hint="default" w:ascii="Times New Roman" w:hAnsi="Times New Roman" w:cs="Times New Roman"/>
          <w:bCs/>
          <w:color w:val="auto"/>
        </w:rPr>
        <w:t>车间封闭，产生的恶臭气体经负压集中收集后，通过活性炭吸附净化后由15m高排气筒排放。本项目污水处理站封闭，产生的恶臭气体经负压集中收集后，通过活性炭吸附净化后由15m高排气筒排放。本项目待宰间封闭，及时清扫，并投加或喷洒除臭剂，产生的恶臭气体经负压集中收集后，通过活性炭吸附净化后由15m高排气筒排放。本项目有组织排放NH</w:t>
      </w:r>
      <w:r>
        <w:rPr>
          <w:rFonts w:hint="default" w:ascii="Times New Roman" w:hAnsi="Times New Roman" w:cs="Times New Roman"/>
          <w:bCs/>
          <w:color w:val="auto"/>
          <w:vertAlign w:val="subscript"/>
        </w:rPr>
        <w:t>3</w:t>
      </w:r>
      <w:r>
        <w:rPr>
          <w:rFonts w:hint="default" w:ascii="Times New Roman" w:hAnsi="Times New Roman" w:cs="Times New Roman"/>
          <w:bCs/>
          <w:color w:val="auto"/>
        </w:rPr>
        <w:t>、H</w:t>
      </w:r>
      <w:r>
        <w:rPr>
          <w:rFonts w:hint="default" w:ascii="Times New Roman" w:hAnsi="Times New Roman" w:cs="Times New Roman"/>
          <w:bCs/>
          <w:color w:val="auto"/>
          <w:vertAlign w:val="subscript"/>
        </w:rPr>
        <w:t>2</w:t>
      </w:r>
      <w:r>
        <w:rPr>
          <w:rFonts w:hint="default" w:ascii="Times New Roman" w:hAnsi="Times New Roman" w:cs="Times New Roman"/>
          <w:bCs/>
          <w:color w:val="auto"/>
        </w:rPr>
        <w:t>S和臭气浓度均能够满足《恶臭污染物排放标准》（GB14554-93）表2恶臭污染物排放标准值。</w:t>
      </w:r>
    </w:p>
    <w:p>
      <w:pPr>
        <w:pStyle w:val="45"/>
        <w:pageBreakBefore w:val="0"/>
        <w:wordWrap/>
        <w:overflowPunct/>
        <w:topLinePunct w:val="0"/>
        <w:bidi w:val="0"/>
        <w:adjustRightInd/>
        <w:snapToGrid/>
        <w:spacing w:line="360" w:lineRule="auto"/>
        <w:ind w:firstLine="480" w:firstLineChars="200"/>
        <w:contextualSpacing/>
        <w:jc w:val="both"/>
        <w:rPr>
          <w:rFonts w:hint="eastAsia" w:ascii="Times New Roman" w:hAnsi="Times New Roman" w:eastAsia="宋体" w:cs="Times New Roman"/>
          <w:bCs/>
          <w:color w:val="auto"/>
          <w:lang w:eastAsia="zh-CN"/>
        </w:rPr>
      </w:pPr>
      <w:r>
        <w:rPr>
          <w:rFonts w:hint="default" w:ascii="Times New Roman" w:hAnsi="Times New Roman" w:eastAsia="宋体" w:cs="Times New Roman"/>
          <w:bCs/>
          <w:color w:val="auto"/>
        </w:rPr>
        <w:t>待宰间、屠宰</w:t>
      </w:r>
      <w:r>
        <w:rPr>
          <w:rFonts w:hint="eastAsia" w:cs="Times New Roman"/>
          <w:bCs/>
          <w:color w:val="auto"/>
          <w:lang w:val="en-US" w:eastAsia="zh-CN"/>
        </w:rPr>
        <w:t>加工</w:t>
      </w:r>
      <w:r>
        <w:rPr>
          <w:rFonts w:hint="default" w:ascii="Times New Roman" w:hAnsi="Times New Roman" w:eastAsia="宋体" w:cs="Times New Roman"/>
          <w:bCs/>
          <w:color w:val="auto"/>
        </w:rPr>
        <w:t>车间</w:t>
      </w:r>
      <w:r>
        <w:rPr>
          <w:rFonts w:hint="eastAsia" w:cs="Times New Roman"/>
          <w:bCs/>
          <w:color w:val="auto"/>
          <w:lang w:eastAsia="zh-CN"/>
        </w:rPr>
        <w:t>、</w:t>
      </w:r>
      <w:r>
        <w:rPr>
          <w:rFonts w:hint="eastAsia" w:cs="Times New Roman"/>
          <w:bCs/>
          <w:color w:val="auto"/>
          <w:lang w:val="en-US" w:eastAsia="zh-CN"/>
        </w:rPr>
        <w:t>一般固废暂存间</w:t>
      </w:r>
      <w:r>
        <w:rPr>
          <w:rFonts w:hint="default" w:ascii="Times New Roman" w:hAnsi="Times New Roman" w:eastAsia="宋体" w:cs="Times New Roman"/>
          <w:bCs/>
          <w:color w:val="auto"/>
        </w:rPr>
        <w:t>和污水处理站封闭，加强通风，未被收集的恶臭气体无组织排放。根据估算模式预测结果，无组织排放恶臭气体污染物经过自然风稀释扩散后，厂界NH</w:t>
      </w:r>
      <w:r>
        <w:rPr>
          <w:rFonts w:hint="default" w:ascii="Times New Roman" w:hAnsi="Times New Roman" w:eastAsia="宋体" w:cs="Times New Roman"/>
          <w:bCs/>
          <w:color w:val="auto"/>
          <w:vertAlign w:val="subscript"/>
        </w:rPr>
        <w:t>3</w:t>
      </w:r>
      <w:r>
        <w:rPr>
          <w:rFonts w:hint="default" w:ascii="Times New Roman" w:hAnsi="Times New Roman" w:eastAsia="宋体" w:cs="Times New Roman"/>
          <w:bCs/>
          <w:color w:val="auto"/>
        </w:rPr>
        <w:t>、H</w:t>
      </w:r>
      <w:r>
        <w:rPr>
          <w:rFonts w:hint="default" w:ascii="Times New Roman" w:hAnsi="Times New Roman" w:eastAsia="宋体" w:cs="Times New Roman"/>
          <w:bCs/>
          <w:color w:val="auto"/>
          <w:vertAlign w:val="subscript"/>
        </w:rPr>
        <w:t>2</w:t>
      </w:r>
      <w:r>
        <w:rPr>
          <w:rFonts w:hint="default" w:ascii="Times New Roman" w:hAnsi="Times New Roman" w:eastAsia="宋体" w:cs="Times New Roman"/>
          <w:bCs/>
          <w:color w:val="auto"/>
        </w:rPr>
        <w:t>S和臭气浓度能够满足《恶臭污染物排放标准》（GB14554-93）表1中二级新改扩建标准。</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auto"/>
          <w:kern w:val="2"/>
          <w:sz w:val="24"/>
          <w:szCs w:val="24"/>
          <w:lang w:val="en-US" w:eastAsia="zh-CN" w:bidi="ar-SA"/>
        </w:rPr>
        <w:t>本项目生活热源由1台</w:t>
      </w:r>
      <w:r>
        <w:rPr>
          <w:rFonts w:hint="eastAsia" w:cs="Times New Roman"/>
          <w:color w:val="auto"/>
          <w:kern w:val="2"/>
          <w:sz w:val="24"/>
          <w:szCs w:val="24"/>
          <w:lang w:val="en-US" w:eastAsia="zh-CN" w:bidi="ar-SA"/>
        </w:rPr>
        <w:t>1t/h燃油蒸汽锅炉</w:t>
      </w:r>
      <w:r>
        <w:rPr>
          <w:rFonts w:hint="default" w:ascii="Times New Roman" w:hAnsi="Times New Roman" w:eastAsia="宋体" w:cs="Times New Roman"/>
          <w:color w:val="auto"/>
          <w:kern w:val="2"/>
          <w:sz w:val="24"/>
          <w:szCs w:val="24"/>
          <w:lang w:val="en-US" w:eastAsia="zh-CN" w:bidi="ar-SA"/>
        </w:rPr>
        <w:t>供应，产生的烟气</w:t>
      </w:r>
      <w:r>
        <w:rPr>
          <w:rFonts w:hint="default" w:ascii="Times New Roman" w:hAnsi="Times New Roman" w:eastAsia="宋体" w:cs="Times New Roman"/>
          <w:color w:val="auto"/>
          <w:kern w:val="2"/>
          <w:sz w:val="24"/>
          <w:szCs w:val="24"/>
          <w:highlight w:val="none"/>
          <w:lang w:val="en-US" w:eastAsia="zh-CN" w:bidi="ar-SA"/>
        </w:rPr>
        <w:t>经</w:t>
      </w:r>
      <w:r>
        <w:rPr>
          <w:rFonts w:hint="eastAsia" w:cs="Times New Roman"/>
          <w:color w:val="auto"/>
          <w:kern w:val="2"/>
          <w:sz w:val="24"/>
          <w:szCs w:val="24"/>
          <w:highlight w:val="none"/>
          <w:lang w:val="en-US" w:eastAsia="zh-CN" w:bidi="ar-SA"/>
        </w:rPr>
        <w:t>低氮燃烧器</w:t>
      </w:r>
      <w:r>
        <w:rPr>
          <w:rFonts w:hint="default" w:ascii="Times New Roman" w:hAnsi="Times New Roman" w:eastAsia="宋体" w:cs="Times New Roman"/>
          <w:color w:val="auto"/>
          <w:kern w:val="2"/>
          <w:sz w:val="24"/>
          <w:szCs w:val="24"/>
          <w:highlight w:val="none"/>
          <w:lang w:val="en-US" w:eastAsia="zh-CN" w:bidi="ar-SA"/>
        </w:rPr>
        <w:t>处理后</w:t>
      </w:r>
      <w:r>
        <w:rPr>
          <w:rFonts w:hint="default" w:ascii="Times New Roman" w:hAnsi="Times New Roman" w:eastAsia="宋体" w:cs="Times New Roman"/>
          <w:color w:val="auto"/>
          <w:kern w:val="2"/>
          <w:sz w:val="24"/>
          <w:szCs w:val="24"/>
          <w:lang w:val="en-US" w:eastAsia="zh-CN" w:bidi="ar-SA"/>
        </w:rPr>
        <w:t>，经</w:t>
      </w:r>
      <w:r>
        <w:rPr>
          <w:rFonts w:hint="eastAsia" w:cs="Times New Roman"/>
          <w:color w:val="auto"/>
          <w:kern w:val="2"/>
          <w:sz w:val="24"/>
          <w:szCs w:val="24"/>
          <w:lang w:val="en-US" w:eastAsia="zh-CN" w:bidi="ar-SA"/>
        </w:rPr>
        <w:t>12</w:t>
      </w:r>
      <w:r>
        <w:rPr>
          <w:rFonts w:hint="default" w:ascii="Times New Roman" w:hAnsi="Times New Roman" w:eastAsia="宋体" w:cs="Times New Roman"/>
          <w:color w:val="auto"/>
          <w:kern w:val="2"/>
          <w:sz w:val="24"/>
          <w:szCs w:val="24"/>
          <w:lang w:val="en-US" w:eastAsia="zh-CN" w:bidi="ar-SA"/>
        </w:rPr>
        <w:t>m高烟囱排放，排放的污染物为颗粒物、SO</w:t>
      </w:r>
      <w:r>
        <w:rPr>
          <w:rFonts w:hint="default" w:ascii="Times New Roman" w:hAnsi="Times New Roman" w:eastAsia="宋体" w:cs="Times New Roman"/>
          <w:color w:val="auto"/>
          <w:kern w:val="2"/>
          <w:sz w:val="24"/>
          <w:szCs w:val="24"/>
          <w:vertAlign w:val="subscript"/>
          <w:lang w:val="en-US" w:eastAsia="zh-CN" w:bidi="ar-SA"/>
        </w:rPr>
        <w:t>2</w:t>
      </w:r>
      <w:r>
        <w:rPr>
          <w:rFonts w:hint="default" w:ascii="Times New Roman" w:hAnsi="Times New Roman" w:eastAsia="宋体" w:cs="Times New Roman"/>
          <w:color w:val="auto"/>
          <w:kern w:val="2"/>
          <w:sz w:val="24"/>
          <w:szCs w:val="24"/>
          <w:lang w:val="en-US" w:eastAsia="zh-CN" w:bidi="ar-SA"/>
        </w:rPr>
        <w:t>、NO</w:t>
      </w:r>
      <w:r>
        <w:rPr>
          <w:rFonts w:hint="default" w:ascii="Times New Roman" w:hAnsi="Times New Roman" w:eastAsia="宋体" w:cs="Times New Roman"/>
          <w:color w:val="auto"/>
          <w:kern w:val="2"/>
          <w:sz w:val="24"/>
          <w:szCs w:val="24"/>
          <w:vertAlign w:val="subscript"/>
          <w:lang w:val="en-US" w:eastAsia="zh-CN" w:bidi="ar-SA"/>
        </w:rPr>
        <w:t>X</w: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lang w:val="en-US" w:eastAsia="zh-CN"/>
        </w:rPr>
        <w:t>锅炉烟气满足</w:t>
      </w:r>
      <w:r>
        <w:rPr>
          <w:rFonts w:hint="default" w:ascii="Times New Roman" w:hAnsi="Times New Roman" w:eastAsia="宋体" w:cs="Times New Roman"/>
          <w:color w:val="auto"/>
          <w:kern w:val="21"/>
          <w:sz w:val="24"/>
          <w:szCs w:val="24"/>
        </w:rPr>
        <w:t>《锅炉大气污染物排放标准》（GB13271-2014）新建燃</w:t>
      </w:r>
      <w:r>
        <w:rPr>
          <w:rFonts w:hint="default" w:ascii="Times New Roman" w:hAnsi="Times New Roman" w:eastAsia="宋体" w:cs="Times New Roman"/>
          <w:color w:val="auto"/>
          <w:kern w:val="21"/>
          <w:sz w:val="24"/>
          <w:szCs w:val="24"/>
          <w:lang w:val="en-US" w:eastAsia="zh-CN"/>
        </w:rPr>
        <w:t>油</w:t>
      </w:r>
      <w:r>
        <w:rPr>
          <w:rFonts w:hint="default" w:ascii="Times New Roman" w:hAnsi="Times New Roman" w:eastAsia="宋体" w:cs="Times New Roman"/>
          <w:color w:val="auto"/>
          <w:kern w:val="21"/>
          <w:sz w:val="24"/>
          <w:szCs w:val="24"/>
        </w:rPr>
        <w:t>锅炉表</w:t>
      </w:r>
      <w:r>
        <w:rPr>
          <w:rFonts w:hint="default" w:ascii="Times New Roman" w:hAnsi="Times New Roman" w:eastAsia="宋体" w:cs="Times New Roman"/>
          <w:color w:val="auto"/>
          <w:kern w:val="21"/>
          <w:sz w:val="24"/>
          <w:szCs w:val="24"/>
          <w:lang w:val="en-US" w:eastAsia="zh-CN"/>
        </w:rPr>
        <w:t>2</w:t>
      </w:r>
      <w:r>
        <w:rPr>
          <w:rFonts w:hint="default" w:ascii="Times New Roman" w:hAnsi="Times New Roman" w:eastAsia="宋体" w:cs="Times New Roman"/>
          <w:color w:val="auto"/>
          <w:kern w:val="21"/>
          <w:sz w:val="24"/>
          <w:szCs w:val="24"/>
        </w:rPr>
        <w:t>排放标准</w:t>
      </w:r>
      <w:r>
        <w:rPr>
          <w:rFonts w:hint="default" w:ascii="Times New Roman" w:hAnsi="Times New Roman" w:eastAsia="宋体" w:cs="Times New Roman"/>
          <w:color w:val="auto"/>
          <w:lang w:val="en-US" w:eastAsia="zh-CN"/>
        </w:rPr>
        <w:t>。</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项目运行期采取了积极有效的污染治理措施，各大气污染物对环境空气的贡献值均不大，并且可以达标排放，对周围环境影响不大，从环境空气的角度来看，该项目是可行的。</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（2）废水</w:t>
      </w:r>
    </w:p>
    <w:p>
      <w:pPr>
        <w:pStyle w:val="30"/>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本项目</w:t>
      </w:r>
      <w:r>
        <w:rPr>
          <w:rFonts w:hint="eastAsia" w:cs="Times New Roman"/>
          <w:color w:val="auto"/>
          <w:lang w:val="en-US" w:eastAsia="zh-CN"/>
        </w:rPr>
        <w:t>产生的</w:t>
      </w:r>
      <w:r>
        <w:rPr>
          <w:rFonts w:hint="default" w:ascii="Times New Roman" w:hAnsi="Times New Roman" w:eastAsia="宋体" w:cs="Times New Roman"/>
          <w:color w:val="auto"/>
        </w:rPr>
        <w:t>废水排入厂区自建污水处理站处理，污水处理站采用“</w:t>
      </w:r>
      <w:r>
        <w:rPr>
          <w:rFonts w:hint="default" w:ascii="Times New Roman" w:hAnsi="Times New Roman" w:eastAsia="宋体" w:cs="Times New Roman"/>
          <w:color w:val="auto"/>
          <w:kern w:val="21"/>
          <w:sz w:val="24"/>
          <w:szCs w:val="24"/>
          <w:highlight w:val="none"/>
          <w:u w:val="none"/>
          <w:lang w:val="en-US" w:eastAsia="zh-CN" w:bidi="ar-SA"/>
        </w:rPr>
        <w:t>沉淀池+气浮池+调节池+水解酸化+好氧生物池+MBR膜池+污泥消化池+消毒</w:t>
      </w:r>
      <w:r>
        <w:rPr>
          <w:rFonts w:hint="default" w:ascii="Times New Roman" w:hAnsi="Times New Roman" w:eastAsia="宋体" w:cs="Times New Roman"/>
          <w:color w:val="auto"/>
        </w:rPr>
        <w:t>”工艺，</w:t>
      </w:r>
      <w:r>
        <w:rPr>
          <w:rFonts w:hint="default" w:ascii="Times New Roman" w:hAnsi="Times New Roman" w:eastAsia="宋体" w:cs="Times New Roman"/>
          <w:color w:val="auto"/>
          <w:kern w:val="21"/>
          <w:sz w:val="24"/>
          <w:szCs w:val="24"/>
          <w:highlight w:val="none"/>
          <w:u w:val="none"/>
          <w:lang w:val="en-US" w:eastAsia="zh-CN" w:bidi="ar-SA"/>
        </w:rPr>
        <w:t>处理后的废水满足《肉类加工工业水污染物排放标准》</w:t>
      </w:r>
      <w:r>
        <w:rPr>
          <w:rFonts w:hint="default" w:ascii="Times New Roman" w:hAnsi="Times New Roman" w:eastAsia="宋体" w:cs="Times New Roman"/>
          <w:color w:val="auto"/>
          <w:sz w:val="24"/>
        </w:rPr>
        <w:t>（GB13457-92）表3</w:t>
      </w:r>
      <w:r>
        <w:rPr>
          <w:rFonts w:hint="default" w:ascii="Times New Roman" w:hAnsi="Times New Roman" w:eastAsia="宋体" w:cs="Times New Roman"/>
          <w:color w:val="auto"/>
          <w:kern w:val="21"/>
          <w:sz w:val="24"/>
          <w:szCs w:val="24"/>
          <w:highlight w:val="none"/>
          <w:u w:val="none"/>
          <w:lang w:val="en-US" w:eastAsia="zh-CN" w:bidi="ar-SA"/>
        </w:rPr>
        <w:t>中畜类屠宰加工及肉制品加工三级标准及兴隆镇污水处理厂设计进水水质指标的要求后排入兴隆镇污水处理厂处理，</w:t>
      </w:r>
      <w:r>
        <w:rPr>
          <w:rFonts w:hint="eastAsia" w:ascii="Times New Roman" w:hAnsi="Times New Roman" w:eastAsia="宋体" w:cs="Times New Roman"/>
          <w:color w:val="auto"/>
          <w:kern w:val="21"/>
          <w:sz w:val="24"/>
          <w:szCs w:val="24"/>
          <w:highlight w:val="none"/>
          <w:u w:val="none"/>
          <w:lang w:val="en-US" w:eastAsia="zh-CN" w:bidi="ar-SA"/>
        </w:rPr>
        <w:t>排入泥河</w:t>
      </w:r>
      <w:r>
        <w:rPr>
          <w:rFonts w:hint="default" w:ascii="Times New Roman" w:hAnsi="Times New Roman" w:eastAsia="宋体" w:cs="Times New Roman"/>
          <w:color w:val="auto"/>
          <w:kern w:val="21"/>
          <w:sz w:val="24"/>
          <w:szCs w:val="24"/>
          <w:highlight w:val="none"/>
          <w:u w:val="none"/>
          <w:lang w:val="en-US" w:eastAsia="zh-CN" w:bidi="ar-SA"/>
        </w:rPr>
        <w:t>。</w:t>
      </w:r>
    </w:p>
    <w:p>
      <w:pPr>
        <w:pageBreakBefore w:val="0"/>
        <w:wordWrap/>
        <w:overflowPunct/>
        <w:topLinePunct w:val="0"/>
        <w:bidi w:val="0"/>
        <w:spacing w:line="360" w:lineRule="auto"/>
        <w:ind w:firstLine="480" w:firstLineChars="200"/>
        <w:jc w:val="both"/>
        <w:rPr>
          <w:rFonts w:hint="default" w:ascii="Times New Roman" w:hAnsi="Times New Roman" w:cs="Times New Roman"/>
          <w:color w:val="auto"/>
          <w:sz w:val="24"/>
          <w:szCs w:val="21"/>
        </w:rPr>
      </w:pPr>
      <w:r>
        <w:rPr>
          <w:rFonts w:hint="default" w:ascii="Times New Roman" w:hAnsi="Times New Roman" w:cs="Times New Roman"/>
          <w:color w:val="auto"/>
          <w:sz w:val="24"/>
          <w:szCs w:val="21"/>
        </w:rPr>
        <w:t>综上，本项目排放的废水不会对地表水环境产生影响。</w:t>
      </w:r>
    </w:p>
    <w:p>
      <w:pPr>
        <w:pStyle w:val="45"/>
        <w:pageBreakBefore w:val="0"/>
        <w:wordWrap/>
        <w:overflowPunct/>
        <w:topLinePunct w:val="0"/>
        <w:bidi w:val="0"/>
        <w:adjustRightInd/>
        <w:snapToGrid/>
        <w:spacing w:line="360" w:lineRule="auto"/>
        <w:ind w:firstLine="480" w:firstLineChars="200"/>
        <w:jc w:val="both"/>
        <w:rPr>
          <w:rFonts w:hint="default" w:ascii="Times New Roman" w:hAnsi="Times New Roman" w:eastAsia="宋体" w:cs="Times New Roman"/>
          <w:color w:val="auto"/>
        </w:rPr>
      </w:pPr>
      <w:r>
        <w:rPr>
          <w:rFonts w:hint="default" w:ascii="Times New Roman" w:hAnsi="Times New Roman" w:eastAsia="宋体" w:cs="Times New Roman"/>
          <w:color w:val="auto"/>
        </w:rPr>
        <w:t>（3）噪声</w:t>
      </w:r>
    </w:p>
    <w:p>
      <w:pPr>
        <w:pStyle w:val="45"/>
        <w:pageBreakBefore w:val="0"/>
        <w:wordWrap/>
        <w:overflowPunct/>
        <w:topLinePunct w:val="0"/>
        <w:bidi w:val="0"/>
        <w:adjustRightInd/>
        <w:snapToGrid/>
        <w:spacing w:line="360" w:lineRule="auto"/>
        <w:ind w:firstLine="480" w:firstLineChars="200"/>
        <w:jc w:val="both"/>
        <w:rPr>
          <w:rFonts w:hint="default" w:ascii="Times New Roman" w:hAnsi="Times New Roman" w:eastAsia="宋体" w:cs="Times New Roman"/>
          <w:color w:val="auto"/>
        </w:rPr>
      </w:pPr>
      <w:r>
        <w:rPr>
          <w:rFonts w:hint="default" w:ascii="Times New Roman" w:hAnsi="Times New Roman" w:eastAsia="宋体" w:cs="Times New Roman"/>
          <w:color w:val="auto"/>
        </w:rPr>
        <w:t>本项目固定噪声源主要为压缩机、风机、生产设备等，通过选用低噪声设备、厂房隔声、基础减振、绿化降噪等措施后，厂界噪声可满足《工业企业厂界环境噪声排放标准》（GB12348-2008）中的2类噪声排放限值。</w:t>
      </w:r>
    </w:p>
    <w:p>
      <w:pPr>
        <w:pStyle w:val="45"/>
        <w:pageBreakBefore w:val="0"/>
        <w:wordWrap/>
        <w:overflowPunct/>
        <w:topLinePunct w:val="0"/>
        <w:bidi w:val="0"/>
        <w:adjustRightInd/>
        <w:snapToGrid/>
        <w:spacing w:line="360" w:lineRule="auto"/>
        <w:ind w:firstLine="480" w:firstLineChars="200"/>
        <w:jc w:val="both"/>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（4）固废</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猪粪便在待宰圈防渗池内临时贮存，每天清运一次，外售有机肥厂进行堆肥处理；屠宰加工车间产生的猪毛在专用容器内储存，外售至毛刷厂</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肠胃内容物</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通过</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风送设备排至肠内物收集池</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封闭贮存，</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外运有机肥厂堆肥处理；修整过程中产生的脂肪进行外售处理</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；分割过程产生的病变内脏、腺体送至巴彦县燊缘无害化处理有限公司处理；</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吸附恶臭气体的废活性炭作为一般工业固体废物暂存于一般固废暂存间封闭塑料箱内，</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由活性炭厂家回收再生处理</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检疫室产生的检疫废物属于危险废物（类别HW01，代码841-005-01），单独收集，用有明显标识的塑料袋盛装，暂存于危险废物贮存点，交由哈尔滨国环医疗固体废物无害化集中处置中心有限公司进行处理；</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非正常工况下对发现的病猪进行急宰；送至</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巴彦县燊缘无害化处理有限公司</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处理</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污水处理站污泥和栅渣</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(HW01)经离心式脱水机脱水、漂白粉消毒后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送垃圾填埋场填埋</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锅炉房产生的废离子交换树脂由厂家回收。隔油工段废油脂和落地油委托巴彦县燊缘无害化处理有限公司进行处置。生活垃圾交由环卫部门处置。废润滑油及废润滑油桶交由</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哈尔滨国环医疗固体废物无害化集中处置中心有限公司</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处置</w:t>
      </w:r>
      <w:r>
        <w:rPr>
          <w:rFonts w:hint="eastAsia"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。废外包装，集中收集，外售综合利用</w:t>
      </w:r>
      <w:r>
        <w:rPr>
          <w:rFonts w:hint="default" w:ascii="Times New Roman" w:hAnsi="Times New Roman" w:eastAsia="宋体" w:cs="Times New Roman"/>
          <w:color w:val="auto"/>
          <w:lang w:val="en-US" w:eastAsia="zh-CN"/>
        </w:rPr>
        <w:t>。</w:t>
      </w:r>
      <w:r>
        <w:rPr>
          <w:rFonts w:hint="eastAsia" w:cs="Times New Roman"/>
          <w:color w:val="auto"/>
          <w:lang w:val="en-US" w:eastAsia="zh-CN"/>
        </w:rPr>
        <w:t>固废处置率100%，不会对外环境产生影响。</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highlight w:val="magenta"/>
          <w:lang w:val="en-US"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5</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地下水</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本项目对厂区进行分区防渗：</w:t>
      </w:r>
    </w:p>
    <w:p>
      <w:pPr>
        <w:pageBreakBefore w:val="0"/>
        <w:wordWrap/>
        <w:overflowPunct/>
        <w:topLinePunct w:val="0"/>
        <w:bidi w:val="0"/>
        <w:spacing w:line="360" w:lineRule="auto"/>
        <w:ind w:firstLine="480" w:firstLineChars="200"/>
        <w:jc w:val="both"/>
        <w:rPr>
          <w:rFonts w:hint="default" w:ascii="Times New Roman" w:hAnsi="Times New Roman" w:cs="Times New Roman"/>
          <w:bCs/>
          <w:color w:val="auto"/>
          <w:sz w:val="24"/>
          <w:lang w:val="en-GB"/>
        </w:rPr>
      </w:pPr>
      <w:r>
        <w:rPr>
          <w:rFonts w:hint="default" w:ascii="Times New Roman" w:hAnsi="Times New Roman" w:cs="Times New Roman"/>
          <w:bCs/>
          <w:color w:val="auto"/>
          <w:sz w:val="24"/>
          <w:lang w:val="en-US" w:eastAsia="zh-CN"/>
        </w:rPr>
        <w:t>①重点防渗区：柴油储罐周边设置20cm高围堰，周边地面及围堰铺设2mm高密度聚乙烯膜，上层水泥底面硬化，</w:t>
      </w:r>
      <w:r>
        <w:rPr>
          <w:rFonts w:hint="default" w:ascii="Times New Roman" w:hAnsi="Times New Roman" w:cs="Times New Roman"/>
          <w:bCs/>
          <w:color w:val="auto"/>
          <w:sz w:val="24"/>
          <w:lang w:val="en-GB"/>
        </w:rPr>
        <w:t>等效黏土</w:t>
      </w:r>
      <w:r>
        <w:rPr>
          <w:rFonts w:hint="default" w:ascii="Times New Roman" w:hAnsi="Times New Roman" w:cs="Times New Roman"/>
          <w:bCs/>
          <w:color w:val="auto"/>
          <w:sz w:val="24"/>
          <w:lang w:val="en-US" w:eastAsia="zh-CN"/>
        </w:rPr>
        <w:t>层厚度≥6.0m，</w:t>
      </w:r>
      <w:r>
        <w:rPr>
          <w:rFonts w:hint="default" w:ascii="Times New Roman" w:hAnsi="Times New Roman" w:cs="Times New Roman"/>
          <w:bCs/>
          <w:color w:val="auto"/>
          <w:sz w:val="24"/>
          <w:lang w:val="en-GB"/>
        </w:rPr>
        <w:t>防渗系数≤10</w:t>
      </w:r>
      <w:r>
        <w:rPr>
          <w:rFonts w:hint="default" w:ascii="Times New Roman" w:hAnsi="Times New Roman" w:cs="Times New Roman"/>
          <w:bCs/>
          <w:color w:val="auto"/>
          <w:sz w:val="24"/>
          <w:vertAlign w:val="superscript"/>
          <w:lang w:val="en-US" w:eastAsia="zh-CN"/>
        </w:rPr>
        <w:t>-7</w:t>
      </w:r>
      <w:r>
        <w:rPr>
          <w:rFonts w:hint="default" w:ascii="Times New Roman" w:hAnsi="Times New Roman" w:cs="Times New Roman"/>
          <w:bCs/>
          <w:color w:val="auto"/>
          <w:sz w:val="24"/>
          <w:lang w:val="en-GB"/>
        </w:rPr>
        <w:t>cm/s</w:t>
      </w:r>
    </w:p>
    <w:p>
      <w:pPr>
        <w:pageBreakBefore w:val="0"/>
        <w:wordWrap/>
        <w:overflowPunct/>
        <w:topLinePunct w:val="0"/>
        <w:bidi w:val="0"/>
        <w:spacing w:line="360" w:lineRule="auto"/>
        <w:ind w:firstLine="480" w:firstLineChars="200"/>
        <w:jc w:val="both"/>
        <w:rPr>
          <w:rFonts w:hint="default" w:ascii="Times New Roman" w:hAnsi="Times New Roman" w:cs="Times New Roman"/>
          <w:bCs/>
          <w:color w:val="auto"/>
          <w:sz w:val="24"/>
        </w:rPr>
      </w:pPr>
      <w:r>
        <w:rPr>
          <w:rFonts w:hint="default" w:ascii="Times New Roman" w:hAnsi="Times New Roman" w:cs="Times New Roman"/>
          <w:bCs/>
          <w:color w:val="auto"/>
          <w:sz w:val="24"/>
          <w:lang w:val="en-US" w:eastAsia="zh-CN"/>
        </w:rPr>
        <w:t>②一般防渗区：</w:t>
      </w:r>
      <w:r>
        <w:rPr>
          <w:rFonts w:hint="default" w:ascii="Times New Roman" w:hAnsi="Times New Roman" w:cs="Times New Roman"/>
          <w:bCs/>
          <w:color w:val="auto"/>
          <w:sz w:val="24"/>
          <w:lang w:val="en-GB"/>
        </w:rPr>
        <w:t>事故池池体及地面</w:t>
      </w:r>
      <w:r>
        <w:rPr>
          <w:rFonts w:hint="default" w:ascii="Times New Roman" w:hAnsi="Times New Roman" w:cs="Times New Roman"/>
          <w:bCs/>
          <w:color w:val="auto"/>
          <w:sz w:val="24"/>
          <w:lang w:val="en-US" w:eastAsia="zh-CN"/>
        </w:rPr>
        <w:t>进行</w:t>
      </w:r>
      <w:r>
        <w:rPr>
          <w:rFonts w:hint="default" w:ascii="Times New Roman" w:hAnsi="Times New Roman" w:cs="Times New Roman"/>
          <w:bCs/>
          <w:color w:val="auto"/>
          <w:sz w:val="24"/>
          <w:lang w:val="en-GB"/>
        </w:rPr>
        <w:t>基础防渗，防渗层为至少1m厚粘土层或2mm厚高密度聚乙烯，需满足等效黏土防渗层Mb≥1.5m，K≤1×10</w:t>
      </w:r>
      <w:r>
        <w:rPr>
          <w:rFonts w:hint="default" w:ascii="Times New Roman" w:hAnsi="Times New Roman" w:cs="Times New Roman"/>
          <w:bCs/>
          <w:color w:val="auto"/>
          <w:sz w:val="24"/>
          <w:vertAlign w:val="superscript"/>
          <w:lang w:val="en-GB"/>
        </w:rPr>
        <w:t>-7</w:t>
      </w:r>
      <w:r>
        <w:rPr>
          <w:rFonts w:hint="default" w:ascii="Times New Roman" w:hAnsi="Times New Roman" w:cs="Times New Roman"/>
          <w:bCs/>
          <w:color w:val="auto"/>
          <w:sz w:val="24"/>
          <w:lang w:val="en-GB"/>
        </w:rPr>
        <w:t>cm/s的要求</w:t>
      </w:r>
      <w:r>
        <w:rPr>
          <w:rFonts w:hint="default" w:ascii="Times New Roman" w:hAnsi="Times New Roman" w:cs="Times New Roman"/>
          <w:bCs/>
          <w:color w:val="auto"/>
          <w:sz w:val="24"/>
          <w:lang w:val="en-GB" w:eastAsia="zh-CN"/>
        </w:rPr>
        <w:t>。</w:t>
      </w:r>
    </w:p>
    <w:p>
      <w:pPr>
        <w:pStyle w:val="45"/>
        <w:pageBreakBefore w:val="0"/>
        <w:wordWrap/>
        <w:overflowPunct/>
        <w:topLinePunct w:val="0"/>
        <w:bidi w:val="0"/>
        <w:spacing w:line="360" w:lineRule="auto"/>
        <w:ind w:firstLine="480" w:firstLineChars="200"/>
        <w:jc w:val="both"/>
        <w:rPr>
          <w:rFonts w:hint="default" w:ascii="Times New Roman" w:hAnsi="Times New Roman" w:cs="Times New Roman"/>
          <w:bCs/>
          <w:color w:val="FF0000"/>
          <w:highlight w:val="yellow"/>
          <w:lang w:val="en-US" w:eastAsia="zh-CN"/>
        </w:rPr>
      </w:pPr>
      <w:r>
        <w:rPr>
          <w:rFonts w:hint="default" w:ascii="Times New Roman" w:hAnsi="Times New Roman" w:eastAsia="宋体" w:cs="Times New Roman"/>
          <w:bCs/>
          <w:color w:val="auto"/>
        </w:rPr>
        <w:t>在厂区</w:t>
      </w:r>
      <w:r>
        <w:rPr>
          <w:rFonts w:hint="default" w:ascii="Times New Roman" w:hAnsi="Times New Roman" w:eastAsia="宋体" w:cs="Times New Roman"/>
          <w:bCs/>
          <w:color w:val="auto"/>
          <w:lang w:eastAsia="zh-CN"/>
        </w:rPr>
        <w:t>东侧</w:t>
      </w:r>
      <w:r>
        <w:rPr>
          <w:rFonts w:hint="default" w:ascii="Times New Roman" w:hAnsi="Times New Roman" w:eastAsia="宋体" w:cs="Times New Roman"/>
          <w:bCs/>
          <w:color w:val="auto"/>
        </w:rPr>
        <w:t>设置1口地下水跟踪监控井。为最大限度地减轻对区域地下水的影响，项目采取分区防渗措施，设置监测井定期监测，可防范污染物渗漏污染地下水环境。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sz w:val="24"/>
          <w:szCs w:val="24"/>
          <w:lang w:val="en-US" w:eastAsia="zh-CN"/>
        </w:rPr>
      </w:pPr>
      <w:bookmarkStart w:id="524" w:name="_Toc8895"/>
      <w:bookmarkStart w:id="525" w:name="_Toc6977"/>
      <w:r>
        <w:rPr>
          <w:rFonts w:hint="default" w:ascii="Times New Roman" w:hAnsi="Times New Roman" w:cs="Times New Roman"/>
          <w:sz w:val="24"/>
          <w:szCs w:val="24"/>
          <w:lang w:val="en-US" w:eastAsia="zh-CN"/>
        </w:rPr>
        <w:t>（6）环境风险</w:t>
      </w:r>
      <w:bookmarkEnd w:id="524"/>
      <w:bookmarkEnd w:id="525"/>
    </w:p>
    <w:p>
      <w:pPr>
        <w:pStyle w:val="45"/>
        <w:pageBreakBefore w:val="0"/>
        <w:wordWrap/>
        <w:overflowPunct/>
        <w:topLinePunct w:val="0"/>
        <w:bidi w:val="0"/>
        <w:adjustRightInd/>
        <w:snapToGrid/>
        <w:spacing w:line="360" w:lineRule="auto"/>
        <w:ind w:firstLine="480" w:firstLineChars="200"/>
        <w:jc w:val="both"/>
        <w:rPr>
          <w:rFonts w:hint="default" w:ascii="Times New Roman" w:hAnsi="Times New Roman" w:eastAsia="宋体" w:cs="Times New Roman"/>
          <w:color w:val="auto"/>
        </w:rPr>
      </w:pPr>
      <w:r>
        <w:rPr>
          <w:rFonts w:hint="default" w:ascii="Times New Roman" w:hAnsi="Times New Roman" w:eastAsia="宋体" w:cs="Times New Roman"/>
          <w:color w:val="auto"/>
          <w:spacing w:val="0"/>
          <w:w w:val="100"/>
          <w:kern w:val="21"/>
          <w:position w:val="0"/>
          <w:sz w:val="24"/>
          <w:szCs w:val="24"/>
        </w:rPr>
        <w:t>为了及时发现和减少事故的潜在危害，确保生命财产和人身安全，有必要建立风险事故决策支持系统和事故应急监测技术支持系统，在事故发生时及时采取应急救援措施，形成风险安全系统工程。从环境控制的角度来评价，经采取相应应急措施，能大大减少事故发生概率，如一旦发生事故，能迅速采取有力措施，减小对环境污染。其潜在的事故风险是可以防范的。因此本项目环境风险可控，对周围环境影响较小。</w:t>
      </w:r>
    </w:p>
    <w:p>
      <w:pPr>
        <w:pStyle w:val="45"/>
        <w:pageBreakBefore w:val="0"/>
        <w:wordWrap/>
        <w:overflowPunct/>
        <w:topLinePunct w:val="0"/>
        <w:bidi w:val="0"/>
        <w:adjustRightInd/>
        <w:snapToGrid/>
        <w:spacing w:line="360" w:lineRule="auto"/>
        <w:ind w:firstLine="480" w:firstLineChars="200"/>
        <w:jc w:val="both"/>
        <w:rPr>
          <w:rFonts w:hint="default" w:ascii="Times New Roman" w:hAnsi="Times New Roman" w:eastAsia="宋体" w:cs="Times New Roman"/>
          <w:color w:val="auto"/>
        </w:rPr>
      </w:pPr>
      <w:r>
        <w:rPr>
          <w:rFonts w:hint="default" w:ascii="Times New Roman" w:hAnsi="Times New Roman" w:eastAsia="宋体" w:cs="Times New Roman"/>
          <w:color w:val="auto"/>
        </w:rPr>
        <w:t>综合分析，本项目所采取的各项污染防治措施从技术经济角度分析均具有可行性，且在项目建设方认真落实报告所述各项污染防治措施后，可使区域环境质量得到明显改善。</w:t>
      </w:r>
    </w:p>
    <w:p>
      <w:pPr>
        <w:pStyle w:val="12"/>
        <w:pageBreakBefore w:val="0"/>
        <w:wordWrap/>
        <w:overflowPunct/>
        <w:topLinePunct w:val="0"/>
        <w:bidi w:val="0"/>
        <w:spacing w:before="0" w:after="0" w:line="360" w:lineRule="auto"/>
        <w:jc w:val="both"/>
        <w:rPr>
          <w:rFonts w:hint="default" w:ascii="Times New Roman" w:hAnsi="Times New Roman" w:eastAsia="宋体" w:cs="Times New Roman"/>
          <w:bCs w:val="0"/>
          <w:color w:val="auto"/>
        </w:rPr>
      </w:pPr>
      <w:bookmarkStart w:id="526" w:name="_Toc15991739"/>
      <w:r>
        <w:rPr>
          <w:rFonts w:hint="default" w:ascii="Times New Roman" w:hAnsi="Times New Roman" w:eastAsia="宋体" w:cs="Times New Roman"/>
          <w:bCs w:val="0"/>
          <w:color w:val="auto"/>
        </w:rPr>
        <w:t>9.1.5经济损益分析结论</w:t>
      </w:r>
      <w:bookmarkEnd w:id="526"/>
    </w:p>
    <w:p>
      <w:pPr>
        <w:pStyle w:val="45"/>
        <w:pageBreakBefore w:val="0"/>
        <w:wordWrap/>
        <w:overflowPunct/>
        <w:topLinePunct w:val="0"/>
        <w:bidi w:val="0"/>
        <w:adjustRightInd/>
        <w:snapToGrid/>
        <w:spacing w:line="360" w:lineRule="auto"/>
        <w:ind w:firstLine="480" w:firstLineChars="200"/>
        <w:jc w:val="both"/>
        <w:rPr>
          <w:rFonts w:hint="default" w:ascii="Times New Roman" w:hAnsi="Times New Roman" w:eastAsia="宋体" w:cs="Times New Roman"/>
          <w:color w:val="auto"/>
        </w:rPr>
      </w:pPr>
      <w:r>
        <w:rPr>
          <w:rFonts w:hint="default" w:ascii="Times New Roman" w:hAnsi="Times New Roman" w:eastAsia="宋体" w:cs="Times New Roman"/>
          <w:color w:val="auto"/>
        </w:rPr>
        <w:t>本项目的建设具有良好的社会效益和经济效益，不会对当地环境产生明显不利影响，因此该项目的实施做到了社会效益、经济效益和环境效益的同步发展。</w:t>
      </w:r>
    </w:p>
    <w:p>
      <w:pPr>
        <w:pStyle w:val="12"/>
        <w:pageBreakBefore w:val="0"/>
        <w:wordWrap/>
        <w:overflowPunct/>
        <w:topLinePunct w:val="0"/>
        <w:bidi w:val="0"/>
        <w:spacing w:before="0" w:after="0" w:line="360" w:lineRule="auto"/>
        <w:jc w:val="both"/>
        <w:rPr>
          <w:rFonts w:hint="default" w:ascii="Times New Roman" w:hAnsi="Times New Roman" w:eastAsia="宋体" w:cs="Times New Roman"/>
          <w:bCs w:val="0"/>
          <w:color w:val="auto"/>
        </w:rPr>
      </w:pPr>
      <w:bookmarkStart w:id="527" w:name="_Toc15991740"/>
      <w:bookmarkStart w:id="528" w:name="_Toc486255152"/>
      <w:r>
        <w:rPr>
          <w:rFonts w:hint="default" w:ascii="Times New Roman" w:hAnsi="Times New Roman" w:eastAsia="宋体" w:cs="Times New Roman"/>
          <w:bCs w:val="0"/>
          <w:color w:val="auto"/>
        </w:rPr>
        <w:t>9.1.6环境管理与监测结论</w:t>
      </w:r>
      <w:bookmarkEnd w:id="527"/>
      <w:bookmarkEnd w:id="528"/>
    </w:p>
    <w:p>
      <w:pPr>
        <w:pageBreakBefore w:val="0"/>
        <w:wordWrap/>
        <w:overflowPunct/>
        <w:topLinePunct w:val="0"/>
        <w:bidi w:val="0"/>
        <w:spacing w:line="360" w:lineRule="auto"/>
        <w:ind w:firstLine="480" w:firstLineChars="200"/>
        <w:jc w:val="both"/>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rPr>
        <w:t>项目运行期通过加强建设和运行的环境管理与监控，建立健全安全生产管理制度，制订科学严谨的操作规程，通过职工操作技能培训，提高危险识辨、防护和保护能力，落实责任到人。同时加强厂内各类设备包括污染治理设施的日常运行管理和维护，对生产设备进行定期检测，对关键设备进行不定期探伤测试。增强岗位职责和环保、安全意识，保证生产设施和环保治理设施运行的可靠性、稳定性。</w:t>
      </w:r>
    </w:p>
    <w:p>
      <w:pPr>
        <w:pStyle w:val="12"/>
        <w:pageBreakBefore w:val="0"/>
        <w:wordWrap/>
        <w:overflowPunct/>
        <w:topLinePunct w:val="0"/>
        <w:bidi w:val="0"/>
        <w:spacing w:before="0" w:after="0" w:line="360" w:lineRule="auto"/>
        <w:jc w:val="both"/>
        <w:rPr>
          <w:rFonts w:hint="default" w:ascii="Times New Roman" w:hAnsi="Times New Roman" w:eastAsia="宋体" w:cs="Times New Roman"/>
          <w:bCs w:val="0"/>
          <w:color w:val="auto"/>
        </w:rPr>
      </w:pPr>
      <w:bookmarkStart w:id="529" w:name="_Toc15991741"/>
      <w:bookmarkStart w:id="530" w:name="_Toc486255150"/>
      <w:r>
        <w:rPr>
          <w:rFonts w:hint="default" w:ascii="Times New Roman" w:hAnsi="Times New Roman" w:eastAsia="宋体" w:cs="Times New Roman"/>
          <w:bCs w:val="0"/>
          <w:color w:val="auto"/>
        </w:rPr>
        <w:t>9.1.7公众意见采纳情况</w:t>
      </w:r>
      <w:bookmarkEnd w:id="529"/>
      <w:bookmarkEnd w:id="530"/>
    </w:p>
    <w:p>
      <w:pPr>
        <w:pStyle w:val="45"/>
        <w:pageBreakBefore w:val="0"/>
        <w:wordWrap/>
        <w:overflowPunct/>
        <w:topLinePunct w:val="0"/>
        <w:bidi w:val="0"/>
        <w:adjustRightInd/>
        <w:snapToGrid/>
        <w:spacing w:line="360" w:lineRule="auto"/>
        <w:ind w:firstLine="480" w:firstLineChars="200"/>
        <w:jc w:val="both"/>
        <w:rPr>
          <w:rFonts w:hint="default" w:ascii="Times New Roman" w:hAnsi="Times New Roman" w:cs="Times New Roman"/>
          <w:b/>
          <w:bCs/>
          <w:color w:val="auto"/>
        </w:rPr>
      </w:pPr>
      <w:bookmarkStart w:id="531" w:name="_Toc15991742"/>
      <w:bookmarkStart w:id="532" w:name="_Toc342462538"/>
      <w:bookmarkStart w:id="533" w:name="_Toc285188950"/>
      <w:r>
        <w:rPr>
          <w:rFonts w:hint="default" w:ascii="Times New Roman" w:hAnsi="Times New Roman" w:cs="Times New Roman"/>
          <w:color w:val="auto"/>
        </w:rPr>
        <w:t>本项目在公示期间，建设单位未接到公众反馈意见。项目投产后公众最关心的环境问题主要是噪声、废气、废水对环境的影响，建设单位要充分重视，切实落实各项污染防治措施，加强环境管理，把本工程环境污染降低到最低限度。从总体上看，公众对建设项目的意见是支持项目建设，同意项目选址。</w:t>
      </w:r>
    </w:p>
    <w:p>
      <w:pPr>
        <w:pStyle w:val="12"/>
        <w:pageBreakBefore w:val="0"/>
        <w:wordWrap/>
        <w:overflowPunct/>
        <w:topLinePunct w:val="0"/>
        <w:bidi w:val="0"/>
        <w:spacing w:before="0" w:after="0" w:line="360" w:lineRule="auto"/>
        <w:jc w:val="both"/>
        <w:rPr>
          <w:rFonts w:hint="eastAsia" w:ascii="Times New Roman" w:hAnsi="Times New Roman" w:eastAsia="宋体" w:cs="Times New Roman"/>
          <w:bCs w:val="0"/>
          <w:color w:val="auto"/>
          <w:lang w:eastAsia="zh-CN"/>
        </w:rPr>
      </w:pPr>
      <w:r>
        <w:rPr>
          <w:rFonts w:hint="default" w:ascii="Times New Roman" w:hAnsi="Times New Roman" w:eastAsia="宋体" w:cs="Times New Roman"/>
          <w:bCs w:val="0"/>
          <w:color w:val="auto"/>
        </w:rPr>
        <w:t>9.1.8总结论</w:t>
      </w:r>
      <w:bookmarkEnd w:id="531"/>
      <w:bookmarkEnd w:id="532"/>
      <w:bookmarkEnd w:id="533"/>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本项目针对生产废水对水环境的影响；</w:t>
      </w:r>
      <w:r>
        <w:rPr>
          <w:rFonts w:hint="default" w:ascii="Times New Roman" w:hAnsi="Times New Roman" w:eastAsia="宋体" w:cs="Times New Roman"/>
          <w:color w:val="auto"/>
          <w:lang w:val="en-US" w:eastAsia="zh-CN"/>
        </w:rPr>
        <w:t>锅炉房烟气、</w:t>
      </w:r>
      <w:r>
        <w:rPr>
          <w:rFonts w:hint="default" w:ascii="Times New Roman" w:hAnsi="Times New Roman" w:eastAsia="宋体" w:cs="Times New Roman"/>
          <w:color w:val="auto"/>
        </w:rPr>
        <w:t>屠宰车间、待宰间及污水处理站恶臭对大气环境的影响；压缩机、风机、生产设备等噪声设备对声环境影响；</w:t>
      </w:r>
      <w:r>
        <w:rPr>
          <w:rFonts w:hint="default" w:ascii="Times New Roman" w:hAnsi="Times New Roman" w:eastAsia="宋体" w:cs="Times New Roman"/>
          <w:color w:val="auto"/>
          <w:lang w:val="en-US" w:eastAsia="zh-CN"/>
        </w:rPr>
        <w:t>废离子交换树脂、</w:t>
      </w:r>
      <w:r>
        <w:rPr>
          <w:rFonts w:hint="default" w:ascii="Times New Roman" w:hAnsi="Times New Roman" w:eastAsia="宋体" w:cs="Times New Roman"/>
          <w:color w:val="auto"/>
        </w:rPr>
        <w:t>待宰间粪便、检疫</w:t>
      </w:r>
      <w:r>
        <w:rPr>
          <w:rFonts w:hint="default" w:ascii="Times New Roman" w:hAnsi="Times New Roman" w:eastAsia="宋体" w:cs="Times New Roman"/>
          <w:color w:val="auto"/>
          <w:highlight w:val="none"/>
        </w:rPr>
        <w:t>不合格</w:t>
      </w:r>
      <w:r>
        <w:rPr>
          <w:rFonts w:hint="eastAsia" w:cs="Times New Roman"/>
          <w:color w:val="auto"/>
          <w:highlight w:val="none"/>
          <w:lang w:val="en-US" w:eastAsia="zh-CN"/>
        </w:rPr>
        <w:t>猪</w:t>
      </w:r>
      <w:r>
        <w:rPr>
          <w:rFonts w:hint="default" w:ascii="Times New Roman" w:hAnsi="Times New Roman" w:eastAsia="宋体" w:cs="Times New Roman"/>
          <w:color w:val="auto"/>
          <w:highlight w:val="none"/>
        </w:rPr>
        <w:t>及病死</w:t>
      </w:r>
      <w:r>
        <w:rPr>
          <w:rFonts w:hint="eastAsia" w:cs="Times New Roman"/>
          <w:color w:val="auto"/>
          <w:highlight w:val="none"/>
          <w:lang w:val="en-US" w:eastAsia="zh-CN"/>
        </w:rPr>
        <w:t>猪</w:t>
      </w:r>
      <w:r>
        <w:rPr>
          <w:rFonts w:hint="default" w:ascii="Times New Roman" w:hAnsi="Times New Roman" w:eastAsia="宋体" w:cs="Times New Roman"/>
          <w:color w:val="auto"/>
        </w:rPr>
        <w:t>、污水处理站栅渣及污泥、肠胃内容物、废</w:t>
      </w:r>
      <w:r>
        <w:rPr>
          <w:rFonts w:hint="eastAsia" w:cs="Times New Roman"/>
          <w:color w:val="auto"/>
          <w:lang w:val="en-US" w:eastAsia="zh-CN"/>
        </w:rPr>
        <w:t>外</w:t>
      </w:r>
      <w:r>
        <w:rPr>
          <w:rFonts w:hint="default" w:ascii="Times New Roman" w:hAnsi="Times New Roman" w:eastAsia="宋体" w:cs="Times New Roman"/>
          <w:color w:val="auto"/>
        </w:rPr>
        <w:t>包装、生活垃圾、</w:t>
      </w:r>
      <w:r>
        <w:rPr>
          <w:rFonts w:hint="eastAsia" w:cs="Times New Roman"/>
          <w:color w:val="auto"/>
          <w:lang w:val="en-US" w:eastAsia="zh-CN"/>
        </w:rPr>
        <w:t>病变内脏、腺体、废弃脂肪、猪毛、废润滑油及油桶、</w:t>
      </w:r>
      <w:r>
        <w:rPr>
          <w:rFonts w:hint="default" w:ascii="Times New Roman" w:hAnsi="Times New Roman" w:eastAsia="宋体" w:cs="Times New Roman"/>
          <w:color w:val="auto"/>
        </w:rPr>
        <w:t>废活性炭及检疫废物</w:t>
      </w:r>
      <w:r>
        <w:rPr>
          <w:rFonts w:hint="default" w:ascii="Times New Roman" w:hAnsi="Times New Roman" w:cs="Times New Roman"/>
          <w:bCs/>
          <w:color w:val="auto"/>
        </w:rPr>
        <w:t>（HW01）</w:t>
      </w:r>
      <w:r>
        <w:rPr>
          <w:rFonts w:hint="default" w:ascii="Times New Roman" w:hAnsi="Times New Roman" w:eastAsia="宋体" w:cs="Times New Roman"/>
          <w:color w:val="auto"/>
        </w:rPr>
        <w:t>等固体废物影响；</w:t>
      </w:r>
      <w:r>
        <w:rPr>
          <w:rFonts w:hint="default" w:ascii="Times New Roman" w:hAnsi="Times New Roman" w:eastAsia="宋体" w:cs="Times New Roman"/>
          <w:color w:val="auto"/>
          <w:lang w:val="en-US" w:eastAsia="zh-CN"/>
        </w:rPr>
        <w:t>污水处理站、</w:t>
      </w:r>
      <w:r>
        <w:rPr>
          <w:rFonts w:hint="default" w:ascii="Times New Roman" w:hAnsi="Times New Roman" w:eastAsia="宋体" w:cs="Times New Roman"/>
          <w:color w:val="auto"/>
        </w:rPr>
        <w:t>消毒剂次氯酸钠</w:t>
      </w:r>
      <w:r>
        <w:rPr>
          <w:rFonts w:hint="default" w:ascii="Times New Roman" w:hAnsi="Times New Roman" w:eastAsia="宋体" w:cs="Times New Roman"/>
          <w:color w:val="auto"/>
          <w:lang w:eastAsia="zh-CN"/>
        </w:rPr>
        <w:t>、</w:t>
      </w:r>
      <w:r>
        <w:rPr>
          <w:rFonts w:hint="eastAsia" w:cs="Times New Roman"/>
          <w:color w:val="auto"/>
          <w:lang w:val="en-US" w:eastAsia="zh-CN"/>
        </w:rPr>
        <w:t>柴油</w:t>
      </w:r>
      <w:r>
        <w:rPr>
          <w:rFonts w:hint="default" w:ascii="Times New Roman" w:hAnsi="Times New Roman" w:eastAsia="宋体" w:cs="Times New Roman"/>
          <w:color w:val="auto"/>
        </w:rPr>
        <w:t>存在泄漏等环境风险等均采取了相应地防治措施，在认真落实本报告书污染防治措施后，各类污染物可达标排放，不会对周围环境产生明显不利影响。建设单位对项目进行公示期间，无任何人向建设单位和评价单位进行咨询或提出任何问题。项目投产后，企业环境管理机构应对厂内环保实行统一管理，并对厂区的环境质量全面进行监测。从环境角度分析，本项目的建设是可行的。</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因此，从环境保护角度分析，本项目具有可行性。</w:t>
      </w:r>
    </w:p>
    <w:p>
      <w:pPr>
        <w:keepNext/>
        <w:keepLines/>
        <w:pageBreakBefore w:val="0"/>
        <w:wordWrap/>
        <w:overflowPunct/>
        <w:topLinePunct w:val="0"/>
        <w:bidi w:val="0"/>
        <w:spacing w:line="360" w:lineRule="auto"/>
        <w:contextualSpacing/>
        <w:jc w:val="both"/>
        <w:outlineLvl w:val="1"/>
        <w:rPr>
          <w:rFonts w:hint="default" w:ascii="Times New Roman" w:hAnsi="Times New Roman" w:cs="Times New Roman"/>
          <w:b/>
          <w:bCs/>
          <w:snapToGrid w:val="0"/>
          <w:color w:val="auto"/>
          <w:kern w:val="0"/>
          <w:sz w:val="30"/>
          <w:szCs w:val="30"/>
        </w:rPr>
      </w:pPr>
      <w:bookmarkStart w:id="534" w:name="_Toc16736"/>
      <w:bookmarkStart w:id="535" w:name="_Toc477368707"/>
      <w:bookmarkStart w:id="536" w:name="_Toc12318"/>
      <w:bookmarkStart w:id="537" w:name="_Toc15991743"/>
      <w:r>
        <w:rPr>
          <w:rFonts w:hint="default" w:ascii="Times New Roman" w:hAnsi="Times New Roman" w:cs="Times New Roman"/>
          <w:b/>
          <w:bCs/>
          <w:snapToGrid w:val="0"/>
          <w:color w:val="auto"/>
          <w:kern w:val="0"/>
          <w:sz w:val="30"/>
          <w:szCs w:val="30"/>
        </w:rPr>
        <w:t>9.2建议</w:t>
      </w:r>
      <w:bookmarkEnd w:id="534"/>
      <w:bookmarkEnd w:id="535"/>
      <w:bookmarkEnd w:id="536"/>
      <w:bookmarkEnd w:id="537"/>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（1）建设单位在项目实施过程中，应认真落实本项目的各项治理措施，加强对环保设施的运行管理，制定有效的管理规章制度，建立环保管理机制。</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（2）严格执行“三同时”制度，落实各项环保措施，平时注意各项环保设施的维护，及时发现处理设备的隐患，确保处理系统正常运行；开、停、检修要有预案，有严密周全的计划，确保不发生非正常排放。</w:t>
      </w:r>
    </w:p>
    <w:p>
      <w:pPr>
        <w:pStyle w:val="45"/>
        <w:pageBreakBefore w:val="0"/>
        <w:wordWrap/>
        <w:overflowPunct/>
        <w:topLinePunct w:val="0"/>
        <w:bidi w:val="0"/>
        <w:adjustRightInd/>
        <w:snapToGrid/>
        <w:spacing w:line="360" w:lineRule="auto"/>
        <w:ind w:firstLine="480" w:firstLineChars="200"/>
        <w:contextualSpacing/>
        <w:jc w:val="both"/>
        <w:rPr>
          <w:rFonts w:hint="default" w:ascii="Times New Roman" w:hAnsi="Times New Roman" w:eastAsia="宋体" w:cs="Times New Roman"/>
          <w:color w:val="auto"/>
        </w:rPr>
      </w:pPr>
      <w:r>
        <w:rPr>
          <w:rFonts w:hint="default" w:ascii="Times New Roman" w:hAnsi="Times New Roman" w:eastAsia="宋体" w:cs="Times New Roman"/>
          <w:color w:val="auto"/>
        </w:rPr>
        <w:t>（3）尽可能多的吸收场区周围农民为本项目工作人员，并对其进行技术培训，提高当地居民的收入。</w:t>
      </w:r>
    </w:p>
    <w:p>
      <w:pPr>
        <w:tabs>
          <w:tab w:val="left" w:pos="720"/>
        </w:tabs>
        <w:spacing w:before="50" w:after="50" w:line="360" w:lineRule="auto"/>
        <w:jc w:val="center"/>
        <w:outlineLvl w:val="0"/>
        <w:rPr>
          <w:rFonts w:hint="default" w:ascii="Times New Roman" w:hAnsi="Times New Roman" w:cs="Times New Roman"/>
          <w:b/>
          <w:color w:val="auto"/>
          <w:sz w:val="24"/>
        </w:rPr>
      </w:pPr>
      <w:bookmarkStart w:id="538" w:name="_Toc1210"/>
      <w:bookmarkStart w:id="539" w:name="_Toc29687"/>
      <w:r>
        <w:rPr>
          <w:rFonts w:hint="default" w:ascii="Times New Roman" w:hAnsi="Times New Roman" w:cs="Times New Roman"/>
          <w:b/>
          <w:color w:val="auto"/>
          <w:sz w:val="24"/>
        </w:rPr>
        <w:t>建设项目大气环境影响评价自查表</w:t>
      </w:r>
      <w:bookmarkEnd w:id="538"/>
      <w:bookmarkEnd w:id="539"/>
    </w:p>
    <w:tbl>
      <w:tblPr>
        <w:tblStyle w:val="24"/>
        <w:tblW w:w="924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51"/>
        <w:gridCol w:w="1798"/>
        <w:gridCol w:w="940"/>
        <w:gridCol w:w="287"/>
        <w:gridCol w:w="134"/>
        <w:gridCol w:w="178"/>
        <w:gridCol w:w="19"/>
        <w:gridCol w:w="78"/>
        <w:gridCol w:w="17"/>
        <w:gridCol w:w="559"/>
        <w:gridCol w:w="433"/>
        <w:gridCol w:w="489"/>
        <w:gridCol w:w="37"/>
        <w:gridCol w:w="290"/>
        <w:gridCol w:w="162"/>
        <w:gridCol w:w="10"/>
        <w:gridCol w:w="104"/>
        <w:gridCol w:w="42"/>
        <w:gridCol w:w="802"/>
        <w:gridCol w:w="34"/>
        <w:gridCol w:w="564"/>
        <w:gridCol w:w="142"/>
        <w:gridCol w:w="287"/>
        <w:gridCol w:w="10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549" w:type="dxa"/>
            <w:gridSpan w:val="2"/>
            <w:tcBorders>
              <w:top w:val="single" w:color="000000" w:sz="12" w:space="0"/>
              <w:left w:val="single" w:color="000000" w:sz="12"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工作内容</w:t>
            </w:r>
          </w:p>
        </w:tc>
        <w:tc>
          <w:tcPr>
            <w:tcW w:w="6691" w:type="dxa"/>
            <w:gridSpan w:val="22"/>
            <w:tcBorders>
              <w:top w:val="single" w:color="000000" w:sz="12"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自查项目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restart"/>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评价等级与范围</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评价等级</w:t>
            </w:r>
          </w:p>
        </w:tc>
        <w:tc>
          <w:tcPr>
            <w:tcW w:w="1558" w:type="dxa"/>
            <w:gridSpan w:val="5"/>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一级□</w:t>
            </w:r>
          </w:p>
        </w:tc>
        <w:tc>
          <w:tcPr>
            <w:tcW w:w="3023" w:type="dxa"/>
            <w:gridSpan w:val="12"/>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二级√</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2" w:hRule="atLeast"/>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rFonts w:hint="default" w:ascii="Times New Roman" w:hAnsi="Times New Roman" w:cs="Times New Roman"/>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评价范围</w:t>
            </w:r>
          </w:p>
        </w:tc>
        <w:tc>
          <w:tcPr>
            <w:tcW w:w="1558" w:type="dxa"/>
            <w:gridSpan w:val="5"/>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边长=50km□</w:t>
            </w:r>
          </w:p>
        </w:tc>
        <w:tc>
          <w:tcPr>
            <w:tcW w:w="3023" w:type="dxa"/>
            <w:gridSpan w:val="12"/>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边长5~50km□</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边长=5km√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restart"/>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评价因子</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SO</w:t>
            </w:r>
            <w:r>
              <w:rPr>
                <w:rFonts w:hint="default" w:ascii="Times New Roman" w:hAnsi="Times New Roman" w:cs="Times New Roman"/>
                <w:bCs/>
                <w:color w:val="auto"/>
                <w:kern w:val="0"/>
                <w:szCs w:val="21"/>
                <w:vertAlign w:val="subscript"/>
              </w:rPr>
              <w:t>2</w:t>
            </w:r>
            <w:r>
              <w:rPr>
                <w:rFonts w:hint="default" w:ascii="Times New Roman" w:hAnsi="Times New Roman" w:cs="Times New Roman"/>
                <w:bCs/>
                <w:color w:val="auto"/>
                <w:kern w:val="0"/>
                <w:szCs w:val="21"/>
              </w:rPr>
              <w:t>+NO</w:t>
            </w:r>
            <w:r>
              <w:rPr>
                <w:rFonts w:hint="default" w:ascii="Times New Roman" w:hAnsi="Times New Roman" w:cs="Times New Roman"/>
                <w:bCs/>
                <w:color w:val="auto"/>
                <w:kern w:val="0"/>
                <w:szCs w:val="21"/>
                <w:vertAlign w:val="subscript"/>
              </w:rPr>
              <w:t>X</w:t>
            </w:r>
            <w:r>
              <w:rPr>
                <w:rFonts w:hint="default" w:ascii="Times New Roman" w:hAnsi="Times New Roman" w:cs="Times New Roman"/>
                <w:bCs/>
                <w:color w:val="auto"/>
                <w:kern w:val="0"/>
                <w:szCs w:val="21"/>
              </w:rPr>
              <w:t>排放量</w:t>
            </w:r>
          </w:p>
        </w:tc>
        <w:tc>
          <w:tcPr>
            <w:tcW w:w="1558" w:type="dxa"/>
            <w:gridSpan w:val="5"/>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≥2000t/a□</w:t>
            </w:r>
          </w:p>
        </w:tc>
        <w:tc>
          <w:tcPr>
            <w:tcW w:w="3023" w:type="dxa"/>
            <w:gridSpan w:val="12"/>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500~2000t/a□</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&lt;500t/a√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rFonts w:hint="default" w:ascii="Times New Roman" w:hAnsi="Times New Roman" w:cs="Times New Roman"/>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评价因子</w:t>
            </w:r>
          </w:p>
        </w:tc>
        <w:tc>
          <w:tcPr>
            <w:tcW w:w="4581" w:type="dxa"/>
            <w:gridSpan w:val="17"/>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基本污染物（PM</w:t>
            </w:r>
            <w:r>
              <w:rPr>
                <w:rFonts w:hint="default" w:ascii="Times New Roman" w:hAnsi="Times New Roman" w:cs="Times New Roman"/>
                <w:bCs/>
                <w:color w:val="auto"/>
                <w:kern w:val="0"/>
                <w:szCs w:val="21"/>
                <w:vertAlign w:val="subscript"/>
              </w:rPr>
              <w:t>10</w:t>
            </w:r>
            <w:r>
              <w:rPr>
                <w:rFonts w:hint="default" w:ascii="Times New Roman" w:hAnsi="Times New Roman" w:cs="Times New Roman"/>
                <w:bCs/>
                <w:color w:val="auto"/>
                <w:kern w:val="0"/>
                <w:szCs w:val="21"/>
              </w:rPr>
              <w:t>、PM</w:t>
            </w:r>
            <w:r>
              <w:rPr>
                <w:rFonts w:hint="default" w:ascii="Times New Roman" w:hAnsi="Times New Roman" w:cs="Times New Roman"/>
                <w:bCs/>
                <w:color w:val="auto"/>
                <w:kern w:val="0"/>
                <w:szCs w:val="21"/>
                <w:vertAlign w:val="subscript"/>
              </w:rPr>
              <w:t>2.5</w:t>
            </w:r>
            <w:r>
              <w:rPr>
                <w:rFonts w:hint="default" w:ascii="Times New Roman" w:hAnsi="Times New Roman" w:cs="Times New Roman"/>
                <w:bCs/>
                <w:color w:val="auto"/>
                <w:kern w:val="0"/>
                <w:szCs w:val="21"/>
              </w:rPr>
              <w:t>、SO</w:t>
            </w:r>
            <w:r>
              <w:rPr>
                <w:rFonts w:hint="default" w:ascii="Times New Roman" w:hAnsi="Times New Roman" w:cs="Times New Roman"/>
                <w:bCs/>
                <w:color w:val="auto"/>
                <w:kern w:val="0"/>
                <w:szCs w:val="21"/>
                <w:vertAlign w:val="subscript"/>
              </w:rPr>
              <w:t>2</w:t>
            </w:r>
            <w:r>
              <w:rPr>
                <w:rFonts w:hint="default" w:ascii="Times New Roman" w:hAnsi="Times New Roman" w:cs="Times New Roman"/>
                <w:bCs/>
                <w:color w:val="auto"/>
                <w:kern w:val="0"/>
                <w:szCs w:val="21"/>
              </w:rPr>
              <w:t>、NO</w:t>
            </w:r>
            <w:r>
              <w:rPr>
                <w:rFonts w:hint="default" w:ascii="Times New Roman" w:hAnsi="Times New Roman" w:cs="Times New Roman"/>
                <w:bCs/>
                <w:color w:val="auto"/>
                <w:kern w:val="0"/>
                <w:szCs w:val="21"/>
                <w:vertAlign w:val="subscript"/>
              </w:rPr>
              <w:t>2</w:t>
            </w:r>
            <w:r>
              <w:rPr>
                <w:rFonts w:hint="default" w:ascii="Times New Roman" w:hAnsi="Times New Roman" w:cs="Times New Roman"/>
                <w:bCs/>
                <w:color w:val="auto"/>
                <w:kern w:val="0"/>
                <w:szCs w:val="21"/>
              </w:rPr>
              <w:t>、CO、O</w:t>
            </w:r>
            <w:r>
              <w:rPr>
                <w:rFonts w:hint="default" w:ascii="Times New Roman" w:hAnsi="Times New Roman" w:cs="Times New Roman"/>
                <w:bCs/>
                <w:color w:val="auto"/>
                <w:kern w:val="0"/>
                <w:szCs w:val="21"/>
                <w:vertAlign w:val="subscript"/>
              </w:rPr>
              <w:t>3</w:t>
            </w:r>
            <w:r>
              <w:rPr>
                <w:rFonts w:hint="default" w:ascii="Times New Roman" w:hAnsi="Times New Roman" w:cs="Times New Roman"/>
                <w:bCs/>
                <w:color w:val="auto"/>
                <w:kern w:val="0"/>
                <w:szCs w:val="21"/>
              </w:rPr>
              <w:t>）其他污染物（硫化氢、氨</w:t>
            </w:r>
            <w:r>
              <w:rPr>
                <w:rFonts w:hint="default" w:ascii="Times New Roman" w:hAnsi="Times New Roman" w:cs="Times New Roman"/>
                <w:bCs/>
                <w:color w:val="auto"/>
                <w:kern w:val="0"/>
                <w:szCs w:val="21"/>
                <w:lang w:eastAsia="zh-CN"/>
              </w:rPr>
              <w:t>、</w:t>
            </w:r>
            <w:r>
              <w:rPr>
                <w:rFonts w:hint="default" w:ascii="Times New Roman" w:hAnsi="Times New Roman" w:cs="Times New Roman"/>
                <w:bCs/>
                <w:color w:val="auto"/>
                <w:kern w:val="0"/>
                <w:szCs w:val="21"/>
                <w:lang w:val="en-US" w:eastAsia="zh-CN"/>
              </w:rPr>
              <w:t>颗粒物、二氧化硫、氮氧化物</w:t>
            </w:r>
            <w:r>
              <w:rPr>
                <w:rFonts w:hint="default" w:ascii="Times New Roman" w:hAnsi="Times New Roman" w:cs="Times New Roman"/>
                <w:bCs/>
                <w:color w:val="auto"/>
                <w:kern w:val="0"/>
                <w:szCs w:val="21"/>
              </w:rPr>
              <w:t>）</w:t>
            </w:r>
          </w:p>
        </w:tc>
        <w:tc>
          <w:tcPr>
            <w:tcW w:w="2110" w:type="dxa"/>
            <w:gridSpan w:val="5"/>
            <w:tcBorders>
              <w:top w:val="single" w:color="000000" w:sz="4" w:space="0"/>
              <w:left w:val="single" w:color="auto"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包括二次PM</w:t>
            </w:r>
            <w:r>
              <w:rPr>
                <w:rFonts w:hint="default" w:ascii="Times New Roman" w:hAnsi="Times New Roman" w:cs="Times New Roman"/>
                <w:bCs/>
                <w:color w:val="auto"/>
                <w:kern w:val="0"/>
                <w:szCs w:val="21"/>
                <w:vertAlign w:val="subscript"/>
              </w:rPr>
              <w:t>2.5</w:t>
            </w:r>
            <w:r>
              <w:rPr>
                <w:rFonts w:hint="default" w:ascii="Times New Roman" w:hAnsi="Times New Roman" w:cs="Times New Roman"/>
                <w:bCs/>
                <w:color w:val="auto"/>
                <w:kern w:val="0"/>
                <w:szCs w:val="21"/>
              </w:rPr>
              <w:t>□</w:t>
            </w:r>
          </w:p>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不包括二次PM</w:t>
            </w:r>
            <w:r>
              <w:rPr>
                <w:rFonts w:hint="default" w:ascii="Times New Roman" w:hAnsi="Times New Roman" w:cs="Times New Roman"/>
                <w:bCs/>
                <w:color w:val="auto"/>
                <w:kern w:val="0"/>
                <w:szCs w:val="21"/>
                <w:vertAlign w:val="subscript"/>
              </w:rPr>
              <w:t>2.5</w:t>
            </w:r>
            <w:r>
              <w:rPr>
                <w:rFonts w:hint="default" w:ascii="Times New Roman" w:hAnsi="Times New Roman" w:cs="Times New Roman"/>
                <w:bCs/>
                <w:color w:val="auto"/>
                <w:kern w:val="0"/>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评价标准</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评价标准</w:t>
            </w:r>
          </w:p>
        </w:tc>
        <w:tc>
          <w:tcPr>
            <w:tcW w:w="1227" w:type="dxa"/>
            <w:gridSpan w:val="2"/>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国家标准√</w:t>
            </w:r>
          </w:p>
        </w:tc>
        <w:tc>
          <w:tcPr>
            <w:tcW w:w="2510" w:type="dxa"/>
            <w:gridSpan w:val="13"/>
            <w:tcBorders>
              <w:top w:val="single" w:color="000000" w:sz="4" w:space="0"/>
              <w:left w:val="single" w:color="auto" w:sz="4" w:space="0"/>
              <w:bottom w:val="single" w:color="000000" w:sz="4" w:space="0"/>
              <w:right w:val="single" w:color="auto"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地方标准□</w:t>
            </w:r>
          </w:p>
        </w:tc>
        <w:tc>
          <w:tcPr>
            <w:tcW w:w="1442" w:type="dxa"/>
            <w:gridSpan w:val="4"/>
            <w:tcBorders>
              <w:top w:val="single" w:color="000000" w:sz="4" w:space="0"/>
              <w:left w:val="single" w:color="auto" w:sz="4" w:space="0"/>
              <w:bottom w:val="single" w:color="000000" w:sz="4" w:space="0"/>
              <w:right w:val="single" w:color="auto"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附录D√</w:t>
            </w:r>
          </w:p>
        </w:tc>
        <w:tc>
          <w:tcPr>
            <w:tcW w:w="1512" w:type="dxa"/>
            <w:gridSpan w:val="3"/>
            <w:tcBorders>
              <w:top w:val="single" w:color="000000" w:sz="4" w:space="0"/>
              <w:left w:val="single" w:color="auto"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其他标准□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restart"/>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现状评价</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环境功能区</w:t>
            </w:r>
          </w:p>
        </w:tc>
        <w:tc>
          <w:tcPr>
            <w:tcW w:w="1558" w:type="dxa"/>
            <w:gridSpan w:val="5"/>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一类区□</w:t>
            </w:r>
          </w:p>
        </w:tc>
        <w:tc>
          <w:tcPr>
            <w:tcW w:w="3023" w:type="dxa"/>
            <w:gridSpan w:val="12"/>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二类区√</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一类区和二类区□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rFonts w:hint="default" w:ascii="Times New Roman" w:hAnsi="Times New Roman" w:cs="Times New Roman"/>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评价基准年</w:t>
            </w:r>
          </w:p>
        </w:tc>
        <w:tc>
          <w:tcPr>
            <w:tcW w:w="6691" w:type="dxa"/>
            <w:gridSpan w:val="22"/>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（202</w:t>
            </w:r>
            <w:r>
              <w:rPr>
                <w:rFonts w:hint="default" w:ascii="Times New Roman" w:hAnsi="Times New Roman" w:cs="Times New Roman"/>
                <w:bCs/>
                <w:color w:val="auto"/>
                <w:kern w:val="0"/>
                <w:szCs w:val="21"/>
                <w:lang w:val="en-US" w:eastAsia="zh-CN"/>
              </w:rPr>
              <w:t>2</w:t>
            </w:r>
            <w:r>
              <w:rPr>
                <w:rFonts w:hint="default" w:ascii="Times New Roman" w:hAnsi="Times New Roman" w:cs="Times New Roman"/>
                <w:bCs/>
                <w:color w:val="auto"/>
                <w:kern w:val="0"/>
                <w:szCs w:val="21"/>
              </w:rPr>
              <w:t>）年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rFonts w:hint="default" w:ascii="Times New Roman" w:hAnsi="Times New Roman" w:cs="Times New Roman"/>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环境空气质量现状调查数据来源</w:t>
            </w:r>
          </w:p>
        </w:tc>
        <w:tc>
          <w:tcPr>
            <w:tcW w:w="1558" w:type="dxa"/>
            <w:gridSpan w:val="5"/>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长期例行监测数据□</w:t>
            </w:r>
          </w:p>
        </w:tc>
        <w:tc>
          <w:tcPr>
            <w:tcW w:w="3023" w:type="dxa"/>
            <w:gridSpan w:val="12"/>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主管部门发布的数据√</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现状补充监测√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rFonts w:hint="default" w:ascii="Times New Roman" w:hAnsi="Times New Roman" w:cs="Times New Roman"/>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现状评价</w:t>
            </w:r>
          </w:p>
        </w:tc>
        <w:tc>
          <w:tcPr>
            <w:tcW w:w="3171" w:type="dxa"/>
            <w:gridSpan w:val="11"/>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达标区□</w:t>
            </w:r>
          </w:p>
        </w:tc>
        <w:tc>
          <w:tcPr>
            <w:tcW w:w="3520" w:type="dxa"/>
            <w:gridSpan w:val="11"/>
            <w:tcBorders>
              <w:top w:val="single" w:color="000000" w:sz="4" w:space="0"/>
              <w:left w:val="single" w:color="auto"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不达标区√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污染源调查</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调查内容</w:t>
            </w:r>
          </w:p>
        </w:tc>
        <w:tc>
          <w:tcPr>
            <w:tcW w:w="1653" w:type="dxa"/>
            <w:gridSpan w:val="7"/>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本项目正常排放源√</w:t>
            </w:r>
          </w:p>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本项目非正常排放源√</w:t>
            </w:r>
          </w:p>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现有污染源□</w:t>
            </w:r>
          </w:p>
        </w:tc>
        <w:tc>
          <w:tcPr>
            <w:tcW w:w="1808" w:type="dxa"/>
            <w:gridSpan w:val="5"/>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拟替代的污染源□</w:t>
            </w:r>
          </w:p>
        </w:tc>
        <w:tc>
          <w:tcPr>
            <w:tcW w:w="1860" w:type="dxa"/>
            <w:gridSpan w:val="8"/>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其他在建、拟建项目污染源□</w:t>
            </w:r>
          </w:p>
        </w:tc>
        <w:tc>
          <w:tcPr>
            <w:tcW w:w="1370" w:type="dxa"/>
            <w:gridSpan w:val="2"/>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区域污染源□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restart"/>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大气环境影响预测与评价</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预测模型</w:t>
            </w:r>
          </w:p>
        </w:tc>
        <w:tc>
          <w:tcPr>
            <w:tcW w:w="940"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AERMOD□</w:t>
            </w:r>
          </w:p>
        </w:tc>
        <w:tc>
          <w:tcPr>
            <w:tcW w:w="713" w:type="dxa"/>
            <w:gridSpan w:val="6"/>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ADMS□</w:t>
            </w:r>
          </w:p>
        </w:tc>
        <w:tc>
          <w:tcPr>
            <w:tcW w:w="992" w:type="dxa"/>
            <w:gridSpan w:val="2"/>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AUSTAL2000□</w:t>
            </w:r>
          </w:p>
        </w:tc>
        <w:tc>
          <w:tcPr>
            <w:tcW w:w="1134" w:type="dxa"/>
            <w:gridSpan w:val="7"/>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EDMS/AEDT□</w:t>
            </w:r>
          </w:p>
        </w:tc>
        <w:tc>
          <w:tcPr>
            <w:tcW w:w="836" w:type="dxa"/>
            <w:gridSpan w:val="2"/>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CALPUFF□</w:t>
            </w:r>
          </w:p>
        </w:tc>
        <w:tc>
          <w:tcPr>
            <w:tcW w:w="993" w:type="dxa"/>
            <w:gridSpan w:val="3"/>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网格模型□</w:t>
            </w:r>
          </w:p>
        </w:tc>
        <w:tc>
          <w:tcPr>
            <w:tcW w:w="1083" w:type="dxa"/>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rFonts w:hint="default" w:ascii="Times New Roman" w:hAnsi="Times New Roman" w:cs="Times New Roman"/>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预测范围</w:t>
            </w:r>
          </w:p>
        </w:tc>
        <w:tc>
          <w:tcPr>
            <w:tcW w:w="1636" w:type="dxa"/>
            <w:gridSpan w:val="6"/>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边长≥50km□</w:t>
            </w:r>
          </w:p>
        </w:tc>
        <w:tc>
          <w:tcPr>
            <w:tcW w:w="2945" w:type="dxa"/>
            <w:gridSpan w:val="11"/>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边长5~50km□</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边长=5km□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rFonts w:hint="default" w:ascii="Times New Roman" w:hAnsi="Times New Roman" w:cs="Times New Roman"/>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预测因子</w:t>
            </w:r>
          </w:p>
        </w:tc>
        <w:tc>
          <w:tcPr>
            <w:tcW w:w="3623" w:type="dxa"/>
            <w:gridSpan w:val="13"/>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预测因子（</w:t>
            </w:r>
            <w:r>
              <w:rPr>
                <w:rFonts w:hint="default" w:ascii="Times New Roman" w:hAnsi="Times New Roman" w:cs="Times New Roman"/>
                <w:bCs/>
                <w:color w:val="auto"/>
                <w:kern w:val="0"/>
                <w:szCs w:val="21"/>
                <w:lang w:val="en-US" w:eastAsia="zh-CN"/>
              </w:rPr>
              <w:t>颗粒物、氮氧化物、二氧化硫、</w:t>
            </w:r>
            <w:r>
              <w:rPr>
                <w:rFonts w:hint="default" w:ascii="Times New Roman" w:hAnsi="Times New Roman" w:cs="Times New Roman"/>
                <w:color w:val="auto"/>
                <w:szCs w:val="21"/>
              </w:rPr>
              <w:t>H</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S、NH</w:t>
            </w:r>
            <w:r>
              <w:rPr>
                <w:rFonts w:hint="default" w:ascii="Times New Roman" w:hAnsi="Times New Roman" w:cs="Times New Roman"/>
                <w:color w:val="auto"/>
                <w:szCs w:val="21"/>
                <w:vertAlign w:val="subscript"/>
              </w:rPr>
              <w:t>3</w:t>
            </w:r>
            <w:r>
              <w:rPr>
                <w:rFonts w:hint="default" w:ascii="Times New Roman" w:hAnsi="Times New Roman" w:cs="Times New Roman"/>
                <w:bCs/>
                <w:color w:val="auto"/>
                <w:kern w:val="0"/>
                <w:szCs w:val="21"/>
              </w:rPr>
              <w:t>）</w:t>
            </w:r>
          </w:p>
        </w:tc>
        <w:tc>
          <w:tcPr>
            <w:tcW w:w="3068" w:type="dxa"/>
            <w:gridSpan w:val="9"/>
            <w:tcBorders>
              <w:top w:val="single" w:color="000000" w:sz="4" w:space="0"/>
              <w:left w:val="single" w:color="auto"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包括二次PM</w:t>
            </w:r>
            <w:r>
              <w:rPr>
                <w:rFonts w:hint="default" w:ascii="Times New Roman" w:hAnsi="Times New Roman" w:cs="Times New Roman"/>
                <w:bCs/>
                <w:color w:val="auto"/>
                <w:kern w:val="0"/>
                <w:szCs w:val="21"/>
                <w:vertAlign w:val="subscript"/>
              </w:rPr>
              <w:t>2.5</w:t>
            </w:r>
            <w:r>
              <w:rPr>
                <w:rFonts w:hint="default" w:ascii="Times New Roman" w:hAnsi="Times New Roman" w:cs="Times New Roman"/>
                <w:bCs/>
                <w:color w:val="auto"/>
                <w:kern w:val="0"/>
                <w:szCs w:val="21"/>
              </w:rPr>
              <w:t>□</w:t>
            </w:r>
          </w:p>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不包括二次PM</w:t>
            </w:r>
            <w:r>
              <w:rPr>
                <w:rFonts w:hint="default" w:ascii="Times New Roman" w:hAnsi="Times New Roman" w:cs="Times New Roman"/>
                <w:bCs/>
                <w:color w:val="auto"/>
                <w:kern w:val="0"/>
                <w:szCs w:val="21"/>
                <w:vertAlign w:val="subscript"/>
              </w:rPr>
              <w:t>2.5</w:t>
            </w:r>
            <w:r>
              <w:rPr>
                <w:rFonts w:hint="default" w:ascii="Times New Roman" w:hAnsi="Times New Roman" w:cs="Times New Roman"/>
                <w:bCs/>
                <w:color w:val="auto"/>
                <w:kern w:val="0"/>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rFonts w:hint="default" w:ascii="Times New Roman" w:hAnsi="Times New Roman" w:cs="Times New Roman"/>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正常排放短期浓度贡献值</w:t>
            </w:r>
          </w:p>
        </w:tc>
        <w:tc>
          <w:tcPr>
            <w:tcW w:w="3623" w:type="dxa"/>
            <w:gridSpan w:val="13"/>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C</w:t>
            </w:r>
            <w:r>
              <w:rPr>
                <w:rFonts w:hint="default" w:ascii="Times New Roman" w:hAnsi="Times New Roman" w:cs="Times New Roman"/>
                <w:bCs/>
                <w:color w:val="auto"/>
                <w:kern w:val="0"/>
                <w:szCs w:val="21"/>
                <w:vertAlign w:val="subscript"/>
              </w:rPr>
              <w:t>本项目</w:t>
            </w:r>
            <w:r>
              <w:rPr>
                <w:rFonts w:hint="default" w:ascii="Times New Roman" w:hAnsi="Times New Roman" w:cs="Times New Roman"/>
                <w:bCs/>
                <w:color w:val="auto"/>
                <w:kern w:val="0"/>
                <w:szCs w:val="21"/>
              </w:rPr>
              <w:t>最大占标率≤100%□</w:t>
            </w:r>
          </w:p>
        </w:tc>
        <w:tc>
          <w:tcPr>
            <w:tcW w:w="3068" w:type="dxa"/>
            <w:gridSpan w:val="9"/>
            <w:tcBorders>
              <w:top w:val="single" w:color="000000" w:sz="4" w:space="0"/>
              <w:left w:val="single" w:color="auto"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C</w:t>
            </w:r>
            <w:r>
              <w:rPr>
                <w:rFonts w:hint="default" w:ascii="Times New Roman" w:hAnsi="Times New Roman" w:cs="Times New Roman"/>
                <w:bCs/>
                <w:color w:val="auto"/>
                <w:kern w:val="0"/>
                <w:szCs w:val="21"/>
                <w:vertAlign w:val="subscript"/>
              </w:rPr>
              <w:t>本项目</w:t>
            </w:r>
            <w:r>
              <w:rPr>
                <w:rFonts w:hint="default" w:ascii="Times New Roman" w:hAnsi="Times New Roman" w:cs="Times New Roman"/>
                <w:bCs/>
                <w:color w:val="auto"/>
                <w:kern w:val="0"/>
                <w:szCs w:val="21"/>
              </w:rPr>
              <w:t>最大占标率&gt;100%□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rFonts w:hint="default" w:ascii="Times New Roman" w:hAnsi="Times New Roman" w:cs="Times New Roman"/>
                <w:bCs/>
                <w:color w:val="auto"/>
                <w:kern w:val="0"/>
                <w:szCs w:val="21"/>
              </w:rPr>
            </w:pPr>
          </w:p>
        </w:tc>
        <w:tc>
          <w:tcPr>
            <w:tcW w:w="1798" w:type="dxa"/>
            <w:vMerge w:val="restart"/>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正常排放年均浓度贡献值</w:t>
            </w:r>
          </w:p>
        </w:tc>
        <w:tc>
          <w:tcPr>
            <w:tcW w:w="940"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一类区</w:t>
            </w:r>
          </w:p>
        </w:tc>
        <w:tc>
          <w:tcPr>
            <w:tcW w:w="2693" w:type="dxa"/>
            <w:gridSpan w:val="13"/>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C</w:t>
            </w:r>
            <w:r>
              <w:rPr>
                <w:rFonts w:hint="default" w:ascii="Times New Roman" w:hAnsi="Times New Roman" w:cs="Times New Roman"/>
                <w:bCs/>
                <w:color w:val="auto"/>
                <w:kern w:val="0"/>
                <w:szCs w:val="21"/>
                <w:vertAlign w:val="subscript"/>
              </w:rPr>
              <w:t>本项目</w:t>
            </w:r>
            <w:r>
              <w:rPr>
                <w:rFonts w:hint="default" w:ascii="Times New Roman" w:hAnsi="Times New Roman" w:cs="Times New Roman"/>
                <w:bCs/>
                <w:color w:val="auto"/>
                <w:kern w:val="0"/>
                <w:szCs w:val="21"/>
              </w:rPr>
              <w:t>最大占标率≤10%□</w:t>
            </w:r>
          </w:p>
        </w:tc>
        <w:tc>
          <w:tcPr>
            <w:tcW w:w="3058" w:type="dxa"/>
            <w:gridSpan w:val="8"/>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C</w:t>
            </w:r>
            <w:r>
              <w:rPr>
                <w:rFonts w:hint="default" w:ascii="Times New Roman" w:hAnsi="Times New Roman" w:cs="Times New Roman"/>
                <w:bCs/>
                <w:color w:val="auto"/>
                <w:kern w:val="0"/>
                <w:szCs w:val="21"/>
                <w:vertAlign w:val="subscript"/>
              </w:rPr>
              <w:t>本项目</w:t>
            </w:r>
            <w:r>
              <w:rPr>
                <w:rFonts w:hint="default" w:ascii="Times New Roman" w:hAnsi="Times New Roman" w:cs="Times New Roman"/>
                <w:bCs/>
                <w:color w:val="auto"/>
                <w:kern w:val="0"/>
                <w:szCs w:val="21"/>
              </w:rPr>
              <w:t>最大占标率&gt;10%□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rFonts w:hint="default" w:ascii="Times New Roman" w:hAnsi="Times New Roman" w:cs="Times New Roman"/>
                <w:bCs/>
                <w:color w:val="auto"/>
                <w:kern w:val="0"/>
                <w:szCs w:val="21"/>
              </w:rPr>
            </w:pPr>
          </w:p>
        </w:tc>
        <w:tc>
          <w:tcPr>
            <w:tcW w:w="1798"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hint="default" w:ascii="Times New Roman" w:hAnsi="Times New Roman" w:cs="Times New Roman"/>
                <w:bCs/>
                <w:color w:val="auto"/>
                <w:kern w:val="0"/>
                <w:szCs w:val="21"/>
              </w:rPr>
            </w:pPr>
          </w:p>
        </w:tc>
        <w:tc>
          <w:tcPr>
            <w:tcW w:w="940"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二类区</w:t>
            </w:r>
          </w:p>
        </w:tc>
        <w:tc>
          <w:tcPr>
            <w:tcW w:w="2693" w:type="dxa"/>
            <w:gridSpan w:val="13"/>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C</w:t>
            </w:r>
            <w:r>
              <w:rPr>
                <w:rFonts w:hint="default" w:ascii="Times New Roman" w:hAnsi="Times New Roman" w:cs="Times New Roman"/>
                <w:bCs/>
                <w:color w:val="auto"/>
                <w:kern w:val="0"/>
                <w:szCs w:val="21"/>
                <w:vertAlign w:val="subscript"/>
              </w:rPr>
              <w:t>本项目</w:t>
            </w:r>
            <w:r>
              <w:rPr>
                <w:rFonts w:hint="default" w:ascii="Times New Roman" w:hAnsi="Times New Roman" w:cs="Times New Roman"/>
                <w:bCs/>
                <w:color w:val="auto"/>
                <w:kern w:val="0"/>
                <w:szCs w:val="21"/>
              </w:rPr>
              <w:t>最大占标率≤30%√</w:t>
            </w:r>
          </w:p>
        </w:tc>
        <w:tc>
          <w:tcPr>
            <w:tcW w:w="3058" w:type="dxa"/>
            <w:gridSpan w:val="8"/>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C</w:t>
            </w:r>
            <w:r>
              <w:rPr>
                <w:rFonts w:hint="default" w:ascii="Times New Roman" w:hAnsi="Times New Roman" w:cs="Times New Roman"/>
                <w:bCs/>
                <w:color w:val="auto"/>
                <w:kern w:val="0"/>
                <w:szCs w:val="21"/>
                <w:vertAlign w:val="subscript"/>
              </w:rPr>
              <w:t>本项目</w:t>
            </w:r>
            <w:r>
              <w:rPr>
                <w:rFonts w:hint="default" w:ascii="Times New Roman" w:hAnsi="Times New Roman" w:cs="Times New Roman"/>
                <w:bCs/>
                <w:color w:val="auto"/>
                <w:kern w:val="0"/>
                <w:szCs w:val="21"/>
              </w:rPr>
              <w:t>最大占标率&gt;30%□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rFonts w:hint="default" w:ascii="Times New Roman" w:hAnsi="Times New Roman" w:cs="Times New Roman"/>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非正常排放1h浓度贡献值</w:t>
            </w:r>
          </w:p>
        </w:tc>
        <w:tc>
          <w:tcPr>
            <w:tcW w:w="1361" w:type="dxa"/>
            <w:gridSpan w:val="3"/>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非正常持续时长（）h</w:t>
            </w:r>
          </w:p>
        </w:tc>
        <w:tc>
          <w:tcPr>
            <w:tcW w:w="2272" w:type="dxa"/>
            <w:gridSpan w:val="11"/>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C</w:t>
            </w:r>
            <w:r>
              <w:rPr>
                <w:rFonts w:hint="default" w:ascii="Times New Roman" w:hAnsi="Times New Roman" w:cs="Times New Roman"/>
                <w:bCs/>
                <w:color w:val="auto"/>
                <w:kern w:val="0"/>
                <w:szCs w:val="21"/>
                <w:vertAlign w:val="subscript"/>
              </w:rPr>
              <w:t>非正常</w:t>
            </w:r>
            <w:r>
              <w:rPr>
                <w:rFonts w:hint="default" w:ascii="Times New Roman" w:hAnsi="Times New Roman" w:cs="Times New Roman"/>
                <w:bCs/>
                <w:color w:val="auto"/>
                <w:kern w:val="0"/>
                <w:szCs w:val="21"/>
              </w:rPr>
              <w:t>占标率≤100%□</w:t>
            </w:r>
          </w:p>
        </w:tc>
        <w:tc>
          <w:tcPr>
            <w:tcW w:w="3058" w:type="dxa"/>
            <w:gridSpan w:val="8"/>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C</w:t>
            </w:r>
            <w:r>
              <w:rPr>
                <w:rFonts w:hint="default" w:ascii="Times New Roman" w:hAnsi="Times New Roman" w:cs="Times New Roman"/>
                <w:bCs/>
                <w:color w:val="auto"/>
                <w:kern w:val="0"/>
                <w:szCs w:val="21"/>
                <w:vertAlign w:val="subscript"/>
              </w:rPr>
              <w:t>非正常</w:t>
            </w:r>
            <w:r>
              <w:rPr>
                <w:rFonts w:hint="default" w:ascii="Times New Roman" w:hAnsi="Times New Roman" w:cs="Times New Roman"/>
                <w:bCs/>
                <w:color w:val="auto"/>
                <w:kern w:val="0"/>
                <w:szCs w:val="21"/>
              </w:rPr>
              <w:t>占标率&gt;100%□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rFonts w:hint="default" w:ascii="Times New Roman" w:hAnsi="Times New Roman" w:cs="Times New Roman"/>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保证率日平均浓度和年平均浓度叠加值</w:t>
            </w:r>
          </w:p>
        </w:tc>
        <w:tc>
          <w:tcPr>
            <w:tcW w:w="3134" w:type="dxa"/>
            <w:gridSpan w:val="10"/>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C</w:t>
            </w:r>
            <w:r>
              <w:rPr>
                <w:rFonts w:hint="default" w:ascii="Times New Roman" w:hAnsi="Times New Roman" w:cs="Times New Roman"/>
                <w:bCs/>
                <w:color w:val="auto"/>
                <w:kern w:val="0"/>
                <w:szCs w:val="21"/>
                <w:vertAlign w:val="subscript"/>
              </w:rPr>
              <w:t>叠加</w:t>
            </w:r>
            <w:r>
              <w:rPr>
                <w:rFonts w:hint="default" w:ascii="Times New Roman" w:hAnsi="Times New Roman" w:cs="Times New Roman"/>
                <w:bCs/>
                <w:color w:val="auto"/>
                <w:kern w:val="0"/>
                <w:szCs w:val="21"/>
              </w:rPr>
              <w:t>达标□</w:t>
            </w:r>
          </w:p>
        </w:tc>
        <w:tc>
          <w:tcPr>
            <w:tcW w:w="3557" w:type="dxa"/>
            <w:gridSpan w:val="12"/>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C</w:t>
            </w:r>
            <w:r>
              <w:rPr>
                <w:rFonts w:hint="default" w:ascii="Times New Roman" w:hAnsi="Times New Roman" w:cs="Times New Roman"/>
                <w:bCs/>
                <w:color w:val="auto"/>
                <w:kern w:val="0"/>
                <w:szCs w:val="21"/>
                <w:vertAlign w:val="subscript"/>
              </w:rPr>
              <w:t>叠加</w:t>
            </w:r>
            <w:r>
              <w:rPr>
                <w:rFonts w:hint="default" w:ascii="Times New Roman" w:hAnsi="Times New Roman" w:cs="Times New Roman"/>
                <w:bCs/>
                <w:color w:val="auto"/>
                <w:kern w:val="0"/>
                <w:szCs w:val="21"/>
              </w:rPr>
              <w:t>不达标□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rFonts w:hint="default" w:ascii="Times New Roman" w:hAnsi="Times New Roman" w:cs="Times New Roman"/>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区域环境质量的整体变化情况</w:t>
            </w:r>
          </w:p>
        </w:tc>
        <w:tc>
          <w:tcPr>
            <w:tcW w:w="3134" w:type="dxa"/>
            <w:gridSpan w:val="10"/>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k≤-20%□</w:t>
            </w:r>
          </w:p>
        </w:tc>
        <w:tc>
          <w:tcPr>
            <w:tcW w:w="3557" w:type="dxa"/>
            <w:gridSpan w:val="12"/>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k&gt;-20%□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restart"/>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环境监测计划</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污染源监测</w:t>
            </w:r>
          </w:p>
        </w:tc>
        <w:tc>
          <w:tcPr>
            <w:tcW w:w="2212" w:type="dxa"/>
            <w:gridSpan w:val="8"/>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监测因子：（</w:t>
            </w:r>
            <w:r>
              <w:rPr>
                <w:rFonts w:hint="default" w:ascii="Times New Roman" w:hAnsi="Times New Roman" w:cs="Times New Roman"/>
                <w:color w:val="auto"/>
                <w:szCs w:val="21"/>
              </w:rPr>
              <w:t>H</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S、NH</w:t>
            </w:r>
            <w:r>
              <w:rPr>
                <w:rFonts w:hint="default" w:ascii="Times New Roman" w:hAnsi="Times New Roman" w:cs="Times New Roman"/>
                <w:color w:val="auto"/>
                <w:szCs w:val="21"/>
                <w:vertAlign w:val="subscript"/>
              </w:rPr>
              <w:t>3</w:t>
            </w:r>
            <w:r>
              <w:rPr>
                <w:rFonts w:hint="default" w:ascii="Times New Roman" w:hAnsi="Times New Roman" w:cs="Times New Roman"/>
                <w:color w:val="auto"/>
                <w:sz w:val="21"/>
                <w:szCs w:val="21"/>
                <w:lang w:val="en-US" w:eastAsia="zh-CN"/>
              </w:rPr>
              <w:t>颗粒物、氮氧化物、二氧化硫</w:t>
            </w:r>
            <w:r>
              <w:rPr>
                <w:rFonts w:hint="default" w:ascii="Times New Roman" w:hAnsi="Times New Roman" w:cs="Times New Roman"/>
                <w:bCs/>
                <w:color w:val="auto"/>
                <w:kern w:val="0"/>
                <w:szCs w:val="21"/>
              </w:rPr>
              <w:t>）</w:t>
            </w:r>
          </w:p>
        </w:tc>
        <w:tc>
          <w:tcPr>
            <w:tcW w:w="2369" w:type="dxa"/>
            <w:gridSpan w:val="9"/>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有组织废气监测√</w:t>
            </w:r>
          </w:p>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无组织废气监测√</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无监测□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rFonts w:hint="default" w:ascii="Times New Roman" w:hAnsi="Times New Roman" w:cs="Times New Roman"/>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环境质量监测</w:t>
            </w:r>
          </w:p>
        </w:tc>
        <w:tc>
          <w:tcPr>
            <w:tcW w:w="2212" w:type="dxa"/>
            <w:gridSpan w:val="8"/>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监测因子：（）</w:t>
            </w:r>
          </w:p>
        </w:tc>
        <w:tc>
          <w:tcPr>
            <w:tcW w:w="2369" w:type="dxa"/>
            <w:gridSpan w:val="9"/>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监测点位数（）</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无监测□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评价结论</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环境影响</w:t>
            </w:r>
          </w:p>
        </w:tc>
        <w:tc>
          <w:tcPr>
            <w:tcW w:w="6691" w:type="dxa"/>
            <w:gridSpan w:val="22"/>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可以接受√       不可以接受□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restart"/>
            <w:tcBorders>
              <w:top w:val="single" w:color="000000" w:sz="4" w:space="0"/>
              <w:left w:val="single" w:color="000000" w:sz="12"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评价结论</w:t>
            </w: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大气环境防护距离</w:t>
            </w:r>
          </w:p>
        </w:tc>
        <w:tc>
          <w:tcPr>
            <w:tcW w:w="6691" w:type="dxa"/>
            <w:gridSpan w:val="22"/>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距（）厂界最远（）m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51" w:type="dxa"/>
            <w:vMerge w:val="continue"/>
            <w:tcBorders>
              <w:top w:val="single" w:color="000000" w:sz="4" w:space="0"/>
              <w:left w:val="single" w:color="000000" w:sz="12" w:space="0"/>
              <w:bottom w:val="single" w:color="000000" w:sz="4" w:space="0"/>
              <w:right w:val="single" w:color="000000" w:sz="4" w:space="0"/>
            </w:tcBorders>
            <w:vAlign w:val="center"/>
          </w:tcPr>
          <w:p>
            <w:pPr>
              <w:widowControl/>
              <w:jc w:val="left"/>
              <w:rPr>
                <w:rFonts w:hint="default" w:ascii="Times New Roman" w:hAnsi="Times New Roman" w:cs="Times New Roman"/>
                <w:bCs/>
                <w:color w:val="auto"/>
                <w:kern w:val="0"/>
                <w:szCs w:val="21"/>
              </w:rPr>
            </w:pPr>
          </w:p>
        </w:tc>
        <w:tc>
          <w:tcPr>
            <w:tcW w:w="1798" w:type="dxa"/>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污染源年排放量</w:t>
            </w:r>
          </w:p>
        </w:tc>
        <w:tc>
          <w:tcPr>
            <w:tcW w:w="1539" w:type="dxa"/>
            <w:gridSpan w:val="4"/>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highlight w:val="none"/>
              </w:rPr>
            </w:pPr>
            <w:r>
              <w:rPr>
                <w:rFonts w:hint="default" w:ascii="Times New Roman" w:hAnsi="Times New Roman" w:cs="Times New Roman"/>
                <w:bCs/>
                <w:color w:val="auto"/>
                <w:kern w:val="0"/>
                <w:szCs w:val="21"/>
                <w:highlight w:val="none"/>
              </w:rPr>
              <w:t>SO</w:t>
            </w:r>
            <w:r>
              <w:rPr>
                <w:rFonts w:hint="default" w:ascii="Times New Roman" w:hAnsi="Times New Roman" w:cs="Times New Roman"/>
                <w:bCs/>
                <w:color w:val="auto"/>
                <w:kern w:val="0"/>
                <w:szCs w:val="21"/>
                <w:highlight w:val="none"/>
                <w:vertAlign w:val="subscript"/>
              </w:rPr>
              <w:t>2</w:t>
            </w:r>
            <w:r>
              <w:rPr>
                <w:rFonts w:hint="default" w:ascii="Times New Roman" w:hAnsi="Times New Roman" w:cs="Times New Roman"/>
                <w:bCs/>
                <w:color w:val="auto"/>
                <w:kern w:val="0"/>
                <w:szCs w:val="21"/>
                <w:highlight w:val="none"/>
              </w:rPr>
              <w:t>：（</w:t>
            </w:r>
            <w:r>
              <w:rPr>
                <w:rFonts w:hint="eastAsia" w:ascii="Times New Roman" w:hAnsi="Times New Roman" w:cs="Times New Roman"/>
                <w:bCs/>
                <w:color w:val="auto"/>
                <w:kern w:val="0"/>
                <w:szCs w:val="21"/>
                <w:highlight w:val="none"/>
                <w:lang w:val="en-US" w:eastAsia="zh-CN"/>
              </w:rPr>
              <w:t>0.031</w:t>
            </w:r>
            <w:r>
              <w:rPr>
                <w:rFonts w:hint="default" w:ascii="Times New Roman" w:hAnsi="Times New Roman" w:cs="Times New Roman"/>
                <w:bCs/>
                <w:color w:val="auto"/>
                <w:kern w:val="0"/>
                <w:szCs w:val="21"/>
                <w:highlight w:val="none"/>
              </w:rPr>
              <w:t>）t/a</w:t>
            </w:r>
          </w:p>
        </w:tc>
        <w:tc>
          <w:tcPr>
            <w:tcW w:w="1595" w:type="dxa"/>
            <w:gridSpan w:val="6"/>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highlight w:val="none"/>
              </w:rPr>
            </w:pPr>
            <w:r>
              <w:rPr>
                <w:rFonts w:hint="default" w:ascii="Times New Roman" w:hAnsi="Times New Roman" w:cs="Times New Roman"/>
                <w:bCs/>
                <w:color w:val="auto"/>
                <w:kern w:val="0"/>
                <w:szCs w:val="21"/>
                <w:highlight w:val="none"/>
              </w:rPr>
              <w:t>NO</w:t>
            </w:r>
            <w:r>
              <w:rPr>
                <w:rFonts w:hint="default" w:ascii="Times New Roman" w:hAnsi="Times New Roman" w:cs="Times New Roman"/>
                <w:bCs/>
                <w:color w:val="auto"/>
                <w:kern w:val="0"/>
                <w:szCs w:val="21"/>
                <w:highlight w:val="none"/>
                <w:vertAlign w:val="subscript"/>
              </w:rPr>
              <w:t>X</w:t>
            </w:r>
            <w:r>
              <w:rPr>
                <w:rFonts w:hint="default" w:ascii="Times New Roman" w:hAnsi="Times New Roman" w:cs="Times New Roman"/>
                <w:bCs/>
                <w:color w:val="auto"/>
                <w:kern w:val="0"/>
                <w:szCs w:val="21"/>
                <w:highlight w:val="none"/>
              </w:rPr>
              <w:t>：（</w:t>
            </w:r>
            <w:r>
              <w:rPr>
                <w:rFonts w:hint="eastAsia" w:ascii="Times New Roman" w:hAnsi="Times New Roman" w:cs="Times New Roman"/>
                <w:bCs/>
                <w:color w:val="auto"/>
                <w:kern w:val="0"/>
                <w:szCs w:val="21"/>
                <w:highlight w:val="none"/>
                <w:lang w:val="en-US" w:eastAsia="zh-CN"/>
              </w:rPr>
              <w:t>0.098</w:t>
            </w:r>
            <w:r>
              <w:rPr>
                <w:rFonts w:hint="default" w:ascii="Times New Roman" w:hAnsi="Times New Roman" w:cs="Times New Roman"/>
                <w:bCs/>
                <w:color w:val="auto"/>
                <w:kern w:val="0"/>
                <w:szCs w:val="21"/>
                <w:highlight w:val="none"/>
              </w:rPr>
              <w:t>）t/a</w:t>
            </w:r>
          </w:p>
        </w:tc>
        <w:tc>
          <w:tcPr>
            <w:tcW w:w="1447" w:type="dxa"/>
            <w:gridSpan w:val="7"/>
            <w:tcBorders>
              <w:top w:val="single" w:color="000000" w:sz="4" w:space="0"/>
              <w:left w:val="single" w:color="000000" w:sz="4" w:space="0"/>
              <w:bottom w:val="single" w:color="000000" w:sz="4" w:space="0"/>
              <w:right w:val="single" w:color="000000" w:sz="4" w:space="0"/>
            </w:tcBorders>
            <w:vAlign w:val="center"/>
          </w:tcPr>
          <w:p>
            <w:pPr>
              <w:spacing w:line="0" w:lineRule="atLeast"/>
              <w:jc w:val="center"/>
              <w:rPr>
                <w:rFonts w:hint="default" w:ascii="Times New Roman" w:hAnsi="Times New Roman" w:cs="Times New Roman"/>
                <w:bCs/>
                <w:color w:val="auto"/>
                <w:kern w:val="0"/>
                <w:szCs w:val="21"/>
                <w:highlight w:val="none"/>
              </w:rPr>
            </w:pPr>
            <w:r>
              <w:rPr>
                <w:rFonts w:hint="default" w:ascii="Times New Roman" w:hAnsi="Times New Roman" w:cs="Times New Roman"/>
                <w:bCs/>
                <w:color w:val="auto"/>
                <w:kern w:val="0"/>
                <w:szCs w:val="21"/>
                <w:highlight w:val="none"/>
              </w:rPr>
              <w:t>颗粒物：（</w:t>
            </w:r>
            <w:r>
              <w:rPr>
                <w:rFonts w:hint="eastAsia" w:ascii="Times New Roman" w:hAnsi="Times New Roman" w:cs="Times New Roman"/>
                <w:bCs/>
                <w:color w:val="auto"/>
                <w:kern w:val="0"/>
                <w:szCs w:val="21"/>
                <w:highlight w:val="none"/>
                <w:lang w:val="en-US" w:eastAsia="zh-CN"/>
              </w:rPr>
              <w:t>0.01</w:t>
            </w:r>
            <w:r>
              <w:rPr>
                <w:rFonts w:hint="default" w:ascii="Times New Roman" w:hAnsi="Times New Roman" w:cs="Times New Roman"/>
                <w:bCs/>
                <w:color w:val="auto"/>
                <w:kern w:val="0"/>
                <w:szCs w:val="21"/>
                <w:highlight w:val="none"/>
              </w:rPr>
              <w:t>）t/a</w:t>
            </w:r>
          </w:p>
        </w:tc>
        <w:tc>
          <w:tcPr>
            <w:tcW w:w="2110" w:type="dxa"/>
            <w:gridSpan w:val="5"/>
            <w:tcBorders>
              <w:top w:val="single" w:color="000000" w:sz="4" w:space="0"/>
              <w:left w:val="single" w:color="000000" w:sz="4" w:space="0"/>
              <w:bottom w:val="single" w:color="000000" w:sz="4" w:space="0"/>
              <w:right w:val="single" w:color="000000" w:sz="12" w:space="0"/>
            </w:tcBorders>
            <w:vAlign w:val="center"/>
          </w:tcPr>
          <w:p>
            <w:pPr>
              <w:spacing w:line="0" w:lineRule="atLeast"/>
              <w:jc w:val="center"/>
              <w:rPr>
                <w:rFonts w:hint="default" w:ascii="Times New Roman" w:hAnsi="Times New Roman" w:cs="Times New Roman"/>
                <w:bCs/>
                <w:color w:val="auto"/>
                <w:kern w:val="0"/>
                <w:szCs w:val="21"/>
                <w:highlight w:val="none"/>
              </w:rPr>
            </w:pPr>
            <w:r>
              <w:rPr>
                <w:rFonts w:hint="default" w:ascii="Times New Roman" w:hAnsi="Times New Roman" w:cs="Times New Roman"/>
                <w:bCs/>
                <w:color w:val="auto"/>
                <w:kern w:val="0"/>
                <w:szCs w:val="21"/>
                <w:highlight w:val="none"/>
              </w:rPr>
              <w:t>VOCs：（</w:t>
            </w:r>
            <w:r>
              <w:rPr>
                <w:rFonts w:hint="eastAsia" w:ascii="Times New Roman" w:hAnsi="Times New Roman" w:eastAsia="宋体" w:cs="Times New Roman"/>
                <w:bCs/>
                <w:color w:val="auto"/>
                <w:kern w:val="0"/>
                <w:szCs w:val="21"/>
                <w:highlight w:val="none"/>
                <w:lang w:val="en-US" w:eastAsia="zh-CN"/>
              </w:rPr>
              <w:t>0.000701</w:t>
            </w:r>
            <w:r>
              <w:rPr>
                <w:rFonts w:hint="default" w:ascii="Times New Roman" w:hAnsi="Times New Roman" w:cs="Times New Roman"/>
                <w:bCs/>
                <w:color w:val="auto"/>
                <w:kern w:val="0"/>
                <w:szCs w:val="21"/>
                <w:highlight w:val="none"/>
              </w:rPr>
              <w:t>）t/a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5" w:hRule="atLeast"/>
          <w:jc w:val="center"/>
        </w:trPr>
        <w:tc>
          <w:tcPr>
            <w:tcW w:w="9240" w:type="dxa"/>
            <w:gridSpan w:val="24"/>
            <w:tcBorders>
              <w:top w:val="single" w:color="000000" w:sz="4" w:space="0"/>
              <w:left w:val="single" w:color="000000" w:sz="12" w:space="0"/>
              <w:bottom w:val="single" w:color="000000" w:sz="12" w:space="0"/>
              <w:right w:val="single" w:color="000000" w:sz="12" w:space="0"/>
            </w:tcBorders>
            <w:vAlign w:val="center"/>
          </w:tcPr>
          <w:p>
            <w:pPr>
              <w:spacing w:line="0" w:lineRule="atLeast"/>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注：“□”为勾选项，填“√”；“（）”为内容填写项</w:t>
            </w:r>
          </w:p>
        </w:tc>
      </w:tr>
    </w:tbl>
    <w:p>
      <w:pPr>
        <w:pStyle w:val="29"/>
        <w:rPr>
          <w:rFonts w:hint="default" w:ascii="Times New Roman" w:hAnsi="Times New Roman" w:cs="Times New Roman"/>
          <w:lang w:eastAsia="zh-CN"/>
        </w:rPr>
        <w:sectPr>
          <w:headerReference r:id="rId26" w:type="default"/>
          <w:pgSz w:w="11906" w:h="16839"/>
          <w:pgMar w:top="1118" w:right="1337" w:bottom="1181" w:left="1417" w:header="878" w:footer="1015" w:gutter="0"/>
          <w:pgBorders>
            <w:top w:val="none" w:sz="0" w:space="0"/>
            <w:left w:val="none" w:sz="0" w:space="0"/>
            <w:bottom w:val="none" w:sz="0" w:space="0"/>
            <w:right w:val="none" w:sz="0" w:space="0"/>
          </w:pgBorders>
          <w:pgNumType w:fmt="decimal"/>
          <w:cols w:space="720" w:num="1"/>
        </w:sectPr>
      </w:pPr>
    </w:p>
    <w:p>
      <w:pPr>
        <w:jc w:val="center"/>
        <w:outlineLvl w:val="0"/>
        <w:rPr>
          <w:rFonts w:hint="default" w:ascii="Times New Roman" w:hAnsi="Times New Roman" w:cs="Times New Roman"/>
          <w:b/>
          <w:color w:val="auto"/>
          <w:sz w:val="24"/>
        </w:rPr>
      </w:pPr>
      <w:bookmarkStart w:id="540" w:name="_Toc16134"/>
      <w:bookmarkStart w:id="541" w:name="_Toc5438"/>
      <w:r>
        <w:rPr>
          <w:rFonts w:hint="default" w:ascii="Times New Roman" w:hAnsi="Times New Roman" w:cs="Times New Roman"/>
          <w:b/>
          <w:color w:val="auto"/>
          <w:sz w:val="24"/>
        </w:rPr>
        <w:t>地表水环境影响评价自查表</w:t>
      </w:r>
      <w:bookmarkEnd w:id="540"/>
      <w:bookmarkEnd w:id="541"/>
    </w:p>
    <w:tbl>
      <w:tblPr>
        <w:tblStyle w:val="66"/>
        <w:tblW w:w="0" w:type="auto"/>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389"/>
        <w:gridCol w:w="2529"/>
        <w:gridCol w:w="2389"/>
        <w:gridCol w:w="2670"/>
        <w:gridCol w:w="6075"/>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37" w:hRule="atLeast"/>
        </w:trPr>
        <w:tc>
          <w:tcPr>
            <w:tcW w:w="2918" w:type="dxa"/>
            <w:gridSpan w:val="2"/>
            <w:tcBorders>
              <w:top w:val="single" w:color="000000" w:themeColor="text1" w:sz="12"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工作内容</w:t>
            </w:r>
          </w:p>
        </w:tc>
        <w:tc>
          <w:tcPr>
            <w:tcW w:w="11134" w:type="dxa"/>
            <w:gridSpan w:val="3"/>
            <w:tcBorders>
              <w:top w:val="single" w:color="000000" w:themeColor="text1" w:sz="12"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自查项目</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37" w:hRule="atLeast"/>
        </w:trPr>
        <w:tc>
          <w:tcPr>
            <w:tcW w:w="389"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影响识别</w:t>
            </w:r>
          </w:p>
        </w:tc>
        <w:tc>
          <w:tcPr>
            <w:tcW w:w="252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影响类型</w:t>
            </w:r>
          </w:p>
        </w:tc>
        <w:tc>
          <w:tcPr>
            <w:tcW w:w="11134"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水污染影响型√；水文要素影响型□</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995" w:hRule="atLeast"/>
        </w:trPr>
        <w:tc>
          <w:tcPr>
            <w:tcW w:w="389"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水环境保护目标</w:t>
            </w:r>
          </w:p>
        </w:tc>
        <w:tc>
          <w:tcPr>
            <w:tcW w:w="11134"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饮用水水源保护区□；饮用水取水□；涉水的自然保护区□；重要湿地□；</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重点保护与珍惜水生生物的栖息地□；重要水生生物的自然产卵场及索饵场、越冬场和洄游通道、天然渔场等渔业水体□；涉水的风景名胜区□；其他□</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37" w:hRule="atLeast"/>
        </w:trPr>
        <w:tc>
          <w:tcPr>
            <w:tcW w:w="389"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9"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影响途径</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水污染影响型</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水文要素影响型</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37" w:hRule="atLeast"/>
        </w:trPr>
        <w:tc>
          <w:tcPr>
            <w:tcW w:w="389"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9"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直接排放□；间接排放□；其他√</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水温□；径流□；水域面积□</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980" w:hRule="atLeast"/>
        </w:trPr>
        <w:tc>
          <w:tcPr>
            <w:tcW w:w="389"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影响因子</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持久性污染物□；有毒有害污染物□；非持久性污染物√；</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pH值□；热污染□；富营养化□；其他□</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水温□；水位（水深□）；流速□；流量□；其他□</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22" w:hRule="atLeast"/>
        </w:trPr>
        <w:tc>
          <w:tcPr>
            <w:tcW w:w="2918" w:type="dxa"/>
            <w:gridSpan w:val="2"/>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评价等级</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水污染影响型</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水文要素影响型</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70" w:hRule="atLeast"/>
        </w:trPr>
        <w:tc>
          <w:tcPr>
            <w:tcW w:w="2918" w:type="dxa"/>
            <w:gridSpan w:val="2"/>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一级□；二级□；三级A□；三级B√</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一级□；二级□；三级□</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22" w:hRule="atLeast"/>
        </w:trPr>
        <w:tc>
          <w:tcPr>
            <w:tcW w:w="389" w:type="dxa"/>
            <w:vMerge w:val="restart"/>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现状调查</w:t>
            </w:r>
          </w:p>
        </w:tc>
        <w:tc>
          <w:tcPr>
            <w:tcW w:w="2529"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区域污染源</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调查项目</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数据起源</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675"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9"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38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已建□；在建□；拟建√；其他□</w:t>
            </w:r>
          </w:p>
        </w:tc>
        <w:tc>
          <w:tcPr>
            <w:tcW w:w="2670"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拟替代的污染源□</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排污许可证□；环评□；环保验收□；既有实测□；现场监测□；入河排放口数据□；其他□</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69"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9"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受影响水体环境质量</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调查时期</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数据起源</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675"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9"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丰水期□；平水期□；枯水期□；冰封期□</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春季√；夏季√；秋季√；冬季√</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生态环境保护主管部门√；补充监测□；其他□</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53"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区域水资源开发利用状况</w:t>
            </w:r>
          </w:p>
        </w:tc>
        <w:tc>
          <w:tcPr>
            <w:tcW w:w="11134"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未开发□；开发量40%以下□；开发量40%以上□</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53"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9" w:type="dxa"/>
            <w:vMerge w:val="restart"/>
            <w:tcBorders>
              <w:top w:val="single" w:color="000000" w:themeColor="text1" w:sz="6" w:space="0"/>
              <w:left w:val="single" w:color="000000" w:themeColor="text1" w:sz="6" w:space="0"/>
              <w:bottom w:val="single" w:color="000000" w:themeColor="text1" w:sz="12"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水文情势调查</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调查时期</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数据来源</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690"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9" w:type="dxa"/>
            <w:vMerge w:val="continue"/>
            <w:tcBorders>
              <w:top w:val="single" w:color="000000" w:themeColor="text1" w:sz="6" w:space="0"/>
              <w:left w:val="single" w:color="000000" w:themeColor="text1" w:sz="6" w:space="0"/>
              <w:bottom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5059" w:type="dxa"/>
            <w:gridSpan w:val="2"/>
            <w:tcBorders>
              <w:top w:val="single" w:color="000000" w:themeColor="text1" w:sz="6" w:space="0"/>
              <w:left w:val="single" w:color="000000" w:themeColor="text1" w:sz="6" w:space="0"/>
              <w:bottom w:val="single" w:color="000000" w:themeColor="text1" w:sz="12" w:space="0"/>
              <w:right w:val="single" w:color="000000" w:themeColor="text1" w:sz="6"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丰水期□；平水期□；枯水期□；冰封期□</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春季□；夏季□；秋季□；冬季□</w:t>
            </w:r>
          </w:p>
        </w:tc>
        <w:tc>
          <w:tcPr>
            <w:tcW w:w="6075" w:type="dxa"/>
            <w:tcBorders>
              <w:top w:val="single" w:color="000000" w:themeColor="text1" w:sz="6" w:space="0"/>
              <w:left w:val="single" w:color="000000" w:themeColor="text1" w:sz="6" w:space="0"/>
              <w:bottom w:val="single" w:color="000000" w:themeColor="text1" w:sz="12"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水行政主管部门□；补充监测□；其他□</w:t>
            </w:r>
          </w:p>
        </w:tc>
      </w:tr>
    </w:tbl>
    <w:p>
      <w:pPr>
        <w:jc w:val="right"/>
        <w:rPr>
          <w:rFonts w:hint="default" w:ascii="Times New Roman" w:hAnsi="Times New Roman" w:cs="Times New Roman"/>
          <w:b/>
          <w:color w:val="auto"/>
        </w:rPr>
      </w:pPr>
      <w:r>
        <w:rPr>
          <w:rFonts w:hint="default" w:ascii="Times New Roman" w:hAnsi="Times New Roman" w:cs="Times New Roman"/>
          <w:b/>
          <w:color w:val="auto"/>
        </w:rPr>
        <w:t>续表</w:t>
      </w:r>
    </w:p>
    <w:tbl>
      <w:tblPr>
        <w:tblStyle w:val="66"/>
        <w:tblW w:w="0" w:type="auto"/>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390"/>
        <w:gridCol w:w="2539"/>
        <w:gridCol w:w="5588"/>
        <w:gridCol w:w="2794"/>
        <w:gridCol w:w="1211"/>
        <w:gridCol w:w="1584"/>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92" w:hRule="atLeast"/>
        </w:trPr>
        <w:tc>
          <w:tcPr>
            <w:tcW w:w="2929" w:type="dxa"/>
            <w:gridSpan w:val="2"/>
            <w:tcBorders>
              <w:top w:val="single" w:color="000000" w:themeColor="text1" w:sz="12"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工作内容</w:t>
            </w:r>
          </w:p>
        </w:tc>
        <w:tc>
          <w:tcPr>
            <w:tcW w:w="11177" w:type="dxa"/>
            <w:gridSpan w:val="4"/>
            <w:tcBorders>
              <w:top w:val="single" w:color="000000" w:themeColor="text1" w:sz="12"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自查项目</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71" w:hRule="atLeast"/>
        </w:trPr>
        <w:tc>
          <w:tcPr>
            <w:tcW w:w="390"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现状调查</w:t>
            </w:r>
          </w:p>
        </w:tc>
        <w:tc>
          <w:tcPr>
            <w:tcW w:w="2539"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补充监测</w:t>
            </w:r>
          </w:p>
        </w:tc>
        <w:tc>
          <w:tcPr>
            <w:tcW w:w="5588"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监测时期</w:t>
            </w:r>
          </w:p>
        </w:tc>
        <w:tc>
          <w:tcPr>
            <w:tcW w:w="279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监测因子</w:t>
            </w:r>
          </w:p>
        </w:tc>
        <w:tc>
          <w:tcPr>
            <w:tcW w:w="2795"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监测断面或点位</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640" w:hRule="atLeast"/>
        </w:trPr>
        <w:tc>
          <w:tcPr>
            <w:tcW w:w="390"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39"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5588"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丰水期□；平水期□；枯水期□；冰封期□</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春季□；夏季□；秋季□；冬季□</w:t>
            </w:r>
          </w:p>
        </w:tc>
        <w:tc>
          <w:tcPr>
            <w:tcW w:w="279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t>
            </w:r>
          </w:p>
        </w:tc>
        <w:tc>
          <w:tcPr>
            <w:tcW w:w="2795"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监测断面或点位个数（）个</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21" w:hRule="atLeast"/>
        </w:trPr>
        <w:tc>
          <w:tcPr>
            <w:tcW w:w="390" w:type="dxa"/>
            <w:vMerge w:val="restart"/>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现状评价</w:t>
            </w: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评价范围</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河流：长度（）km；湖库、河口及近岸海域：面积（）km</w:t>
            </w:r>
            <w:r>
              <w:rPr>
                <w:rFonts w:hint="default" w:ascii="Times New Roman" w:hAnsi="Times New Roman" w:cs="Times New Roman"/>
                <w:color w:val="auto"/>
                <w:kern w:val="0"/>
                <w:szCs w:val="21"/>
                <w:vertAlign w:val="superscript"/>
              </w:rPr>
              <w:t>2</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评价因子</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评价标准</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rPr>
              <w:t>河流、湖库、河口：Ⅰ类□；Ⅱ类□；Ⅲ类√；Ⅳ类□；Ⅴ类</w:t>
            </w:r>
            <w:r>
              <w:rPr>
                <w:rFonts w:hint="default" w:ascii="Times New Roman" w:hAnsi="Times New Roman" w:cs="Times New Roman"/>
                <w:color w:val="auto"/>
                <w:kern w:val="0"/>
                <w:szCs w:val="21"/>
                <w:lang w:eastAsia="zh-CN"/>
              </w:rPr>
              <w:t>☑</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近岸海域：第一类□；第二类□；第三类□；第四类□</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规划年评价标准（202</w:t>
            </w:r>
            <w:r>
              <w:rPr>
                <w:rFonts w:hint="default" w:ascii="Times New Roman" w:hAnsi="Times New Roman" w:cs="Times New Roman"/>
                <w:color w:val="auto"/>
                <w:kern w:val="0"/>
                <w:szCs w:val="21"/>
                <w:lang w:val="en-US" w:eastAsia="zh-CN"/>
              </w:rPr>
              <w:t>2</w:t>
            </w:r>
            <w:r>
              <w:rPr>
                <w:rFonts w:hint="default" w:ascii="Times New Roman" w:hAnsi="Times New Roman" w:cs="Times New Roman"/>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评价时期</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丰水期□；平水期□；枯水期□；冰封期□</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春季□；夏季□；秋季□；冬季□</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评价结论</w:t>
            </w:r>
          </w:p>
        </w:tc>
        <w:tc>
          <w:tcPr>
            <w:tcW w:w="9593"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水环境功能区或水功能区、近岸海域环境功能区水质达标状况：达标</w:t>
            </w:r>
            <w:r>
              <w:rPr>
                <w:rFonts w:hint="default" w:ascii="Times New Roman" w:hAnsi="Times New Roman" w:cs="Times New Roman" w:eastAsiaTheme="minorEastAsia"/>
                <w:color w:val="auto"/>
                <w:kern w:val="0"/>
                <w:szCs w:val="21"/>
              </w:rPr>
              <w:t>√</w:t>
            </w:r>
            <w:r>
              <w:rPr>
                <w:rFonts w:hint="default" w:ascii="Times New Roman" w:hAnsi="Times New Roman" w:cs="Times New Roman"/>
                <w:color w:val="auto"/>
                <w:kern w:val="0"/>
                <w:szCs w:val="21"/>
              </w:rPr>
              <w:t>；不达标□</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水环境控制单元或断面水质达标状况：达标□；不达标□</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水环境保护目标质量状况：达标□；不达标□</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对照断面、控制断面等代表性断面的水质状况；达标□；不达标□</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底泥污染评价□</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水资源与开发利用程度及其水文情势评价□</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水环境质量回顾评价□</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流域（区域）水资源（包括水能资源）与开发利用总体状况、生态流量管理要求与现状满足程度、建设项目占用水域空间的水流状况与河湖演变状况□</w:t>
            </w:r>
          </w:p>
        </w:tc>
        <w:tc>
          <w:tcPr>
            <w:tcW w:w="1584"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达标区√</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不达标区□</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restart"/>
            <w:tcBorders>
              <w:top w:val="single" w:color="000000" w:themeColor="text1" w:sz="6" w:space="0"/>
              <w:left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影响预测</w:t>
            </w: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预测范围</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河流：长度（）km；湖库、河口及近岸海域：面积（）km</w:t>
            </w:r>
            <w:r>
              <w:rPr>
                <w:rFonts w:hint="default" w:ascii="Times New Roman" w:hAnsi="Times New Roman" w:cs="Times New Roman"/>
                <w:color w:val="auto"/>
                <w:kern w:val="0"/>
                <w:szCs w:val="21"/>
                <w:vertAlign w:val="superscript"/>
              </w:rPr>
              <w:t>2</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left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预测因子</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left w:val="single" w:color="000000" w:themeColor="text1" w:sz="12" w:space="0"/>
              <w:bottom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39" w:type="dxa"/>
            <w:tcBorders>
              <w:top w:val="single" w:color="000000" w:themeColor="text1" w:sz="6" w:space="0"/>
              <w:left w:val="single" w:color="000000" w:themeColor="text1" w:sz="6" w:space="0"/>
              <w:bottom w:val="single" w:color="000000" w:themeColor="text1" w:sz="12"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预测时期</w:t>
            </w:r>
          </w:p>
        </w:tc>
        <w:tc>
          <w:tcPr>
            <w:tcW w:w="11177" w:type="dxa"/>
            <w:gridSpan w:val="4"/>
            <w:tcBorders>
              <w:top w:val="single" w:color="000000" w:themeColor="text1" w:sz="6" w:space="0"/>
              <w:left w:val="single" w:color="000000" w:themeColor="text1" w:sz="6" w:space="0"/>
              <w:bottom w:val="single" w:color="000000" w:themeColor="text1" w:sz="12"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丰水期□；平水期□；枯水期□；冰封期□</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春季□；夏季□；秋季□；冬季□</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设计水文条件□</w:t>
            </w:r>
          </w:p>
        </w:tc>
      </w:tr>
    </w:tbl>
    <w:p>
      <w:pPr>
        <w:jc w:val="right"/>
        <w:rPr>
          <w:rFonts w:hint="default" w:ascii="Times New Roman" w:hAnsi="Times New Roman" w:cs="Times New Roman"/>
          <w:b/>
          <w:color w:val="auto"/>
          <w:szCs w:val="22"/>
        </w:rPr>
      </w:pPr>
    </w:p>
    <w:p>
      <w:pPr>
        <w:jc w:val="right"/>
        <w:rPr>
          <w:rFonts w:hint="default" w:ascii="Times New Roman" w:hAnsi="Times New Roman" w:cs="Times New Roman"/>
          <w:b/>
          <w:color w:val="auto"/>
        </w:rPr>
      </w:pPr>
      <w:r>
        <w:rPr>
          <w:rFonts w:hint="default" w:ascii="Times New Roman" w:hAnsi="Times New Roman" w:cs="Times New Roman"/>
          <w:b/>
          <w:color w:val="auto"/>
        </w:rPr>
        <w:t>续表</w:t>
      </w:r>
    </w:p>
    <w:tbl>
      <w:tblPr>
        <w:tblStyle w:val="66"/>
        <w:tblW w:w="14024" w:type="dxa"/>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387"/>
        <w:gridCol w:w="2525"/>
        <w:gridCol w:w="2076"/>
        <w:gridCol w:w="1369"/>
        <w:gridCol w:w="1016"/>
        <w:gridCol w:w="2516"/>
        <w:gridCol w:w="709"/>
        <w:gridCol w:w="1417"/>
        <w:gridCol w:w="2009"/>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42" w:hRule="atLeast"/>
        </w:trPr>
        <w:tc>
          <w:tcPr>
            <w:tcW w:w="2912" w:type="dxa"/>
            <w:gridSpan w:val="2"/>
            <w:tcBorders>
              <w:top w:val="single" w:color="000000" w:themeColor="text1" w:sz="12"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工作内容</w:t>
            </w:r>
          </w:p>
        </w:tc>
        <w:tc>
          <w:tcPr>
            <w:tcW w:w="11112" w:type="dxa"/>
            <w:gridSpan w:val="7"/>
            <w:tcBorders>
              <w:top w:val="single" w:color="000000" w:themeColor="text1" w:sz="12"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自查项目</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006" w:hRule="atLeast"/>
        </w:trPr>
        <w:tc>
          <w:tcPr>
            <w:tcW w:w="387"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影响预测</w:t>
            </w:r>
          </w:p>
        </w:tc>
        <w:tc>
          <w:tcPr>
            <w:tcW w:w="2525"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预测情景</w:t>
            </w:r>
          </w:p>
        </w:tc>
        <w:tc>
          <w:tcPr>
            <w:tcW w:w="11112" w:type="dxa"/>
            <w:gridSpan w:val="7"/>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建设期□；生产运行期□；服务器满后□</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正常工况□；非正常工况□</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污染控制和减缓措施方案□</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区（流）域水环境质量改善目标要求情景□</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68" w:hRule="atLeast"/>
        </w:trPr>
        <w:tc>
          <w:tcPr>
            <w:tcW w:w="38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5"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预测方法</w:t>
            </w:r>
          </w:p>
        </w:tc>
        <w:tc>
          <w:tcPr>
            <w:tcW w:w="11112" w:type="dxa"/>
            <w:gridSpan w:val="7"/>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数值解□；解析解□；其他□</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导则推荐模式□；其他□</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33" w:hRule="atLeast"/>
        </w:trPr>
        <w:tc>
          <w:tcPr>
            <w:tcW w:w="387" w:type="dxa"/>
            <w:vMerge w:val="restart"/>
            <w:tcBorders>
              <w:top w:val="single" w:color="000000" w:themeColor="text1" w:sz="6" w:space="0"/>
              <w:left w:val="single" w:color="000000" w:themeColor="text1" w:sz="12"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影响评价</w:t>
            </w:r>
          </w:p>
        </w:tc>
        <w:tc>
          <w:tcPr>
            <w:tcW w:w="2525"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水污染控制和水环境影响减缓措施有效性评价</w:t>
            </w:r>
          </w:p>
        </w:tc>
        <w:tc>
          <w:tcPr>
            <w:tcW w:w="11112" w:type="dxa"/>
            <w:gridSpan w:val="7"/>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区（流）域水环境质量改善目标□；替代削减源□</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609" w:hRule="atLeast"/>
        </w:trPr>
        <w:tc>
          <w:tcPr>
            <w:tcW w:w="387" w:type="dxa"/>
            <w:vMerge w:val="continue"/>
            <w:tcBorders>
              <w:left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5"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水环境影响评价</w:t>
            </w:r>
          </w:p>
        </w:tc>
        <w:tc>
          <w:tcPr>
            <w:tcW w:w="11112" w:type="dxa"/>
            <w:gridSpan w:val="7"/>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排放口混合区外满足水环境管理要求 □</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水环境功能区或水功能区、近岸海域环境功能区水质达标 □</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满足水环境保护目标水域水环境质量要求 □</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水环境控制单元或断面水质达标 □</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满足重点水污染物排放总量控制指标要求，重点行业建设项目，主要污染物排放满足等量或减量替代要求 □</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满足区（流）域水环境质量改善目标要求 □</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水文要素影响型建设项目同时应包括水文情势变化评价、主要水文特征值影响评价、生态流量符合性评价□</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对于新设或调整入河（湖库、近岸海域）排放口的建设项目，应包括排放口设置的环境合理性评价□</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满足生态保护红线、水环境质量底线、资源利用上线和环境准入清单管理要求□</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03" w:hRule="atLeast"/>
        </w:trPr>
        <w:tc>
          <w:tcPr>
            <w:tcW w:w="387" w:type="dxa"/>
            <w:vMerge w:val="continue"/>
            <w:tcBorders>
              <w:left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5" w:type="dxa"/>
            <w:vMerge w:val="restart"/>
            <w:tcBorders>
              <w:top w:val="single" w:color="000000" w:themeColor="text1" w:sz="6" w:space="0"/>
              <w:left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污染物排放量核算</w:t>
            </w:r>
          </w:p>
        </w:tc>
        <w:tc>
          <w:tcPr>
            <w:tcW w:w="3445" w:type="dxa"/>
            <w:gridSpan w:val="2"/>
            <w:tcBorders>
              <w:top w:val="single" w:color="000000" w:themeColor="text1" w:sz="6" w:space="0"/>
              <w:left w:val="single" w:color="000000" w:themeColor="text1" w:sz="6" w:space="0"/>
              <w:bottom w:val="single" w:color="auto" w:sz="2" w:space="0"/>
              <w:right w:val="single" w:color="auto" w:sz="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污染物名称</w:t>
            </w:r>
          </w:p>
        </w:tc>
        <w:tc>
          <w:tcPr>
            <w:tcW w:w="4241" w:type="dxa"/>
            <w:gridSpan w:val="3"/>
            <w:tcBorders>
              <w:top w:val="single" w:color="000000" w:themeColor="text1" w:sz="6" w:space="0"/>
              <w:left w:val="single" w:color="auto" w:sz="2" w:space="0"/>
              <w:bottom w:val="single" w:color="auto" w:sz="2" w:space="0"/>
              <w:right w:val="single" w:color="auto" w:sz="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排放量/（t/a）</w:t>
            </w:r>
          </w:p>
        </w:tc>
        <w:tc>
          <w:tcPr>
            <w:tcW w:w="3426" w:type="dxa"/>
            <w:gridSpan w:val="2"/>
            <w:tcBorders>
              <w:top w:val="single" w:color="000000" w:themeColor="text1" w:sz="6" w:space="0"/>
              <w:left w:val="single" w:color="auto" w:sz="2" w:space="0"/>
              <w:bottom w:val="single" w:color="auto" w:sz="2"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排放浓度/（mg/L）</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62" w:hRule="atLeast"/>
        </w:trPr>
        <w:tc>
          <w:tcPr>
            <w:tcW w:w="387" w:type="dxa"/>
            <w:vMerge w:val="continue"/>
            <w:tcBorders>
              <w:left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5" w:type="dxa"/>
            <w:vMerge w:val="continue"/>
            <w:tcBorders>
              <w:top w:val="single" w:color="000000" w:themeColor="text1" w:sz="6" w:space="0"/>
              <w:left w:val="single" w:color="000000" w:themeColor="text1" w:sz="6" w:space="0"/>
              <w:bottom w:val="single" w:color="auto" w:sz="2"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p>
        </w:tc>
        <w:tc>
          <w:tcPr>
            <w:tcW w:w="3445" w:type="dxa"/>
            <w:gridSpan w:val="2"/>
            <w:tcBorders>
              <w:top w:val="single" w:color="auto" w:sz="2" w:space="0"/>
              <w:left w:val="single" w:color="000000" w:themeColor="text1" w:sz="6" w:space="0"/>
              <w:bottom w:val="single" w:color="auto" w:sz="2" w:space="0"/>
              <w:right w:val="single" w:color="auto" w:sz="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（COD、氨氮）</w:t>
            </w:r>
          </w:p>
        </w:tc>
        <w:tc>
          <w:tcPr>
            <w:tcW w:w="4241" w:type="dxa"/>
            <w:gridSpan w:val="3"/>
            <w:tcBorders>
              <w:top w:val="single" w:color="auto" w:sz="2" w:space="0"/>
              <w:left w:val="single" w:color="auto" w:sz="2" w:space="0"/>
              <w:bottom w:val="single" w:color="auto" w:sz="2" w:space="0"/>
              <w:right w:val="single" w:color="auto" w:sz="2" w:space="0"/>
            </w:tcBorders>
            <w:vAlign w:val="center"/>
          </w:tcPr>
          <w:p>
            <w:pPr>
              <w:snapToGrid w:val="0"/>
              <w:jc w:val="center"/>
              <w:rPr>
                <w:rFonts w:hint="default" w:ascii="Times New Roman" w:hAnsi="Times New Roman" w:cs="Times New Roman"/>
                <w:color w:val="auto"/>
                <w:kern w:val="0"/>
                <w:szCs w:val="21"/>
                <w:highlight w:val="magenta"/>
              </w:rPr>
            </w:pPr>
            <w:r>
              <w:rPr>
                <w:rFonts w:hint="default" w:ascii="Times New Roman" w:hAnsi="Times New Roman" w:cs="Times New Roman"/>
                <w:color w:val="auto"/>
                <w:kern w:val="0"/>
                <w:szCs w:val="21"/>
                <w:highlight w:val="none"/>
              </w:rPr>
              <w:t>（COD：</w:t>
            </w:r>
            <w:r>
              <w:rPr>
                <w:rFonts w:hint="eastAsia" w:ascii="Times New Roman" w:hAnsi="Times New Roman" w:cs="Times New Roman"/>
                <w:color w:val="auto"/>
                <w:kern w:val="0"/>
                <w:szCs w:val="21"/>
                <w:highlight w:val="none"/>
                <w:lang w:val="en-US" w:eastAsia="zh-CN"/>
              </w:rPr>
              <w:t>19.02</w:t>
            </w:r>
            <w:r>
              <w:rPr>
                <w:rFonts w:hint="default" w:ascii="Times New Roman" w:hAnsi="Times New Roman" w:cs="Times New Roman"/>
                <w:color w:val="auto"/>
                <w:kern w:val="0"/>
                <w:szCs w:val="21"/>
                <w:highlight w:val="none"/>
              </w:rPr>
              <w:t>、氨氮：</w:t>
            </w:r>
            <w:r>
              <w:rPr>
                <w:rFonts w:hint="eastAsia" w:ascii="Times New Roman" w:hAnsi="Times New Roman" w:cs="Times New Roman"/>
                <w:color w:val="auto"/>
                <w:kern w:val="0"/>
                <w:szCs w:val="21"/>
                <w:highlight w:val="none"/>
                <w:lang w:val="en-US" w:eastAsia="zh-CN"/>
              </w:rPr>
              <w:t>1.49</w:t>
            </w:r>
            <w:r>
              <w:rPr>
                <w:rFonts w:hint="default" w:ascii="Times New Roman" w:hAnsi="Times New Roman" w:cs="Times New Roman"/>
                <w:color w:val="auto"/>
                <w:kern w:val="0"/>
                <w:szCs w:val="21"/>
                <w:highlight w:val="none"/>
              </w:rPr>
              <w:t>）</w:t>
            </w:r>
          </w:p>
        </w:tc>
        <w:tc>
          <w:tcPr>
            <w:tcW w:w="3426" w:type="dxa"/>
            <w:gridSpan w:val="2"/>
            <w:tcBorders>
              <w:top w:val="single" w:color="auto" w:sz="2" w:space="0"/>
              <w:left w:val="single" w:color="auto" w:sz="2" w:space="0"/>
              <w:bottom w:val="single" w:color="auto" w:sz="2" w:space="0"/>
              <w:right w:val="single" w:color="000000" w:themeColor="text1" w:sz="12" w:space="0"/>
            </w:tcBorders>
            <w:vAlign w:val="center"/>
          </w:tcPr>
          <w:p>
            <w:pPr>
              <w:snapToGrid w:val="0"/>
              <w:jc w:val="center"/>
              <w:rPr>
                <w:rFonts w:hint="default" w:ascii="Times New Roman" w:hAnsi="Times New Roman" w:cs="Times New Roman"/>
                <w:color w:val="auto"/>
                <w:kern w:val="0"/>
                <w:szCs w:val="21"/>
                <w:highlight w:val="magenta"/>
              </w:rPr>
            </w:pPr>
            <w:r>
              <w:rPr>
                <w:rFonts w:hint="default" w:ascii="Times New Roman" w:hAnsi="Times New Roman" w:cs="Times New Roman"/>
                <w:color w:val="auto"/>
                <w:kern w:val="0"/>
                <w:szCs w:val="21"/>
                <w:highlight w:val="none"/>
              </w:rPr>
              <w:t>（COD：</w:t>
            </w:r>
            <w:r>
              <w:rPr>
                <w:rFonts w:hint="eastAsia" w:ascii="Times New Roman" w:hAnsi="Times New Roman" w:cs="Times New Roman"/>
                <w:snapToGrid w:val="0"/>
                <w:color w:val="auto"/>
                <w:kern w:val="0"/>
                <w:szCs w:val="21"/>
                <w:highlight w:val="none"/>
                <w:lang w:val="en-US" w:eastAsia="zh-CN"/>
              </w:rPr>
              <w:t>1553.92</w:t>
            </w:r>
            <w:r>
              <w:rPr>
                <w:rFonts w:hint="default" w:ascii="Times New Roman" w:hAnsi="Times New Roman" w:cs="Times New Roman"/>
                <w:color w:val="auto"/>
                <w:kern w:val="0"/>
                <w:szCs w:val="21"/>
                <w:highlight w:val="none"/>
              </w:rPr>
              <w:t>、氨氮：</w:t>
            </w:r>
            <w:r>
              <w:rPr>
                <w:rFonts w:hint="eastAsia" w:ascii="Times New Roman" w:hAnsi="Times New Roman" w:cs="Times New Roman"/>
                <w:color w:val="auto"/>
                <w:kern w:val="0"/>
                <w:szCs w:val="21"/>
                <w:highlight w:val="none"/>
                <w:lang w:val="en-US" w:eastAsia="zh-CN"/>
              </w:rPr>
              <w:t>121.73</w:t>
            </w:r>
            <w:r>
              <w:rPr>
                <w:rFonts w:hint="default" w:ascii="Times New Roman" w:hAnsi="Times New Roman" w:cs="Times New Roman"/>
                <w:color w:val="auto"/>
                <w:kern w:val="0"/>
                <w:szCs w:val="21"/>
                <w:highlight w:val="none"/>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32" w:hRule="atLeast"/>
        </w:trPr>
        <w:tc>
          <w:tcPr>
            <w:tcW w:w="387" w:type="dxa"/>
            <w:vMerge w:val="continue"/>
            <w:tcBorders>
              <w:left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5" w:type="dxa"/>
            <w:vMerge w:val="restart"/>
            <w:tcBorders>
              <w:top w:val="single" w:color="auto" w:sz="2" w:space="0"/>
              <w:left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替代源排放情况</w:t>
            </w:r>
          </w:p>
        </w:tc>
        <w:tc>
          <w:tcPr>
            <w:tcW w:w="2076" w:type="dxa"/>
            <w:tcBorders>
              <w:top w:val="single" w:color="auto" w:sz="2" w:space="0"/>
              <w:left w:val="single" w:color="000000" w:themeColor="text1" w:sz="6" w:space="0"/>
              <w:bottom w:val="single" w:color="auto" w:sz="2" w:space="0"/>
              <w:right w:val="single" w:color="auto" w:sz="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污染源名称</w:t>
            </w:r>
          </w:p>
        </w:tc>
        <w:tc>
          <w:tcPr>
            <w:tcW w:w="2385" w:type="dxa"/>
            <w:gridSpan w:val="2"/>
            <w:tcBorders>
              <w:top w:val="single" w:color="auto" w:sz="2" w:space="0"/>
              <w:left w:val="single" w:color="auto" w:sz="2" w:space="0"/>
              <w:bottom w:val="single" w:color="auto" w:sz="2" w:space="0"/>
              <w:right w:val="single" w:color="auto" w:sz="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排污许可证编号</w:t>
            </w:r>
          </w:p>
        </w:tc>
        <w:tc>
          <w:tcPr>
            <w:tcW w:w="2516" w:type="dxa"/>
            <w:tcBorders>
              <w:top w:val="single" w:color="auto" w:sz="2" w:space="0"/>
              <w:left w:val="single" w:color="auto" w:sz="2" w:space="0"/>
              <w:bottom w:val="single" w:color="auto" w:sz="2" w:space="0"/>
              <w:right w:val="single" w:color="auto" w:sz="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污染物名称</w:t>
            </w:r>
          </w:p>
        </w:tc>
        <w:tc>
          <w:tcPr>
            <w:tcW w:w="2126" w:type="dxa"/>
            <w:gridSpan w:val="2"/>
            <w:tcBorders>
              <w:top w:val="single" w:color="auto" w:sz="2" w:space="0"/>
              <w:left w:val="single" w:color="auto" w:sz="2" w:space="0"/>
              <w:bottom w:val="single" w:color="auto" w:sz="2" w:space="0"/>
              <w:right w:val="single" w:color="auto" w:sz="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排放量/（t/a）</w:t>
            </w:r>
          </w:p>
        </w:tc>
        <w:tc>
          <w:tcPr>
            <w:tcW w:w="2009" w:type="dxa"/>
            <w:tcBorders>
              <w:top w:val="single" w:color="auto" w:sz="2" w:space="0"/>
              <w:left w:val="single" w:color="auto" w:sz="2" w:space="0"/>
              <w:bottom w:val="single" w:color="auto" w:sz="2"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排放浓度/（mg/L）</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06" w:hRule="atLeast"/>
        </w:trPr>
        <w:tc>
          <w:tcPr>
            <w:tcW w:w="387" w:type="dxa"/>
            <w:vMerge w:val="continue"/>
            <w:tcBorders>
              <w:left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5" w:type="dxa"/>
            <w:vMerge w:val="continue"/>
            <w:tcBorders>
              <w:left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p>
        </w:tc>
        <w:tc>
          <w:tcPr>
            <w:tcW w:w="2076" w:type="dxa"/>
            <w:tcBorders>
              <w:top w:val="single" w:color="auto" w:sz="2" w:space="0"/>
              <w:left w:val="single" w:color="000000" w:themeColor="text1" w:sz="6" w:space="0"/>
              <w:bottom w:val="single" w:color="auto" w:sz="2" w:space="0"/>
              <w:right w:val="single" w:color="auto" w:sz="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t>
            </w:r>
          </w:p>
        </w:tc>
        <w:tc>
          <w:tcPr>
            <w:tcW w:w="2385" w:type="dxa"/>
            <w:gridSpan w:val="2"/>
            <w:tcBorders>
              <w:top w:val="single" w:color="auto" w:sz="2" w:space="0"/>
              <w:left w:val="single" w:color="auto" w:sz="2" w:space="0"/>
              <w:bottom w:val="single" w:color="auto" w:sz="2" w:space="0"/>
              <w:right w:val="single" w:color="auto" w:sz="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t>
            </w:r>
          </w:p>
        </w:tc>
        <w:tc>
          <w:tcPr>
            <w:tcW w:w="2516" w:type="dxa"/>
            <w:tcBorders>
              <w:top w:val="single" w:color="auto" w:sz="2" w:space="0"/>
              <w:left w:val="single" w:color="auto" w:sz="2" w:space="0"/>
              <w:bottom w:val="single" w:color="auto" w:sz="2" w:space="0"/>
              <w:right w:val="single" w:color="auto" w:sz="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t>
            </w:r>
          </w:p>
        </w:tc>
        <w:tc>
          <w:tcPr>
            <w:tcW w:w="2126" w:type="dxa"/>
            <w:gridSpan w:val="2"/>
            <w:tcBorders>
              <w:top w:val="single" w:color="auto" w:sz="2" w:space="0"/>
              <w:left w:val="single" w:color="auto" w:sz="2" w:space="0"/>
              <w:bottom w:val="single" w:color="auto" w:sz="2" w:space="0"/>
              <w:right w:val="single" w:color="auto" w:sz="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t>
            </w:r>
          </w:p>
        </w:tc>
        <w:tc>
          <w:tcPr>
            <w:tcW w:w="2009" w:type="dxa"/>
            <w:tcBorders>
              <w:top w:val="single" w:color="auto" w:sz="2" w:space="0"/>
              <w:left w:val="single" w:color="auto" w:sz="2" w:space="0"/>
              <w:bottom w:val="single" w:color="auto" w:sz="2"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06" w:hRule="atLeast"/>
        </w:trPr>
        <w:tc>
          <w:tcPr>
            <w:tcW w:w="387" w:type="dxa"/>
            <w:vMerge w:val="continue"/>
            <w:tcBorders>
              <w:left w:val="single" w:color="000000" w:themeColor="text1" w:sz="12"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25" w:type="dxa"/>
            <w:tcBorders>
              <w:left w:val="single" w:color="000000" w:themeColor="text1" w:sz="6" w:space="0"/>
              <w:bottom w:val="single" w:color="auto" w:sz="12"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生态流量确定</w:t>
            </w:r>
          </w:p>
        </w:tc>
        <w:tc>
          <w:tcPr>
            <w:tcW w:w="11112" w:type="dxa"/>
            <w:gridSpan w:val="7"/>
            <w:tcBorders>
              <w:top w:val="single" w:color="auto" w:sz="2" w:space="0"/>
              <w:left w:val="single" w:color="000000" w:themeColor="text1" w:sz="6" w:space="0"/>
              <w:bottom w:val="single" w:color="auto" w:sz="12"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生态流量：一般水期（）m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kern w:val="0"/>
                <w:szCs w:val="21"/>
              </w:rPr>
              <w:t>/s；鱼类繁殖期（）m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kern w:val="0"/>
                <w:szCs w:val="21"/>
              </w:rPr>
              <w:t>/s；其他（）m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kern w:val="0"/>
                <w:szCs w:val="21"/>
              </w:rPr>
              <w:t>/s</w:t>
            </w:r>
          </w:p>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生态水位：一般水期（）m；鱼类繁殖期（）m；其他（）m</w:t>
            </w:r>
          </w:p>
        </w:tc>
      </w:tr>
    </w:tbl>
    <w:p>
      <w:pPr>
        <w:jc w:val="right"/>
        <w:rPr>
          <w:rFonts w:hint="default" w:ascii="Times New Roman" w:hAnsi="Times New Roman" w:cs="Times New Roman"/>
          <w:b/>
          <w:color w:val="FF0000"/>
        </w:rPr>
      </w:pPr>
    </w:p>
    <w:p>
      <w:pPr>
        <w:jc w:val="right"/>
        <w:rPr>
          <w:rFonts w:hint="default" w:ascii="Times New Roman" w:hAnsi="Times New Roman" w:cs="Times New Roman"/>
          <w:b/>
          <w:color w:val="FF0000"/>
        </w:rPr>
      </w:pPr>
    </w:p>
    <w:p>
      <w:pPr>
        <w:jc w:val="right"/>
        <w:rPr>
          <w:rFonts w:hint="default" w:ascii="Times New Roman" w:hAnsi="Times New Roman" w:cs="Times New Roman"/>
          <w:b/>
          <w:color w:val="FF0000"/>
        </w:rPr>
      </w:pPr>
    </w:p>
    <w:p>
      <w:pPr>
        <w:jc w:val="right"/>
        <w:rPr>
          <w:rFonts w:hint="default" w:ascii="Times New Roman" w:hAnsi="Times New Roman" w:cs="Times New Roman"/>
          <w:b/>
          <w:color w:val="auto"/>
          <w:szCs w:val="22"/>
        </w:rPr>
      </w:pPr>
      <w:r>
        <w:rPr>
          <w:rFonts w:hint="default" w:ascii="Times New Roman" w:hAnsi="Times New Roman" w:cs="Times New Roman"/>
          <w:b/>
          <w:color w:val="auto"/>
        </w:rPr>
        <w:t>续表</w:t>
      </w:r>
    </w:p>
    <w:tbl>
      <w:tblPr>
        <w:tblStyle w:val="66"/>
        <w:tblW w:w="0" w:type="auto"/>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392"/>
        <w:gridCol w:w="2551"/>
        <w:gridCol w:w="3743"/>
        <w:gridCol w:w="3744"/>
        <w:gridCol w:w="3744"/>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2943" w:type="dxa"/>
            <w:gridSpan w:val="2"/>
            <w:tcBorders>
              <w:top w:val="single" w:color="000000" w:themeColor="text1" w:sz="12"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工作内容</w:t>
            </w:r>
          </w:p>
        </w:tc>
        <w:tc>
          <w:tcPr>
            <w:tcW w:w="11231" w:type="dxa"/>
            <w:gridSpan w:val="3"/>
            <w:tcBorders>
              <w:top w:val="single" w:color="000000" w:themeColor="text1" w:sz="12"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自查项目</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防治措施</w:t>
            </w:r>
          </w:p>
        </w:tc>
        <w:tc>
          <w:tcPr>
            <w:tcW w:w="2551"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环保措施</w:t>
            </w:r>
          </w:p>
        </w:tc>
        <w:tc>
          <w:tcPr>
            <w:tcW w:w="11231"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污水处理设施□；水文减缓设施□；生态流量保障措施□；区域削减□；依托其他工程措施□；其他□</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51"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监测计划</w:t>
            </w:r>
          </w:p>
        </w:tc>
        <w:tc>
          <w:tcPr>
            <w:tcW w:w="3743"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环境质量</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污染源</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51"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3743"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监测方式</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手动□；自动□；无监测□</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手动□；自动□；无监测□</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51"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3743"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监测点位</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51"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3743"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监测因子</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51"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污染物排放清单</w:t>
            </w:r>
          </w:p>
        </w:tc>
        <w:tc>
          <w:tcPr>
            <w:tcW w:w="11231"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color w:val="auto"/>
                <w:kern w:val="0"/>
                <w:szCs w:val="21"/>
              </w:rPr>
            </w:pPr>
          </w:p>
        </w:tc>
        <w:tc>
          <w:tcPr>
            <w:tcW w:w="2551"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评价结论</w:t>
            </w:r>
          </w:p>
        </w:tc>
        <w:tc>
          <w:tcPr>
            <w:tcW w:w="11231"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可以接受□；不可以接受□</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14174" w:type="dxa"/>
            <w:gridSpan w:val="5"/>
            <w:tcBorders>
              <w:top w:val="single" w:color="000000" w:themeColor="text1" w:sz="6" w:space="0"/>
              <w:left w:val="single" w:color="000000" w:themeColor="text1" w:sz="12" w:space="0"/>
              <w:bottom w:val="single" w:color="000000" w:themeColor="text1" w:sz="12" w:space="0"/>
              <w:right w:val="single" w:color="000000" w:themeColor="text1" w:sz="12" w:space="0"/>
            </w:tcBorders>
            <w:vAlign w:val="center"/>
          </w:tcPr>
          <w:p>
            <w:pPr>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注：“□”为勾选项，可√；“（）”为内容填写项；“备注”为其他补充内容。</w:t>
            </w:r>
          </w:p>
        </w:tc>
      </w:tr>
    </w:tbl>
    <w:p>
      <w:pPr>
        <w:jc w:val="center"/>
        <w:rPr>
          <w:rFonts w:hint="default" w:ascii="Times New Roman" w:hAnsi="Times New Roman" w:cs="Times New Roman"/>
          <w:b/>
          <w:color w:val="FF0000"/>
          <w:sz w:val="24"/>
          <w:szCs w:val="22"/>
        </w:rPr>
        <w:sectPr>
          <w:pgSz w:w="16839" w:h="11906" w:orient="landscape"/>
          <w:pgMar w:top="1417" w:right="1118" w:bottom="1337" w:left="1181" w:header="878" w:footer="1015" w:gutter="0"/>
          <w:pgBorders>
            <w:top w:val="none" w:sz="0" w:space="0"/>
            <w:left w:val="none" w:sz="0" w:space="0"/>
            <w:bottom w:val="none" w:sz="0" w:space="0"/>
            <w:right w:val="none" w:sz="0" w:space="0"/>
          </w:pgBorders>
          <w:pgNumType w:fmt="decimal"/>
          <w:cols w:space="720" w:num="1"/>
        </w:sectPr>
      </w:pPr>
    </w:p>
    <w:p>
      <w:pPr>
        <w:jc w:val="center"/>
        <w:rPr>
          <w:rFonts w:hint="default" w:ascii="Times New Roman" w:hAnsi="Times New Roman" w:cs="Times New Roman" w:eastAsiaTheme="minorEastAsia"/>
          <w:b/>
          <w:color w:val="auto"/>
          <w:sz w:val="24"/>
        </w:rPr>
      </w:pPr>
      <w:r>
        <w:rPr>
          <w:rFonts w:hint="default" w:ascii="Times New Roman" w:hAnsi="Times New Roman" w:cs="Times New Roman" w:eastAsiaTheme="minorEastAsia"/>
          <w:b/>
          <w:color w:val="auto"/>
          <w:sz w:val="24"/>
        </w:rPr>
        <w:t>环境风险评价自查表</w:t>
      </w:r>
    </w:p>
    <w:tbl>
      <w:tblPr>
        <w:tblStyle w:val="66"/>
        <w:tblW w:w="9075" w:type="dxa"/>
        <w:tblInd w:w="-318"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427"/>
        <w:gridCol w:w="1277"/>
        <w:gridCol w:w="1276"/>
        <w:gridCol w:w="151"/>
        <w:gridCol w:w="357"/>
        <w:gridCol w:w="595"/>
        <w:gridCol w:w="173"/>
        <w:gridCol w:w="303"/>
        <w:gridCol w:w="405"/>
        <w:gridCol w:w="309"/>
        <w:gridCol w:w="426"/>
        <w:gridCol w:w="287"/>
        <w:gridCol w:w="341"/>
        <w:gridCol w:w="135"/>
        <w:gridCol w:w="441"/>
        <w:gridCol w:w="52"/>
        <w:gridCol w:w="102"/>
        <w:gridCol w:w="357"/>
        <w:gridCol w:w="170"/>
        <w:gridCol w:w="629"/>
        <w:gridCol w:w="862"/>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79" w:hRule="atLeast"/>
        </w:trPr>
        <w:tc>
          <w:tcPr>
            <w:tcW w:w="1704" w:type="dxa"/>
            <w:gridSpan w:val="2"/>
            <w:tcBorders>
              <w:top w:val="single" w:color="000000" w:themeColor="text1" w:sz="12"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工作内容</w:t>
            </w:r>
          </w:p>
        </w:tc>
        <w:tc>
          <w:tcPr>
            <w:tcW w:w="7371" w:type="dxa"/>
            <w:gridSpan w:val="19"/>
            <w:tcBorders>
              <w:top w:val="single" w:color="000000" w:themeColor="text1" w:sz="12"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完成情况</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79" w:hRule="atLeast"/>
        </w:trPr>
        <w:tc>
          <w:tcPr>
            <w:tcW w:w="427"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风险调查</w:t>
            </w:r>
          </w:p>
        </w:tc>
        <w:tc>
          <w:tcPr>
            <w:tcW w:w="1277"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危险物质</w:t>
            </w:r>
          </w:p>
        </w:tc>
        <w:tc>
          <w:tcPr>
            <w:tcW w:w="1276"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名称</w:t>
            </w:r>
          </w:p>
        </w:tc>
        <w:tc>
          <w:tcPr>
            <w:tcW w:w="1276"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t>次氯酸钠</w:t>
            </w:r>
          </w:p>
        </w:tc>
        <w:tc>
          <w:tcPr>
            <w:tcW w:w="708"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highlight w:val="none"/>
                <w:lang w:val="en-US" w:eastAsia="zh-CN"/>
              </w:rPr>
            </w:pPr>
            <w:r>
              <w:rPr>
                <w:rFonts w:hint="eastAsia" w:ascii="Times New Roman" w:hAnsi="Times New Roman" w:cs="Times New Roman" w:eastAsiaTheme="minorEastAsia"/>
                <w:color w:val="auto"/>
                <w:kern w:val="0"/>
                <w:szCs w:val="21"/>
                <w:highlight w:val="none"/>
                <w:lang w:val="en-US" w:eastAsia="zh-CN"/>
              </w:rPr>
              <w:t>柴油</w:t>
            </w:r>
          </w:p>
        </w:tc>
        <w:tc>
          <w:tcPr>
            <w:tcW w:w="735"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p>
        </w:tc>
        <w:tc>
          <w:tcPr>
            <w:tcW w:w="628"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p>
        </w:tc>
        <w:tc>
          <w:tcPr>
            <w:tcW w:w="628"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p>
        </w:tc>
        <w:tc>
          <w:tcPr>
            <w:tcW w:w="629"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p>
        </w:tc>
        <w:tc>
          <w:tcPr>
            <w:tcW w:w="62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p>
        </w:tc>
        <w:tc>
          <w:tcPr>
            <w:tcW w:w="862"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6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6"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存在总量/t</w:t>
            </w:r>
          </w:p>
        </w:tc>
        <w:tc>
          <w:tcPr>
            <w:tcW w:w="1276"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highlight w:val="none"/>
                <w:lang w:val="en-US" w:eastAsia="zh-CN"/>
              </w:rPr>
            </w:pPr>
            <w:r>
              <w:rPr>
                <w:rFonts w:hint="eastAsia" w:ascii="Times New Roman" w:hAnsi="Times New Roman" w:cs="Times New Roman" w:eastAsiaTheme="minorEastAsia"/>
                <w:color w:val="auto"/>
                <w:kern w:val="0"/>
                <w:szCs w:val="21"/>
                <w:highlight w:val="none"/>
                <w:lang w:val="en-US" w:eastAsia="zh-CN"/>
              </w:rPr>
              <w:t>0.5</w:t>
            </w:r>
          </w:p>
        </w:tc>
        <w:tc>
          <w:tcPr>
            <w:tcW w:w="708"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highlight w:val="none"/>
                <w:lang w:val="en-US" w:eastAsia="zh-CN"/>
              </w:rPr>
            </w:pPr>
            <w:r>
              <w:rPr>
                <w:rFonts w:hint="eastAsia" w:ascii="Times New Roman" w:hAnsi="Times New Roman" w:cs="Times New Roman" w:eastAsiaTheme="minorEastAsia"/>
                <w:color w:val="auto"/>
                <w:kern w:val="0"/>
                <w:szCs w:val="21"/>
                <w:highlight w:val="none"/>
                <w:lang w:val="en-US" w:eastAsia="zh-CN"/>
              </w:rPr>
              <w:t>1</w:t>
            </w:r>
          </w:p>
        </w:tc>
        <w:tc>
          <w:tcPr>
            <w:tcW w:w="735"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p>
        </w:tc>
        <w:tc>
          <w:tcPr>
            <w:tcW w:w="628"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p>
        </w:tc>
        <w:tc>
          <w:tcPr>
            <w:tcW w:w="628"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p>
        </w:tc>
        <w:tc>
          <w:tcPr>
            <w:tcW w:w="629"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p>
        </w:tc>
        <w:tc>
          <w:tcPr>
            <w:tcW w:w="62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p>
        </w:tc>
        <w:tc>
          <w:tcPr>
            <w:tcW w:w="862"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79"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7"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环境敏感性</w:t>
            </w:r>
          </w:p>
        </w:tc>
        <w:tc>
          <w:tcPr>
            <w:tcW w:w="1276"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大气</w:t>
            </w:r>
          </w:p>
        </w:tc>
        <w:tc>
          <w:tcPr>
            <w:tcW w:w="3347" w:type="dxa"/>
            <w:gridSpan w:val="10"/>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500m范围内人口数人</w:t>
            </w:r>
          </w:p>
        </w:tc>
        <w:tc>
          <w:tcPr>
            <w:tcW w:w="2748" w:type="dxa"/>
            <w:gridSpan w:val="8"/>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5km范围内人口数人</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79"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6"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4604" w:type="dxa"/>
            <w:gridSpan w:val="1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每公里管段周边200m范围内人口数（最大）</w:t>
            </w:r>
          </w:p>
        </w:tc>
        <w:tc>
          <w:tcPr>
            <w:tcW w:w="1491"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人</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6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6"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地表水</w:t>
            </w: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地表水功能敏感性</w:t>
            </w:r>
          </w:p>
        </w:tc>
        <w:tc>
          <w:tcPr>
            <w:tcW w:w="1363"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F1□</w:t>
            </w:r>
          </w:p>
        </w:tc>
        <w:tc>
          <w:tcPr>
            <w:tcW w:w="1257"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F2□</w:t>
            </w:r>
          </w:p>
        </w:tc>
        <w:tc>
          <w:tcPr>
            <w:tcW w:w="1491"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F3□</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79"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6"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环境敏感目标分级</w:t>
            </w:r>
          </w:p>
        </w:tc>
        <w:tc>
          <w:tcPr>
            <w:tcW w:w="1363"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S1□</w:t>
            </w:r>
          </w:p>
        </w:tc>
        <w:tc>
          <w:tcPr>
            <w:tcW w:w="1257"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S2□</w:t>
            </w:r>
          </w:p>
        </w:tc>
        <w:tc>
          <w:tcPr>
            <w:tcW w:w="1491"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S3□</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6"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地下水</w:t>
            </w: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地下水功能敏感性</w:t>
            </w:r>
          </w:p>
        </w:tc>
        <w:tc>
          <w:tcPr>
            <w:tcW w:w="1363"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G1□</w:t>
            </w:r>
          </w:p>
        </w:tc>
        <w:tc>
          <w:tcPr>
            <w:tcW w:w="1257"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G2□</w:t>
            </w:r>
          </w:p>
        </w:tc>
        <w:tc>
          <w:tcPr>
            <w:tcW w:w="1491"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G3√</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6"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包气带防污性能</w:t>
            </w:r>
          </w:p>
        </w:tc>
        <w:tc>
          <w:tcPr>
            <w:tcW w:w="1363"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D1√</w:t>
            </w:r>
          </w:p>
        </w:tc>
        <w:tc>
          <w:tcPr>
            <w:tcW w:w="1257"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D2□</w:t>
            </w:r>
          </w:p>
        </w:tc>
        <w:tc>
          <w:tcPr>
            <w:tcW w:w="1491"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D2□</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物质及工艺系统危险性</w:t>
            </w:r>
          </w:p>
        </w:tc>
        <w:tc>
          <w:tcPr>
            <w:tcW w:w="1276"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Q值</w:t>
            </w: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Q＜1√</w:t>
            </w:r>
          </w:p>
        </w:tc>
        <w:tc>
          <w:tcPr>
            <w:tcW w:w="1363"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1≤Q＜10□</w:t>
            </w:r>
          </w:p>
        </w:tc>
        <w:tc>
          <w:tcPr>
            <w:tcW w:w="1257"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10≤Q＜100□</w:t>
            </w:r>
          </w:p>
        </w:tc>
        <w:tc>
          <w:tcPr>
            <w:tcW w:w="1491"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Q＞100□</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6"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M值</w:t>
            </w: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M1□</w:t>
            </w:r>
          </w:p>
        </w:tc>
        <w:tc>
          <w:tcPr>
            <w:tcW w:w="1363"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M2□</w:t>
            </w:r>
          </w:p>
        </w:tc>
        <w:tc>
          <w:tcPr>
            <w:tcW w:w="1257"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M3□</w:t>
            </w:r>
          </w:p>
        </w:tc>
        <w:tc>
          <w:tcPr>
            <w:tcW w:w="1491"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M4□</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6"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P值</w:t>
            </w: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P1□</w:t>
            </w:r>
          </w:p>
        </w:tc>
        <w:tc>
          <w:tcPr>
            <w:tcW w:w="1363"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P2□</w:t>
            </w:r>
          </w:p>
        </w:tc>
        <w:tc>
          <w:tcPr>
            <w:tcW w:w="1257"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P3□</w:t>
            </w:r>
          </w:p>
        </w:tc>
        <w:tc>
          <w:tcPr>
            <w:tcW w:w="1491"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P4□</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环境敏感程度</w:t>
            </w:r>
          </w:p>
        </w:tc>
        <w:tc>
          <w:tcPr>
            <w:tcW w:w="1276"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大气</w:t>
            </w: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E1□</w:t>
            </w:r>
          </w:p>
        </w:tc>
        <w:tc>
          <w:tcPr>
            <w:tcW w:w="1939"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E2□</w:t>
            </w:r>
          </w:p>
        </w:tc>
        <w:tc>
          <w:tcPr>
            <w:tcW w:w="2172" w:type="dxa"/>
            <w:gridSpan w:val="6"/>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E3□</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6"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地表水</w:t>
            </w: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E1□</w:t>
            </w:r>
          </w:p>
        </w:tc>
        <w:tc>
          <w:tcPr>
            <w:tcW w:w="1939"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E2□</w:t>
            </w:r>
          </w:p>
        </w:tc>
        <w:tc>
          <w:tcPr>
            <w:tcW w:w="2172" w:type="dxa"/>
            <w:gridSpan w:val="6"/>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E3□</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6"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地下水</w:t>
            </w:r>
          </w:p>
        </w:tc>
        <w:tc>
          <w:tcPr>
            <w:tcW w:w="1984"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E1□</w:t>
            </w:r>
          </w:p>
        </w:tc>
        <w:tc>
          <w:tcPr>
            <w:tcW w:w="1939"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E2□</w:t>
            </w:r>
          </w:p>
        </w:tc>
        <w:tc>
          <w:tcPr>
            <w:tcW w:w="2172" w:type="dxa"/>
            <w:gridSpan w:val="6"/>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E3□</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环境风险潜势</w:t>
            </w:r>
          </w:p>
        </w:tc>
        <w:tc>
          <w:tcPr>
            <w:tcW w:w="1427"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Ⅳ</w:t>
            </w:r>
            <w:r>
              <w:rPr>
                <w:rFonts w:hint="default" w:ascii="Times New Roman" w:hAnsi="Times New Roman" w:cs="Times New Roman" w:eastAsiaTheme="minorEastAsia"/>
                <w:color w:val="auto"/>
                <w:kern w:val="0"/>
                <w:szCs w:val="21"/>
                <w:vertAlign w:val="superscript"/>
              </w:rPr>
              <w:t>+</w:t>
            </w:r>
            <w:r>
              <w:rPr>
                <w:rFonts w:hint="default" w:ascii="Times New Roman" w:hAnsi="Times New Roman" w:cs="Times New Roman" w:eastAsiaTheme="minorEastAsia"/>
                <w:color w:val="auto"/>
                <w:kern w:val="0"/>
                <w:szCs w:val="21"/>
              </w:rPr>
              <w:t>□</w:t>
            </w:r>
          </w:p>
        </w:tc>
        <w:tc>
          <w:tcPr>
            <w:tcW w:w="1428"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Ⅳ□</w:t>
            </w:r>
          </w:p>
        </w:tc>
        <w:tc>
          <w:tcPr>
            <w:tcW w:w="1427"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Ⅲ□</w:t>
            </w:r>
          </w:p>
        </w:tc>
        <w:tc>
          <w:tcPr>
            <w:tcW w:w="1428"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Ⅱ□</w:t>
            </w:r>
          </w:p>
        </w:tc>
        <w:tc>
          <w:tcPr>
            <w:tcW w:w="1661"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Ⅰ√</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评价等级</w:t>
            </w:r>
          </w:p>
        </w:tc>
        <w:tc>
          <w:tcPr>
            <w:tcW w:w="2855"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一级□</w:t>
            </w:r>
          </w:p>
        </w:tc>
        <w:tc>
          <w:tcPr>
            <w:tcW w:w="1427"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二级□</w:t>
            </w:r>
          </w:p>
        </w:tc>
        <w:tc>
          <w:tcPr>
            <w:tcW w:w="1428"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三级□</w:t>
            </w:r>
          </w:p>
        </w:tc>
        <w:tc>
          <w:tcPr>
            <w:tcW w:w="1661"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简单分析√</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风险识别</w:t>
            </w:r>
          </w:p>
        </w:tc>
        <w:tc>
          <w:tcPr>
            <w:tcW w:w="1277"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物质危险性</w:t>
            </w:r>
          </w:p>
        </w:tc>
        <w:tc>
          <w:tcPr>
            <w:tcW w:w="3569" w:type="dxa"/>
            <w:gridSpan w:val="8"/>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有毒有害√</w:t>
            </w:r>
          </w:p>
        </w:tc>
        <w:tc>
          <w:tcPr>
            <w:tcW w:w="3802" w:type="dxa"/>
            <w:gridSpan w:val="11"/>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易燃易爆□</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7"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环境风险类型</w:t>
            </w:r>
          </w:p>
        </w:tc>
        <w:tc>
          <w:tcPr>
            <w:tcW w:w="3569" w:type="dxa"/>
            <w:gridSpan w:val="8"/>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泄漏□</w:t>
            </w:r>
          </w:p>
        </w:tc>
        <w:tc>
          <w:tcPr>
            <w:tcW w:w="3802" w:type="dxa"/>
            <w:gridSpan w:val="11"/>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火灾、爆炸引发伴生/次生污染物排放√</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7"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影响途径</w:t>
            </w:r>
          </w:p>
        </w:tc>
        <w:tc>
          <w:tcPr>
            <w:tcW w:w="2379"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lang w:eastAsia="zh-CN"/>
              </w:rPr>
            </w:pPr>
            <w:r>
              <w:rPr>
                <w:rFonts w:hint="default" w:ascii="Times New Roman" w:hAnsi="Times New Roman" w:cs="Times New Roman" w:eastAsiaTheme="minorEastAsia"/>
                <w:color w:val="auto"/>
                <w:kern w:val="0"/>
                <w:szCs w:val="21"/>
              </w:rPr>
              <w:t>大气</w:t>
            </w:r>
            <w:r>
              <w:rPr>
                <w:rFonts w:hint="default" w:ascii="Times New Roman" w:hAnsi="Times New Roman" w:cs="Times New Roman" w:eastAsiaTheme="minorEastAsia"/>
                <w:color w:val="auto"/>
                <w:kern w:val="0"/>
                <w:szCs w:val="21"/>
                <w:lang w:eastAsia="zh-CN"/>
              </w:rPr>
              <w:t>☑</w:t>
            </w:r>
          </w:p>
        </w:tc>
        <w:tc>
          <w:tcPr>
            <w:tcW w:w="2379" w:type="dxa"/>
            <w:gridSpan w:val="8"/>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地表水√</w:t>
            </w:r>
          </w:p>
        </w:tc>
        <w:tc>
          <w:tcPr>
            <w:tcW w:w="2613" w:type="dxa"/>
            <w:gridSpan w:val="7"/>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地下水□</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1704" w:type="dxa"/>
            <w:gridSpan w:val="2"/>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事故情形分析</w:t>
            </w:r>
          </w:p>
        </w:tc>
        <w:tc>
          <w:tcPr>
            <w:tcW w:w="1784"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源强设定方法</w:t>
            </w:r>
          </w:p>
        </w:tc>
        <w:tc>
          <w:tcPr>
            <w:tcW w:w="1785"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计算法□</w:t>
            </w:r>
          </w:p>
        </w:tc>
        <w:tc>
          <w:tcPr>
            <w:tcW w:w="1784" w:type="dxa"/>
            <w:gridSpan w:val="7"/>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经验估算法□</w:t>
            </w:r>
          </w:p>
        </w:tc>
        <w:tc>
          <w:tcPr>
            <w:tcW w:w="2018"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其他估算法□</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风险预测与评价</w:t>
            </w:r>
          </w:p>
        </w:tc>
        <w:tc>
          <w:tcPr>
            <w:tcW w:w="1277"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大气</w:t>
            </w:r>
          </w:p>
        </w:tc>
        <w:tc>
          <w:tcPr>
            <w:tcW w:w="1784"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预测模型</w:t>
            </w:r>
          </w:p>
        </w:tc>
        <w:tc>
          <w:tcPr>
            <w:tcW w:w="1785"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SLAB□</w:t>
            </w:r>
          </w:p>
        </w:tc>
        <w:tc>
          <w:tcPr>
            <w:tcW w:w="1784" w:type="dxa"/>
            <w:gridSpan w:val="7"/>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AFTOX□</w:t>
            </w:r>
          </w:p>
        </w:tc>
        <w:tc>
          <w:tcPr>
            <w:tcW w:w="2018"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其他□</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784" w:type="dxa"/>
            <w:gridSpan w:val="3"/>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预测结果</w:t>
            </w:r>
          </w:p>
        </w:tc>
        <w:tc>
          <w:tcPr>
            <w:tcW w:w="5587" w:type="dxa"/>
            <w:gridSpan w:val="16"/>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大气毒性终点浓度-1 最大影响范围m</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784" w:type="dxa"/>
            <w:gridSpan w:val="3"/>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5587" w:type="dxa"/>
            <w:gridSpan w:val="16"/>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大气毒性终点浓度-2 最大影响范围m</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7"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地表水</w:t>
            </w:r>
          </w:p>
        </w:tc>
        <w:tc>
          <w:tcPr>
            <w:tcW w:w="7371" w:type="dxa"/>
            <w:gridSpan w:val="19"/>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最近环境敏感目标，到达时间h</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88"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7"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地下水</w:t>
            </w:r>
          </w:p>
        </w:tc>
        <w:tc>
          <w:tcPr>
            <w:tcW w:w="7371" w:type="dxa"/>
            <w:gridSpan w:val="19"/>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下游厂区边界到达时间h</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06" w:hRule="atLeast"/>
        </w:trPr>
        <w:tc>
          <w:tcPr>
            <w:tcW w:w="42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127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pPr>
              <w:widowControl/>
              <w:snapToGrid w:val="0"/>
              <w:jc w:val="left"/>
              <w:rPr>
                <w:rFonts w:hint="default" w:ascii="Times New Roman" w:hAnsi="Times New Roman" w:cs="Times New Roman" w:eastAsiaTheme="minorEastAsia"/>
                <w:color w:val="auto"/>
                <w:kern w:val="0"/>
                <w:szCs w:val="21"/>
              </w:rPr>
            </w:pPr>
          </w:p>
        </w:tc>
        <w:tc>
          <w:tcPr>
            <w:tcW w:w="7371" w:type="dxa"/>
            <w:gridSpan w:val="19"/>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最近环境敏感目标，到达时间h</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754" w:hRule="atLeast"/>
        </w:trPr>
        <w:tc>
          <w:tcPr>
            <w:tcW w:w="1704" w:type="dxa"/>
            <w:gridSpan w:val="2"/>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highlight w:val="none"/>
                <w:lang w:eastAsia="zh-CN"/>
              </w:rPr>
            </w:pPr>
            <w:r>
              <w:rPr>
                <w:rFonts w:hint="default" w:ascii="Times New Roman" w:hAnsi="Times New Roman" w:cs="Times New Roman" w:eastAsiaTheme="minorEastAsia"/>
                <w:color w:val="auto"/>
                <w:kern w:val="0"/>
                <w:szCs w:val="21"/>
                <w:highlight w:val="none"/>
              </w:rPr>
              <w:t>重点风险防范措施</w:t>
            </w:r>
          </w:p>
        </w:tc>
        <w:tc>
          <w:tcPr>
            <w:tcW w:w="7371" w:type="dxa"/>
            <w:gridSpan w:val="19"/>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pPr>
              <w:snapToGrid w:val="0"/>
              <w:jc w:val="left"/>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lang w:val="en-US" w:eastAsia="zh-CN"/>
              </w:rPr>
              <w:t>加</w:t>
            </w:r>
            <w:r>
              <w:rPr>
                <w:rFonts w:hint="default" w:ascii="Times New Roman" w:hAnsi="Times New Roman" w:cs="Times New Roman" w:eastAsiaTheme="minorEastAsia"/>
                <w:color w:val="auto"/>
                <w:kern w:val="0"/>
                <w:szCs w:val="21"/>
                <w:highlight w:val="none"/>
              </w:rPr>
              <w:t>强安全、消防和环保管理，建立健全环保、安全、消防各项制度，设置环保、安全、消防设施专职管理人员，保证设施正常运行或处于良好的待命状态</w:t>
            </w:r>
            <w:r>
              <w:rPr>
                <w:rFonts w:hint="default" w:ascii="Times New Roman" w:hAnsi="Times New Roman" w:cs="Times New Roman" w:eastAsiaTheme="minorEastAsia"/>
                <w:color w:val="auto"/>
                <w:kern w:val="0"/>
                <w:szCs w:val="21"/>
                <w:highlight w:val="none"/>
                <w:lang w:eastAsia="zh-CN"/>
              </w:rPr>
              <w:t>。</w:t>
            </w:r>
            <w:r>
              <w:rPr>
                <w:rFonts w:hint="default" w:ascii="Times New Roman" w:hAnsi="Times New Roman" w:cs="Times New Roman" w:eastAsiaTheme="minorEastAsia"/>
                <w:color w:val="auto"/>
                <w:kern w:val="0"/>
                <w:szCs w:val="21"/>
                <w:highlight w:val="none"/>
              </w:rPr>
              <w:t>严格遵守操作规程；加强设备维护、确保安装及检修质量；严格机、电、化、仪结合的巡回检查制度，及时发现异常，消除隐患；加强员工安全防毒教育，加强个人防护；将污水引入事故池</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039" w:hRule="atLeast"/>
        </w:trPr>
        <w:tc>
          <w:tcPr>
            <w:tcW w:w="1702" w:type="dxa"/>
            <w:gridSpan w:val="2"/>
            <w:tcBorders>
              <w:top w:val="single" w:color="000000" w:themeColor="text1" w:sz="6" w:space="0"/>
              <w:left w:val="single" w:color="000000" w:themeColor="text1" w:sz="12" w:space="0"/>
              <w:bottom w:val="single" w:color="000000" w:themeColor="text1" w:sz="2" w:space="0"/>
              <w:right w:val="single" w:color="000000" w:themeColor="text1" w:sz="6" w:space="0"/>
            </w:tcBorders>
            <w:vAlign w:val="center"/>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评价结论与建议</w:t>
            </w:r>
          </w:p>
        </w:tc>
        <w:tc>
          <w:tcPr>
            <w:tcW w:w="7371" w:type="dxa"/>
            <w:gridSpan w:val="19"/>
            <w:tcBorders>
              <w:top w:val="single" w:color="000000" w:themeColor="text1" w:sz="6" w:space="0"/>
              <w:left w:val="single" w:color="000000" w:themeColor="text1" w:sz="6" w:space="0"/>
              <w:bottom w:val="single" w:color="000000" w:themeColor="text1" w:sz="2" w:space="0"/>
              <w:right w:val="single" w:color="000000" w:themeColor="text1" w:sz="12" w:space="0"/>
            </w:tcBorders>
            <w:vAlign w:val="center"/>
          </w:tcPr>
          <w:p>
            <w:pPr>
              <w:snapToGrid w:val="0"/>
              <w:jc w:val="left"/>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采取本项目提出的风险应急措施，可有效避免风险事故污染水环境，可有效保护应急人员健康。</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971" w:hRule="atLeast"/>
        </w:trPr>
        <w:tc>
          <w:tcPr>
            <w:tcW w:w="9073" w:type="dxa"/>
            <w:gridSpan w:val="21"/>
            <w:tcBorders>
              <w:top w:val="single" w:color="000000" w:themeColor="text1" w:sz="2" w:space="0"/>
              <w:left w:val="single" w:color="000000" w:themeColor="text1" w:sz="12" w:space="0"/>
              <w:bottom w:val="single" w:color="000000" w:themeColor="text1" w:sz="12" w:space="0"/>
              <w:right w:val="single" w:color="000000" w:themeColor="text1" w:sz="12" w:space="0"/>
            </w:tcBorders>
            <w:vAlign w:val="top"/>
          </w:tcPr>
          <w:p>
            <w:pPr>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住：“□”为勾选项，“”为填写项。</w:t>
            </w:r>
          </w:p>
        </w:tc>
      </w:tr>
    </w:tbl>
    <w:p>
      <w:pPr>
        <w:rPr>
          <w:rFonts w:hint="default" w:ascii="Times New Roman" w:hAnsi="Times New Roman" w:cs="Times New Roman"/>
          <w:b/>
          <w:color w:val="FF0000"/>
          <w:sz w:val="24"/>
        </w:rPr>
      </w:pPr>
      <w:r>
        <w:rPr>
          <w:rFonts w:hint="default" w:ascii="Times New Roman" w:hAnsi="Times New Roman" w:cs="Times New Roman"/>
          <w:b/>
          <w:color w:val="FF0000"/>
          <w:sz w:val="24"/>
        </w:rPr>
        <w:br w:type="page"/>
      </w:r>
    </w:p>
    <w:p>
      <w:pPr>
        <w:spacing w:line="360" w:lineRule="auto"/>
        <w:ind w:firstLine="480" w:firstLineChars="200"/>
        <w:jc w:val="center"/>
        <w:outlineLvl w:val="0"/>
        <w:rPr>
          <w:rFonts w:hint="default" w:ascii="Times New Roman" w:hAnsi="Times New Roman" w:cs="Times New Roman"/>
          <w:b/>
          <w:color w:val="auto"/>
          <w:sz w:val="24"/>
        </w:rPr>
      </w:pPr>
      <w:bookmarkStart w:id="542" w:name="_Toc15594"/>
      <w:bookmarkStart w:id="543" w:name="_Toc6369"/>
      <w:r>
        <w:rPr>
          <w:rFonts w:hint="default" w:ascii="Times New Roman" w:hAnsi="Times New Roman" w:cs="Times New Roman"/>
          <w:b/>
          <w:color w:val="auto"/>
          <w:sz w:val="24"/>
        </w:rPr>
        <w:t>声环境影响评价自查表</w:t>
      </w:r>
      <w:bookmarkEnd w:id="542"/>
      <w:bookmarkEnd w:id="543"/>
    </w:p>
    <w:tbl>
      <w:tblPr>
        <w:tblStyle w:val="24"/>
        <w:tblW w:w="840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1"/>
        <w:gridCol w:w="1275"/>
        <w:gridCol w:w="993"/>
        <w:gridCol w:w="1011"/>
        <w:gridCol w:w="831"/>
        <w:gridCol w:w="142"/>
        <w:gridCol w:w="992"/>
        <w:gridCol w:w="993"/>
        <w:gridCol w:w="12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66" w:type="dxa"/>
            <w:gridSpan w:val="2"/>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工作内容</w:t>
            </w:r>
          </w:p>
        </w:tc>
        <w:tc>
          <w:tcPr>
            <w:tcW w:w="6237" w:type="dxa"/>
            <w:gridSpan w:val="7"/>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restar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评价等级与范围</w:t>
            </w:r>
          </w:p>
        </w:tc>
        <w:tc>
          <w:tcPr>
            <w:tcW w:w="1275"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评价等级</w:t>
            </w:r>
          </w:p>
        </w:tc>
        <w:tc>
          <w:tcPr>
            <w:tcW w:w="6237" w:type="dxa"/>
            <w:gridSpan w:val="7"/>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一级□ 二级√ 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jc w:val="center"/>
              <w:rPr>
                <w:rFonts w:hint="default" w:ascii="Times New Roman" w:hAnsi="Times New Roman" w:cs="Times New Roman"/>
                <w:color w:val="auto"/>
                <w:szCs w:val="21"/>
              </w:rPr>
            </w:pPr>
          </w:p>
        </w:tc>
        <w:tc>
          <w:tcPr>
            <w:tcW w:w="1275"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评价范围</w:t>
            </w:r>
          </w:p>
        </w:tc>
        <w:tc>
          <w:tcPr>
            <w:tcW w:w="6237" w:type="dxa"/>
            <w:gridSpan w:val="7"/>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等效连续A声级√  最大A声级□  计权等效连续感觉噪声级□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评价因子</w:t>
            </w:r>
          </w:p>
        </w:tc>
        <w:tc>
          <w:tcPr>
            <w:tcW w:w="1275"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评价因子</w:t>
            </w:r>
          </w:p>
        </w:tc>
        <w:tc>
          <w:tcPr>
            <w:tcW w:w="6237" w:type="dxa"/>
            <w:gridSpan w:val="7"/>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国家标准√  地方标准□  国外标准□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restar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现状评价</w:t>
            </w:r>
          </w:p>
        </w:tc>
        <w:tc>
          <w:tcPr>
            <w:tcW w:w="1275"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环境功能区</w:t>
            </w:r>
          </w:p>
        </w:tc>
        <w:tc>
          <w:tcPr>
            <w:tcW w:w="993"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0类区□</w:t>
            </w:r>
          </w:p>
        </w:tc>
        <w:tc>
          <w:tcPr>
            <w:tcW w:w="1011"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1类区□</w:t>
            </w:r>
          </w:p>
        </w:tc>
        <w:tc>
          <w:tcPr>
            <w:tcW w:w="973" w:type="dxa"/>
            <w:gridSpan w:val="2"/>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2类区√</w:t>
            </w:r>
          </w:p>
        </w:tc>
        <w:tc>
          <w:tcPr>
            <w:tcW w:w="992"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3类区□</w:t>
            </w:r>
          </w:p>
        </w:tc>
        <w:tc>
          <w:tcPr>
            <w:tcW w:w="993"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4a类区□</w:t>
            </w:r>
          </w:p>
        </w:tc>
        <w:tc>
          <w:tcPr>
            <w:tcW w:w="1275"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4b类区□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jc w:val="center"/>
              <w:rPr>
                <w:rFonts w:hint="default" w:ascii="Times New Roman" w:hAnsi="Times New Roman" w:cs="Times New Roman"/>
                <w:color w:val="auto"/>
                <w:szCs w:val="21"/>
              </w:rPr>
            </w:pPr>
          </w:p>
        </w:tc>
        <w:tc>
          <w:tcPr>
            <w:tcW w:w="1275"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评价年度</w:t>
            </w:r>
          </w:p>
        </w:tc>
        <w:tc>
          <w:tcPr>
            <w:tcW w:w="2004" w:type="dxa"/>
            <w:gridSpan w:val="2"/>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初期□</w:t>
            </w:r>
          </w:p>
        </w:tc>
        <w:tc>
          <w:tcPr>
            <w:tcW w:w="973" w:type="dxa"/>
            <w:gridSpan w:val="2"/>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近期√</w:t>
            </w:r>
          </w:p>
        </w:tc>
        <w:tc>
          <w:tcPr>
            <w:tcW w:w="992"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中期□</w:t>
            </w:r>
          </w:p>
        </w:tc>
        <w:tc>
          <w:tcPr>
            <w:tcW w:w="2268" w:type="dxa"/>
            <w:gridSpan w:val="2"/>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远期√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jc w:val="center"/>
              <w:rPr>
                <w:rFonts w:hint="default" w:ascii="Times New Roman" w:hAnsi="Times New Roman" w:cs="Times New Roman"/>
                <w:color w:val="auto"/>
                <w:szCs w:val="21"/>
              </w:rPr>
            </w:pPr>
          </w:p>
        </w:tc>
        <w:tc>
          <w:tcPr>
            <w:tcW w:w="1275"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现状调查</w:t>
            </w:r>
          </w:p>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方法</w:t>
            </w:r>
          </w:p>
        </w:tc>
        <w:tc>
          <w:tcPr>
            <w:tcW w:w="6237" w:type="dxa"/>
            <w:gridSpan w:val="7"/>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现场实测法√现场实测加模型计算法□  收集资料√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jc w:val="center"/>
              <w:rPr>
                <w:rFonts w:hint="default" w:ascii="Times New Roman" w:hAnsi="Times New Roman" w:cs="Times New Roman"/>
                <w:color w:val="auto"/>
                <w:szCs w:val="21"/>
              </w:rPr>
            </w:pPr>
          </w:p>
        </w:tc>
        <w:tc>
          <w:tcPr>
            <w:tcW w:w="1275"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现状评价</w:t>
            </w:r>
          </w:p>
        </w:tc>
        <w:tc>
          <w:tcPr>
            <w:tcW w:w="2004" w:type="dxa"/>
            <w:gridSpan w:val="2"/>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达标百分比</w:t>
            </w:r>
          </w:p>
        </w:tc>
        <w:tc>
          <w:tcPr>
            <w:tcW w:w="4233" w:type="dxa"/>
            <w:gridSpan w:val="5"/>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噪声源</w:t>
            </w:r>
          </w:p>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调查</w:t>
            </w:r>
          </w:p>
        </w:tc>
        <w:tc>
          <w:tcPr>
            <w:tcW w:w="1275"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噪声源调查方法</w:t>
            </w:r>
          </w:p>
        </w:tc>
        <w:tc>
          <w:tcPr>
            <w:tcW w:w="6237" w:type="dxa"/>
            <w:gridSpan w:val="7"/>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现场实测√已有资料√  研究成果□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restar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声环境影响预测与评价</w:t>
            </w:r>
          </w:p>
        </w:tc>
        <w:tc>
          <w:tcPr>
            <w:tcW w:w="1275"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预测模型</w:t>
            </w:r>
          </w:p>
        </w:tc>
        <w:tc>
          <w:tcPr>
            <w:tcW w:w="6237" w:type="dxa"/>
            <w:gridSpan w:val="7"/>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导则推荐模型√           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jc w:val="center"/>
              <w:rPr>
                <w:rFonts w:hint="default" w:ascii="Times New Roman" w:hAnsi="Times New Roman" w:cs="Times New Roman"/>
                <w:color w:val="auto"/>
                <w:szCs w:val="21"/>
              </w:rPr>
            </w:pPr>
          </w:p>
        </w:tc>
        <w:tc>
          <w:tcPr>
            <w:tcW w:w="1275"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预测范围</w:t>
            </w:r>
          </w:p>
        </w:tc>
        <w:tc>
          <w:tcPr>
            <w:tcW w:w="6237" w:type="dxa"/>
            <w:gridSpan w:val="7"/>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200m√  大于200m□  小于200m□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p>
        </w:tc>
        <w:tc>
          <w:tcPr>
            <w:tcW w:w="1275" w:type="dxa"/>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预测因子</w:t>
            </w:r>
          </w:p>
        </w:tc>
        <w:tc>
          <w:tcPr>
            <w:tcW w:w="6237" w:type="dxa"/>
            <w:gridSpan w:val="7"/>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等效连续A声级√  最大A声级□  计权等效连续感觉噪声级□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p>
        </w:tc>
        <w:tc>
          <w:tcPr>
            <w:tcW w:w="1275" w:type="dxa"/>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厂界噪声贡献值</w:t>
            </w:r>
          </w:p>
        </w:tc>
        <w:tc>
          <w:tcPr>
            <w:tcW w:w="6237" w:type="dxa"/>
            <w:gridSpan w:val="7"/>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达标√  不达标□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p>
        </w:tc>
        <w:tc>
          <w:tcPr>
            <w:tcW w:w="1275" w:type="dxa"/>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声环境保护目标出噪声值</w:t>
            </w:r>
          </w:p>
        </w:tc>
        <w:tc>
          <w:tcPr>
            <w:tcW w:w="6237" w:type="dxa"/>
            <w:gridSpan w:val="7"/>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达标□  不达标□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restart"/>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环境监测计划</w:t>
            </w:r>
          </w:p>
        </w:tc>
        <w:tc>
          <w:tcPr>
            <w:tcW w:w="1275" w:type="dxa"/>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排放监测</w:t>
            </w:r>
          </w:p>
        </w:tc>
        <w:tc>
          <w:tcPr>
            <w:tcW w:w="6237" w:type="dxa"/>
            <w:gridSpan w:val="7"/>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厂界监测□ 固定位置监测□  自动监测□ 手动监测√  无监测□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p>
        </w:tc>
        <w:tc>
          <w:tcPr>
            <w:tcW w:w="1275" w:type="dxa"/>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声环境保护目标处噪声监测</w:t>
            </w:r>
          </w:p>
        </w:tc>
        <w:tc>
          <w:tcPr>
            <w:tcW w:w="2835" w:type="dxa"/>
            <w:gridSpan w:val="3"/>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监测因子：（等效A声级）</w:t>
            </w:r>
          </w:p>
        </w:tc>
        <w:tc>
          <w:tcPr>
            <w:tcW w:w="2127" w:type="dxa"/>
            <w:gridSpan w:val="3"/>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监测点位数（4）</w:t>
            </w:r>
          </w:p>
        </w:tc>
        <w:tc>
          <w:tcPr>
            <w:tcW w:w="1275" w:type="dxa"/>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无监测□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评价</w:t>
            </w:r>
          </w:p>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结论</w:t>
            </w:r>
          </w:p>
        </w:tc>
        <w:tc>
          <w:tcPr>
            <w:tcW w:w="1275" w:type="dxa"/>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环境影响</w:t>
            </w:r>
          </w:p>
        </w:tc>
        <w:tc>
          <w:tcPr>
            <w:tcW w:w="6237" w:type="dxa"/>
            <w:gridSpan w:val="7"/>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可行√ 不可行□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403" w:type="dxa"/>
            <w:gridSpan w:val="9"/>
            <w:vAlign w:val="center"/>
          </w:tcPr>
          <w:p>
            <w:pPr>
              <w:pStyle w:val="20"/>
              <w:spacing w:before="0" w:line="240" w:lineRule="auto"/>
              <w:ind w:left="0" w:firstLine="0" w:firstLineChars="0"/>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注：“□” 为勾选项，可√ ；“（）” 为内容填写项。</w:t>
            </w:r>
          </w:p>
        </w:tc>
      </w:tr>
    </w:tbl>
    <w:p>
      <w:pPr>
        <w:pStyle w:val="20"/>
        <w:ind w:firstLine="426"/>
        <w:rPr>
          <w:rFonts w:hint="default" w:ascii="Times New Roman" w:hAnsi="Times New Roman" w:cs="Times New Roman"/>
          <w:color w:val="FF0000"/>
        </w:rPr>
      </w:pPr>
    </w:p>
    <w:p>
      <w:pPr>
        <w:spacing w:after="316" w:line="1" w:lineRule="exact"/>
        <w:rPr>
          <w:rFonts w:hint="default" w:ascii="Times New Roman" w:hAnsi="Times New Roman" w:cs="Times New Roman"/>
          <w:color w:val="FF0000"/>
        </w:rPr>
      </w:pPr>
    </w:p>
    <w:p>
      <w:pPr>
        <w:spacing w:after="316" w:line="1" w:lineRule="exact"/>
        <w:rPr>
          <w:rFonts w:hint="default" w:ascii="Times New Roman" w:hAnsi="Times New Roman" w:cs="Times New Roman"/>
          <w:color w:val="FF0000"/>
        </w:rPr>
      </w:pPr>
    </w:p>
    <w:p>
      <w:pPr>
        <w:spacing w:after="316" w:line="1" w:lineRule="exact"/>
        <w:rPr>
          <w:rFonts w:hint="default" w:ascii="Times New Roman" w:hAnsi="Times New Roman" w:cs="Times New Roman"/>
          <w:color w:val="FF0000"/>
        </w:rPr>
      </w:pPr>
    </w:p>
    <w:p>
      <w:pPr>
        <w:spacing w:line="360" w:lineRule="auto"/>
        <w:ind w:firstLine="480" w:firstLineChars="200"/>
        <w:rPr>
          <w:rFonts w:hint="default" w:ascii="Times New Roman" w:hAnsi="Times New Roman" w:cs="Times New Roman"/>
          <w:color w:val="FF0000"/>
          <w:kern w:val="18"/>
          <w:sz w:val="24"/>
          <w:szCs w:val="21"/>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line="360" w:lineRule="auto"/>
        <w:jc w:val="center"/>
        <w:rPr>
          <w:rFonts w:hint="default" w:ascii="Times New Roman" w:hAnsi="Times New Roman" w:cs="Times New Roman" w:eastAsiaTheme="minorEastAsia"/>
          <w:b/>
          <w:color w:val="auto"/>
          <w:sz w:val="28"/>
          <w:szCs w:val="28"/>
        </w:rPr>
      </w:pPr>
      <w:r>
        <w:rPr>
          <w:rFonts w:hint="default" w:ascii="Times New Roman" w:hAnsi="Times New Roman" w:cs="Times New Roman" w:eastAsiaTheme="minorEastAsia"/>
          <w:b/>
          <w:color w:val="auto"/>
          <w:sz w:val="28"/>
          <w:szCs w:val="28"/>
        </w:rPr>
        <w:t>生态影响评价自查表</w:t>
      </w:r>
    </w:p>
    <w:tbl>
      <w:tblPr>
        <w:tblStyle w:val="24"/>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8"/>
        <w:gridCol w:w="1303"/>
        <w:gridCol w:w="63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43" w:type="dxa"/>
            <w:gridSpan w:val="2"/>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工作内容</w:t>
            </w:r>
          </w:p>
        </w:tc>
        <w:tc>
          <w:tcPr>
            <w:tcW w:w="6385" w:type="dxa"/>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restart"/>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生态影响识别</w:t>
            </w:r>
          </w:p>
        </w:tc>
        <w:tc>
          <w:tcPr>
            <w:tcW w:w="1304" w:type="dxa"/>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生态保护目标</w:t>
            </w:r>
          </w:p>
        </w:tc>
        <w:tc>
          <w:tcPr>
            <w:tcW w:w="6385" w:type="dxa"/>
            <w:vAlign w:val="center"/>
          </w:tcPr>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重要物种□；国家公园□；自然保护区□；自然公园□；世界自然遗产□；生态保护红线□；重要生境□；其他具有重要生态功能、对保护生物多样性具有重要意义的区域□；其他</w:t>
            </w:r>
            <w:r>
              <w:rPr>
                <w:rFonts w:hint="default" w:ascii="Times New Roman" w:hAnsi="Times New Roman" w:eastAsia="MS Mincho" w:cs="Times New Roman"/>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continue"/>
            <w:vAlign w:val="center"/>
          </w:tcPr>
          <w:p>
            <w:pPr>
              <w:jc w:val="center"/>
              <w:rPr>
                <w:rFonts w:hint="default" w:ascii="Times New Roman" w:hAnsi="Times New Roman" w:cs="Times New Roman" w:eastAsiaTheme="minorEastAsia"/>
                <w:color w:val="auto"/>
                <w:szCs w:val="21"/>
              </w:rPr>
            </w:pPr>
          </w:p>
        </w:tc>
        <w:tc>
          <w:tcPr>
            <w:tcW w:w="1304" w:type="dxa"/>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影响方式</w:t>
            </w:r>
          </w:p>
        </w:tc>
        <w:tc>
          <w:tcPr>
            <w:tcW w:w="6385" w:type="dxa"/>
            <w:vAlign w:val="center"/>
          </w:tcPr>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工程占用</w:t>
            </w:r>
            <w:r>
              <w:rPr>
                <w:rFonts w:hint="default" w:ascii="Times New Roman" w:hAnsi="Times New Roman" w:eastAsia="MS Mincho" w:cs="Times New Roman"/>
                <w:color w:val="auto"/>
                <w:szCs w:val="21"/>
              </w:rPr>
              <w:t>☑</w:t>
            </w:r>
            <w:r>
              <w:rPr>
                <w:rFonts w:hint="default" w:ascii="Times New Roman" w:hAnsi="Times New Roman" w:cs="Times New Roman" w:eastAsiaTheme="minorEastAsia"/>
                <w:color w:val="auto"/>
                <w:szCs w:val="21"/>
              </w:rPr>
              <w:t>；施工活动干扰</w:t>
            </w:r>
            <w:r>
              <w:rPr>
                <w:rFonts w:hint="default" w:ascii="Times New Roman" w:hAnsi="Times New Roman" w:eastAsia="MS Mincho" w:cs="Times New Roman"/>
                <w:color w:val="auto"/>
                <w:szCs w:val="21"/>
              </w:rPr>
              <w:t>☑</w:t>
            </w:r>
            <w:r>
              <w:rPr>
                <w:rFonts w:hint="default" w:ascii="Times New Roman" w:hAnsi="Times New Roman" w:cs="Times New Roman" w:eastAsiaTheme="minorEastAsia"/>
                <w:color w:val="auto"/>
                <w:szCs w:val="21"/>
              </w:rPr>
              <w:t>；改变环境条件□；其他□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continue"/>
            <w:vAlign w:val="center"/>
          </w:tcPr>
          <w:p>
            <w:pPr>
              <w:jc w:val="center"/>
              <w:rPr>
                <w:rFonts w:hint="default" w:ascii="Times New Roman" w:hAnsi="Times New Roman" w:cs="Times New Roman" w:eastAsiaTheme="minorEastAsia"/>
                <w:color w:val="auto"/>
                <w:szCs w:val="21"/>
              </w:rPr>
            </w:pPr>
          </w:p>
        </w:tc>
        <w:tc>
          <w:tcPr>
            <w:tcW w:w="1304" w:type="dxa"/>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评价因子</w:t>
            </w:r>
          </w:p>
        </w:tc>
        <w:tc>
          <w:tcPr>
            <w:tcW w:w="6385" w:type="dxa"/>
            <w:vAlign w:val="center"/>
          </w:tcPr>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物种</w:t>
            </w:r>
            <w:r>
              <w:rPr>
                <w:rFonts w:hint="default" w:ascii="Times New Roman" w:hAnsi="Times New Roman" w:eastAsia="MS Mincho" w:cs="Times New Roman"/>
                <w:color w:val="auto"/>
                <w:szCs w:val="21"/>
              </w:rPr>
              <w:t>☑</w:t>
            </w:r>
            <w:r>
              <w:rPr>
                <w:rFonts w:hint="default" w:ascii="Times New Roman" w:hAnsi="Times New Roman" w:cs="Times New Roman" w:eastAsiaTheme="minorEastAsia"/>
                <w:color w:val="auto"/>
                <w:szCs w:val="21"/>
              </w:rPr>
              <w:t>（分布范围）</w:t>
            </w:r>
          </w:p>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生境□（                                    ）</w:t>
            </w:r>
          </w:p>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生物群落</w:t>
            </w:r>
            <w:r>
              <w:rPr>
                <w:rFonts w:hint="default" w:ascii="Times New Roman" w:hAnsi="Times New Roman" w:eastAsia="MS Mincho" w:cs="Times New Roman"/>
                <w:color w:val="auto"/>
                <w:szCs w:val="21"/>
              </w:rPr>
              <w:t>☑</w:t>
            </w:r>
            <w:r>
              <w:rPr>
                <w:rFonts w:hint="default" w:ascii="Times New Roman" w:hAnsi="Times New Roman" w:cs="Times New Roman" w:eastAsiaTheme="minorEastAsia"/>
                <w:color w:val="auto"/>
                <w:szCs w:val="21"/>
              </w:rPr>
              <w:t>（物种组成、群落结构）</w:t>
            </w:r>
          </w:p>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生态系统□（</w:t>
            </w:r>
            <w:r>
              <w:rPr>
                <w:rFonts w:hint="default" w:ascii="Times New Roman" w:hAnsi="Times New Roman" w:cs="Times New Roman"/>
                <w:color w:val="auto"/>
                <w:szCs w:val="21"/>
              </w:rPr>
              <w:t xml:space="preserve">                                </w:t>
            </w:r>
            <w:r>
              <w:rPr>
                <w:rFonts w:hint="default" w:ascii="Times New Roman" w:hAnsi="Times New Roman" w:cs="Times New Roman" w:eastAsiaTheme="minorEastAsia"/>
                <w:color w:val="auto"/>
                <w:szCs w:val="21"/>
              </w:rPr>
              <w:t>）</w:t>
            </w:r>
          </w:p>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生物多样性□（                               ）</w:t>
            </w:r>
          </w:p>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生态敏感区□（                               ）</w:t>
            </w:r>
          </w:p>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自然景观□（</w:t>
            </w:r>
            <w:r>
              <w:rPr>
                <w:rFonts w:hint="default" w:ascii="Times New Roman" w:hAnsi="Times New Roman" w:cs="Times New Roman"/>
                <w:color w:val="auto"/>
                <w:szCs w:val="21"/>
              </w:rPr>
              <w:t xml:space="preserve">                                 </w:t>
            </w:r>
            <w:r>
              <w:rPr>
                <w:rFonts w:hint="default" w:ascii="Times New Roman" w:hAnsi="Times New Roman" w:cs="Times New Roman" w:eastAsiaTheme="minorEastAsia"/>
                <w:color w:val="auto"/>
                <w:szCs w:val="21"/>
              </w:rPr>
              <w:t>）</w:t>
            </w:r>
          </w:p>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自然遗迹□（                                 ）</w:t>
            </w:r>
          </w:p>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其他□（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43" w:type="dxa"/>
            <w:gridSpan w:val="2"/>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评价等级</w:t>
            </w:r>
          </w:p>
        </w:tc>
        <w:tc>
          <w:tcPr>
            <w:tcW w:w="6385" w:type="dxa"/>
            <w:vAlign w:val="center"/>
          </w:tcPr>
          <w:p>
            <w:pPr>
              <w:rPr>
                <w:rFonts w:hint="eastAsia" w:ascii="Times New Roman" w:hAnsi="Times New Roman" w:cs="Times New Roman" w:eastAsiaTheme="minorEastAsia"/>
                <w:color w:val="auto"/>
                <w:szCs w:val="21"/>
                <w:lang w:eastAsia="zh-CN"/>
              </w:rPr>
            </w:pPr>
            <w:r>
              <w:rPr>
                <w:rFonts w:hint="default" w:ascii="Times New Roman" w:hAnsi="Times New Roman" w:cs="Times New Roman" w:eastAsiaTheme="minorEastAsia"/>
                <w:color w:val="auto"/>
                <w:szCs w:val="21"/>
              </w:rPr>
              <w:t>一级□        二级□        三级</w:t>
            </w:r>
            <w:r>
              <w:rPr>
                <w:rFonts w:hint="eastAsia" w:ascii="Times New Roman" w:hAnsi="Times New Roman" w:eastAsia="宋体" w:cs="Times New Roman"/>
                <w:color w:val="auto"/>
                <w:szCs w:val="21"/>
                <w:lang w:eastAsia="zh-CN"/>
              </w:rPr>
              <w:t>□</w:t>
            </w:r>
            <w:r>
              <w:rPr>
                <w:rFonts w:hint="default" w:ascii="Times New Roman" w:hAnsi="Times New Roman" w:cs="Times New Roman" w:eastAsiaTheme="minorEastAsia"/>
                <w:color w:val="auto"/>
                <w:szCs w:val="21"/>
              </w:rPr>
              <w:t xml:space="preserve">     生态影响简单分析</w:t>
            </w:r>
            <w:r>
              <w:rPr>
                <w:rFonts w:hint="eastAsia" w:ascii="Times New Roman" w:hAnsi="Times New Roman" w:cs="Times New Roman" w:eastAsiaTheme="minorEastAsia"/>
                <w:color w:val="auto"/>
                <w:szCs w:val="21"/>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43" w:type="dxa"/>
            <w:gridSpan w:val="2"/>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评价范围</w:t>
            </w:r>
          </w:p>
        </w:tc>
        <w:tc>
          <w:tcPr>
            <w:tcW w:w="6385" w:type="dxa"/>
            <w:vAlign w:val="center"/>
          </w:tcPr>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陆域面积：（</w:t>
            </w:r>
            <w:r>
              <w:rPr>
                <w:rFonts w:hint="default" w:ascii="Times New Roman" w:hAnsi="Times New Roman" w:cs="Times New Roman" w:eastAsiaTheme="minorEastAsia"/>
                <w:color w:val="auto"/>
                <w:szCs w:val="21"/>
                <w:lang w:eastAsia="zh-CN"/>
              </w:rPr>
              <w:t>0.029672</w:t>
            </w:r>
            <w:r>
              <w:rPr>
                <w:rFonts w:hint="default" w:ascii="Times New Roman" w:hAnsi="Times New Roman" w:cs="Times New Roman" w:eastAsiaTheme="minorEastAsia"/>
                <w:color w:val="auto"/>
                <w:szCs w:val="21"/>
              </w:rPr>
              <w:t>）km</w:t>
            </w:r>
            <w:r>
              <w:rPr>
                <w:rFonts w:hint="default" w:ascii="Times New Roman" w:hAnsi="Times New Roman" w:cs="Times New Roman" w:eastAsiaTheme="minorEastAsia"/>
                <w:color w:val="auto"/>
                <w:szCs w:val="21"/>
                <w:vertAlign w:val="superscript"/>
              </w:rPr>
              <w:t>2</w:t>
            </w:r>
            <w:r>
              <w:rPr>
                <w:rFonts w:hint="default" w:ascii="Times New Roman" w:hAnsi="Times New Roman" w:cs="Times New Roman" w:eastAsiaTheme="minorEastAsia"/>
                <w:color w:val="auto"/>
                <w:szCs w:val="21"/>
              </w:rPr>
              <w:t>；水域面积：（0）km</w:t>
            </w:r>
            <w:r>
              <w:rPr>
                <w:rFonts w:hint="default" w:ascii="Times New Roman" w:hAnsi="Times New Roman" w:cs="Times New Roman" w:eastAsiaTheme="minorEastAsia"/>
                <w:color w:val="auto"/>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restart"/>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生态现状调查与评价</w:t>
            </w:r>
          </w:p>
        </w:tc>
        <w:tc>
          <w:tcPr>
            <w:tcW w:w="1304" w:type="dxa"/>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调查方法</w:t>
            </w:r>
          </w:p>
        </w:tc>
        <w:tc>
          <w:tcPr>
            <w:tcW w:w="6385" w:type="dxa"/>
            <w:vAlign w:val="center"/>
          </w:tcPr>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资料收集</w:t>
            </w:r>
            <w:r>
              <w:rPr>
                <w:rFonts w:hint="default" w:ascii="Times New Roman" w:hAnsi="Times New Roman" w:eastAsia="MS Mincho" w:cs="Times New Roman"/>
                <w:color w:val="auto"/>
                <w:szCs w:val="21"/>
              </w:rPr>
              <w:t>☑</w:t>
            </w:r>
            <w:r>
              <w:rPr>
                <w:rFonts w:hint="default" w:ascii="Times New Roman" w:hAnsi="Times New Roman" w:cs="Times New Roman" w:eastAsiaTheme="minorEastAsia"/>
                <w:color w:val="auto"/>
                <w:szCs w:val="21"/>
              </w:rPr>
              <w:t>；遥感调查□；调查样方、样线□；调查点位、断面□；专家和公众咨询法□；其他□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continue"/>
            <w:vAlign w:val="center"/>
          </w:tcPr>
          <w:p>
            <w:pPr>
              <w:jc w:val="center"/>
              <w:rPr>
                <w:rFonts w:hint="default" w:ascii="Times New Roman" w:hAnsi="Times New Roman" w:cs="Times New Roman" w:eastAsiaTheme="minorEastAsia"/>
                <w:color w:val="auto"/>
                <w:szCs w:val="21"/>
              </w:rPr>
            </w:pPr>
          </w:p>
        </w:tc>
        <w:tc>
          <w:tcPr>
            <w:tcW w:w="1304" w:type="dxa"/>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调查时间</w:t>
            </w:r>
          </w:p>
        </w:tc>
        <w:tc>
          <w:tcPr>
            <w:tcW w:w="6385" w:type="dxa"/>
            <w:vAlign w:val="center"/>
          </w:tcPr>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春季</w:t>
            </w:r>
            <w:r>
              <w:rPr>
                <w:rFonts w:hint="default" w:ascii="Times New Roman" w:hAnsi="Times New Roman" w:eastAsia="MS Mincho" w:cs="Times New Roman"/>
                <w:color w:val="auto"/>
                <w:szCs w:val="21"/>
              </w:rPr>
              <w:t>☑</w:t>
            </w:r>
            <w:r>
              <w:rPr>
                <w:rFonts w:hint="default" w:ascii="Times New Roman" w:hAnsi="Times New Roman" w:cs="Times New Roman" w:eastAsiaTheme="minorEastAsia"/>
                <w:color w:val="auto"/>
                <w:szCs w:val="21"/>
              </w:rPr>
              <w:t>；夏季□；秋季□；冬季□</w:t>
            </w:r>
          </w:p>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丰水期□；枯水期□；平水期□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continue"/>
            <w:vAlign w:val="center"/>
          </w:tcPr>
          <w:p>
            <w:pPr>
              <w:jc w:val="center"/>
              <w:rPr>
                <w:rFonts w:hint="default" w:ascii="Times New Roman" w:hAnsi="Times New Roman" w:cs="Times New Roman" w:eastAsiaTheme="minorEastAsia"/>
                <w:color w:val="auto"/>
                <w:szCs w:val="21"/>
              </w:rPr>
            </w:pPr>
          </w:p>
        </w:tc>
        <w:tc>
          <w:tcPr>
            <w:tcW w:w="1304" w:type="dxa"/>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所在区域的生态问题</w:t>
            </w:r>
          </w:p>
        </w:tc>
        <w:tc>
          <w:tcPr>
            <w:tcW w:w="6385" w:type="dxa"/>
            <w:vAlign w:val="center"/>
          </w:tcPr>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水土流失</w:t>
            </w:r>
            <w:r>
              <w:rPr>
                <w:rFonts w:hint="default" w:ascii="Times New Roman" w:hAnsi="Times New Roman" w:eastAsia="MS Mincho" w:cs="Times New Roman"/>
                <w:color w:val="auto"/>
                <w:szCs w:val="21"/>
              </w:rPr>
              <w:t>☑</w:t>
            </w:r>
            <w:r>
              <w:rPr>
                <w:rFonts w:hint="default" w:ascii="Times New Roman" w:hAnsi="Times New Roman" w:cs="Times New Roman" w:eastAsiaTheme="minorEastAsia"/>
                <w:color w:val="auto"/>
                <w:szCs w:val="21"/>
              </w:rPr>
              <w:t>；沙漠化□；石漠化□；盐渍化□；生物入侵□；污染危害□；其他□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continue"/>
            <w:vAlign w:val="center"/>
          </w:tcPr>
          <w:p>
            <w:pPr>
              <w:jc w:val="center"/>
              <w:rPr>
                <w:rFonts w:hint="default" w:ascii="Times New Roman" w:hAnsi="Times New Roman" w:cs="Times New Roman" w:eastAsiaTheme="minorEastAsia"/>
                <w:color w:val="auto"/>
                <w:szCs w:val="21"/>
              </w:rPr>
            </w:pPr>
          </w:p>
        </w:tc>
        <w:tc>
          <w:tcPr>
            <w:tcW w:w="1304" w:type="dxa"/>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评价内容</w:t>
            </w:r>
          </w:p>
        </w:tc>
        <w:tc>
          <w:tcPr>
            <w:tcW w:w="6385" w:type="dxa"/>
            <w:vAlign w:val="center"/>
          </w:tcPr>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植被/植物群落</w:t>
            </w:r>
            <w:r>
              <w:rPr>
                <w:rFonts w:hint="default" w:ascii="Times New Roman" w:hAnsi="Times New Roman" w:eastAsia="MS Mincho" w:cs="Times New Roman"/>
                <w:color w:val="auto"/>
                <w:szCs w:val="21"/>
              </w:rPr>
              <w:t>☑</w:t>
            </w:r>
            <w:r>
              <w:rPr>
                <w:rFonts w:hint="default" w:ascii="Times New Roman" w:hAnsi="Times New Roman" w:cs="Times New Roman" w:eastAsiaTheme="minorEastAsia"/>
                <w:color w:val="auto"/>
                <w:szCs w:val="21"/>
              </w:rPr>
              <w:t>；土地利用</w:t>
            </w:r>
            <w:r>
              <w:rPr>
                <w:rFonts w:hint="default" w:ascii="Times New Roman" w:hAnsi="Times New Roman" w:eastAsia="MS Mincho" w:cs="Times New Roman"/>
                <w:color w:val="auto"/>
                <w:szCs w:val="21"/>
              </w:rPr>
              <w:t>☑</w:t>
            </w:r>
            <w:r>
              <w:rPr>
                <w:rFonts w:hint="default" w:ascii="Times New Roman" w:hAnsi="Times New Roman" w:cs="Times New Roman" w:eastAsiaTheme="minorEastAsia"/>
                <w:color w:val="auto"/>
                <w:szCs w:val="21"/>
              </w:rPr>
              <w:t>；生态系统□；生物多样性□；重要物种□；生态敏感区□；其他</w:t>
            </w:r>
            <w:r>
              <w:rPr>
                <w:rFonts w:hint="default" w:ascii="Times New Roman" w:hAnsi="Times New Roman" w:eastAsia="MS Mincho" w:cs="Times New Roman"/>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restart"/>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生态影响预测与评价</w:t>
            </w:r>
          </w:p>
        </w:tc>
        <w:tc>
          <w:tcPr>
            <w:tcW w:w="1304" w:type="dxa"/>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评价方法</w:t>
            </w:r>
          </w:p>
        </w:tc>
        <w:tc>
          <w:tcPr>
            <w:tcW w:w="6385" w:type="dxa"/>
            <w:vAlign w:val="center"/>
          </w:tcPr>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定性</w:t>
            </w:r>
            <w:r>
              <w:rPr>
                <w:rFonts w:hint="default" w:ascii="Times New Roman" w:hAnsi="Times New Roman" w:eastAsia="MS Mincho" w:cs="Times New Roman"/>
                <w:color w:val="auto"/>
                <w:szCs w:val="21"/>
              </w:rPr>
              <w:t>☑</w:t>
            </w:r>
            <w:r>
              <w:rPr>
                <w:rFonts w:hint="default" w:ascii="Times New Roman" w:hAnsi="Times New Roman" w:cs="Times New Roman" w:eastAsiaTheme="minorEastAsia"/>
                <w:color w:val="auto"/>
                <w:szCs w:val="21"/>
              </w:rPr>
              <w:t>；定性和定量□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continue"/>
            <w:vAlign w:val="center"/>
          </w:tcPr>
          <w:p>
            <w:pPr>
              <w:jc w:val="center"/>
              <w:rPr>
                <w:rFonts w:hint="default" w:ascii="Times New Roman" w:hAnsi="Times New Roman" w:cs="Times New Roman" w:eastAsiaTheme="minorEastAsia"/>
                <w:color w:val="auto"/>
                <w:szCs w:val="21"/>
              </w:rPr>
            </w:pPr>
          </w:p>
        </w:tc>
        <w:tc>
          <w:tcPr>
            <w:tcW w:w="1304" w:type="dxa"/>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评价内容</w:t>
            </w:r>
          </w:p>
        </w:tc>
        <w:tc>
          <w:tcPr>
            <w:tcW w:w="6385" w:type="dxa"/>
            <w:vAlign w:val="center"/>
          </w:tcPr>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植被/植物群落</w:t>
            </w:r>
            <w:r>
              <w:rPr>
                <w:rFonts w:hint="default" w:ascii="Times New Roman" w:hAnsi="Times New Roman" w:eastAsia="MS Mincho" w:cs="Times New Roman"/>
                <w:color w:val="auto"/>
                <w:szCs w:val="21"/>
              </w:rPr>
              <w:t>☑</w:t>
            </w:r>
            <w:r>
              <w:rPr>
                <w:rFonts w:hint="default" w:ascii="Times New Roman" w:hAnsi="Times New Roman" w:cs="Times New Roman" w:eastAsiaTheme="minorEastAsia"/>
                <w:color w:val="auto"/>
                <w:szCs w:val="21"/>
              </w:rPr>
              <w:t>；土地利用</w:t>
            </w:r>
            <w:r>
              <w:rPr>
                <w:rFonts w:hint="default" w:ascii="Times New Roman" w:hAnsi="Times New Roman" w:eastAsia="MS Mincho" w:cs="Times New Roman"/>
                <w:color w:val="auto"/>
                <w:szCs w:val="21"/>
              </w:rPr>
              <w:t>☑</w:t>
            </w:r>
            <w:r>
              <w:rPr>
                <w:rFonts w:hint="default" w:ascii="Times New Roman" w:hAnsi="Times New Roman" w:cs="Times New Roman" w:eastAsiaTheme="minorEastAsia"/>
                <w:color w:val="auto"/>
                <w:szCs w:val="21"/>
              </w:rPr>
              <w:t>；生态系统□；生物多样性□；重要物种□；生态敏感区□；生物入侵风险□；其他</w:t>
            </w:r>
            <w:r>
              <w:rPr>
                <w:rFonts w:hint="default" w:ascii="Times New Roman" w:hAnsi="Times New Roman" w:eastAsia="MS Mincho" w:cs="Times New Roman"/>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restart"/>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生态保护对策措施</w:t>
            </w:r>
          </w:p>
        </w:tc>
        <w:tc>
          <w:tcPr>
            <w:tcW w:w="1304" w:type="dxa"/>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对策措施</w:t>
            </w:r>
          </w:p>
        </w:tc>
        <w:tc>
          <w:tcPr>
            <w:tcW w:w="6385" w:type="dxa"/>
            <w:vAlign w:val="center"/>
          </w:tcPr>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避让□；减缓</w:t>
            </w:r>
            <w:r>
              <w:rPr>
                <w:rFonts w:hint="default" w:ascii="Times New Roman" w:hAnsi="Times New Roman" w:eastAsia="MS Mincho" w:cs="Times New Roman"/>
                <w:color w:val="auto"/>
                <w:szCs w:val="21"/>
              </w:rPr>
              <w:t>☑</w:t>
            </w:r>
            <w:r>
              <w:rPr>
                <w:rFonts w:hint="default" w:ascii="Times New Roman" w:hAnsi="Times New Roman" w:cs="Times New Roman" w:eastAsiaTheme="minorEastAsia"/>
                <w:color w:val="auto"/>
                <w:szCs w:val="21"/>
              </w:rPr>
              <w:t>；生态修复□；生态补偿□；科研□；其他□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continue"/>
            <w:vAlign w:val="center"/>
          </w:tcPr>
          <w:p>
            <w:pPr>
              <w:jc w:val="center"/>
              <w:rPr>
                <w:rFonts w:hint="default" w:ascii="Times New Roman" w:hAnsi="Times New Roman" w:cs="Times New Roman" w:eastAsiaTheme="minorEastAsia"/>
                <w:color w:val="auto"/>
                <w:szCs w:val="21"/>
              </w:rPr>
            </w:pPr>
          </w:p>
        </w:tc>
        <w:tc>
          <w:tcPr>
            <w:tcW w:w="1304" w:type="dxa"/>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生态监测</w:t>
            </w:r>
          </w:p>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计划</w:t>
            </w:r>
          </w:p>
        </w:tc>
        <w:tc>
          <w:tcPr>
            <w:tcW w:w="6385" w:type="dxa"/>
            <w:vAlign w:val="center"/>
          </w:tcPr>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全生命周期□；长期跟踪□；常规</w:t>
            </w:r>
            <w:r>
              <w:rPr>
                <w:rFonts w:hint="default" w:ascii="Times New Roman" w:hAnsi="Times New Roman" w:eastAsia="MS Mincho" w:cs="Times New Roman"/>
                <w:color w:val="auto"/>
                <w:szCs w:val="21"/>
              </w:rPr>
              <w:t>☑</w:t>
            </w:r>
            <w:r>
              <w:rPr>
                <w:rFonts w:hint="default" w:ascii="Times New Roman" w:hAnsi="Times New Roman" w:cs="Times New Roman" w:eastAsiaTheme="minorEastAsia"/>
                <w:color w:val="auto"/>
                <w:szCs w:val="21"/>
              </w:rPr>
              <w:t>；无</w:t>
            </w:r>
            <w:r>
              <w:rPr>
                <w:rFonts w:hint="default" w:ascii="Times New Roman" w:hAnsi="Times New Roman" w:eastAsia="MS Mincho" w:cs="Times New Roman"/>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Merge w:val="continue"/>
            <w:vAlign w:val="center"/>
          </w:tcPr>
          <w:p>
            <w:pPr>
              <w:jc w:val="center"/>
              <w:rPr>
                <w:rFonts w:hint="default" w:ascii="Times New Roman" w:hAnsi="Times New Roman" w:cs="Times New Roman" w:eastAsiaTheme="minorEastAsia"/>
                <w:color w:val="auto"/>
                <w:szCs w:val="21"/>
              </w:rPr>
            </w:pPr>
          </w:p>
        </w:tc>
        <w:tc>
          <w:tcPr>
            <w:tcW w:w="1304" w:type="dxa"/>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环境管理</w:t>
            </w:r>
          </w:p>
        </w:tc>
        <w:tc>
          <w:tcPr>
            <w:tcW w:w="6385" w:type="dxa"/>
            <w:vAlign w:val="center"/>
          </w:tcPr>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环境监理</w:t>
            </w:r>
            <w:r>
              <w:rPr>
                <w:rFonts w:hint="default" w:ascii="Times New Roman" w:hAnsi="Times New Roman" w:eastAsia="MS Mincho" w:cs="Times New Roman"/>
                <w:color w:val="auto"/>
                <w:szCs w:val="21"/>
              </w:rPr>
              <w:t>☑</w:t>
            </w:r>
            <w:r>
              <w:rPr>
                <w:rFonts w:hint="default" w:ascii="Times New Roman" w:hAnsi="Times New Roman" w:cs="Times New Roman" w:eastAsiaTheme="minorEastAsia"/>
                <w:color w:val="auto"/>
                <w:szCs w:val="21"/>
              </w:rPr>
              <w:t>；环境影响后评价□；其他□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评价</w:t>
            </w:r>
          </w:p>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结论</w:t>
            </w:r>
          </w:p>
        </w:tc>
        <w:tc>
          <w:tcPr>
            <w:tcW w:w="1304" w:type="dxa"/>
            <w:vAlign w:val="center"/>
          </w:tcPr>
          <w:p>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生态影响</w:t>
            </w:r>
          </w:p>
        </w:tc>
        <w:tc>
          <w:tcPr>
            <w:tcW w:w="6385" w:type="dxa"/>
            <w:vAlign w:val="center"/>
          </w:tcPr>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可行</w:t>
            </w:r>
            <w:r>
              <w:rPr>
                <w:rFonts w:hint="default" w:ascii="Times New Roman" w:hAnsi="Times New Roman" w:eastAsia="MS Mincho" w:cs="Times New Roman"/>
                <w:color w:val="auto"/>
                <w:szCs w:val="21"/>
              </w:rPr>
              <w:t>☑</w:t>
            </w:r>
            <w:r>
              <w:rPr>
                <w:rFonts w:hint="default" w:ascii="Times New Roman" w:hAnsi="Times New Roman" w:cs="Times New Roman" w:eastAsiaTheme="minorEastAsia"/>
                <w:color w:val="auto"/>
                <w:szCs w:val="21"/>
              </w:rPr>
              <w:t>；不可行□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528" w:type="dxa"/>
            <w:gridSpan w:val="3"/>
            <w:vAlign w:val="center"/>
          </w:tcPr>
          <w:p>
            <w:pP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注：“□”为勾选项，可√；“（  ）”为内容填写项</w:t>
            </w:r>
          </w:p>
        </w:tc>
      </w:tr>
    </w:tbl>
    <w:p>
      <w:pPr>
        <w:spacing w:line="360" w:lineRule="auto"/>
        <w:ind w:firstLine="480" w:firstLineChars="200"/>
        <w:rPr>
          <w:rFonts w:hint="default" w:ascii="Times New Roman" w:hAnsi="Times New Roman" w:cs="Times New Roman"/>
          <w:color w:val="FF0000"/>
          <w:kern w:val="18"/>
          <w:sz w:val="24"/>
          <w:szCs w:val="21"/>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10"/>
        <w:keepNext/>
        <w:keepLines/>
        <w:pageBreakBefore w:val="0"/>
        <w:widowControl/>
        <w:kinsoku w:val="0"/>
        <w:wordWrap/>
        <w:overflowPunct/>
        <w:topLinePunct w:val="0"/>
        <w:autoSpaceDE w:val="0"/>
        <w:autoSpaceDN w:val="0"/>
        <w:bidi w:val="0"/>
        <w:adjustRightInd w:val="0"/>
        <w:snapToGrid w:val="0"/>
        <w:spacing w:before="0" w:after="0" w:line="240" w:lineRule="auto"/>
        <w:jc w:val="left"/>
        <w:textAlignment w:val="baseline"/>
        <w:outlineLvl w:val="1"/>
        <w:rPr>
          <w:rFonts w:hint="default"/>
          <w:lang w:val="en-US" w:eastAsia="zh-CN"/>
        </w:rPr>
      </w:pPr>
      <w:bookmarkStart w:id="544" w:name="_Toc3521"/>
      <w:bookmarkStart w:id="545" w:name="_Toc30745"/>
      <w:r>
        <w:rPr>
          <w:rFonts w:eastAsia="宋体"/>
          <w:color w:val="auto"/>
          <w:spacing w:val="16"/>
          <w:sz w:val="28"/>
          <w:szCs w:val="28"/>
        </w:rPr>
        <w:pict>
          <v:shape id="Object 62" o:spid="_x0000_s1611" o:spt="75" type="#_x0000_t75" style="position:absolute;left:0pt;margin-left:648.7pt;margin-top:20.2pt;height:50.95pt;width:49.55pt;z-index:251804672;mso-width-relative:page;mso-height-relative:page;" o:ole="t" filled="f" o:preferrelative="t" stroked="f" coordsize="21600,21600">
            <v:path/>
            <v:fill on="f" focussize="0,0"/>
            <v:stroke on="f"/>
            <v:imagedata r:id="rId92" o:title=""/>
            <o:lock v:ext="edit" aspectratio="f"/>
          </v:shape>
          <o:OLEObject Type="Embed" ProgID="Visio.Drawing.11" ShapeID="Object 62" DrawAspect="Content" ObjectID="_1468075736" r:id="rId91">
            <o:LockedField>false</o:LockedField>
          </o:OLEObject>
        </w:pict>
      </w:r>
      <w:r>
        <w:rPr>
          <w:rFonts w:hint="eastAsia"/>
          <w:lang w:val="en-US" w:eastAsia="zh-CN"/>
        </w:rPr>
        <w:t>附图1项目地理位置图</w:t>
      </w:r>
      <w:bookmarkEnd w:id="544"/>
      <w:bookmarkEnd w:id="545"/>
    </w:p>
    <w:p>
      <w:pPr>
        <w:jc w:val="center"/>
        <w:rPr>
          <w:rFonts w:hint="default" w:ascii="Times New Roman" w:hAnsi="Times New Roman" w:cs="Times New Roman"/>
        </w:rPr>
      </w:pPr>
      <w:r>
        <w:rPr>
          <w:sz w:val="28"/>
        </w:rPr>
        <mc:AlternateContent>
          <mc:Choice Requires="wps">
            <w:drawing>
              <wp:anchor distT="0" distB="0" distL="114300" distR="114300" simplePos="0" relativeHeight="251805696" behindDoc="0" locked="0" layoutInCell="1" allowOverlap="1">
                <wp:simplePos x="0" y="0"/>
                <wp:positionH relativeFrom="column">
                  <wp:posOffset>2798445</wp:posOffset>
                </wp:positionH>
                <wp:positionV relativeFrom="paragraph">
                  <wp:posOffset>2626995</wp:posOffset>
                </wp:positionV>
                <wp:extent cx="942975" cy="410210"/>
                <wp:effectExtent l="6350" t="6350" r="708025" b="21590"/>
                <wp:wrapNone/>
                <wp:docPr id="49" name="圆角矩形标注 49"/>
                <wp:cNvGraphicFramePr/>
                <a:graphic xmlns:a="http://schemas.openxmlformats.org/drawingml/2006/main">
                  <a:graphicData uri="http://schemas.microsoft.com/office/word/2010/wordprocessingShape">
                    <wps:wsp>
                      <wps:cNvSpPr/>
                      <wps:spPr>
                        <a:xfrm>
                          <a:off x="0" y="0"/>
                          <a:ext cx="942975" cy="410210"/>
                        </a:xfrm>
                        <a:prstGeom prst="wedgeRoundRectCallout">
                          <a:avLst>
                            <a:gd name="adj1" fmla="val 118069"/>
                            <a:gd name="adj2" fmla="val 33417"/>
                            <a:gd name="adj3" fmla="val 16667"/>
                          </a:avLst>
                        </a:prstGeom>
                        <a:solidFill>
                          <a:srgbClr val="FFFFFF"/>
                        </a:solidFill>
                        <a:ln w="12700" cap="flat" cmpd="sng">
                          <a:solidFill>
                            <a:srgbClr val="FFFFFF"/>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_x0000_s1026" o:spid="_x0000_s1026" o:spt="62" type="#_x0000_t62" style="position:absolute;left:0pt;margin-left:220.35pt;margin-top:206.85pt;height:32.3pt;width:74.25pt;z-index:251805696;mso-width-relative:page;mso-height-relative:page;" fillcolor="#FFFFFF" filled="t" stroked="t" coordsize="21600,21600" o:gfxdata="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Iww1P2gAAAAsB&#10;AAAPAAAAAAAAAAEAIAAAACIAAABkcnMvZG93bnJldi54bWxQSwECFAAUAAAACACHTuJA9Zs//VIC&#10;AAC+BAAADgAAAAAAAAABACAAAAApAQAAZHJzL2Uyb0RvYy54bWxQSwUGAAAAAAYABgBZAQAA7QUA&#10;AAAA&#10;" adj="36303,18018,14400">
                <v:fill on="t" focussize="0,0"/>
                <v:stroke weight="1pt" color="#FFFFFF" joinstyle="miter"/>
                <v:imagedata o:title=""/>
                <o:lock v:ext="edit" aspectratio="f"/>
                <v:textbox>
                  <w:txbxContent>
                    <w:p>
                      <w:pPr>
                        <w:rPr>
                          <w:rFonts w:hint="default" w:eastAsia="宋体"/>
                          <w:lang w:val="en-US" w:eastAsia="zh-CN"/>
                        </w:rPr>
                      </w:pPr>
                      <w:r>
                        <w:rPr>
                          <w:rFonts w:hint="eastAsia"/>
                          <w:lang w:val="en-US" w:eastAsia="zh-CN"/>
                        </w:rPr>
                        <w:t>本项目位置</w:t>
                      </w:r>
                    </w:p>
                  </w:txbxContent>
                </v:textbox>
              </v:shape>
            </w:pict>
          </mc:Fallback>
        </mc:AlternateContent>
      </w:r>
      <w:r>
        <w:drawing>
          <wp:inline distT="0" distB="0" distL="114300" distR="114300">
            <wp:extent cx="8467090" cy="5504815"/>
            <wp:effectExtent l="0" t="0" r="10160" b="635"/>
            <wp:docPr id="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pic:cNvPicPr>
                      <a:picLocks noChangeAspect="1"/>
                    </pic:cNvPicPr>
                  </pic:nvPicPr>
                  <pic:blipFill>
                    <a:blip r:embed="rId93"/>
                    <a:stretch>
                      <a:fillRect/>
                    </a:stretch>
                  </pic:blipFill>
                  <pic:spPr>
                    <a:xfrm>
                      <a:off x="0" y="0"/>
                      <a:ext cx="8467090" cy="5504815"/>
                    </a:xfrm>
                    <a:prstGeom prst="rect">
                      <a:avLst/>
                    </a:prstGeom>
                    <a:noFill/>
                    <a:ln>
                      <a:noFill/>
                    </a:ln>
                  </pic:spPr>
                </pic:pic>
              </a:graphicData>
            </a:graphic>
          </wp:inline>
        </w:drawing>
      </w:r>
    </w:p>
    <w:p>
      <w:pPr>
        <w:rPr>
          <w:rFonts w:hint="default"/>
          <w:lang w:val="en-US" w:eastAsia="zh-CN"/>
        </w:rPr>
        <w:sectPr>
          <w:pgSz w:w="16839" w:h="11906" w:orient="landscape"/>
          <w:pgMar w:top="1417" w:right="1118" w:bottom="1337" w:left="1181" w:header="878" w:footer="1015" w:gutter="0"/>
          <w:pgBorders>
            <w:top w:val="none" w:sz="0" w:space="0"/>
            <w:left w:val="none" w:sz="0" w:space="0"/>
            <w:bottom w:val="none" w:sz="0" w:space="0"/>
            <w:right w:val="none" w:sz="0" w:space="0"/>
          </w:pgBorders>
          <w:pgNumType w:fmt="decimal"/>
          <w:cols w:space="720" w:num="1"/>
        </w:sectPr>
      </w:pPr>
    </w:p>
    <w:p>
      <w:pPr>
        <w:pStyle w:val="10"/>
        <w:keepNext/>
        <w:keepLines/>
        <w:pageBreakBefore w:val="0"/>
        <w:widowControl/>
        <w:kinsoku w:val="0"/>
        <w:wordWrap/>
        <w:overflowPunct/>
        <w:topLinePunct w:val="0"/>
        <w:autoSpaceDE w:val="0"/>
        <w:autoSpaceDN w:val="0"/>
        <w:bidi w:val="0"/>
        <w:adjustRightInd w:val="0"/>
        <w:snapToGrid w:val="0"/>
        <w:spacing w:before="0" w:after="0" w:line="240" w:lineRule="auto"/>
        <w:jc w:val="left"/>
        <w:textAlignment w:val="baseline"/>
        <w:outlineLvl w:val="0"/>
        <w:rPr>
          <w:rFonts w:hint="eastAsia"/>
          <w:highlight w:val="none"/>
          <w:lang w:val="en-US" w:eastAsia="zh-CN"/>
        </w:rPr>
      </w:pPr>
      <w:bookmarkStart w:id="546" w:name="_Toc19766"/>
      <w:bookmarkStart w:id="547" w:name="_Toc12981"/>
      <w:r>
        <w:rPr>
          <w:rFonts w:hint="eastAsia"/>
          <w:highlight w:val="none"/>
          <w:lang w:val="en-US" w:eastAsia="zh-CN"/>
        </w:rPr>
        <w:t>附图2 项目平面布置图</w:t>
      </w:r>
      <w:bookmarkEnd w:id="546"/>
      <w:bookmarkEnd w:id="547"/>
    </w:p>
    <w:p>
      <w:pPr>
        <w:jc w:val="center"/>
        <w:rPr>
          <w:rFonts w:hint="eastAsia"/>
          <w:lang w:val="en-US" w:eastAsia="zh-CN"/>
        </w:rPr>
      </w:pPr>
      <w:r>
        <w:rPr>
          <w:rFonts w:eastAsia="宋体"/>
          <w:color w:val="auto"/>
          <w:spacing w:val="16"/>
          <w:sz w:val="28"/>
          <w:szCs w:val="28"/>
        </w:rPr>
        <w:pict>
          <v:shape id="_x0000_s1612" o:spid="_x0000_s1612" o:spt="75" type="#_x0000_t75" style="position:absolute;left:0pt;margin-left:396.05pt;margin-top:12pt;height:50.95pt;width:49.55pt;z-index:251947008;mso-width-relative:page;mso-height-relative:page;" o:ole="t" filled="f" o:preferrelative="t" stroked="f" coordsize="21600,21600">
            <v:path/>
            <v:fill on="f" focussize="0,0"/>
            <v:stroke on="f"/>
            <v:imagedata r:id="rId92" o:title=""/>
            <o:lock v:ext="edit" aspectratio="f"/>
          </v:shape>
          <o:OLEObject Type="Embed" ProgID="Visio.Drawing.11" ShapeID="_x0000_s1612" DrawAspect="Content" ObjectID="_1468075737" r:id="rId94">
            <o:LockedField>false</o:LockedField>
          </o:OLEObject>
        </w:pict>
      </w:r>
      <w:r>
        <w:drawing>
          <wp:inline distT="0" distB="0" distL="114300" distR="114300">
            <wp:extent cx="5688965" cy="7865110"/>
            <wp:effectExtent l="0" t="0" r="6985" b="2540"/>
            <wp:docPr id="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
                    <pic:cNvPicPr>
                      <a:picLocks noChangeAspect="1"/>
                    </pic:cNvPicPr>
                  </pic:nvPicPr>
                  <pic:blipFill>
                    <a:blip r:embed="rId95"/>
                    <a:stretch>
                      <a:fillRect/>
                    </a:stretch>
                  </pic:blipFill>
                  <pic:spPr>
                    <a:xfrm>
                      <a:off x="0" y="0"/>
                      <a:ext cx="5688965" cy="7865110"/>
                    </a:xfrm>
                    <a:prstGeom prst="rect">
                      <a:avLst/>
                    </a:prstGeom>
                    <a:noFill/>
                    <a:ln>
                      <a:noFill/>
                    </a:ln>
                  </pic:spPr>
                </pic:pic>
              </a:graphicData>
            </a:graphic>
          </wp:inline>
        </w:drawing>
      </w:r>
    </w:p>
    <w:p>
      <w:pPr>
        <w:pStyle w:val="29"/>
        <w:rPr>
          <w:rFonts w:hint="default"/>
          <w:lang w:val="en-US" w:eastAsia="zh-CN"/>
        </w:rPr>
      </w:pPr>
    </w:p>
    <w:p>
      <w:pPr>
        <w:rPr>
          <w:rFonts w:hint="default"/>
          <w:lang w:val="en-US" w:eastAsia="zh-CN"/>
        </w:rPr>
        <w:sectPr>
          <w:pgSz w:w="11906" w:h="16839"/>
          <w:pgMar w:top="1118" w:right="1337" w:bottom="1181" w:left="1417" w:header="878" w:footer="1015" w:gutter="0"/>
          <w:pgBorders>
            <w:top w:val="none" w:sz="0" w:space="0"/>
            <w:left w:val="none" w:sz="0" w:space="0"/>
            <w:bottom w:val="none" w:sz="0" w:space="0"/>
            <w:right w:val="none" w:sz="0" w:space="0"/>
          </w:pgBorders>
          <w:pgNumType w:fmt="decimal"/>
          <w:cols w:space="720" w:num="1"/>
        </w:sectPr>
      </w:pPr>
    </w:p>
    <w:p>
      <w:pPr>
        <w:pStyle w:val="10"/>
        <w:keepNext/>
        <w:keepLines/>
        <w:pageBreakBefore w:val="0"/>
        <w:widowControl/>
        <w:kinsoku w:val="0"/>
        <w:wordWrap/>
        <w:overflowPunct/>
        <w:topLinePunct w:val="0"/>
        <w:autoSpaceDE w:val="0"/>
        <w:autoSpaceDN w:val="0"/>
        <w:bidi w:val="0"/>
        <w:adjustRightInd w:val="0"/>
        <w:snapToGrid w:val="0"/>
        <w:spacing w:before="0" w:after="0" w:line="240" w:lineRule="auto"/>
        <w:jc w:val="left"/>
        <w:textAlignment w:val="baseline"/>
        <w:outlineLvl w:val="0"/>
        <w:rPr>
          <w:rFonts w:hint="eastAsia"/>
          <w:lang w:val="en-US" w:eastAsia="zh-CN"/>
        </w:rPr>
      </w:pPr>
      <w:bookmarkStart w:id="548" w:name="_Toc7237"/>
      <w:r>
        <w:rPr>
          <w:rFonts w:hint="eastAsia"/>
          <w:lang w:val="en-US" w:eastAsia="zh-CN"/>
        </w:rPr>
        <w:t>附图3 评价范围图</w:t>
      </w:r>
      <w:bookmarkEnd w:id="548"/>
    </w:p>
    <w:p>
      <w:pPr>
        <w:keepNext w:val="0"/>
        <w:keepLines w:val="0"/>
        <w:pageBreakBefore w:val="0"/>
        <w:widowControl w:val="0"/>
        <w:kinsoku/>
        <w:wordWrap/>
        <w:overflowPunct/>
        <w:topLinePunct w:val="0"/>
        <w:autoSpaceDE/>
        <w:autoSpaceDN/>
        <w:bidi w:val="0"/>
        <w:adjustRightInd/>
        <w:snapToGrid/>
        <w:jc w:val="center"/>
        <w:textAlignment w:val="auto"/>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8"/>
        </w:rPr>
        <mc:AlternateContent>
          <mc:Choice Requires="wps">
            <w:drawing>
              <wp:anchor distT="0" distB="0" distL="114300" distR="114300" simplePos="0" relativeHeight="251800576" behindDoc="0" locked="0" layoutInCell="1" allowOverlap="1">
                <wp:simplePos x="0" y="0"/>
                <wp:positionH relativeFrom="column">
                  <wp:posOffset>7792085</wp:posOffset>
                </wp:positionH>
                <wp:positionV relativeFrom="paragraph">
                  <wp:posOffset>4556125</wp:posOffset>
                </wp:positionV>
                <wp:extent cx="361950" cy="161925"/>
                <wp:effectExtent l="6350" t="6350" r="12700" b="22225"/>
                <wp:wrapNone/>
                <wp:docPr id="136" name="矩形 136"/>
                <wp:cNvGraphicFramePr/>
                <a:graphic xmlns:a="http://schemas.openxmlformats.org/drawingml/2006/main">
                  <a:graphicData uri="http://schemas.microsoft.com/office/word/2010/wordprocessingShape">
                    <wps:wsp>
                      <wps:cNvSpPr/>
                      <wps:spPr>
                        <a:xfrm>
                          <a:off x="0" y="0"/>
                          <a:ext cx="361950" cy="161925"/>
                        </a:xfrm>
                        <a:prstGeom prst="rect">
                          <a:avLst/>
                        </a:prstGeom>
                        <a:solidFill>
                          <a:srgbClr val="FFFFFF"/>
                        </a:solidFill>
                        <a:ln w="12700" cap="flat" cmpd="sng">
                          <a:solidFill>
                            <a:srgbClr val="92D05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613.55pt;margin-top:358.75pt;height:12.75pt;width:28.5pt;z-index:251800576;mso-width-relative:page;mso-height-relative:page;" fillcolor="#FFFFFF" filled="t" stroked="t" coordsize="21600,21600" o:gfxdata="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ugZjPtoAAAANAQAADwAAAAAAAAABACAAAAAiAAAAZHJzL2Rv&#10;d25yZXYueG1sUEsBAhQAFAAAAAgAh07iQPcOtpn/AQAAIgQAAA4AAAAAAAAAAQAgAAAAKQEAAGRy&#10;cy9lMm9Eb2MueG1sUEsFBgAAAAAGAAYAWQEAAJoFAAAAAA==&#10;">
                <v:fill on="t" focussize="0,0"/>
                <v:stroke weight="1pt" color="#92D050" joinstyle="miter"/>
                <v:imagedata o:title=""/>
                <o:lock v:ext="edit" aspectratio="f"/>
              </v:rect>
            </w:pict>
          </mc:Fallback>
        </mc:AlternateContent>
      </w:r>
      <w:r>
        <w:rPr>
          <w:rFonts w:eastAsia="宋体"/>
          <w:color w:val="auto"/>
          <w:spacing w:val="16"/>
          <w:sz w:val="28"/>
          <w:szCs w:val="28"/>
        </w:rPr>
        <w:pict>
          <v:shape id="_x0000_s1610" o:spid="_x0000_s1610" o:spt="75" type="#_x0000_t75" style="position:absolute;left:0pt;margin-left:597.05pt;margin-top:8.6pt;height:54.75pt;width:51.8pt;z-index:251801600;mso-width-relative:page;mso-height-relative:page;" o:ole="t" filled="f" o:preferrelative="t" stroked="f" coordsize="21600,21600">
            <v:path/>
            <v:fill on="f" focussize="0,0"/>
            <v:stroke on="f"/>
            <v:imagedata r:id="rId92" o:title=""/>
            <o:lock v:ext="edit" aspectratio="f"/>
          </v:shape>
          <o:OLEObject Type="Embed" ProgID="Visio.Drawing.11" ShapeID="_x0000_s1610" DrawAspect="Content" ObjectID="_1468075738" r:id="rId96">
            <o:LockedField>false</o:LockedField>
          </o:OLEObject>
        </w:pict>
      </w:r>
      <w:r>
        <w:rPr>
          <w:sz w:val="28"/>
        </w:rPr>
        <mc:AlternateContent>
          <mc:Choice Requires="wps">
            <w:drawing>
              <wp:anchor distT="0" distB="0" distL="114300" distR="114300" simplePos="0" relativeHeight="251802624" behindDoc="0" locked="0" layoutInCell="1" allowOverlap="1">
                <wp:simplePos x="0" y="0"/>
                <wp:positionH relativeFrom="column">
                  <wp:posOffset>7818755</wp:posOffset>
                </wp:positionH>
                <wp:positionV relativeFrom="paragraph">
                  <wp:posOffset>3924935</wp:posOffset>
                </wp:positionV>
                <wp:extent cx="361950" cy="161925"/>
                <wp:effectExtent l="6350" t="6350" r="12700" b="22225"/>
                <wp:wrapNone/>
                <wp:docPr id="140" name="矩形 140"/>
                <wp:cNvGraphicFramePr/>
                <a:graphic xmlns:a="http://schemas.openxmlformats.org/drawingml/2006/main">
                  <a:graphicData uri="http://schemas.microsoft.com/office/word/2010/wordprocessingShape">
                    <wps:wsp>
                      <wps:cNvSpPr/>
                      <wps:spPr>
                        <a:xfrm>
                          <a:off x="0" y="0"/>
                          <a:ext cx="361950" cy="161925"/>
                        </a:xfrm>
                        <a:prstGeom prst="rect">
                          <a:avLst/>
                        </a:prstGeom>
                        <a:solidFill>
                          <a:srgbClr val="FFFFFF"/>
                        </a:solidFill>
                        <a:ln w="12700" cap="flat" cmpd="sng">
                          <a:solidFill>
                            <a:schemeClr val="accent5"/>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615.65pt;margin-top:309.05pt;height:12.75pt;width:28.5pt;z-index:251802624;mso-width-relative:page;mso-height-relative:page;" fillcolor="#FFFFFF" filled="t" stroked="t" coordsize="21600,21600" o:gfxdata="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FcQ1QNgAAAANAQAADwAAAAAAAAABACAAAAAiAAAAZHJzL2Rvd25y&#10;ZXYueG1sUEsBAhQAFAAAAAgAh07iQJFXlzH+AQAAIgQAAA4AAAAAAAAAAQAgAAAAJwEAAGRycy9l&#10;Mm9Eb2MueG1sUEsFBgAAAAAGAAYAWQEAAJcFAAAAAA==&#10;">
                <v:fill on="t" focussize="0,0"/>
                <v:stroke weight="1pt" color="#4BACC6 [3208]" joinstyle="miter"/>
                <v:imagedata o:title=""/>
                <o:lock v:ext="edit" aspectratio="f"/>
              </v:rect>
            </w:pict>
          </mc:Fallback>
        </mc:AlternateContent>
      </w:r>
      <w:r>
        <w:rPr>
          <w:sz w:val="28"/>
        </w:rPr>
        <mc:AlternateContent>
          <mc:Choice Requires="wps">
            <w:drawing>
              <wp:anchor distT="0" distB="0" distL="114300" distR="114300" simplePos="0" relativeHeight="251803648" behindDoc="0" locked="0" layoutInCell="1" allowOverlap="1">
                <wp:simplePos x="0" y="0"/>
                <wp:positionH relativeFrom="column">
                  <wp:posOffset>7804150</wp:posOffset>
                </wp:positionH>
                <wp:positionV relativeFrom="paragraph">
                  <wp:posOffset>4251325</wp:posOffset>
                </wp:positionV>
                <wp:extent cx="361950" cy="161925"/>
                <wp:effectExtent l="12700" t="12700" r="25400" b="15875"/>
                <wp:wrapNone/>
                <wp:docPr id="282" name="矩形 282"/>
                <wp:cNvGraphicFramePr/>
                <a:graphic xmlns:a="http://schemas.openxmlformats.org/drawingml/2006/main">
                  <a:graphicData uri="http://schemas.microsoft.com/office/word/2010/wordprocessingShape">
                    <wps:wsp>
                      <wps:cNvSpPr/>
                      <wps:spPr>
                        <a:xfrm>
                          <a:off x="0" y="0"/>
                          <a:ext cx="361950" cy="161925"/>
                        </a:xfrm>
                        <a:prstGeom prst="rect">
                          <a:avLst/>
                        </a:prstGeom>
                        <a:solidFill>
                          <a:srgbClr val="FFFFFF"/>
                        </a:solidFill>
                        <a:ln w="25400" cap="flat" cmpd="sng">
                          <a:solidFill>
                            <a:srgbClr val="FFFF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614.5pt;margin-top:334.75pt;height:12.75pt;width:28.5pt;z-index:251803648;mso-width-relative:page;mso-height-relative:page;" fillcolor="#FFFFFF" filled="t" stroked="t" coordsize="21600,21600" o:gfxdata="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5/a6B2wAAAA0BAAAPAAAAAAAAAAEAIAAAACIAAABkcnMvZG93bnJl&#10;di54bWxQSwECFAAUAAAACACHTuJAqMXn9voBAAAiBAAADgAAAAAAAAABACAAAAAqAQAAZHJzL2Uy&#10;b0RvYy54bWxQSwUGAAAAAAYABgBZAQAAlgUAAAAA&#10;">
                <v:fill on="t" focussize="0,0"/>
                <v:stroke weight="2pt" color="#FFFF00" joinstyle="miter"/>
                <v:imagedata o:title=""/>
                <o:lock v:ext="edit" aspectratio="f"/>
              </v:rect>
            </w:pict>
          </mc:Fallback>
        </mc:AlternateContent>
      </w:r>
      <w:r>
        <w:rPr>
          <w:sz w:val="28"/>
        </w:rPr>
        <mc:AlternateContent>
          <mc:Choice Requires="wps">
            <w:drawing>
              <wp:anchor distT="0" distB="0" distL="114300" distR="114300" simplePos="0" relativeHeight="251799552" behindDoc="0" locked="0" layoutInCell="1" allowOverlap="1">
                <wp:simplePos x="0" y="0"/>
                <wp:positionH relativeFrom="column">
                  <wp:posOffset>6557645</wp:posOffset>
                </wp:positionH>
                <wp:positionV relativeFrom="paragraph">
                  <wp:posOffset>3660775</wp:posOffset>
                </wp:positionV>
                <wp:extent cx="1694815" cy="1200785"/>
                <wp:effectExtent l="6350" t="6350" r="13335" b="12065"/>
                <wp:wrapNone/>
                <wp:docPr id="142" name="文本框 142"/>
                <wp:cNvGraphicFramePr/>
                <a:graphic xmlns:a="http://schemas.openxmlformats.org/drawingml/2006/main">
                  <a:graphicData uri="http://schemas.microsoft.com/office/word/2010/wordprocessingShape">
                    <wps:wsp>
                      <wps:cNvSpPr txBox="1"/>
                      <wps:spPr>
                        <a:xfrm>
                          <a:off x="0" y="0"/>
                          <a:ext cx="1694815" cy="1200785"/>
                        </a:xfrm>
                        <a:prstGeom prst="rect">
                          <a:avLst/>
                        </a:prstGeom>
                        <a:solidFill>
                          <a:srgbClr val="FFFFFF"/>
                        </a:solidFill>
                        <a:ln w="12700" cap="flat" cmpd="sng">
                          <a:solidFill>
                            <a:srgbClr val="FFFFFF"/>
                          </a:solidFill>
                          <a:prstDash val="solid"/>
                          <a:miter/>
                          <a:headEnd type="none" w="med" len="med"/>
                          <a:tailEnd type="none" w="med" len="med"/>
                        </a:ln>
                      </wps:spPr>
                      <wps:txbx>
                        <w:txbxContent>
                          <w:p>
                            <w:pPr>
                              <w:jc w:val="center"/>
                              <w:rPr>
                                <w:rFonts w:hint="eastAsia"/>
                                <w:lang w:val="en-US" w:eastAsia="zh-CN"/>
                              </w:rPr>
                            </w:pPr>
                            <w:r>
                              <w:rPr>
                                <w:rFonts w:hint="eastAsia"/>
                                <w:lang w:val="en-US" w:eastAsia="zh-CN"/>
                              </w:rPr>
                              <w:t>图例</w:t>
                            </w:r>
                          </w:p>
                          <w:p>
                            <w:pPr>
                              <w:pStyle w:val="29"/>
                              <w:keepNext w:val="0"/>
                              <w:keepLines w:val="0"/>
                              <w:pageBreakBefore w:val="0"/>
                              <w:widowControl w:val="0"/>
                              <w:kinsoku/>
                              <w:wordWrap/>
                              <w:overflowPunct/>
                              <w:topLinePunct w:val="0"/>
                              <w:bidi w:val="0"/>
                              <w:adjustRightInd/>
                              <w:snapToGrid/>
                              <w:spacing w:line="360" w:lineRule="auto"/>
                              <w:ind w:firstLine="0" w:firstLineChars="0"/>
                              <w:jc w:val="both"/>
                              <w:textAlignment w:val="auto"/>
                              <w:rPr>
                                <w:rFonts w:hint="eastAsia"/>
                                <w:sz w:val="24"/>
                                <w:szCs w:val="24"/>
                                <w:lang w:val="en-US" w:eastAsia="zh-CN"/>
                              </w:rPr>
                            </w:pPr>
                            <w:r>
                              <w:rPr>
                                <w:rFonts w:hint="eastAsia"/>
                                <w:sz w:val="24"/>
                                <w:szCs w:val="24"/>
                                <w:lang w:val="en-US" w:eastAsia="zh-CN"/>
                              </w:rPr>
                              <w:t>噪声评价范围</w:t>
                            </w:r>
                          </w:p>
                          <w:p>
                            <w:pPr>
                              <w:keepNext w:val="0"/>
                              <w:keepLines w:val="0"/>
                              <w:pageBreakBefore w:val="0"/>
                              <w:widowControl w:val="0"/>
                              <w:kinsoku/>
                              <w:wordWrap/>
                              <w:overflowPunct/>
                              <w:topLinePunct w:val="0"/>
                              <w:bidi w:val="0"/>
                              <w:adjustRightInd/>
                              <w:snapToGrid/>
                              <w:spacing w:line="360" w:lineRule="auto"/>
                              <w:ind w:firstLine="0" w:firstLineChars="0"/>
                              <w:jc w:val="both"/>
                              <w:textAlignment w:val="auto"/>
                              <w:rPr>
                                <w:rFonts w:hint="eastAsia"/>
                                <w:sz w:val="24"/>
                                <w:szCs w:val="24"/>
                                <w:lang w:val="en-US" w:eastAsia="zh-CN"/>
                              </w:rPr>
                            </w:pPr>
                            <w:r>
                              <w:rPr>
                                <w:rFonts w:hint="eastAsia"/>
                                <w:sz w:val="24"/>
                                <w:szCs w:val="24"/>
                                <w:lang w:val="en-US" w:eastAsia="zh-CN"/>
                              </w:rPr>
                              <w:t>地下水评价范围</w:t>
                            </w:r>
                          </w:p>
                          <w:p>
                            <w:pPr>
                              <w:pStyle w:val="29"/>
                              <w:keepNext w:val="0"/>
                              <w:keepLines w:val="0"/>
                              <w:pageBreakBefore w:val="0"/>
                              <w:widowControl w:val="0"/>
                              <w:kinsoku/>
                              <w:wordWrap/>
                              <w:overflowPunct/>
                              <w:topLinePunct w:val="0"/>
                              <w:bidi w:val="0"/>
                              <w:adjustRightInd/>
                              <w:snapToGrid/>
                              <w:spacing w:line="360" w:lineRule="auto"/>
                              <w:ind w:firstLine="0" w:firstLineChars="0"/>
                              <w:jc w:val="both"/>
                              <w:textAlignment w:val="auto"/>
                              <w:rPr>
                                <w:rFonts w:hint="default"/>
                                <w:sz w:val="24"/>
                                <w:szCs w:val="24"/>
                                <w:lang w:val="en-US" w:eastAsia="zh-CN"/>
                              </w:rPr>
                            </w:pPr>
                            <w:r>
                              <w:rPr>
                                <w:rFonts w:hint="eastAsia"/>
                                <w:sz w:val="24"/>
                                <w:szCs w:val="24"/>
                                <w:lang w:val="en-US" w:eastAsia="zh-CN"/>
                              </w:rPr>
                              <w:t>大气评价范围</w:t>
                            </w:r>
                          </w:p>
                        </w:txbxContent>
                      </wps:txbx>
                      <wps:bodyPr upright="1"/>
                    </wps:wsp>
                  </a:graphicData>
                </a:graphic>
              </wp:anchor>
            </w:drawing>
          </mc:Choice>
          <mc:Fallback>
            <w:pict>
              <v:shape id="_x0000_s1026" o:spid="_x0000_s1026" o:spt="202" type="#_x0000_t202" style="position:absolute;left:0pt;margin-left:516.35pt;margin-top:288.25pt;height:94.55pt;width:133.45pt;z-index:251799552;mso-width-relative:page;mso-height-relative:page;" fillcolor="#FFFFFF" filled="t" stroked="t" coordsize="21600,21600" o:gfxdata="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hIIOR2gAAAA0BAAAPAAAAAAAAAAEAIAAAACIA&#10;AABkcnMvZG93bnJldi54bWxQSwECFAAUAAAACACHTuJAgeo5fwcCAAA8BAAADgAAAAAAAAABACAA&#10;AAApAQAAZHJzL2Uyb0RvYy54bWxQSwUGAAAAAAYABgBZAQAAogUAAAAA&#10;">
                <v:fill on="t" focussize="0,0"/>
                <v:stroke weight="1pt" color="#FFFFFF" joinstyle="miter"/>
                <v:imagedata o:title=""/>
                <o:lock v:ext="edit" aspectratio="f"/>
                <v:textbox>
                  <w:txbxContent>
                    <w:p>
                      <w:pPr>
                        <w:jc w:val="center"/>
                        <w:rPr>
                          <w:rFonts w:hint="eastAsia"/>
                          <w:lang w:val="en-US" w:eastAsia="zh-CN"/>
                        </w:rPr>
                      </w:pPr>
                      <w:r>
                        <w:rPr>
                          <w:rFonts w:hint="eastAsia"/>
                          <w:lang w:val="en-US" w:eastAsia="zh-CN"/>
                        </w:rPr>
                        <w:t>图例</w:t>
                      </w:r>
                    </w:p>
                    <w:p>
                      <w:pPr>
                        <w:pStyle w:val="29"/>
                        <w:keepNext w:val="0"/>
                        <w:keepLines w:val="0"/>
                        <w:pageBreakBefore w:val="0"/>
                        <w:widowControl w:val="0"/>
                        <w:kinsoku/>
                        <w:wordWrap/>
                        <w:overflowPunct/>
                        <w:topLinePunct w:val="0"/>
                        <w:bidi w:val="0"/>
                        <w:adjustRightInd/>
                        <w:snapToGrid/>
                        <w:spacing w:line="360" w:lineRule="auto"/>
                        <w:ind w:firstLine="0" w:firstLineChars="0"/>
                        <w:jc w:val="both"/>
                        <w:textAlignment w:val="auto"/>
                        <w:rPr>
                          <w:rFonts w:hint="eastAsia"/>
                          <w:sz w:val="24"/>
                          <w:szCs w:val="24"/>
                          <w:lang w:val="en-US" w:eastAsia="zh-CN"/>
                        </w:rPr>
                      </w:pPr>
                      <w:r>
                        <w:rPr>
                          <w:rFonts w:hint="eastAsia"/>
                          <w:sz w:val="24"/>
                          <w:szCs w:val="24"/>
                          <w:lang w:val="en-US" w:eastAsia="zh-CN"/>
                        </w:rPr>
                        <w:t>噪声评价范围</w:t>
                      </w:r>
                    </w:p>
                    <w:p>
                      <w:pPr>
                        <w:keepNext w:val="0"/>
                        <w:keepLines w:val="0"/>
                        <w:pageBreakBefore w:val="0"/>
                        <w:widowControl w:val="0"/>
                        <w:kinsoku/>
                        <w:wordWrap/>
                        <w:overflowPunct/>
                        <w:topLinePunct w:val="0"/>
                        <w:bidi w:val="0"/>
                        <w:adjustRightInd/>
                        <w:snapToGrid/>
                        <w:spacing w:line="360" w:lineRule="auto"/>
                        <w:ind w:firstLine="0" w:firstLineChars="0"/>
                        <w:jc w:val="both"/>
                        <w:textAlignment w:val="auto"/>
                        <w:rPr>
                          <w:rFonts w:hint="eastAsia"/>
                          <w:sz w:val="24"/>
                          <w:szCs w:val="24"/>
                          <w:lang w:val="en-US" w:eastAsia="zh-CN"/>
                        </w:rPr>
                      </w:pPr>
                      <w:r>
                        <w:rPr>
                          <w:rFonts w:hint="eastAsia"/>
                          <w:sz w:val="24"/>
                          <w:szCs w:val="24"/>
                          <w:lang w:val="en-US" w:eastAsia="zh-CN"/>
                        </w:rPr>
                        <w:t>地下水评价范围</w:t>
                      </w:r>
                    </w:p>
                    <w:p>
                      <w:pPr>
                        <w:pStyle w:val="29"/>
                        <w:keepNext w:val="0"/>
                        <w:keepLines w:val="0"/>
                        <w:pageBreakBefore w:val="0"/>
                        <w:widowControl w:val="0"/>
                        <w:kinsoku/>
                        <w:wordWrap/>
                        <w:overflowPunct/>
                        <w:topLinePunct w:val="0"/>
                        <w:bidi w:val="0"/>
                        <w:adjustRightInd/>
                        <w:snapToGrid/>
                        <w:spacing w:line="360" w:lineRule="auto"/>
                        <w:ind w:firstLine="0" w:firstLineChars="0"/>
                        <w:jc w:val="both"/>
                        <w:textAlignment w:val="auto"/>
                        <w:rPr>
                          <w:rFonts w:hint="default"/>
                          <w:sz w:val="24"/>
                          <w:szCs w:val="24"/>
                          <w:lang w:val="en-US" w:eastAsia="zh-CN"/>
                        </w:rPr>
                      </w:pPr>
                      <w:r>
                        <w:rPr>
                          <w:rFonts w:hint="eastAsia"/>
                          <w:sz w:val="24"/>
                          <w:szCs w:val="24"/>
                          <w:lang w:val="en-US" w:eastAsia="zh-CN"/>
                        </w:rPr>
                        <w:t>大气评价范围</w:t>
                      </w:r>
                    </w:p>
                  </w:txbxContent>
                </v:textbox>
              </v:shape>
            </w:pict>
          </mc:Fallback>
        </mc:AlternateContent>
      </w:r>
      <w:r>
        <w:drawing>
          <wp:inline distT="0" distB="0" distL="114300" distR="114300">
            <wp:extent cx="7656195" cy="4759325"/>
            <wp:effectExtent l="0" t="0" r="1905" b="3175"/>
            <wp:docPr id="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pic:cNvPicPr>
                  </pic:nvPicPr>
                  <pic:blipFill>
                    <a:blip r:embed="rId97"/>
                    <a:stretch>
                      <a:fillRect/>
                    </a:stretch>
                  </pic:blipFill>
                  <pic:spPr>
                    <a:xfrm>
                      <a:off x="0" y="0"/>
                      <a:ext cx="7656195" cy="4759325"/>
                    </a:xfrm>
                    <a:prstGeom prst="rect">
                      <a:avLst/>
                    </a:prstGeom>
                    <a:noFill/>
                    <a:ln>
                      <a:noFill/>
                    </a:ln>
                  </pic:spPr>
                </pic:pic>
              </a:graphicData>
            </a:graphic>
          </wp:inline>
        </w:drawing>
      </w:r>
    </w:p>
    <w:p>
      <w:pPr>
        <w:pStyle w:val="10"/>
        <w:keepNext/>
        <w:keepLines/>
        <w:pageBreakBefore w:val="0"/>
        <w:widowControl/>
        <w:kinsoku w:val="0"/>
        <w:wordWrap/>
        <w:overflowPunct/>
        <w:topLinePunct w:val="0"/>
        <w:autoSpaceDE w:val="0"/>
        <w:autoSpaceDN w:val="0"/>
        <w:bidi w:val="0"/>
        <w:adjustRightInd w:val="0"/>
        <w:snapToGrid w:val="0"/>
        <w:spacing w:before="0" w:after="0" w:line="240" w:lineRule="auto"/>
        <w:jc w:val="left"/>
        <w:textAlignment w:val="baseline"/>
        <w:outlineLvl w:val="1"/>
        <w:rPr>
          <w:rFonts w:hint="eastAsia"/>
          <w:lang w:val="en-US" w:eastAsia="zh-CN"/>
        </w:rPr>
      </w:pPr>
      <w:bookmarkStart w:id="549" w:name="_Toc8824"/>
      <w:bookmarkStart w:id="550" w:name="_Toc4034"/>
      <w:r>
        <w:rPr>
          <w:sz w:val="21"/>
        </w:rPr>
        <mc:AlternateContent>
          <mc:Choice Requires="wps">
            <w:drawing>
              <wp:anchor distT="0" distB="0" distL="114300" distR="114300" simplePos="0" relativeHeight="251799552" behindDoc="0" locked="0" layoutInCell="1" allowOverlap="1">
                <wp:simplePos x="0" y="0"/>
                <wp:positionH relativeFrom="column">
                  <wp:posOffset>3105785</wp:posOffset>
                </wp:positionH>
                <wp:positionV relativeFrom="paragraph">
                  <wp:posOffset>67310</wp:posOffset>
                </wp:positionV>
                <wp:extent cx="931545" cy="281305"/>
                <wp:effectExtent l="6350" t="6350" r="14605" b="340995"/>
                <wp:wrapNone/>
                <wp:docPr id="138" name="圆角矩形标注 138"/>
                <wp:cNvGraphicFramePr/>
                <a:graphic xmlns:a="http://schemas.openxmlformats.org/drawingml/2006/main">
                  <a:graphicData uri="http://schemas.microsoft.com/office/word/2010/wordprocessingShape">
                    <wps:wsp>
                      <wps:cNvSpPr/>
                      <wps:spPr>
                        <a:xfrm>
                          <a:off x="0" y="0"/>
                          <a:ext cx="931545" cy="281305"/>
                        </a:xfrm>
                        <a:prstGeom prst="wedgeRoundRectCallout">
                          <a:avLst>
                            <a:gd name="adj1" fmla="val -35208"/>
                            <a:gd name="adj2" fmla="val 162190"/>
                            <a:gd name="adj3" fmla="val 16667"/>
                          </a:avLst>
                        </a:prstGeom>
                        <a:solidFill>
                          <a:srgbClr val="FFFFFF"/>
                        </a:solidFill>
                        <a:ln w="12700" cap="flat" cmpd="sng">
                          <a:solidFill>
                            <a:srgbClr val="FFFFFF"/>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_x0000_s1026" o:spid="_x0000_s1026" o:spt="62" type="#_x0000_t62" style="position:absolute;left:0pt;margin-left:244.55pt;margin-top:5.3pt;height:22.15pt;width:73.35pt;z-index:251799552;mso-width-relative:page;mso-height-relative:page;" fillcolor="#FFFFFF" filled="t" stroked="t" coordsize="21600,21600" o:gfxdata="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WhDTk2AAAAAkBAAAP&#10;AAAAAAAAAAEAIAAAACIAAABkcnMvZG93bnJldi54bWxQSwECFAAUAAAACACHTuJAn00CqFECAADB&#10;BAAADgAAAAAAAAABACAAAAAnAQAAZHJzL2Uyb0RvYy54bWxQSwUGAAAAAAYABgBZAQAA6gUAAAAA&#10;" adj="3195,45833,14400">
                <v:fill on="t" focussize="0,0"/>
                <v:stroke weight="1pt" color="#FFFFFF" joinstyle="miter"/>
                <v:imagedata o:title=""/>
                <o:lock v:ext="edit" aspectratio="f"/>
                <v:textbox>
                  <w:txbxContent>
                    <w:p>
                      <w:pPr>
                        <w:rPr>
                          <w:rFonts w:hint="default" w:eastAsia="宋体"/>
                          <w:lang w:val="en-US" w:eastAsia="zh-CN"/>
                        </w:rPr>
                      </w:pPr>
                      <w:r>
                        <w:rPr>
                          <w:rFonts w:hint="eastAsia"/>
                          <w:lang w:val="en-US" w:eastAsia="zh-CN"/>
                        </w:rPr>
                        <w:t>本项目位置</w:t>
                      </w:r>
                    </w:p>
                  </w:txbxContent>
                </v:textbox>
              </v:shape>
            </w:pict>
          </mc:Fallback>
        </mc:AlternateContent>
      </w:r>
      <w:r>
        <w:rPr>
          <w:rFonts w:hint="eastAsia"/>
          <w:lang w:val="en-US" w:eastAsia="zh-CN"/>
        </w:rPr>
        <w:t>附图4 哈尔滨市环境管控单元图</w:t>
      </w:r>
      <w:bookmarkEnd w:id="549"/>
      <w:bookmarkEnd w:id="550"/>
    </w:p>
    <w:p>
      <w:pPr>
        <w:pStyle w:val="6"/>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highlight w:val="none"/>
        </w:rPr>
        <w:drawing>
          <wp:inline distT="0" distB="0" distL="114300" distR="114300">
            <wp:extent cx="5963920" cy="4146550"/>
            <wp:effectExtent l="0" t="0" r="17780" b="6350"/>
            <wp:docPr id="6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0"/>
                    <pic:cNvPicPr>
                      <a:picLocks noChangeAspect="1"/>
                    </pic:cNvPicPr>
                  </pic:nvPicPr>
                  <pic:blipFill>
                    <a:blip r:embed="rId98"/>
                    <a:stretch>
                      <a:fillRect/>
                    </a:stretch>
                  </pic:blipFill>
                  <pic:spPr>
                    <a:xfrm>
                      <a:off x="0" y="0"/>
                      <a:ext cx="5963920" cy="4146550"/>
                    </a:xfrm>
                    <a:prstGeom prst="rect">
                      <a:avLst/>
                    </a:prstGeom>
                    <a:noFill/>
                    <a:ln>
                      <a:noFill/>
                    </a:ln>
                  </pic:spPr>
                </pic:pic>
              </a:graphicData>
            </a:graphic>
          </wp:inline>
        </w:drawing>
      </w:r>
    </w:p>
    <w:p>
      <w:pPr>
        <w:pStyle w:val="10"/>
        <w:keepNext/>
        <w:keepLines/>
        <w:pageBreakBefore w:val="0"/>
        <w:widowControl/>
        <w:kinsoku w:val="0"/>
        <w:wordWrap/>
        <w:overflowPunct/>
        <w:topLinePunct w:val="0"/>
        <w:autoSpaceDE w:val="0"/>
        <w:autoSpaceDN w:val="0"/>
        <w:bidi w:val="0"/>
        <w:adjustRightInd w:val="0"/>
        <w:snapToGrid w:val="0"/>
        <w:spacing w:before="0" w:after="0" w:line="240" w:lineRule="auto"/>
        <w:jc w:val="left"/>
        <w:textAlignment w:val="baseline"/>
        <w:outlineLvl w:val="0"/>
        <w:rPr>
          <w:rFonts w:hint="default"/>
          <w:lang w:val="en-US" w:eastAsia="zh-CN"/>
        </w:rPr>
      </w:pPr>
      <w:bookmarkStart w:id="551" w:name="_Toc21414"/>
      <w:bookmarkStart w:id="552" w:name="_Toc22132"/>
      <w:bookmarkStart w:id="553" w:name="_Toc14467"/>
      <w:r>
        <w:rPr>
          <w:rFonts w:hint="default"/>
          <w:lang w:val="en-US" w:eastAsia="zh-CN"/>
        </w:rPr>
        <w:t>附图</w:t>
      </w:r>
      <w:r>
        <w:rPr>
          <w:rFonts w:hint="eastAsia"/>
          <w:lang w:val="en-US" w:eastAsia="zh-CN"/>
        </w:rPr>
        <w:t xml:space="preserve">5 </w:t>
      </w:r>
      <w:r>
        <w:rPr>
          <w:rFonts w:hint="default"/>
          <w:lang w:val="en-US" w:eastAsia="zh-CN"/>
        </w:rPr>
        <w:t>周围环境关系图</w:t>
      </w:r>
      <w:bookmarkEnd w:id="551"/>
      <w:bookmarkEnd w:id="552"/>
      <w:bookmarkEnd w:id="553"/>
    </w:p>
    <w:tbl>
      <w:tblPr>
        <w:tblStyle w:val="2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19"/>
        <w:gridCol w:w="4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4" w:type="pct"/>
            <w:noWrap w:val="0"/>
            <w:vAlign w:val="center"/>
          </w:tcPr>
          <w:p>
            <w:pPr>
              <w:widowControl w:val="0"/>
              <w:bidi w:val="0"/>
              <w:jc w:val="center"/>
              <w:rPr>
                <w:rFonts w:hint="default"/>
                <w:lang w:val="en-US" w:eastAsia="zh-CN"/>
              </w:rPr>
            </w:pPr>
            <w:r>
              <w:rPr>
                <w:rFonts w:hint="default"/>
                <w:lang w:val="en-US" w:eastAsia="zh-CN"/>
              </w:rPr>
              <w:drawing>
                <wp:inline distT="0" distB="0" distL="114300" distR="114300">
                  <wp:extent cx="2407285" cy="3209290"/>
                  <wp:effectExtent l="0" t="0" r="12065" b="10160"/>
                  <wp:docPr id="63" name="图片 63" descr="微信图片_2023090608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微信图片_20230906082549"/>
                          <pic:cNvPicPr>
                            <a:picLocks noChangeAspect="1"/>
                          </pic:cNvPicPr>
                        </pic:nvPicPr>
                        <pic:blipFill>
                          <a:blip r:embed="rId99"/>
                          <a:stretch>
                            <a:fillRect/>
                          </a:stretch>
                        </pic:blipFill>
                        <pic:spPr>
                          <a:xfrm>
                            <a:off x="0" y="0"/>
                            <a:ext cx="2407285" cy="3209290"/>
                          </a:xfrm>
                          <a:prstGeom prst="rect">
                            <a:avLst/>
                          </a:prstGeom>
                        </pic:spPr>
                      </pic:pic>
                    </a:graphicData>
                  </a:graphic>
                </wp:inline>
              </w:drawing>
            </w:r>
          </w:p>
        </w:tc>
        <w:tc>
          <w:tcPr>
            <w:tcW w:w="2465" w:type="pct"/>
            <w:noWrap w:val="0"/>
            <w:vAlign w:val="center"/>
          </w:tcPr>
          <w:p>
            <w:pPr>
              <w:widowControl w:val="0"/>
              <w:bidi w:val="0"/>
              <w:jc w:val="both"/>
              <w:rPr>
                <w:rFonts w:hint="default"/>
                <w:lang w:val="en-US" w:eastAsia="zh-CN"/>
              </w:rPr>
            </w:pPr>
            <w:r>
              <w:rPr>
                <w:rFonts w:hint="default"/>
                <w:lang w:val="en-US" w:eastAsia="zh-CN"/>
              </w:rPr>
              <w:drawing>
                <wp:inline distT="0" distB="0" distL="114300" distR="114300">
                  <wp:extent cx="2392045" cy="3189605"/>
                  <wp:effectExtent l="0" t="0" r="8255" b="10795"/>
                  <wp:docPr id="73" name="图片 73" descr="微信图片_2023101310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微信图片_20231013103837"/>
                          <pic:cNvPicPr>
                            <a:picLocks noChangeAspect="1"/>
                          </pic:cNvPicPr>
                        </pic:nvPicPr>
                        <pic:blipFill>
                          <a:blip r:embed="rId100"/>
                          <a:stretch>
                            <a:fillRect/>
                          </a:stretch>
                        </pic:blipFill>
                        <pic:spPr>
                          <a:xfrm>
                            <a:off x="0" y="0"/>
                            <a:ext cx="2392045" cy="31896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4" w:type="pct"/>
            <w:noWrap w:val="0"/>
            <w:vAlign w:val="center"/>
          </w:tcPr>
          <w:p>
            <w:pPr>
              <w:widowControl w:val="0"/>
              <w:bidi w:val="0"/>
              <w:jc w:val="center"/>
              <w:rPr>
                <w:rFonts w:hint="default"/>
                <w:lang w:val="en-US" w:eastAsia="zh-CN"/>
              </w:rPr>
            </w:pPr>
            <w:bookmarkStart w:id="554" w:name="_Toc4756"/>
            <w:bookmarkStart w:id="555" w:name="_Toc13975"/>
            <w:r>
              <w:rPr>
                <w:rFonts w:hint="default"/>
                <w:lang w:val="en-US" w:eastAsia="zh-CN"/>
              </w:rPr>
              <w:t>项目</w:t>
            </w:r>
            <w:bookmarkEnd w:id="554"/>
            <w:bookmarkEnd w:id="555"/>
            <w:r>
              <w:rPr>
                <w:rFonts w:hint="default"/>
                <w:lang w:val="en-US" w:eastAsia="zh-CN"/>
              </w:rPr>
              <w:t>东侧农田</w:t>
            </w:r>
          </w:p>
        </w:tc>
        <w:tc>
          <w:tcPr>
            <w:tcW w:w="2465" w:type="pct"/>
            <w:noWrap w:val="0"/>
            <w:vAlign w:val="center"/>
          </w:tcPr>
          <w:p>
            <w:pPr>
              <w:widowControl w:val="0"/>
              <w:bidi w:val="0"/>
              <w:jc w:val="center"/>
              <w:rPr>
                <w:rFonts w:hint="default"/>
                <w:lang w:val="en-US" w:eastAsia="zh-CN"/>
              </w:rPr>
            </w:pPr>
            <w:bookmarkStart w:id="556" w:name="_Toc22534"/>
            <w:bookmarkStart w:id="557" w:name="_Toc992"/>
            <w:r>
              <w:rPr>
                <w:rFonts w:hint="default"/>
                <w:lang w:val="en-US" w:eastAsia="zh-CN"/>
              </w:rPr>
              <w:t>项目</w:t>
            </w:r>
            <w:bookmarkEnd w:id="556"/>
            <w:bookmarkEnd w:id="557"/>
            <w:r>
              <w:rPr>
                <w:rFonts w:hint="eastAsia"/>
                <w:lang w:val="en-US" w:eastAsia="zh-CN"/>
              </w:rPr>
              <w:t>南</w:t>
            </w:r>
            <w:r>
              <w:rPr>
                <w:rFonts w:hint="default"/>
                <w:lang w:val="en-US" w:eastAsia="zh-CN"/>
              </w:rPr>
              <w:t>侧农田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4" w:type="pct"/>
            <w:noWrap w:val="0"/>
            <w:vAlign w:val="center"/>
          </w:tcPr>
          <w:p>
            <w:pPr>
              <w:widowControl w:val="0"/>
              <w:bidi w:val="0"/>
              <w:jc w:val="center"/>
              <w:rPr>
                <w:rFonts w:hint="default"/>
                <w:lang w:val="en-US" w:eastAsia="zh-CN"/>
              </w:rPr>
            </w:pPr>
            <w:r>
              <w:rPr>
                <w:rFonts w:hint="default"/>
                <w:lang w:val="en-US" w:eastAsia="zh-CN"/>
              </w:rPr>
              <w:drawing>
                <wp:inline distT="0" distB="0" distL="114300" distR="114300">
                  <wp:extent cx="2407285" cy="3209290"/>
                  <wp:effectExtent l="0" t="0" r="12065" b="10160"/>
                  <wp:docPr id="81" name="图片 81" descr="微信图片_20231013103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微信图片_202310131034041"/>
                          <pic:cNvPicPr>
                            <a:picLocks noChangeAspect="1"/>
                          </pic:cNvPicPr>
                        </pic:nvPicPr>
                        <pic:blipFill>
                          <a:blip r:embed="rId101"/>
                          <a:stretch>
                            <a:fillRect/>
                          </a:stretch>
                        </pic:blipFill>
                        <pic:spPr>
                          <a:xfrm>
                            <a:off x="0" y="0"/>
                            <a:ext cx="2407285" cy="3209290"/>
                          </a:xfrm>
                          <a:prstGeom prst="rect">
                            <a:avLst/>
                          </a:prstGeom>
                        </pic:spPr>
                      </pic:pic>
                    </a:graphicData>
                  </a:graphic>
                </wp:inline>
              </w:drawing>
            </w:r>
          </w:p>
        </w:tc>
        <w:tc>
          <w:tcPr>
            <w:tcW w:w="2465" w:type="pct"/>
            <w:noWrap w:val="0"/>
            <w:vAlign w:val="center"/>
          </w:tcPr>
          <w:p>
            <w:pPr>
              <w:widowControl w:val="0"/>
              <w:bidi w:val="0"/>
              <w:jc w:val="both"/>
              <w:rPr>
                <w:rFonts w:hint="default"/>
                <w:lang w:val="en-US" w:eastAsia="zh-CN"/>
              </w:rPr>
            </w:pPr>
            <w:r>
              <w:rPr>
                <w:rFonts w:hint="default"/>
                <w:lang w:val="en-US" w:eastAsia="zh-CN"/>
              </w:rPr>
              <w:drawing>
                <wp:inline distT="0" distB="0" distL="114300" distR="114300">
                  <wp:extent cx="2387600" cy="3183255"/>
                  <wp:effectExtent l="0" t="0" r="12700" b="17145"/>
                  <wp:docPr id="82" name="图片 82" descr="微信图片_20231013103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微信图片_202310131034051"/>
                          <pic:cNvPicPr>
                            <a:picLocks noChangeAspect="1"/>
                          </pic:cNvPicPr>
                        </pic:nvPicPr>
                        <pic:blipFill>
                          <a:blip r:embed="rId102"/>
                          <a:stretch>
                            <a:fillRect/>
                          </a:stretch>
                        </pic:blipFill>
                        <pic:spPr>
                          <a:xfrm>
                            <a:off x="0" y="0"/>
                            <a:ext cx="2387600" cy="31832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4" w:type="pct"/>
            <w:noWrap w:val="0"/>
            <w:vAlign w:val="center"/>
          </w:tcPr>
          <w:p>
            <w:pPr>
              <w:widowControl w:val="0"/>
              <w:bidi w:val="0"/>
              <w:jc w:val="center"/>
              <w:rPr>
                <w:rFonts w:hint="default"/>
                <w:lang w:val="en-US" w:eastAsia="zh-CN"/>
              </w:rPr>
            </w:pPr>
            <w:bookmarkStart w:id="558" w:name="_Toc17732"/>
            <w:bookmarkStart w:id="559" w:name="_Toc14463"/>
            <w:r>
              <w:rPr>
                <w:rFonts w:hint="default"/>
                <w:lang w:val="en-US" w:eastAsia="zh-CN"/>
              </w:rPr>
              <w:t>项目</w:t>
            </w:r>
            <w:bookmarkEnd w:id="558"/>
            <w:bookmarkEnd w:id="559"/>
            <w:r>
              <w:rPr>
                <w:rFonts w:hint="eastAsia"/>
                <w:lang w:val="en-US" w:eastAsia="zh-CN"/>
              </w:rPr>
              <w:t>西</w:t>
            </w:r>
            <w:r>
              <w:rPr>
                <w:rFonts w:hint="default"/>
                <w:lang w:val="en-US" w:eastAsia="zh-CN"/>
              </w:rPr>
              <w:t>侧</w:t>
            </w:r>
            <w:r>
              <w:rPr>
                <w:rFonts w:hint="eastAsia"/>
                <w:lang w:val="en-US" w:eastAsia="zh-CN"/>
              </w:rPr>
              <w:t>公路</w:t>
            </w:r>
            <w:r>
              <w:rPr>
                <w:rFonts w:hint="default"/>
                <w:lang w:val="en-US" w:eastAsia="zh-CN"/>
              </w:rPr>
              <w:t>及农田</w:t>
            </w:r>
          </w:p>
        </w:tc>
        <w:tc>
          <w:tcPr>
            <w:tcW w:w="2465" w:type="pct"/>
            <w:noWrap w:val="0"/>
            <w:vAlign w:val="center"/>
          </w:tcPr>
          <w:p>
            <w:pPr>
              <w:widowControl w:val="0"/>
              <w:bidi w:val="0"/>
              <w:jc w:val="center"/>
              <w:rPr>
                <w:rFonts w:hint="default"/>
                <w:lang w:val="en-US" w:eastAsia="zh-CN"/>
              </w:rPr>
            </w:pPr>
            <w:bookmarkStart w:id="560" w:name="_Toc3754"/>
            <w:bookmarkStart w:id="561" w:name="_Toc23933"/>
            <w:r>
              <w:rPr>
                <w:rFonts w:hint="default"/>
                <w:lang w:val="en-US" w:eastAsia="zh-CN"/>
              </w:rPr>
              <w:t>项目</w:t>
            </w:r>
            <w:bookmarkEnd w:id="560"/>
            <w:bookmarkEnd w:id="561"/>
            <w:r>
              <w:rPr>
                <w:rFonts w:hint="eastAsia"/>
                <w:lang w:val="en-US" w:eastAsia="zh-CN"/>
              </w:rPr>
              <w:t>北</w:t>
            </w:r>
            <w:r>
              <w:rPr>
                <w:rFonts w:hint="default"/>
                <w:lang w:val="en-US" w:eastAsia="zh-CN"/>
              </w:rPr>
              <w:t>侧农田</w:t>
            </w:r>
          </w:p>
        </w:tc>
      </w:tr>
    </w:tbl>
    <w:p>
      <w:pPr>
        <w:pStyle w:val="29"/>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10"/>
        <w:keepNext/>
        <w:keepLines/>
        <w:pageBreakBefore w:val="0"/>
        <w:widowControl/>
        <w:kinsoku w:val="0"/>
        <w:wordWrap/>
        <w:overflowPunct/>
        <w:topLinePunct w:val="0"/>
        <w:autoSpaceDE w:val="0"/>
        <w:autoSpaceDN w:val="0"/>
        <w:bidi w:val="0"/>
        <w:adjustRightInd w:val="0"/>
        <w:snapToGrid w:val="0"/>
        <w:spacing w:before="0" w:after="0" w:line="240" w:lineRule="auto"/>
        <w:jc w:val="left"/>
        <w:textAlignment w:val="baseline"/>
        <w:outlineLvl w:val="0"/>
        <w:rPr>
          <w:rFonts w:hint="eastAsia"/>
          <w:lang w:val="en-US" w:eastAsia="zh-CN"/>
        </w:rPr>
      </w:pPr>
      <w:bookmarkStart w:id="562" w:name="_Toc30966"/>
      <w:bookmarkStart w:id="563" w:name="_Toc1284"/>
      <w:r>
        <w:rPr>
          <w:rFonts w:hint="eastAsia"/>
          <w:lang w:val="en-US" w:eastAsia="zh-CN"/>
        </w:rPr>
        <w:t>附件1 营业执照</w:t>
      </w:r>
      <w:bookmarkEnd w:id="562"/>
      <w:bookmarkEnd w:id="563"/>
    </w:p>
    <w:p>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6748780" cy="4937125"/>
            <wp:effectExtent l="0" t="0" r="13970" b="15875"/>
            <wp:docPr id="100" name="图片 100"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营业执照"/>
                    <pic:cNvPicPr>
                      <a:picLocks noChangeAspect="1"/>
                    </pic:cNvPicPr>
                  </pic:nvPicPr>
                  <pic:blipFill>
                    <a:blip r:embed="rId103"/>
                    <a:srcRect l="3205" t="1709" b="3884"/>
                    <a:stretch>
                      <a:fillRect/>
                    </a:stretch>
                  </pic:blipFill>
                  <pic:spPr>
                    <a:xfrm>
                      <a:off x="0" y="0"/>
                      <a:ext cx="6748780" cy="4937125"/>
                    </a:xfrm>
                    <a:prstGeom prst="rect">
                      <a:avLst/>
                    </a:prstGeom>
                  </pic:spPr>
                </pic:pic>
              </a:graphicData>
            </a:graphic>
          </wp:inline>
        </w:drawing>
      </w:r>
    </w:p>
    <w:p>
      <w:pPr>
        <w:pStyle w:val="10"/>
        <w:keepNext/>
        <w:keepLines/>
        <w:pageBreakBefore w:val="0"/>
        <w:widowControl/>
        <w:kinsoku w:val="0"/>
        <w:wordWrap/>
        <w:overflowPunct/>
        <w:topLinePunct w:val="0"/>
        <w:autoSpaceDE w:val="0"/>
        <w:autoSpaceDN w:val="0"/>
        <w:bidi w:val="0"/>
        <w:adjustRightInd w:val="0"/>
        <w:snapToGrid w:val="0"/>
        <w:spacing w:before="0" w:after="0" w:line="240" w:lineRule="auto"/>
        <w:jc w:val="left"/>
        <w:textAlignment w:val="baseline"/>
        <w:outlineLvl w:val="0"/>
        <w:rPr>
          <w:rFonts w:hint="eastAsia"/>
          <w:lang w:val="en-US" w:eastAsia="zh-CN"/>
        </w:rPr>
      </w:pPr>
      <w:bookmarkStart w:id="564" w:name="_Toc25796"/>
      <w:bookmarkStart w:id="565" w:name="_Toc16385"/>
      <w:r>
        <w:rPr>
          <w:rFonts w:hint="eastAsia"/>
          <w:lang w:val="en-US" w:eastAsia="zh-CN"/>
        </w:rPr>
        <w:t>附件2 土地证</w:t>
      </w:r>
      <w:bookmarkEnd w:id="564"/>
      <w:bookmarkEnd w:id="565"/>
    </w:p>
    <w:p>
      <w:pPr>
        <w:pStyle w:val="30"/>
        <w:jc w:val="center"/>
        <w:rPr>
          <w:rFonts w:hint="eastAsia" w:eastAsia="宋体"/>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宋体"/>
          <w:lang w:eastAsia="zh-CN"/>
        </w:rPr>
        <w:drawing>
          <wp:inline distT="0" distB="0" distL="114300" distR="114300">
            <wp:extent cx="6600190" cy="4949190"/>
            <wp:effectExtent l="0" t="0" r="10160" b="3810"/>
            <wp:docPr id="102" name="图片 102" descr="土地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土地证"/>
                    <pic:cNvPicPr>
                      <a:picLocks noChangeAspect="1"/>
                    </pic:cNvPicPr>
                  </pic:nvPicPr>
                  <pic:blipFill>
                    <a:blip r:embed="rId104"/>
                    <a:stretch>
                      <a:fillRect/>
                    </a:stretch>
                  </pic:blipFill>
                  <pic:spPr>
                    <a:xfrm>
                      <a:off x="0" y="0"/>
                      <a:ext cx="6600190" cy="4949190"/>
                    </a:xfrm>
                    <a:prstGeom prst="rect">
                      <a:avLst/>
                    </a:prstGeom>
                  </pic:spPr>
                </pic:pic>
              </a:graphicData>
            </a:graphic>
          </wp:inline>
        </w:drawing>
      </w:r>
    </w:p>
    <w:p>
      <w:pPr>
        <w:pStyle w:val="10"/>
        <w:keepNext/>
        <w:keepLines/>
        <w:pageBreakBefore w:val="0"/>
        <w:widowControl/>
        <w:kinsoku w:val="0"/>
        <w:wordWrap/>
        <w:overflowPunct/>
        <w:topLinePunct w:val="0"/>
        <w:autoSpaceDE w:val="0"/>
        <w:autoSpaceDN w:val="0"/>
        <w:bidi w:val="0"/>
        <w:adjustRightInd w:val="0"/>
        <w:snapToGrid w:val="0"/>
        <w:spacing w:before="0" w:after="0" w:line="240" w:lineRule="auto"/>
        <w:jc w:val="left"/>
        <w:textAlignment w:val="baseline"/>
        <w:outlineLvl w:val="0"/>
        <w:rPr>
          <w:rFonts w:hint="eastAsia"/>
          <w:lang w:val="en-US" w:eastAsia="zh-CN"/>
        </w:rPr>
      </w:pPr>
      <w:bookmarkStart w:id="566" w:name="_Toc15180"/>
      <w:bookmarkStart w:id="567" w:name="_Toc25495"/>
      <w:r>
        <w:rPr>
          <w:rFonts w:hint="eastAsia"/>
          <w:lang w:val="en-US" w:eastAsia="zh-CN"/>
        </w:rPr>
        <w:t>附件3</w:t>
      </w:r>
      <w:bookmarkEnd w:id="566"/>
      <w:r>
        <w:rPr>
          <w:rFonts w:hint="eastAsia"/>
          <w:lang w:val="en-US" w:eastAsia="zh-CN"/>
        </w:rPr>
        <w:t xml:space="preserve"> 更名文件</w:t>
      </w:r>
      <w:bookmarkEnd w:id="567"/>
    </w:p>
    <w:p>
      <w:pPr>
        <w:rPr>
          <w:rFonts w:hint="default"/>
          <w:lang w:val="en-US" w:eastAsia="zh-CN"/>
        </w:rPr>
      </w:pPr>
      <w:r>
        <w:drawing>
          <wp:inline distT="0" distB="0" distL="114300" distR="114300">
            <wp:extent cx="5038725" cy="7134225"/>
            <wp:effectExtent l="0" t="0" r="9525" b="9525"/>
            <wp:docPr id="10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
                    <pic:cNvPicPr>
                      <a:picLocks noChangeAspect="1"/>
                    </pic:cNvPicPr>
                  </pic:nvPicPr>
                  <pic:blipFill>
                    <a:blip r:embed="rId105"/>
                    <a:stretch>
                      <a:fillRect/>
                    </a:stretch>
                  </pic:blipFill>
                  <pic:spPr>
                    <a:xfrm>
                      <a:off x="0" y="0"/>
                      <a:ext cx="5038725" cy="7134225"/>
                    </a:xfrm>
                    <a:prstGeom prst="rect">
                      <a:avLst/>
                    </a:prstGeom>
                    <a:noFill/>
                    <a:ln>
                      <a:noFill/>
                    </a:ln>
                  </pic:spPr>
                </pic:pic>
              </a:graphicData>
            </a:graphic>
          </wp:inline>
        </w:drawing>
      </w:r>
    </w:p>
    <w:p>
      <w:pPr>
        <w:bidi w:val="0"/>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10"/>
        <w:keepNext/>
        <w:keepLines/>
        <w:pageBreakBefore w:val="0"/>
        <w:widowControl/>
        <w:kinsoku w:val="0"/>
        <w:wordWrap/>
        <w:overflowPunct/>
        <w:topLinePunct w:val="0"/>
        <w:autoSpaceDE w:val="0"/>
        <w:autoSpaceDN w:val="0"/>
        <w:bidi w:val="0"/>
        <w:adjustRightInd w:val="0"/>
        <w:snapToGrid w:val="0"/>
        <w:spacing w:before="0" w:after="0" w:line="240" w:lineRule="auto"/>
        <w:jc w:val="left"/>
        <w:textAlignment w:val="baseline"/>
        <w:outlineLvl w:val="0"/>
        <w:rPr>
          <w:rFonts w:hint="eastAsia"/>
          <w:lang w:val="en-US" w:eastAsia="zh-CN"/>
        </w:rPr>
        <w:sectPr>
          <w:pgSz w:w="11906" w:h="16839"/>
          <w:pgMar w:top="1118" w:right="1337" w:bottom="1181" w:left="1417" w:header="878" w:footer="1015" w:gutter="0"/>
          <w:pgBorders>
            <w:top w:val="none" w:sz="0" w:space="0"/>
            <w:left w:val="none" w:sz="0" w:space="0"/>
            <w:bottom w:val="none" w:sz="0" w:space="0"/>
            <w:right w:val="none" w:sz="0" w:space="0"/>
          </w:pgBorders>
          <w:pgNumType w:fmt="decimal"/>
          <w:cols w:space="720" w:num="1"/>
        </w:sectPr>
      </w:pPr>
      <w:bookmarkStart w:id="568" w:name="_Toc10899"/>
      <w:bookmarkStart w:id="569" w:name="_Toc29194"/>
      <w:r>
        <w:rPr>
          <w:rFonts w:hint="eastAsia"/>
          <w:lang w:val="en-US" w:eastAsia="zh-CN"/>
        </w:rPr>
        <w:t>附件4 检测报告</w:t>
      </w:r>
      <w:bookmarkEnd w:id="568"/>
      <w:bookmarkEnd w:id="569"/>
    </w:p>
    <w:p>
      <w:pPr>
        <w:pStyle w:val="10"/>
        <w:keepNext/>
        <w:keepLines/>
        <w:pageBreakBefore w:val="0"/>
        <w:widowControl/>
        <w:kinsoku w:val="0"/>
        <w:wordWrap/>
        <w:overflowPunct/>
        <w:topLinePunct w:val="0"/>
        <w:autoSpaceDE w:val="0"/>
        <w:autoSpaceDN w:val="0"/>
        <w:bidi w:val="0"/>
        <w:adjustRightInd w:val="0"/>
        <w:snapToGrid w:val="0"/>
        <w:spacing w:before="0" w:after="0" w:line="240" w:lineRule="auto"/>
        <w:jc w:val="left"/>
        <w:textAlignment w:val="baseline"/>
        <w:outlineLvl w:val="0"/>
        <w:rPr>
          <w:rFonts w:hint="eastAsia"/>
          <w:lang w:val="en-US" w:eastAsia="zh-CN"/>
        </w:rPr>
      </w:pPr>
      <w:bookmarkStart w:id="570" w:name="_Toc9751"/>
      <w:r>
        <w:rPr>
          <w:rFonts w:hint="eastAsia"/>
          <w:lang w:val="en-US" w:eastAsia="zh-CN"/>
        </w:rPr>
        <w:t>附件5 巴环建字【2006】4号</w:t>
      </w:r>
      <w:bookmarkEnd w:id="570"/>
    </w:p>
    <w:p>
      <w:pPr>
        <w:rPr>
          <w:rFonts w:hint="eastAsia"/>
          <w:lang w:val="en-US" w:eastAsia="zh-CN"/>
        </w:rPr>
      </w:pPr>
    </w:p>
    <w:p>
      <w:pPr>
        <w:pStyle w:val="29"/>
        <w:ind w:left="0" w:leftChars="0" w:firstLine="0" w:firstLineChars="0"/>
        <w:jc w:val="center"/>
        <w:sectPr>
          <w:pgSz w:w="11906" w:h="16839"/>
          <w:pgMar w:top="1118" w:right="1337" w:bottom="1181" w:left="1417" w:header="878" w:footer="1015" w:gutter="0"/>
          <w:pgBorders>
            <w:top w:val="none" w:sz="0" w:space="0"/>
            <w:left w:val="none" w:sz="0" w:space="0"/>
            <w:bottom w:val="none" w:sz="0" w:space="0"/>
            <w:right w:val="none" w:sz="0" w:space="0"/>
          </w:pgBorders>
          <w:pgNumType w:fmt="decimal"/>
          <w:cols w:space="720" w:num="1"/>
        </w:sectPr>
      </w:pPr>
      <w:r>
        <w:drawing>
          <wp:inline distT="0" distB="0" distL="114300" distR="114300">
            <wp:extent cx="6122035" cy="8180070"/>
            <wp:effectExtent l="0" t="0" r="12065" b="11430"/>
            <wp:docPr id="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3"/>
                    <pic:cNvPicPr>
                      <a:picLocks noChangeAspect="1"/>
                    </pic:cNvPicPr>
                  </pic:nvPicPr>
                  <pic:blipFill>
                    <a:blip r:embed="rId106"/>
                    <a:stretch>
                      <a:fillRect/>
                    </a:stretch>
                  </pic:blipFill>
                  <pic:spPr>
                    <a:xfrm>
                      <a:off x="0" y="0"/>
                      <a:ext cx="6122035" cy="8180070"/>
                    </a:xfrm>
                    <a:prstGeom prst="rect">
                      <a:avLst/>
                    </a:prstGeom>
                    <a:noFill/>
                    <a:ln>
                      <a:noFill/>
                    </a:ln>
                  </pic:spPr>
                </pic:pic>
              </a:graphicData>
            </a:graphic>
          </wp:inline>
        </w:drawing>
      </w:r>
    </w:p>
    <w:p>
      <w:pPr>
        <w:jc w:val="center"/>
        <w:rPr>
          <w:rFonts w:hint="default"/>
          <w:lang w:val="en-US" w:eastAsia="zh-CN"/>
        </w:rPr>
        <w:sectPr>
          <w:pgSz w:w="11906" w:h="16839"/>
          <w:pgMar w:top="1118" w:right="1337" w:bottom="1181" w:left="1417" w:header="878" w:footer="1015" w:gutter="0"/>
          <w:pgBorders>
            <w:top w:val="none" w:sz="0" w:space="0"/>
            <w:left w:val="none" w:sz="0" w:space="0"/>
            <w:bottom w:val="none" w:sz="0" w:space="0"/>
            <w:right w:val="none" w:sz="0" w:space="0"/>
          </w:pgBorders>
          <w:pgNumType w:fmt="decimal"/>
          <w:cols w:space="720" w:num="1"/>
        </w:sectPr>
      </w:pPr>
      <w:r>
        <w:drawing>
          <wp:inline distT="0" distB="0" distL="114300" distR="114300">
            <wp:extent cx="6096635" cy="8125460"/>
            <wp:effectExtent l="0" t="0" r="18415" b="8890"/>
            <wp:docPr id="6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4"/>
                    <pic:cNvPicPr>
                      <a:picLocks noChangeAspect="1"/>
                    </pic:cNvPicPr>
                  </pic:nvPicPr>
                  <pic:blipFill>
                    <a:blip r:embed="rId107"/>
                    <a:stretch>
                      <a:fillRect/>
                    </a:stretch>
                  </pic:blipFill>
                  <pic:spPr>
                    <a:xfrm>
                      <a:off x="0" y="0"/>
                      <a:ext cx="6096635" cy="8125460"/>
                    </a:xfrm>
                    <a:prstGeom prst="rect">
                      <a:avLst/>
                    </a:prstGeom>
                    <a:noFill/>
                    <a:ln>
                      <a:noFill/>
                    </a:ln>
                  </pic:spPr>
                </pic:pic>
              </a:graphicData>
            </a:graphic>
          </wp:inline>
        </w:drawing>
      </w:r>
    </w:p>
    <w:p>
      <w:pPr>
        <w:pStyle w:val="10"/>
        <w:keepNext/>
        <w:keepLines/>
        <w:pageBreakBefore w:val="0"/>
        <w:widowControl/>
        <w:kinsoku w:val="0"/>
        <w:wordWrap/>
        <w:overflowPunct/>
        <w:topLinePunct w:val="0"/>
        <w:autoSpaceDE w:val="0"/>
        <w:autoSpaceDN w:val="0"/>
        <w:bidi w:val="0"/>
        <w:adjustRightInd w:val="0"/>
        <w:snapToGrid w:val="0"/>
        <w:spacing w:before="0" w:after="0" w:line="240" w:lineRule="auto"/>
        <w:jc w:val="left"/>
        <w:textAlignment w:val="baseline"/>
        <w:outlineLvl w:val="0"/>
        <w:rPr>
          <w:rFonts w:hint="default"/>
          <w:lang w:val="en-US" w:eastAsia="zh-CN"/>
        </w:rPr>
      </w:pPr>
      <w:bookmarkStart w:id="571" w:name="_Toc20756"/>
      <w:r>
        <w:rPr>
          <w:rFonts w:hint="eastAsia"/>
          <w:lang w:val="en-US" w:eastAsia="zh-CN"/>
        </w:rPr>
        <w:t>附件6 验收文件</w:t>
      </w:r>
      <w:bookmarkEnd w:id="571"/>
    </w:p>
    <w:p>
      <w:pPr>
        <w:jc w:val="center"/>
        <w:rPr>
          <w:rFonts w:hint="default"/>
          <w:lang w:val="en-US" w:eastAsia="zh-CN"/>
        </w:rPr>
      </w:pPr>
    </w:p>
    <w:p>
      <w:pPr>
        <w:pStyle w:val="29"/>
        <w:ind w:left="0" w:leftChars="0" w:firstLine="0" w:firstLineChars="0"/>
        <w:jc w:val="center"/>
        <w:rPr>
          <w:rFonts w:hint="default"/>
          <w:lang w:val="en-US" w:eastAsia="zh-CN"/>
        </w:rPr>
        <w:sectPr>
          <w:pgSz w:w="11906" w:h="16839"/>
          <w:pgMar w:top="1118" w:right="1337" w:bottom="1181" w:left="1417" w:header="878" w:footer="1015" w:gutter="0"/>
          <w:pgBorders>
            <w:top w:val="none" w:sz="0" w:space="0"/>
            <w:left w:val="none" w:sz="0" w:space="0"/>
            <w:bottom w:val="none" w:sz="0" w:space="0"/>
            <w:right w:val="none" w:sz="0" w:space="0"/>
          </w:pgBorders>
          <w:pgNumType w:fmt="decimal"/>
          <w:cols w:space="720" w:num="1"/>
        </w:sectPr>
      </w:pPr>
      <w:r>
        <w:drawing>
          <wp:inline distT="0" distB="0" distL="114300" distR="114300">
            <wp:extent cx="5549265" cy="7732395"/>
            <wp:effectExtent l="0" t="0" r="13335" b="1905"/>
            <wp:docPr id="15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0"/>
                    <pic:cNvPicPr>
                      <a:picLocks noChangeAspect="1"/>
                    </pic:cNvPicPr>
                  </pic:nvPicPr>
                  <pic:blipFill>
                    <a:blip r:embed="rId108"/>
                    <a:stretch>
                      <a:fillRect/>
                    </a:stretch>
                  </pic:blipFill>
                  <pic:spPr>
                    <a:xfrm>
                      <a:off x="0" y="0"/>
                      <a:ext cx="5549265" cy="7732395"/>
                    </a:xfrm>
                    <a:prstGeom prst="rect">
                      <a:avLst/>
                    </a:prstGeom>
                    <a:noFill/>
                    <a:ln>
                      <a:noFill/>
                    </a:ln>
                  </pic:spPr>
                </pic:pic>
              </a:graphicData>
            </a:graphic>
          </wp:inline>
        </w:drawing>
      </w:r>
    </w:p>
    <w:p>
      <w:pPr>
        <w:jc w:val="center"/>
        <w:sectPr>
          <w:pgSz w:w="11906" w:h="16839"/>
          <w:pgMar w:top="1118" w:right="1337" w:bottom="1181" w:left="1417" w:header="878" w:footer="1015" w:gutter="0"/>
          <w:pgBorders>
            <w:top w:val="none" w:sz="0" w:space="0"/>
            <w:left w:val="none" w:sz="0" w:space="0"/>
            <w:bottom w:val="none" w:sz="0" w:space="0"/>
            <w:right w:val="none" w:sz="0" w:space="0"/>
          </w:pgBorders>
          <w:pgNumType w:fmt="decimal"/>
          <w:cols w:space="720" w:num="1"/>
        </w:sectPr>
      </w:pPr>
      <w:r>
        <w:drawing>
          <wp:inline distT="0" distB="0" distL="114300" distR="114300">
            <wp:extent cx="5611495" cy="7681595"/>
            <wp:effectExtent l="0" t="0" r="8255" b="14605"/>
            <wp:docPr id="15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1"/>
                    <pic:cNvPicPr>
                      <a:picLocks noChangeAspect="1"/>
                    </pic:cNvPicPr>
                  </pic:nvPicPr>
                  <pic:blipFill>
                    <a:blip r:embed="rId109"/>
                    <a:stretch>
                      <a:fillRect/>
                    </a:stretch>
                  </pic:blipFill>
                  <pic:spPr>
                    <a:xfrm>
                      <a:off x="0" y="0"/>
                      <a:ext cx="5611495" cy="7681595"/>
                    </a:xfrm>
                    <a:prstGeom prst="rect">
                      <a:avLst/>
                    </a:prstGeom>
                    <a:noFill/>
                    <a:ln>
                      <a:noFill/>
                    </a:ln>
                  </pic:spPr>
                </pic:pic>
              </a:graphicData>
            </a:graphic>
          </wp:inline>
        </w:drawing>
      </w:r>
    </w:p>
    <w:p>
      <w:pPr>
        <w:pStyle w:val="29"/>
        <w:ind w:left="0" w:leftChars="0" w:firstLine="0" w:firstLineChars="0"/>
        <w:jc w:val="center"/>
        <w:sectPr>
          <w:pgSz w:w="11906" w:h="16839"/>
          <w:pgMar w:top="1118" w:right="1337" w:bottom="1181" w:left="1417" w:header="878" w:footer="1015" w:gutter="0"/>
          <w:pgBorders>
            <w:top w:val="none" w:sz="0" w:space="0"/>
            <w:left w:val="none" w:sz="0" w:space="0"/>
            <w:bottom w:val="none" w:sz="0" w:space="0"/>
            <w:right w:val="none" w:sz="0" w:space="0"/>
          </w:pgBorders>
          <w:pgNumType w:fmt="decimal"/>
          <w:cols w:space="720" w:num="1"/>
        </w:sectPr>
      </w:pPr>
      <w:r>
        <w:drawing>
          <wp:inline distT="0" distB="0" distL="114300" distR="114300">
            <wp:extent cx="5667375" cy="7524750"/>
            <wp:effectExtent l="0" t="0" r="9525" b="0"/>
            <wp:docPr id="15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2"/>
                    <pic:cNvPicPr>
                      <a:picLocks noChangeAspect="1"/>
                    </pic:cNvPicPr>
                  </pic:nvPicPr>
                  <pic:blipFill>
                    <a:blip r:embed="rId110"/>
                    <a:stretch>
                      <a:fillRect/>
                    </a:stretch>
                  </pic:blipFill>
                  <pic:spPr>
                    <a:xfrm>
                      <a:off x="0" y="0"/>
                      <a:ext cx="5667375" cy="7524750"/>
                    </a:xfrm>
                    <a:prstGeom prst="rect">
                      <a:avLst/>
                    </a:prstGeom>
                    <a:noFill/>
                    <a:ln>
                      <a:noFill/>
                    </a:ln>
                  </pic:spPr>
                </pic:pic>
              </a:graphicData>
            </a:graphic>
          </wp:inline>
        </w:drawing>
      </w:r>
    </w:p>
    <w:p>
      <w:pPr>
        <w:jc w:val="center"/>
        <w:sectPr>
          <w:pgSz w:w="11906" w:h="16839"/>
          <w:pgMar w:top="1118" w:right="1337" w:bottom="1181" w:left="1417" w:header="878" w:footer="1015" w:gutter="0"/>
          <w:pgBorders>
            <w:top w:val="none" w:sz="0" w:space="0"/>
            <w:left w:val="none" w:sz="0" w:space="0"/>
            <w:bottom w:val="none" w:sz="0" w:space="0"/>
            <w:right w:val="none" w:sz="0" w:space="0"/>
          </w:pgBorders>
          <w:pgNumType w:fmt="decimal"/>
          <w:cols w:space="720" w:num="1"/>
        </w:sectPr>
      </w:pPr>
      <w:r>
        <w:drawing>
          <wp:inline distT="0" distB="0" distL="114300" distR="114300">
            <wp:extent cx="5743575" cy="7658100"/>
            <wp:effectExtent l="0" t="0" r="9525" b="0"/>
            <wp:docPr id="15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3"/>
                    <pic:cNvPicPr>
                      <a:picLocks noChangeAspect="1"/>
                    </pic:cNvPicPr>
                  </pic:nvPicPr>
                  <pic:blipFill>
                    <a:blip r:embed="rId111"/>
                    <a:stretch>
                      <a:fillRect/>
                    </a:stretch>
                  </pic:blipFill>
                  <pic:spPr>
                    <a:xfrm>
                      <a:off x="0" y="0"/>
                      <a:ext cx="5743575" cy="7658100"/>
                    </a:xfrm>
                    <a:prstGeom prst="rect">
                      <a:avLst/>
                    </a:prstGeom>
                    <a:noFill/>
                    <a:ln>
                      <a:noFill/>
                    </a:ln>
                  </pic:spPr>
                </pic:pic>
              </a:graphicData>
            </a:graphic>
          </wp:inline>
        </w:drawing>
      </w:r>
    </w:p>
    <w:p>
      <w:pPr>
        <w:pStyle w:val="29"/>
        <w:ind w:left="0" w:leftChars="0" w:firstLine="0" w:firstLineChars="0"/>
        <w:jc w:val="center"/>
        <w:sectPr>
          <w:pgSz w:w="11906" w:h="16839"/>
          <w:pgMar w:top="1118" w:right="1337" w:bottom="1181" w:left="1417" w:header="878" w:footer="1015" w:gutter="0"/>
          <w:pgBorders>
            <w:top w:val="none" w:sz="0" w:space="0"/>
            <w:left w:val="none" w:sz="0" w:space="0"/>
            <w:bottom w:val="none" w:sz="0" w:space="0"/>
            <w:right w:val="none" w:sz="0" w:space="0"/>
          </w:pgBorders>
          <w:pgNumType w:fmt="decimal"/>
          <w:cols w:space="720" w:num="1"/>
        </w:sectPr>
      </w:pPr>
      <w:r>
        <w:drawing>
          <wp:inline distT="0" distB="0" distL="114300" distR="114300">
            <wp:extent cx="5747385" cy="7747635"/>
            <wp:effectExtent l="0" t="0" r="5715" b="5715"/>
            <wp:docPr id="16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4"/>
                    <pic:cNvPicPr>
                      <a:picLocks noChangeAspect="1"/>
                    </pic:cNvPicPr>
                  </pic:nvPicPr>
                  <pic:blipFill>
                    <a:blip r:embed="rId112"/>
                    <a:srcRect r="3775" b="3045"/>
                    <a:stretch>
                      <a:fillRect/>
                    </a:stretch>
                  </pic:blipFill>
                  <pic:spPr>
                    <a:xfrm>
                      <a:off x="0" y="0"/>
                      <a:ext cx="5747385" cy="7747635"/>
                    </a:xfrm>
                    <a:prstGeom prst="rect">
                      <a:avLst/>
                    </a:prstGeom>
                    <a:noFill/>
                    <a:ln>
                      <a:noFill/>
                    </a:ln>
                  </pic:spPr>
                </pic:pic>
              </a:graphicData>
            </a:graphic>
          </wp:inline>
        </w:drawing>
      </w:r>
    </w:p>
    <w:p>
      <w:pPr>
        <w:jc w:val="center"/>
        <w:sectPr>
          <w:pgSz w:w="11906" w:h="16839"/>
          <w:pgMar w:top="1118" w:right="1337" w:bottom="1181" w:left="1417" w:header="878" w:footer="1015" w:gutter="0"/>
          <w:pgBorders>
            <w:top w:val="none" w:sz="0" w:space="0"/>
            <w:left w:val="none" w:sz="0" w:space="0"/>
            <w:bottom w:val="none" w:sz="0" w:space="0"/>
            <w:right w:val="none" w:sz="0" w:space="0"/>
          </w:pgBorders>
          <w:pgNumType w:fmt="decimal"/>
          <w:cols w:space="720" w:num="1"/>
        </w:sectPr>
      </w:pPr>
      <w:r>
        <w:drawing>
          <wp:inline distT="0" distB="0" distL="114300" distR="114300">
            <wp:extent cx="5724525" cy="7696200"/>
            <wp:effectExtent l="0" t="0" r="9525" b="0"/>
            <wp:docPr id="16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5"/>
                    <pic:cNvPicPr>
                      <a:picLocks noChangeAspect="1"/>
                    </pic:cNvPicPr>
                  </pic:nvPicPr>
                  <pic:blipFill>
                    <a:blip r:embed="rId113"/>
                    <a:stretch>
                      <a:fillRect/>
                    </a:stretch>
                  </pic:blipFill>
                  <pic:spPr>
                    <a:xfrm>
                      <a:off x="0" y="0"/>
                      <a:ext cx="5724525" cy="7696200"/>
                    </a:xfrm>
                    <a:prstGeom prst="rect">
                      <a:avLst/>
                    </a:prstGeom>
                    <a:noFill/>
                    <a:ln>
                      <a:noFill/>
                    </a:ln>
                  </pic:spPr>
                </pic:pic>
              </a:graphicData>
            </a:graphic>
          </wp:inline>
        </w:drawing>
      </w:r>
    </w:p>
    <w:p>
      <w:pPr>
        <w:pStyle w:val="29"/>
        <w:ind w:left="0" w:leftChars="0" w:firstLine="0" w:firstLineChars="0"/>
        <w:jc w:val="center"/>
        <w:sectPr>
          <w:pgSz w:w="11906" w:h="16839"/>
          <w:pgMar w:top="1118" w:right="1337" w:bottom="1181" w:left="1417" w:header="878" w:footer="1015" w:gutter="0"/>
          <w:pgBorders>
            <w:top w:val="none" w:sz="0" w:space="0"/>
            <w:left w:val="none" w:sz="0" w:space="0"/>
            <w:bottom w:val="none" w:sz="0" w:space="0"/>
            <w:right w:val="none" w:sz="0" w:space="0"/>
          </w:pgBorders>
          <w:pgNumType w:fmt="decimal"/>
          <w:cols w:space="720" w:num="1"/>
        </w:sectPr>
      </w:pPr>
      <w:r>
        <w:drawing>
          <wp:inline distT="0" distB="0" distL="114300" distR="114300">
            <wp:extent cx="5764530" cy="7826375"/>
            <wp:effectExtent l="0" t="0" r="7620" b="3175"/>
            <wp:docPr id="16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26"/>
                    <pic:cNvPicPr>
                      <a:picLocks noChangeAspect="1"/>
                    </pic:cNvPicPr>
                  </pic:nvPicPr>
                  <pic:blipFill>
                    <a:blip r:embed="rId114"/>
                    <a:srcRect l="5375" b="4087"/>
                    <a:stretch>
                      <a:fillRect/>
                    </a:stretch>
                  </pic:blipFill>
                  <pic:spPr>
                    <a:xfrm>
                      <a:off x="0" y="0"/>
                      <a:ext cx="5764530" cy="7826375"/>
                    </a:xfrm>
                    <a:prstGeom prst="rect">
                      <a:avLst/>
                    </a:prstGeom>
                    <a:noFill/>
                    <a:ln>
                      <a:noFill/>
                    </a:ln>
                  </pic:spPr>
                </pic:pic>
              </a:graphicData>
            </a:graphic>
          </wp:inline>
        </w:drawing>
      </w:r>
    </w:p>
    <w:p>
      <w:pPr>
        <w:pStyle w:val="10"/>
        <w:keepNext/>
        <w:keepLines/>
        <w:pageBreakBefore w:val="0"/>
        <w:widowControl/>
        <w:kinsoku w:val="0"/>
        <w:wordWrap/>
        <w:overflowPunct/>
        <w:topLinePunct w:val="0"/>
        <w:autoSpaceDE w:val="0"/>
        <w:autoSpaceDN w:val="0"/>
        <w:bidi w:val="0"/>
        <w:adjustRightInd w:val="0"/>
        <w:snapToGrid w:val="0"/>
        <w:spacing w:before="0" w:after="0" w:line="240" w:lineRule="auto"/>
        <w:jc w:val="left"/>
        <w:textAlignment w:val="baseline"/>
        <w:outlineLvl w:val="0"/>
        <w:rPr>
          <w:rFonts w:hint="eastAsia"/>
          <w:lang w:val="en-US" w:eastAsia="zh-CN"/>
        </w:rPr>
      </w:pPr>
      <w:bookmarkStart w:id="572" w:name="_Toc2734"/>
      <w:r>
        <w:rPr>
          <w:rFonts w:hint="eastAsia"/>
          <w:lang w:val="en-US" w:eastAsia="zh-CN"/>
        </w:rPr>
        <w:t>附件7 污水处理站扩建项目</w:t>
      </w:r>
      <w:bookmarkEnd w:id="572"/>
    </w:p>
    <w:p>
      <w:pPr>
        <w:jc w:val="center"/>
      </w:pPr>
      <w:r>
        <w:drawing>
          <wp:inline distT="0" distB="0" distL="114300" distR="114300">
            <wp:extent cx="5505450" cy="7886700"/>
            <wp:effectExtent l="0" t="0" r="0" b="0"/>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115"/>
                    <a:srcRect r="1365"/>
                    <a:stretch>
                      <a:fillRect/>
                    </a:stretch>
                  </pic:blipFill>
                  <pic:spPr>
                    <a:xfrm>
                      <a:off x="0" y="0"/>
                      <a:ext cx="5505450" cy="7886700"/>
                    </a:xfrm>
                    <a:prstGeom prst="rect">
                      <a:avLst/>
                    </a:prstGeom>
                    <a:noFill/>
                    <a:ln>
                      <a:noFill/>
                    </a:ln>
                  </pic:spPr>
                </pic:pic>
              </a:graphicData>
            </a:graphic>
          </wp:inline>
        </w:drawing>
      </w:r>
    </w:p>
    <w:p>
      <w:r>
        <w:br w:type="page"/>
      </w:r>
    </w:p>
    <w:p>
      <w:pPr>
        <w:pStyle w:val="29"/>
        <w:ind w:left="0" w:leftChars="0" w:firstLine="0" w:firstLineChars="0"/>
        <w:jc w:val="center"/>
        <w:rPr>
          <w:rFonts w:hint="default"/>
          <w:lang w:val="en-US" w:eastAsia="zh-CN"/>
        </w:rPr>
      </w:pPr>
      <w:r>
        <w:drawing>
          <wp:inline distT="0" distB="0" distL="114300" distR="114300">
            <wp:extent cx="5553075" cy="7877175"/>
            <wp:effectExtent l="0" t="0" r="9525" b="9525"/>
            <wp:docPr id="1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4"/>
                    <pic:cNvPicPr>
                      <a:picLocks noChangeAspect="1"/>
                    </pic:cNvPicPr>
                  </pic:nvPicPr>
                  <pic:blipFill>
                    <a:blip r:embed="rId116"/>
                    <a:stretch>
                      <a:fillRect/>
                    </a:stretch>
                  </pic:blipFill>
                  <pic:spPr>
                    <a:xfrm>
                      <a:off x="0" y="0"/>
                      <a:ext cx="5553075" cy="7877175"/>
                    </a:xfrm>
                    <a:prstGeom prst="rect">
                      <a:avLst/>
                    </a:prstGeom>
                    <a:noFill/>
                    <a:ln>
                      <a:noFill/>
                    </a:ln>
                  </pic:spPr>
                </pic:pic>
              </a:graphicData>
            </a:graphic>
          </wp:inline>
        </w:drawing>
      </w:r>
    </w:p>
    <w:sectPr>
      <w:pgSz w:w="11906" w:h="16839"/>
      <w:pgMar w:top="1118" w:right="1337" w:bottom="1181" w:left="1417" w:header="878" w:footer="1015" w:gutter="0"/>
      <w:pgBorders>
        <w:top w:val="none" w:sz="0" w:space="0"/>
        <w:left w:val="none" w:sz="0" w:space="0"/>
        <w:bottom w:val="none" w:sz="0" w:space="0"/>
        <w:right w:val="none" w:sz="0" w:space="0"/>
      </w:pgBorders>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modern"/>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auto"/>
    <w:pitch w:val="default"/>
    <w:sig w:usb0="00000001" w:usb1="080E0000" w:usb2="00000000" w:usb3="00000000" w:csb0="00040000" w:csb1="00000000"/>
  </w:font>
  <w:font w:name="new times roma">
    <w:altName w:val="Times New Roman"/>
    <w:panose1 w:val="00000000000000000000"/>
    <w:charset w:val="00"/>
    <w:family w:val="roman"/>
    <w:pitch w:val="default"/>
    <w:sig w:usb0="00000000" w:usb1="00000000" w:usb2="00000000" w:usb3="00000000" w:csb0="00040001" w:csb1="00000000"/>
  </w:font>
  <w:font w:name="TimesNewRomanPSMT">
    <w:altName w:val="Times New Roman"/>
    <w:panose1 w:val="00000000000000000000"/>
    <w:charset w:val="00"/>
    <w:family w:val="auto"/>
    <w:pitch w:val="default"/>
    <w:sig w:usb0="00000000" w:usb1="00000000" w:usb2="00000000" w:usb3="00000000" w:csb0="00040001" w:csb1="00000000"/>
  </w:font>
  <w:font w:name="Cambria Math">
    <w:panose1 w:val="02040503050406030204"/>
    <w:charset w:val="00"/>
    <w:family w:val="roman"/>
    <w:pitch w:val="default"/>
    <w:sig w:usb0="E00006FF" w:usb1="420024FF" w:usb2="02000000" w:usb3="00000000" w:csb0="2000019F" w:csb1="00000000"/>
  </w:font>
  <w:font w:name="MS Mincho">
    <w:altName w:val="Yu Gothic UI"/>
    <w:panose1 w:val="02020609040205080304"/>
    <w:charset w:val="80"/>
    <w:family w:val="modern"/>
    <w:pitch w:val="default"/>
    <w:sig w:usb0="00000000" w:usb1="00000000"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9" w:lineRule="auto"/>
      <w:ind w:left="4498"/>
      <w:rPr>
        <w:rFonts w:ascii="Calibri" w:hAnsi="Calibri" w:eastAsia="Calibri" w:cs="Calibri"/>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xir3IzAgAAZQQAAA4AAAAAAAAAAQAgAAAAHwEAAGRycy9lMm9Eb2MueG1sUEsF&#10;BgAAAAAGAAYAWQEAAMQFA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9" w:lineRule="auto"/>
      <w:rPr>
        <w:rFonts w:ascii="Calibri" w:hAnsi="Calibri" w:eastAsia="Calibri" w:cs="Calibri"/>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hHZsDICAABlBAAADgAAAAAAAAABACAAAAAfAQAAZHJzL2Uyb0RvYy54bWxQSwUG&#10;AAAAAAYABgBZAQAAwwU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4" name="文本框 1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106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JWav4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yZvKDFMo+SnH99P&#10;Px9Ov76RdAiJGhdmiLx3iI3tO9sifDgPOEzM28rr9AUnAj8EPl4EFm0kPF2aTqbTHC4O37ABfvZ4&#10;3fkQ3wurSTIK6lHBTlh22ITYhw4hKZuxa6lUV0VlSFPQq9dv8+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SVmr+NAIAAGUEAAAOAAAAAAAAAAEAIAAAAB8BAABkcnMvZTJvRG9jLnhtbFBL&#10;BQYAAAAABgAGAFkBAADFBQ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106</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133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UoJhwz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UoJhwzAgAAZQQAAA4AAAAAAAAAAQAgAAAAHwEAAGRycy9lMm9Eb2MueG1sUEsF&#10;BgAAAAAGAAYAWQEAAMQFA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133</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142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NbUN4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Y1tQ3jICAABlBAAADgAAAAAAAAABACAAAAAfAQAAZHJzL2Uyb0RvYy54bWxQSwUG&#10;AAAAAAYABgBZAQAAwwU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142</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171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GLfzs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GLfzszAgAAZQQAAA4AAAAAAAAAAQAgAAAAHwEAAGRycy9lMm9Eb2MueG1sUEsF&#10;BgAAAAAGAAYAWQEAAMQFA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171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Fonts w:hint="eastAsia"/>
        <w:lang w:eastAsia="zh-CN"/>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17" w:lineRule="auto"/>
      <w:ind w:left="518"/>
      <w:rPr>
        <w:rFonts w:ascii="宋体" w:hAnsi="宋体" w:eastAsia="宋体" w:cs="宋体"/>
        <w:sz w:val="18"/>
        <w:szCs w:val="18"/>
      </w:rPr>
    </w:pPr>
    <w:r>
      <w:pict>
        <v:shape id="_x0000_s2125" o:spid="_x0000_s2125" style="position:absolute;left:0pt;margin-left:70.85pt;margin-top:59.45pt;height:0.75pt;width:453.65pt;mso-position-horizontal-relative:page;mso-position-vertical-relative:page;z-index:251659264;mso-width-relative:page;mso-height-relative:page;" fillcolor="#000000" filled="t" stroked="f" coordsize="9072,15" o:allowincell="f" path="m0,0l9072,0,9072,14,0,14,0,0xe">
          <v:path/>
          <v:fill on="t" focussize="0,0"/>
          <v:stroke on="f"/>
          <v:imagedata o:title=""/>
          <o:lock v:ext="edit"/>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1036508"/>
    <w:multiLevelType w:val="singleLevel"/>
    <w:tmpl w:val="C1036508"/>
    <w:lvl w:ilvl="0" w:tentative="0">
      <w:start w:val="1"/>
      <w:numFmt w:val="chineseCounting"/>
      <w:suff w:val="nothing"/>
      <w:lvlText w:val="%1、"/>
      <w:lvlJc w:val="left"/>
      <w:pPr>
        <w:ind w:left="0" w:firstLine="0"/>
      </w:pPr>
      <w:rPr>
        <w:rFonts w:hint="eastAsia"/>
      </w:rPr>
    </w:lvl>
  </w:abstractNum>
  <w:abstractNum w:abstractNumId="1">
    <w:nsid w:val="E281371B"/>
    <w:multiLevelType w:val="singleLevel"/>
    <w:tmpl w:val="E281371B"/>
    <w:lvl w:ilvl="0" w:tentative="0">
      <w:start w:val="1"/>
      <w:numFmt w:val="decimal"/>
      <w:suff w:val="nothing"/>
      <w:lvlText w:val="（%1）"/>
      <w:lvlJc w:val="left"/>
    </w:lvl>
  </w:abstractNum>
  <w:abstractNum w:abstractNumId="2">
    <w:nsid w:val="EEA739DD"/>
    <w:multiLevelType w:val="singleLevel"/>
    <w:tmpl w:val="EEA739DD"/>
    <w:lvl w:ilvl="0" w:tentative="0">
      <w:start w:val="2"/>
      <w:numFmt w:val="decimal"/>
      <w:suff w:val="nothing"/>
      <w:lvlText w:val="%1）"/>
      <w:lvlJc w:val="left"/>
    </w:lvl>
  </w:abstractNum>
  <w:abstractNum w:abstractNumId="3">
    <w:nsid w:val="F1973F6A"/>
    <w:multiLevelType w:val="singleLevel"/>
    <w:tmpl w:val="F1973F6A"/>
    <w:lvl w:ilvl="0" w:tentative="0">
      <w:start w:val="5"/>
      <w:numFmt w:val="decimal"/>
      <w:suff w:val="nothing"/>
      <w:lvlText w:val="%1）"/>
      <w:lvlJc w:val="left"/>
    </w:lvl>
  </w:abstractNum>
  <w:abstractNum w:abstractNumId="4">
    <w:nsid w:val="01764AA3"/>
    <w:multiLevelType w:val="singleLevel"/>
    <w:tmpl w:val="01764AA3"/>
    <w:lvl w:ilvl="0" w:tentative="0">
      <w:start w:val="1"/>
      <w:numFmt w:val="chineseCounting"/>
      <w:suff w:val="nothing"/>
      <w:lvlText w:val="%1、"/>
      <w:lvlJc w:val="left"/>
      <w:pPr>
        <w:ind w:left="0" w:firstLine="0"/>
      </w:pPr>
      <w:rPr>
        <w:rFonts w:hint="eastAsia"/>
      </w:rPr>
    </w:lvl>
  </w:abstractNum>
  <w:abstractNum w:abstractNumId="5">
    <w:nsid w:val="23C4EF29"/>
    <w:multiLevelType w:val="singleLevel"/>
    <w:tmpl w:val="23C4EF29"/>
    <w:lvl w:ilvl="0" w:tentative="0">
      <w:start w:val="1"/>
      <w:numFmt w:val="decimal"/>
      <w:suff w:val="nothing"/>
      <w:lvlText w:val="（%1）"/>
      <w:lvlJc w:val="left"/>
    </w:lvl>
  </w:abstractNum>
  <w:abstractNum w:abstractNumId="6">
    <w:nsid w:val="3FA76A2F"/>
    <w:multiLevelType w:val="singleLevel"/>
    <w:tmpl w:val="3FA76A2F"/>
    <w:lvl w:ilvl="0" w:tentative="0">
      <w:start w:val="1"/>
      <w:numFmt w:val="bullet"/>
      <w:pStyle w:val="7"/>
      <w:lvlText w:val=""/>
      <w:lvlJc w:val="left"/>
      <w:pPr>
        <w:tabs>
          <w:tab w:val="left" w:pos="2040"/>
        </w:tabs>
        <w:ind w:left="2040" w:hanging="360"/>
      </w:pPr>
      <w:rPr>
        <w:rFonts w:hint="default" w:ascii="Wingdings" w:hAnsi="Wingdings"/>
      </w:rPr>
    </w:lvl>
  </w:abstractNum>
  <w:abstractNum w:abstractNumId="7">
    <w:nsid w:val="440E1732"/>
    <w:multiLevelType w:val="multilevel"/>
    <w:tmpl w:val="440E1732"/>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pStyle w:val="11"/>
      <w:lvlText w:val="%1.%2.%3"/>
      <w:lvlJc w:val="left"/>
      <w:pPr>
        <w:tabs>
          <w:tab w:val="left" w:pos="720"/>
        </w:tabs>
        <w:ind w:left="720" w:hanging="720"/>
      </w:pPr>
      <w:rPr>
        <w:rFonts w:hint="eastAsia"/>
      </w:rPr>
    </w:lvl>
    <w:lvl w:ilvl="3" w:tentative="0">
      <w:start w:val="1"/>
      <w:numFmt w:val="decimal"/>
      <w:lvlText w:val="%1.%2.%3.%4"/>
      <w:lvlJc w:val="left"/>
      <w:pPr>
        <w:tabs>
          <w:tab w:val="left" w:pos="864"/>
        </w:tabs>
        <w:ind w:left="864" w:hanging="864"/>
      </w:pPr>
      <w:rPr>
        <w:rFonts w:hint="default" w:ascii="Times New Roman" w:hAnsi="Times New Roman" w:eastAsia="宋体"/>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8">
    <w:nsid w:val="7684F676"/>
    <w:multiLevelType w:val="singleLevel"/>
    <w:tmpl w:val="7684F676"/>
    <w:lvl w:ilvl="0" w:tentative="0">
      <w:start w:val="1"/>
      <w:numFmt w:val="decimal"/>
      <w:suff w:val="nothing"/>
      <w:lvlText w:val="（%1）"/>
      <w:lvlJc w:val="left"/>
    </w:lvl>
  </w:abstractNum>
  <w:abstractNum w:abstractNumId="9">
    <w:nsid w:val="7D6F54D8"/>
    <w:multiLevelType w:val="singleLevel"/>
    <w:tmpl w:val="7D6F54D8"/>
    <w:lvl w:ilvl="0" w:tentative="0">
      <w:start w:val="1"/>
      <w:numFmt w:val="decimal"/>
      <w:suff w:val="nothing"/>
      <w:lvlText w:val="（%1）"/>
      <w:lvlJc w:val="left"/>
    </w:lvl>
  </w:abstractNum>
  <w:num w:numId="1">
    <w:abstractNumId w:val="7"/>
  </w:num>
  <w:num w:numId="2">
    <w:abstractNumId w:val="6"/>
  </w:num>
  <w:num w:numId="3">
    <w:abstractNumId w:val="9"/>
  </w:num>
  <w:num w:numId="4">
    <w:abstractNumId w:val="4"/>
  </w:num>
  <w:num w:numId="5">
    <w:abstractNumId w:val="0"/>
  </w:num>
  <w:num w:numId="6">
    <w:abstractNumId w:val="5"/>
  </w:num>
  <w:num w:numId="7">
    <w:abstractNumId w:val="1"/>
  </w:num>
  <w:num w:numId="8">
    <w:abstractNumId w:val="3"/>
  </w:num>
  <w:num w:numId="9">
    <w:abstractNumId w:val="2"/>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OWM0NTQ0MjhjYzk2ZDcyNDY2ZTU4MjMzMGRkYmY1ODMifQ=="/>
  </w:docVars>
  <w:rsids>
    <w:rsidRoot w:val="00000000"/>
    <w:rsid w:val="0012003C"/>
    <w:rsid w:val="005248AF"/>
    <w:rsid w:val="00623F5D"/>
    <w:rsid w:val="009243F2"/>
    <w:rsid w:val="00B336B5"/>
    <w:rsid w:val="011B6997"/>
    <w:rsid w:val="012E7CAA"/>
    <w:rsid w:val="014629EE"/>
    <w:rsid w:val="01607E44"/>
    <w:rsid w:val="019B3634"/>
    <w:rsid w:val="01DD3C4D"/>
    <w:rsid w:val="0206709A"/>
    <w:rsid w:val="02217FDE"/>
    <w:rsid w:val="02493D31"/>
    <w:rsid w:val="029F53A6"/>
    <w:rsid w:val="02A10CBF"/>
    <w:rsid w:val="02D0511F"/>
    <w:rsid w:val="02ED3647"/>
    <w:rsid w:val="03405D4F"/>
    <w:rsid w:val="03497803"/>
    <w:rsid w:val="03D20AAF"/>
    <w:rsid w:val="03D96696"/>
    <w:rsid w:val="03EC0CDF"/>
    <w:rsid w:val="03EE1054"/>
    <w:rsid w:val="03F00E1B"/>
    <w:rsid w:val="040D5A59"/>
    <w:rsid w:val="04313150"/>
    <w:rsid w:val="04910D1F"/>
    <w:rsid w:val="049B1F73"/>
    <w:rsid w:val="04C854C9"/>
    <w:rsid w:val="050D433E"/>
    <w:rsid w:val="050F0BE4"/>
    <w:rsid w:val="053D4F33"/>
    <w:rsid w:val="054D35C3"/>
    <w:rsid w:val="05AA4472"/>
    <w:rsid w:val="05BB42A5"/>
    <w:rsid w:val="05E01181"/>
    <w:rsid w:val="060115D2"/>
    <w:rsid w:val="06224DAA"/>
    <w:rsid w:val="06905732"/>
    <w:rsid w:val="06DF4610"/>
    <w:rsid w:val="071E00DF"/>
    <w:rsid w:val="07293490"/>
    <w:rsid w:val="07891A24"/>
    <w:rsid w:val="082416F2"/>
    <w:rsid w:val="08395955"/>
    <w:rsid w:val="083D3697"/>
    <w:rsid w:val="085256BA"/>
    <w:rsid w:val="08AD1793"/>
    <w:rsid w:val="08AF5C17"/>
    <w:rsid w:val="08B2557F"/>
    <w:rsid w:val="08BB2EDF"/>
    <w:rsid w:val="09000221"/>
    <w:rsid w:val="093F7783"/>
    <w:rsid w:val="09AC1B40"/>
    <w:rsid w:val="0A083831"/>
    <w:rsid w:val="0B2A1E35"/>
    <w:rsid w:val="0B3643CE"/>
    <w:rsid w:val="0B4B045E"/>
    <w:rsid w:val="0BAA258D"/>
    <w:rsid w:val="0BB269BC"/>
    <w:rsid w:val="0BE12940"/>
    <w:rsid w:val="0C442A3C"/>
    <w:rsid w:val="0C7927C4"/>
    <w:rsid w:val="0CE71E24"/>
    <w:rsid w:val="0CED7950"/>
    <w:rsid w:val="0D0155D6"/>
    <w:rsid w:val="0D31309F"/>
    <w:rsid w:val="0DD04666"/>
    <w:rsid w:val="0DE87B7B"/>
    <w:rsid w:val="0EA9475F"/>
    <w:rsid w:val="0ED30DDE"/>
    <w:rsid w:val="0ED74937"/>
    <w:rsid w:val="0EEE2712"/>
    <w:rsid w:val="0F0F5C68"/>
    <w:rsid w:val="0F7F4595"/>
    <w:rsid w:val="101344C8"/>
    <w:rsid w:val="10D64689"/>
    <w:rsid w:val="10EE19D3"/>
    <w:rsid w:val="1103574A"/>
    <w:rsid w:val="12847A4C"/>
    <w:rsid w:val="12D24DFE"/>
    <w:rsid w:val="12D62370"/>
    <w:rsid w:val="12EA7F78"/>
    <w:rsid w:val="135A76B3"/>
    <w:rsid w:val="13642089"/>
    <w:rsid w:val="13F13588"/>
    <w:rsid w:val="13FC17C7"/>
    <w:rsid w:val="142B5288"/>
    <w:rsid w:val="142C61D8"/>
    <w:rsid w:val="143F42F3"/>
    <w:rsid w:val="14B54E87"/>
    <w:rsid w:val="14C8034C"/>
    <w:rsid w:val="14D26F15"/>
    <w:rsid w:val="14DB00D0"/>
    <w:rsid w:val="15793DE0"/>
    <w:rsid w:val="15AA0E72"/>
    <w:rsid w:val="15E9077C"/>
    <w:rsid w:val="162639BD"/>
    <w:rsid w:val="16380F1D"/>
    <w:rsid w:val="165A5414"/>
    <w:rsid w:val="168E50BE"/>
    <w:rsid w:val="16D00347"/>
    <w:rsid w:val="16D53366"/>
    <w:rsid w:val="1702110D"/>
    <w:rsid w:val="176D70D9"/>
    <w:rsid w:val="17AE76D8"/>
    <w:rsid w:val="17C979EF"/>
    <w:rsid w:val="17E21B65"/>
    <w:rsid w:val="18366FC3"/>
    <w:rsid w:val="185760AF"/>
    <w:rsid w:val="18B057C0"/>
    <w:rsid w:val="18BA4664"/>
    <w:rsid w:val="18E25D7A"/>
    <w:rsid w:val="194D3713"/>
    <w:rsid w:val="196964FF"/>
    <w:rsid w:val="1A225B3D"/>
    <w:rsid w:val="1A451D4E"/>
    <w:rsid w:val="1A907657"/>
    <w:rsid w:val="1AA555D5"/>
    <w:rsid w:val="1B36359A"/>
    <w:rsid w:val="1B691D43"/>
    <w:rsid w:val="1B983026"/>
    <w:rsid w:val="1BA64D4B"/>
    <w:rsid w:val="1BE835D8"/>
    <w:rsid w:val="1C085913"/>
    <w:rsid w:val="1C536B8E"/>
    <w:rsid w:val="1C7F4F64"/>
    <w:rsid w:val="1CCE0374"/>
    <w:rsid w:val="1DB07CC0"/>
    <w:rsid w:val="1DBF514D"/>
    <w:rsid w:val="1E0733A0"/>
    <w:rsid w:val="1F137CCC"/>
    <w:rsid w:val="1F1950FF"/>
    <w:rsid w:val="1F3C1AF9"/>
    <w:rsid w:val="1F817EB6"/>
    <w:rsid w:val="1F881244"/>
    <w:rsid w:val="1FEA3DCA"/>
    <w:rsid w:val="202056DD"/>
    <w:rsid w:val="20B541D0"/>
    <w:rsid w:val="20CA2AE2"/>
    <w:rsid w:val="20D30C13"/>
    <w:rsid w:val="21015A05"/>
    <w:rsid w:val="212052D1"/>
    <w:rsid w:val="21667363"/>
    <w:rsid w:val="218D2B42"/>
    <w:rsid w:val="218D2DB4"/>
    <w:rsid w:val="21902708"/>
    <w:rsid w:val="219519F6"/>
    <w:rsid w:val="21E01F9C"/>
    <w:rsid w:val="220B7F0B"/>
    <w:rsid w:val="221719C0"/>
    <w:rsid w:val="22717D6E"/>
    <w:rsid w:val="22786E04"/>
    <w:rsid w:val="22916662"/>
    <w:rsid w:val="22E70030"/>
    <w:rsid w:val="23542124"/>
    <w:rsid w:val="23A03CC2"/>
    <w:rsid w:val="23A5639B"/>
    <w:rsid w:val="23CC16BB"/>
    <w:rsid w:val="23DE58D7"/>
    <w:rsid w:val="247B5CBE"/>
    <w:rsid w:val="248110C1"/>
    <w:rsid w:val="248E743E"/>
    <w:rsid w:val="24A501A2"/>
    <w:rsid w:val="24DB5972"/>
    <w:rsid w:val="255233A1"/>
    <w:rsid w:val="256609FD"/>
    <w:rsid w:val="25826736"/>
    <w:rsid w:val="258B0DDB"/>
    <w:rsid w:val="25F27417"/>
    <w:rsid w:val="25FF1B34"/>
    <w:rsid w:val="262128D2"/>
    <w:rsid w:val="26595149"/>
    <w:rsid w:val="267D4A5C"/>
    <w:rsid w:val="26B24DF9"/>
    <w:rsid w:val="26C03F62"/>
    <w:rsid w:val="274162B2"/>
    <w:rsid w:val="27455C6D"/>
    <w:rsid w:val="274962F7"/>
    <w:rsid w:val="27806BF1"/>
    <w:rsid w:val="27872CDC"/>
    <w:rsid w:val="279E7E4B"/>
    <w:rsid w:val="27CF13EF"/>
    <w:rsid w:val="28281800"/>
    <w:rsid w:val="284D4823"/>
    <w:rsid w:val="2855250F"/>
    <w:rsid w:val="28A72E02"/>
    <w:rsid w:val="2918477E"/>
    <w:rsid w:val="29580DF2"/>
    <w:rsid w:val="29CE44AF"/>
    <w:rsid w:val="29F860F4"/>
    <w:rsid w:val="2A2B0F00"/>
    <w:rsid w:val="2A523753"/>
    <w:rsid w:val="2A557260"/>
    <w:rsid w:val="2A834AE2"/>
    <w:rsid w:val="2B25203D"/>
    <w:rsid w:val="2B30453E"/>
    <w:rsid w:val="2B487ADA"/>
    <w:rsid w:val="2B7E52A9"/>
    <w:rsid w:val="2BE23016"/>
    <w:rsid w:val="2BFC3753"/>
    <w:rsid w:val="2C2671D6"/>
    <w:rsid w:val="2C6B4B0A"/>
    <w:rsid w:val="2C7C5415"/>
    <w:rsid w:val="2C8358FF"/>
    <w:rsid w:val="2CA5512F"/>
    <w:rsid w:val="2CB81887"/>
    <w:rsid w:val="2CBF201D"/>
    <w:rsid w:val="2D0D5A3E"/>
    <w:rsid w:val="2D1705DB"/>
    <w:rsid w:val="2D1E6DAE"/>
    <w:rsid w:val="2D3E10D6"/>
    <w:rsid w:val="2D404F0C"/>
    <w:rsid w:val="2DBB3A91"/>
    <w:rsid w:val="2DF33A6B"/>
    <w:rsid w:val="2E055E57"/>
    <w:rsid w:val="2E0B376C"/>
    <w:rsid w:val="2E386DC4"/>
    <w:rsid w:val="2E45735E"/>
    <w:rsid w:val="2E786744"/>
    <w:rsid w:val="2EC8340B"/>
    <w:rsid w:val="2F130437"/>
    <w:rsid w:val="2F6F7F52"/>
    <w:rsid w:val="30075DE2"/>
    <w:rsid w:val="3078676B"/>
    <w:rsid w:val="309761C7"/>
    <w:rsid w:val="3143321D"/>
    <w:rsid w:val="314918D3"/>
    <w:rsid w:val="31556AAC"/>
    <w:rsid w:val="31A17F44"/>
    <w:rsid w:val="31DD2C8C"/>
    <w:rsid w:val="31F112D2"/>
    <w:rsid w:val="32870EE7"/>
    <w:rsid w:val="32A27B93"/>
    <w:rsid w:val="32A4730E"/>
    <w:rsid w:val="32A70155"/>
    <w:rsid w:val="33514BE5"/>
    <w:rsid w:val="335F4764"/>
    <w:rsid w:val="338B6F24"/>
    <w:rsid w:val="33BF0E53"/>
    <w:rsid w:val="341457B9"/>
    <w:rsid w:val="34180991"/>
    <w:rsid w:val="34963D6A"/>
    <w:rsid w:val="34CD5BDF"/>
    <w:rsid w:val="351B11CE"/>
    <w:rsid w:val="355A4E54"/>
    <w:rsid w:val="355E1723"/>
    <w:rsid w:val="35944A5C"/>
    <w:rsid w:val="359B4975"/>
    <w:rsid w:val="364610BA"/>
    <w:rsid w:val="36594DD2"/>
    <w:rsid w:val="366B1F33"/>
    <w:rsid w:val="367F4CF7"/>
    <w:rsid w:val="36992F8C"/>
    <w:rsid w:val="36AD2EE7"/>
    <w:rsid w:val="36B07A24"/>
    <w:rsid w:val="36C823D3"/>
    <w:rsid w:val="36D54881"/>
    <w:rsid w:val="36F42A35"/>
    <w:rsid w:val="37151BC7"/>
    <w:rsid w:val="37272C99"/>
    <w:rsid w:val="372D2946"/>
    <w:rsid w:val="374B3160"/>
    <w:rsid w:val="3793032E"/>
    <w:rsid w:val="37AB05A8"/>
    <w:rsid w:val="385B4775"/>
    <w:rsid w:val="38EA21D0"/>
    <w:rsid w:val="390736D5"/>
    <w:rsid w:val="39AE6FFB"/>
    <w:rsid w:val="39E01621"/>
    <w:rsid w:val="3A6B10EF"/>
    <w:rsid w:val="3A766411"/>
    <w:rsid w:val="3AC429A4"/>
    <w:rsid w:val="3AC62888"/>
    <w:rsid w:val="3B1A3241"/>
    <w:rsid w:val="3B3A743F"/>
    <w:rsid w:val="3B651FE2"/>
    <w:rsid w:val="3B8A37F6"/>
    <w:rsid w:val="3BCE7B87"/>
    <w:rsid w:val="3BEA1B88"/>
    <w:rsid w:val="3C3519B4"/>
    <w:rsid w:val="3C410359"/>
    <w:rsid w:val="3C985814"/>
    <w:rsid w:val="3CC86CCC"/>
    <w:rsid w:val="3CD4741F"/>
    <w:rsid w:val="3D1836FB"/>
    <w:rsid w:val="3D555936"/>
    <w:rsid w:val="3D6D09E3"/>
    <w:rsid w:val="3D7D7AB7"/>
    <w:rsid w:val="3D996C9B"/>
    <w:rsid w:val="3DC049AF"/>
    <w:rsid w:val="3DE763FA"/>
    <w:rsid w:val="3DE770C2"/>
    <w:rsid w:val="3E502554"/>
    <w:rsid w:val="3E5527E2"/>
    <w:rsid w:val="3EAD1CD6"/>
    <w:rsid w:val="3EE92E4F"/>
    <w:rsid w:val="3F0E02C4"/>
    <w:rsid w:val="3F1B1335"/>
    <w:rsid w:val="3F1D6580"/>
    <w:rsid w:val="3F4260EE"/>
    <w:rsid w:val="3FC96FE3"/>
    <w:rsid w:val="3FFB233D"/>
    <w:rsid w:val="402B333F"/>
    <w:rsid w:val="40552625"/>
    <w:rsid w:val="405D1EA3"/>
    <w:rsid w:val="40A13AB1"/>
    <w:rsid w:val="40C4754B"/>
    <w:rsid w:val="41594397"/>
    <w:rsid w:val="41C51C33"/>
    <w:rsid w:val="41C662EF"/>
    <w:rsid w:val="41CF6407"/>
    <w:rsid w:val="41D373E7"/>
    <w:rsid w:val="41DC3A2C"/>
    <w:rsid w:val="41F17CFF"/>
    <w:rsid w:val="41FA52F7"/>
    <w:rsid w:val="42224789"/>
    <w:rsid w:val="42317202"/>
    <w:rsid w:val="42482B1F"/>
    <w:rsid w:val="42727F55"/>
    <w:rsid w:val="42DB364D"/>
    <w:rsid w:val="434F510D"/>
    <w:rsid w:val="438F4B21"/>
    <w:rsid w:val="43A85814"/>
    <w:rsid w:val="43D16389"/>
    <w:rsid w:val="44625310"/>
    <w:rsid w:val="449D27EC"/>
    <w:rsid w:val="44EA76D3"/>
    <w:rsid w:val="455410FD"/>
    <w:rsid w:val="455530C7"/>
    <w:rsid w:val="45B220F0"/>
    <w:rsid w:val="45B37A50"/>
    <w:rsid w:val="45F478B2"/>
    <w:rsid w:val="45FB3C6E"/>
    <w:rsid w:val="46712183"/>
    <w:rsid w:val="46A62B79"/>
    <w:rsid w:val="46A87567"/>
    <w:rsid w:val="46B02CAB"/>
    <w:rsid w:val="46C54143"/>
    <w:rsid w:val="46D1677D"/>
    <w:rsid w:val="46F030A7"/>
    <w:rsid w:val="46FD57C4"/>
    <w:rsid w:val="471F7887"/>
    <w:rsid w:val="475278BE"/>
    <w:rsid w:val="476B31C4"/>
    <w:rsid w:val="47743CD8"/>
    <w:rsid w:val="48013092"/>
    <w:rsid w:val="484B79CA"/>
    <w:rsid w:val="4854753B"/>
    <w:rsid w:val="48927427"/>
    <w:rsid w:val="489403E8"/>
    <w:rsid w:val="48AE7330"/>
    <w:rsid w:val="48BF4A4F"/>
    <w:rsid w:val="48C22822"/>
    <w:rsid w:val="48DD7604"/>
    <w:rsid w:val="49BF6BB2"/>
    <w:rsid w:val="4A085A31"/>
    <w:rsid w:val="4A9549AA"/>
    <w:rsid w:val="4AB43F29"/>
    <w:rsid w:val="4AEE5B50"/>
    <w:rsid w:val="4B39791C"/>
    <w:rsid w:val="4B3A6FE7"/>
    <w:rsid w:val="4B7942A2"/>
    <w:rsid w:val="4BA61ADD"/>
    <w:rsid w:val="4C15638D"/>
    <w:rsid w:val="4C4F216F"/>
    <w:rsid w:val="4C533347"/>
    <w:rsid w:val="4C5B6F9F"/>
    <w:rsid w:val="4C9D7608"/>
    <w:rsid w:val="4D5D6FBD"/>
    <w:rsid w:val="4DF47921"/>
    <w:rsid w:val="4DF84634"/>
    <w:rsid w:val="4E1E499E"/>
    <w:rsid w:val="4E7F2681"/>
    <w:rsid w:val="4E994025"/>
    <w:rsid w:val="4ECC1901"/>
    <w:rsid w:val="4EF53835"/>
    <w:rsid w:val="4F245FE4"/>
    <w:rsid w:val="4F290B39"/>
    <w:rsid w:val="4F69567E"/>
    <w:rsid w:val="4FB932D4"/>
    <w:rsid w:val="4FB9341D"/>
    <w:rsid w:val="4FD73056"/>
    <w:rsid w:val="4FE8236B"/>
    <w:rsid w:val="4FED287A"/>
    <w:rsid w:val="4FF30732"/>
    <w:rsid w:val="501667AC"/>
    <w:rsid w:val="50275571"/>
    <w:rsid w:val="502F4A01"/>
    <w:rsid w:val="50850D04"/>
    <w:rsid w:val="50906375"/>
    <w:rsid w:val="50A822AC"/>
    <w:rsid w:val="50B15453"/>
    <w:rsid w:val="50E148D6"/>
    <w:rsid w:val="517F5754"/>
    <w:rsid w:val="51B821C8"/>
    <w:rsid w:val="52041DCA"/>
    <w:rsid w:val="524469A6"/>
    <w:rsid w:val="526B1CB6"/>
    <w:rsid w:val="52B6036C"/>
    <w:rsid w:val="52F02AD4"/>
    <w:rsid w:val="53507DC0"/>
    <w:rsid w:val="53533892"/>
    <w:rsid w:val="535D6FEA"/>
    <w:rsid w:val="53EB34A4"/>
    <w:rsid w:val="541D3002"/>
    <w:rsid w:val="548A6B24"/>
    <w:rsid w:val="54B11E7A"/>
    <w:rsid w:val="550B7B50"/>
    <w:rsid w:val="55616C9B"/>
    <w:rsid w:val="55853ED1"/>
    <w:rsid w:val="559B0682"/>
    <w:rsid w:val="55AB7C6B"/>
    <w:rsid w:val="55C15C6C"/>
    <w:rsid w:val="564367C8"/>
    <w:rsid w:val="56626506"/>
    <w:rsid w:val="56683035"/>
    <w:rsid w:val="566B5D58"/>
    <w:rsid w:val="56790532"/>
    <w:rsid w:val="56892BD1"/>
    <w:rsid w:val="56952E87"/>
    <w:rsid w:val="56BB75CD"/>
    <w:rsid w:val="56E91C9B"/>
    <w:rsid w:val="576525DE"/>
    <w:rsid w:val="57877110"/>
    <w:rsid w:val="57AA516B"/>
    <w:rsid w:val="57C8699D"/>
    <w:rsid w:val="57E15D0C"/>
    <w:rsid w:val="57E52089"/>
    <w:rsid w:val="583D0117"/>
    <w:rsid w:val="58454657"/>
    <w:rsid w:val="58620547"/>
    <w:rsid w:val="58A073F9"/>
    <w:rsid w:val="58C3426C"/>
    <w:rsid w:val="58FA06CD"/>
    <w:rsid w:val="594F4A1C"/>
    <w:rsid w:val="59817232"/>
    <w:rsid w:val="59937E9D"/>
    <w:rsid w:val="59E22D24"/>
    <w:rsid w:val="5A597D14"/>
    <w:rsid w:val="5A935B6E"/>
    <w:rsid w:val="5AB42E2E"/>
    <w:rsid w:val="5AD22D98"/>
    <w:rsid w:val="5AED1980"/>
    <w:rsid w:val="5AF1783A"/>
    <w:rsid w:val="5B086CF5"/>
    <w:rsid w:val="5B2C7ABD"/>
    <w:rsid w:val="5B5E699D"/>
    <w:rsid w:val="5C052CF9"/>
    <w:rsid w:val="5C6D1F5A"/>
    <w:rsid w:val="5CB4250D"/>
    <w:rsid w:val="5CFC2DEC"/>
    <w:rsid w:val="5D107BA8"/>
    <w:rsid w:val="5DAC35AC"/>
    <w:rsid w:val="5DF86567"/>
    <w:rsid w:val="5E2320A2"/>
    <w:rsid w:val="5E3E6996"/>
    <w:rsid w:val="5EB53327"/>
    <w:rsid w:val="5EF520AE"/>
    <w:rsid w:val="5EF82A8C"/>
    <w:rsid w:val="5F1D035A"/>
    <w:rsid w:val="5F4F21D8"/>
    <w:rsid w:val="5F7E2F34"/>
    <w:rsid w:val="5FA6034F"/>
    <w:rsid w:val="5FEC0403"/>
    <w:rsid w:val="601150A3"/>
    <w:rsid w:val="601931E9"/>
    <w:rsid w:val="60483AFC"/>
    <w:rsid w:val="604E34A2"/>
    <w:rsid w:val="609D5BF6"/>
    <w:rsid w:val="611523F0"/>
    <w:rsid w:val="62034E0D"/>
    <w:rsid w:val="62726C0F"/>
    <w:rsid w:val="62C6575D"/>
    <w:rsid w:val="63027F93"/>
    <w:rsid w:val="634E4EE5"/>
    <w:rsid w:val="63756813"/>
    <w:rsid w:val="639253E3"/>
    <w:rsid w:val="649D4417"/>
    <w:rsid w:val="64CD4D5E"/>
    <w:rsid w:val="64DE5B8B"/>
    <w:rsid w:val="651564AF"/>
    <w:rsid w:val="653D4140"/>
    <w:rsid w:val="659F7A34"/>
    <w:rsid w:val="65B97AB6"/>
    <w:rsid w:val="65C82D58"/>
    <w:rsid w:val="66663AE8"/>
    <w:rsid w:val="66D21400"/>
    <w:rsid w:val="66F77F82"/>
    <w:rsid w:val="67033E69"/>
    <w:rsid w:val="671C3731"/>
    <w:rsid w:val="677837B7"/>
    <w:rsid w:val="67BB30CD"/>
    <w:rsid w:val="68091DC3"/>
    <w:rsid w:val="685A261F"/>
    <w:rsid w:val="68F21EDD"/>
    <w:rsid w:val="69320EA6"/>
    <w:rsid w:val="69AE0E03"/>
    <w:rsid w:val="69D8228C"/>
    <w:rsid w:val="6A3D5D54"/>
    <w:rsid w:val="6A4B6731"/>
    <w:rsid w:val="6A8F4802"/>
    <w:rsid w:val="6AB853DB"/>
    <w:rsid w:val="6AE82164"/>
    <w:rsid w:val="6B0B19AE"/>
    <w:rsid w:val="6B434018"/>
    <w:rsid w:val="6B460C38"/>
    <w:rsid w:val="6B79572D"/>
    <w:rsid w:val="6B9156FC"/>
    <w:rsid w:val="6BF863D7"/>
    <w:rsid w:val="6C0233AB"/>
    <w:rsid w:val="6C27082B"/>
    <w:rsid w:val="6CC437D4"/>
    <w:rsid w:val="6CEE4A35"/>
    <w:rsid w:val="6D0112BB"/>
    <w:rsid w:val="6D57536B"/>
    <w:rsid w:val="6D743E7C"/>
    <w:rsid w:val="6D884FFE"/>
    <w:rsid w:val="6DA560EA"/>
    <w:rsid w:val="6E294824"/>
    <w:rsid w:val="6E641B01"/>
    <w:rsid w:val="6EA77676"/>
    <w:rsid w:val="6EC4352D"/>
    <w:rsid w:val="6EF768D6"/>
    <w:rsid w:val="6F240AB5"/>
    <w:rsid w:val="6F337CD5"/>
    <w:rsid w:val="6F677265"/>
    <w:rsid w:val="6F715FDB"/>
    <w:rsid w:val="6F7663AE"/>
    <w:rsid w:val="6F84228F"/>
    <w:rsid w:val="6F936F0B"/>
    <w:rsid w:val="702E549D"/>
    <w:rsid w:val="70882186"/>
    <w:rsid w:val="7096058D"/>
    <w:rsid w:val="70BD3850"/>
    <w:rsid w:val="70C04FE9"/>
    <w:rsid w:val="70C81FF1"/>
    <w:rsid w:val="710332B0"/>
    <w:rsid w:val="71145A61"/>
    <w:rsid w:val="71157D8A"/>
    <w:rsid w:val="714137E1"/>
    <w:rsid w:val="71424334"/>
    <w:rsid w:val="71810C1C"/>
    <w:rsid w:val="718D136F"/>
    <w:rsid w:val="71954DDE"/>
    <w:rsid w:val="71A32BE5"/>
    <w:rsid w:val="71CF3736"/>
    <w:rsid w:val="72002889"/>
    <w:rsid w:val="72240933"/>
    <w:rsid w:val="7252417C"/>
    <w:rsid w:val="72671BC0"/>
    <w:rsid w:val="728B3E6D"/>
    <w:rsid w:val="72AA25B8"/>
    <w:rsid w:val="72BD7A32"/>
    <w:rsid w:val="730431E3"/>
    <w:rsid w:val="73B872E5"/>
    <w:rsid w:val="74407613"/>
    <w:rsid w:val="744D73F4"/>
    <w:rsid w:val="74E121A5"/>
    <w:rsid w:val="74F91D3B"/>
    <w:rsid w:val="75281678"/>
    <w:rsid w:val="753B10E2"/>
    <w:rsid w:val="755108E8"/>
    <w:rsid w:val="75AF5D58"/>
    <w:rsid w:val="761011A0"/>
    <w:rsid w:val="761060E1"/>
    <w:rsid w:val="765F71BA"/>
    <w:rsid w:val="767B3E8C"/>
    <w:rsid w:val="76F91C2A"/>
    <w:rsid w:val="77147E3D"/>
    <w:rsid w:val="77562B88"/>
    <w:rsid w:val="77862AE9"/>
    <w:rsid w:val="77A34805"/>
    <w:rsid w:val="77BA09E4"/>
    <w:rsid w:val="77F84DAF"/>
    <w:rsid w:val="78484BB6"/>
    <w:rsid w:val="784F3822"/>
    <w:rsid w:val="78921594"/>
    <w:rsid w:val="794744F9"/>
    <w:rsid w:val="794C5FB4"/>
    <w:rsid w:val="79A13CA0"/>
    <w:rsid w:val="79D312B4"/>
    <w:rsid w:val="79D9428D"/>
    <w:rsid w:val="7A7506D3"/>
    <w:rsid w:val="7AB84E1F"/>
    <w:rsid w:val="7B4927AB"/>
    <w:rsid w:val="7B6D7A58"/>
    <w:rsid w:val="7B7A70D8"/>
    <w:rsid w:val="7BB4353E"/>
    <w:rsid w:val="7BB726C2"/>
    <w:rsid w:val="7BF30DFF"/>
    <w:rsid w:val="7BFA1CF7"/>
    <w:rsid w:val="7C105077"/>
    <w:rsid w:val="7C315F76"/>
    <w:rsid w:val="7C6347E5"/>
    <w:rsid w:val="7C7609BA"/>
    <w:rsid w:val="7CC223AE"/>
    <w:rsid w:val="7CCC5441"/>
    <w:rsid w:val="7D356D6C"/>
    <w:rsid w:val="7D5A3A73"/>
    <w:rsid w:val="7D5E3C9D"/>
    <w:rsid w:val="7D961A6D"/>
    <w:rsid w:val="7DF71ED7"/>
    <w:rsid w:val="7E0C592E"/>
    <w:rsid w:val="7E6E42D6"/>
    <w:rsid w:val="7EB9566A"/>
    <w:rsid w:val="7F037115"/>
    <w:rsid w:val="7F435763"/>
    <w:rsid w:val="7F567AD7"/>
    <w:rsid w:val="7F9E16B9"/>
    <w:rsid w:val="7FDF734A"/>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qFormat="1"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99"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9">
    <w:name w:val="heading 1"/>
    <w:basedOn w:val="1"/>
    <w:next w:val="1"/>
    <w:autoRedefine/>
    <w:qFormat/>
    <w:uiPriority w:val="0"/>
    <w:pPr>
      <w:keepNext/>
      <w:keepLines/>
      <w:spacing w:before="340" w:after="330" w:line="578" w:lineRule="auto"/>
      <w:outlineLvl w:val="0"/>
    </w:pPr>
    <w:rPr>
      <w:b/>
      <w:bCs/>
      <w:kern w:val="44"/>
      <w:sz w:val="44"/>
      <w:szCs w:val="44"/>
    </w:rPr>
  </w:style>
  <w:style w:type="paragraph" w:styleId="10">
    <w:name w:val="heading 2"/>
    <w:basedOn w:val="1"/>
    <w:next w:val="1"/>
    <w:autoRedefine/>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11">
    <w:name w:val="heading 3"/>
    <w:basedOn w:val="1"/>
    <w:next w:val="1"/>
    <w:autoRedefine/>
    <w:qFormat/>
    <w:uiPriority w:val="0"/>
    <w:pPr>
      <w:keepNext/>
      <w:keepLines/>
      <w:numPr>
        <w:ilvl w:val="2"/>
        <w:numId w:val="1"/>
      </w:numPr>
      <w:spacing w:before="260" w:after="260" w:line="416" w:lineRule="auto"/>
      <w:outlineLvl w:val="2"/>
    </w:pPr>
    <w:rPr>
      <w:b/>
      <w:bCs/>
      <w:kern w:val="0"/>
      <w:sz w:val="32"/>
      <w:szCs w:val="32"/>
    </w:rPr>
  </w:style>
  <w:style w:type="paragraph" w:styleId="12">
    <w:name w:val="heading 4"/>
    <w:basedOn w:val="1"/>
    <w:next w:val="1"/>
    <w:autoRedefine/>
    <w:semiHidden/>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6">
    <w:name w:val="Default Paragraph Font"/>
    <w:autoRedefine/>
    <w:semiHidden/>
    <w:qFormat/>
    <w:uiPriority w:val="0"/>
  </w:style>
  <w:style w:type="table" w:default="1" w:styleId="24">
    <w:name w:val="Normal Table"/>
    <w:autoRedefine/>
    <w:semiHidden/>
    <w:qFormat/>
    <w:uiPriority w:val="0"/>
    <w:tblPr>
      <w:tblCellMar>
        <w:top w:w="0" w:type="dxa"/>
        <w:left w:w="108" w:type="dxa"/>
        <w:bottom w:w="0" w:type="dxa"/>
        <w:right w:w="108" w:type="dxa"/>
      </w:tblCellMar>
    </w:tblPr>
  </w:style>
  <w:style w:type="paragraph" w:styleId="2">
    <w:name w:val="Body Text First Indent 2"/>
    <w:basedOn w:val="3"/>
    <w:next w:val="5"/>
    <w:autoRedefine/>
    <w:unhideWhenUsed/>
    <w:qFormat/>
    <w:uiPriority w:val="0"/>
    <w:pPr>
      <w:ind w:firstLine="210" w:firstLineChars="200"/>
    </w:pPr>
    <w:rPr>
      <w:kern w:val="2"/>
      <w:sz w:val="21"/>
      <w:szCs w:val="24"/>
    </w:rPr>
  </w:style>
  <w:style w:type="paragraph" w:styleId="3">
    <w:name w:val="Body Text Indent"/>
    <w:basedOn w:val="1"/>
    <w:next w:val="4"/>
    <w:autoRedefine/>
    <w:qFormat/>
    <w:uiPriority w:val="0"/>
    <w:pPr>
      <w:spacing w:after="120"/>
      <w:ind w:left="420" w:leftChars="200"/>
    </w:pPr>
    <w:rPr>
      <w:kern w:val="0"/>
      <w:sz w:val="24"/>
      <w:szCs w:val="20"/>
    </w:rPr>
  </w:style>
  <w:style w:type="paragraph" w:customStyle="1" w:styleId="4">
    <w:name w:val="样式 正文文本缩进 + 行距: 1.5 倍行距"/>
    <w:basedOn w:val="3"/>
    <w:autoRedefine/>
    <w:qFormat/>
    <w:uiPriority w:val="0"/>
    <w:pPr>
      <w:spacing w:after="120"/>
      <w:ind w:left="90" w:leftChars="32" w:firstLine="560" w:firstLineChars="200"/>
    </w:pPr>
    <w:rPr>
      <w:rFonts w:cs="宋体"/>
    </w:rPr>
  </w:style>
  <w:style w:type="paragraph" w:styleId="5">
    <w:name w:val="Body Text First Indent"/>
    <w:basedOn w:val="6"/>
    <w:next w:val="1"/>
    <w:autoRedefine/>
    <w:qFormat/>
    <w:uiPriority w:val="0"/>
    <w:pPr>
      <w:spacing w:line="360" w:lineRule="auto"/>
      <w:ind w:firstLine="420" w:firstLineChars="100"/>
    </w:pPr>
    <w:rPr>
      <w:rFonts w:ascii="Calibri" w:hAnsi="Calibri"/>
      <w:kern w:val="0"/>
      <w:sz w:val="24"/>
      <w:szCs w:val="20"/>
    </w:rPr>
  </w:style>
  <w:style w:type="paragraph" w:styleId="6">
    <w:name w:val="Body Text"/>
    <w:basedOn w:val="1"/>
    <w:next w:val="7"/>
    <w:autoRedefine/>
    <w:semiHidden/>
    <w:qFormat/>
    <w:uiPriority w:val="0"/>
    <w:rPr>
      <w:rFonts w:ascii="Arial" w:hAnsi="Arial" w:eastAsia="Arial" w:cs="Arial"/>
      <w:sz w:val="21"/>
      <w:szCs w:val="21"/>
      <w:lang w:val="en-US" w:eastAsia="en-US" w:bidi="ar-SA"/>
    </w:rPr>
  </w:style>
  <w:style w:type="paragraph" w:styleId="7">
    <w:name w:val="List Bullet 5"/>
    <w:basedOn w:val="1"/>
    <w:autoRedefine/>
    <w:qFormat/>
    <w:uiPriority w:val="0"/>
    <w:pPr>
      <w:numPr>
        <w:ilvl w:val="0"/>
        <w:numId w:val="2"/>
      </w:numPr>
    </w:pPr>
  </w:style>
  <w:style w:type="paragraph" w:styleId="8">
    <w:name w:val="macro"/>
    <w:autoRedefine/>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line="320" w:lineRule="exact"/>
      <w:jc w:val="center"/>
    </w:pPr>
    <w:rPr>
      <w:rFonts w:ascii="Courier New" w:hAnsi="Courier New" w:eastAsia="宋体" w:cs="Times New Roman"/>
      <w:kern w:val="2"/>
      <w:sz w:val="24"/>
      <w:szCs w:val="24"/>
      <w:lang w:val="en-US" w:eastAsia="zh-CN" w:bidi="ar-SA"/>
    </w:rPr>
  </w:style>
  <w:style w:type="paragraph" w:styleId="13">
    <w:name w:val="Normal Indent"/>
    <w:basedOn w:val="1"/>
    <w:autoRedefine/>
    <w:qFormat/>
    <w:uiPriority w:val="0"/>
    <w:pPr>
      <w:ind w:firstLine="420" w:firstLineChars="200"/>
    </w:pPr>
    <w:rPr>
      <w:rFonts w:ascii="Calibri" w:hAnsi="Calibri"/>
      <w:kern w:val="0"/>
      <w:sz w:val="20"/>
    </w:rPr>
  </w:style>
  <w:style w:type="paragraph" w:styleId="14">
    <w:name w:val="Plain Text"/>
    <w:basedOn w:val="1"/>
    <w:next w:val="1"/>
    <w:autoRedefine/>
    <w:qFormat/>
    <w:uiPriority w:val="0"/>
    <w:rPr>
      <w:rFonts w:ascii="宋体" w:hAnsi="Courier New"/>
      <w:kern w:val="0"/>
      <w:sz w:val="20"/>
      <w:szCs w:val="20"/>
    </w:rPr>
  </w:style>
  <w:style w:type="paragraph" w:styleId="15">
    <w:name w:val="Date"/>
    <w:basedOn w:val="1"/>
    <w:next w:val="1"/>
    <w:autoRedefine/>
    <w:qFormat/>
    <w:uiPriority w:val="0"/>
    <w:pPr>
      <w:widowControl/>
      <w:overflowPunct w:val="0"/>
      <w:autoSpaceDE w:val="0"/>
      <w:autoSpaceDN w:val="0"/>
      <w:adjustRightInd w:val="0"/>
      <w:textAlignment w:val="baseline"/>
    </w:pPr>
    <w:rPr>
      <w:rFonts w:ascii="黑体" w:hAnsi="Calibri" w:eastAsia="黑体"/>
      <w:kern w:val="0"/>
      <w:sz w:val="28"/>
      <w:szCs w:val="20"/>
      <w:lang w:val="en-GB"/>
    </w:rPr>
  </w:style>
  <w:style w:type="paragraph" w:styleId="16">
    <w:name w:val="Body Text Indent 2"/>
    <w:basedOn w:val="1"/>
    <w:next w:val="1"/>
    <w:autoRedefine/>
    <w:unhideWhenUsed/>
    <w:qFormat/>
    <w:uiPriority w:val="0"/>
    <w:pPr>
      <w:spacing w:line="480" w:lineRule="auto"/>
      <w:ind w:left="420" w:leftChars="200"/>
    </w:pPr>
  </w:style>
  <w:style w:type="paragraph" w:styleId="17">
    <w:name w:val="footer"/>
    <w:basedOn w:val="1"/>
    <w:autoRedefine/>
    <w:qFormat/>
    <w:uiPriority w:val="0"/>
    <w:pPr>
      <w:tabs>
        <w:tab w:val="center" w:pos="4153"/>
        <w:tab w:val="right" w:pos="8306"/>
      </w:tabs>
      <w:snapToGrid w:val="0"/>
      <w:jc w:val="left"/>
    </w:pPr>
    <w:rPr>
      <w:sz w:val="18"/>
    </w:rPr>
  </w:style>
  <w:style w:type="paragraph" w:styleId="1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9">
    <w:name w:val="toc 1"/>
    <w:basedOn w:val="1"/>
    <w:next w:val="1"/>
    <w:autoRedefine/>
    <w:unhideWhenUsed/>
    <w:qFormat/>
    <w:uiPriority w:val="39"/>
  </w:style>
  <w:style w:type="paragraph" w:styleId="20">
    <w:name w:val="toc 2"/>
    <w:basedOn w:val="1"/>
    <w:next w:val="1"/>
    <w:autoRedefine/>
    <w:qFormat/>
    <w:uiPriority w:val="39"/>
    <w:pPr>
      <w:ind w:left="210"/>
      <w:jc w:val="left"/>
    </w:pPr>
    <w:rPr>
      <w:smallCaps/>
      <w:sz w:val="20"/>
      <w:szCs w:val="20"/>
    </w:rPr>
  </w:style>
  <w:style w:type="paragraph" w:styleId="21">
    <w:name w:val="Message Header"/>
    <w:basedOn w:val="1"/>
    <w:autoRedefine/>
    <w:qFormat/>
    <w:uiPriority w:val="99"/>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rPr>
  </w:style>
  <w:style w:type="paragraph" w:styleId="22">
    <w:name w:val="Normal (Web)"/>
    <w:basedOn w:val="1"/>
    <w:autoRedefine/>
    <w:qFormat/>
    <w:uiPriority w:val="0"/>
    <w:pPr>
      <w:widowControl/>
      <w:spacing w:before="100" w:beforeAutospacing="1" w:after="100" w:afterAutospacing="1"/>
      <w:jc w:val="left"/>
    </w:pPr>
    <w:rPr>
      <w:rFonts w:ascii="宋体" w:hAnsi="宋体" w:cs="宋体"/>
      <w:color w:val="000000"/>
      <w:kern w:val="0"/>
      <w:sz w:val="24"/>
    </w:rPr>
  </w:style>
  <w:style w:type="paragraph" w:styleId="23">
    <w:name w:val="Title"/>
    <w:basedOn w:val="1"/>
    <w:next w:val="1"/>
    <w:autoRedefine/>
    <w:qFormat/>
    <w:uiPriority w:val="0"/>
    <w:pPr>
      <w:pageBreakBefore/>
      <w:outlineLvl w:val="0"/>
    </w:pPr>
    <w:rPr>
      <w:rFonts w:ascii="Cambria" w:hAnsi="Cambria"/>
      <w:b/>
      <w:bCs/>
      <w:sz w:val="32"/>
      <w:szCs w:val="32"/>
    </w:rPr>
  </w:style>
  <w:style w:type="table" w:styleId="25">
    <w:name w:val="Table Grid"/>
    <w:basedOn w:val="24"/>
    <w:autoRedefine/>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Hyperlink"/>
    <w:basedOn w:val="26"/>
    <w:autoRedefine/>
    <w:qFormat/>
    <w:uiPriority w:val="0"/>
    <w:rPr>
      <w:color w:val="0000FF"/>
      <w:u w:val="single"/>
    </w:rPr>
  </w:style>
  <w:style w:type="character" w:styleId="28">
    <w:name w:val="annotation reference"/>
    <w:basedOn w:val="26"/>
    <w:autoRedefine/>
    <w:qFormat/>
    <w:uiPriority w:val="0"/>
    <w:rPr>
      <w:sz w:val="21"/>
      <w:szCs w:val="21"/>
    </w:rPr>
  </w:style>
  <w:style w:type="paragraph" w:customStyle="1" w:styleId="29">
    <w:name w:val="11111"/>
    <w:basedOn w:val="1"/>
    <w:next w:val="1"/>
    <w:autoRedefine/>
    <w:qFormat/>
    <w:uiPriority w:val="0"/>
    <w:pPr>
      <w:spacing w:line="360" w:lineRule="auto"/>
      <w:ind w:firstLine="200" w:firstLineChars="200"/>
    </w:pPr>
    <w:rPr>
      <w:rFonts w:ascii="宋体" w:hAnsi="宋体" w:cs="宋体"/>
      <w:sz w:val="24"/>
    </w:rPr>
  </w:style>
  <w:style w:type="paragraph" w:customStyle="1" w:styleId="30">
    <w:name w:val="Normal (Web)1"/>
    <w:basedOn w:val="1"/>
    <w:next w:val="31"/>
    <w:autoRedefine/>
    <w:qFormat/>
    <w:uiPriority w:val="0"/>
    <w:pPr>
      <w:widowControl/>
      <w:jc w:val="left"/>
    </w:pPr>
    <w:rPr>
      <w:rFonts w:ascii="宋体" w:cs="Times New Roman"/>
      <w:kern w:val="0"/>
      <w:sz w:val="24"/>
      <w:szCs w:val="21"/>
    </w:rPr>
  </w:style>
  <w:style w:type="paragraph" w:customStyle="1" w:styleId="31">
    <w:name w:val="Date1"/>
    <w:basedOn w:val="1"/>
    <w:next w:val="1"/>
    <w:autoRedefine/>
    <w:qFormat/>
    <w:uiPriority w:val="0"/>
    <w:pPr>
      <w:adjustRightInd w:val="0"/>
      <w:textAlignment w:val="baseline"/>
    </w:pPr>
    <w:rPr>
      <w:szCs w:val="20"/>
    </w:rPr>
  </w:style>
  <w:style w:type="paragraph" w:customStyle="1" w:styleId="32">
    <w:name w:val="Default"/>
    <w:basedOn w:val="33"/>
    <w:autoRedefine/>
    <w:qFormat/>
    <w:uiPriority w:val="0"/>
    <w:pPr>
      <w:widowControl w:val="0"/>
      <w:autoSpaceDE w:val="0"/>
      <w:autoSpaceDN w:val="0"/>
      <w:adjustRightInd w:val="0"/>
    </w:pPr>
    <w:rPr>
      <w:rFonts w:ascii="仿宋_GB2312" w:hAnsi="Times New Roman" w:eastAsia="仿宋_GB2312" w:cs="Times New Roman"/>
      <w:color w:val="000000"/>
      <w:sz w:val="24"/>
      <w:szCs w:val="24"/>
      <w:lang w:val="en-US" w:eastAsia="zh-CN" w:bidi="ar-SA"/>
    </w:rPr>
  </w:style>
  <w:style w:type="paragraph" w:customStyle="1" w:styleId="33">
    <w:name w:val="纯文本1"/>
    <w:basedOn w:val="1"/>
    <w:autoRedefine/>
    <w:qFormat/>
    <w:uiPriority w:val="0"/>
    <w:pPr>
      <w:adjustRightInd w:val="0"/>
    </w:pPr>
    <w:rPr>
      <w:rFonts w:ascii="宋体" w:hAnsi="Courier New"/>
      <w:szCs w:val="20"/>
    </w:rPr>
  </w:style>
  <w:style w:type="table" w:customStyle="1" w:styleId="34">
    <w:name w:val="Table Normal"/>
    <w:autoRedefine/>
    <w:semiHidden/>
    <w:unhideWhenUsed/>
    <w:qFormat/>
    <w:uiPriority w:val="0"/>
    <w:tblPr>
      <w:tblCellMar>
        <w:top w:w="0" w:type="dxa"/>
        <w:left w:w="0" w:type="dxa"/>
        <w:bottom w:w="0" w:type="dxa"/>
        <w:right w:w="0" w:type="dxa"/>
      </w:tblCellMar>
    </w:tblPr>
  </w:style>
  <w:style w:type="paragraph" w:customStyle="1" w:styleId="35">
    <w:name w:val="Table Text"/>
    <w:basedOn w:val="1"/>
    <w:autoRedefine/>
    <w:semiHidden/>
    <w:qFormat/>
    <w:uiPriority w:val="0"/>
    <w:rPr>
      <w:rFonts w:ascii="Arial" w:hAnsi="Arial" w:eastAsia="Arial" w:cs="Arial"/>
      <w:sz w:val="21"/>
      <w:szCs w:val="21"/>
      <w:lang w:val="en-US" w:eastAsia="en-US" w:bidi="ar-SA"/>
    </w:rPr>
  </w:style>
  <w:style w:type="paragraph" w:customStyle="1" w:styleId="36">
    <w:name w:val="【表中文字】"/>
    <w:basedOn w:val="1"/>
    <w:autoRedefine/>
    <w:qFormat/>
    <w:uiPriority w:val="0"/>
    <w:pPr>
      <w:jc w:val="center"/>
    </w:pPr>
    <w:rPr>
      <w:rFonts w:ascii="Calibri" w:hAnsi="Calibri" w:cs="Times New Roman"/>
      <w:sz w:val="21"/>
      <w:szCs w:val="22"/>
    </w:rPr>
  </w:style>
  <w:style w:type="paragraph" w:customStyle="1" w:styleId="37">
    <w:name w:val="表中的文字"/>
    <w:basedOn w:val="38"/>
    <w:autoRedefine/>
    <w:qFormat/>
    <w:uiPriority w:val="0"/>
    <w:pPr>
      <w:spacing w:line="440" w:lineRule="exact"/>
      <w:ind w:firstLine="0" w:firstLineChars="0"/>
    </w:pPr>
    <w:rPr>
      <w:bCs/>
      <w:color w:val="000000"/>
      <w:kern w:val="0"/>
      <w:sz w:val="21"/>
      <w:szCs w:val="21"/>
    </w:rPr>
  </w:style>
  <w:style w:type="paragraph" w:customStyle="1" w:styleId="38">
    <w:name w:val="表中文字"/>
    <w:basedOn w:val="1"/>
    <w:autoRedefine/>
    <w:qFormat/>
    <w:uiPriority w:val="0"/>
    <w:pPr>
      <w:jc w:val="center"/>
    </w:pPr>
    <w:rPr>
      <w:szCs w:val="20"/>
    </w:rPr>
  </w:style>
  <w:style w:type="paragraph" w:customStyle="1" w:styleId="39">
    <w:name w:val="表头"/>
    <w:basedOn w:val="23"/>
    <w:next w:val="1"/>
    <w:autoRedefine/>
    <w:qFormat/>
    <w:uiPriority w:val="0"/>
    <w:pPr>
      <w:spacing w:before="120"/>
    </w:pPr>
    <w:rPr>
      <w:rFonts w:ascii="Calibri" w:hAnsi="宋体" w:eastAsia="仿宋_GB2312"/>
      <w:color w:val="000000"/>
      <w:kern w:val="0"/>
      <w:sz w:val="18"/>
      <w:szCs w:val="20"/>
    </w:rPr>
  </w:style>
  <w:style w:type="paragraph" w:customStyle="1" w:styleId="40">
    <w:name w:val="缩进2"/>
    <w:basedOn w:val="1"/>
    <w:autoRedefine/>
    <w:qFormat/>
    <w:uiPriority w:val="0"/>
    <w:pPr>
      <w:ind w:firstLine="476" w:firstLineChars="200"/>
    </w:pPr>
  </w:style>
  <w:style w:type="paragraph" w:customStyle="1" w:styleId="41">
    <w:name w:val="表格文字"/>
    <w:basedOn w:val="5"/>
    <w:next w:val="1"/>
    <w:autoRedefine/>
    <w:qFormat/>
    <w:uiPriority w:val="0"/>
    <w:pPr>
      <w:jc w:val="center"/>
    </w:pPr>
    <w:rPr>
      <w:rFonts w:ascii="new times roma" w:hAnsi="new times roma"/>
      <w:kern w:val="0"/>
      <w:sz w:val="20"/>
      <w:szCs w:val="20"/>
    </w:rPr>
  </w:style>
  <w:style w:type="paragraph" w:customStyle="1" w:styleId="42">
    <w:name w:val="表图头的文字"/>
    <w:basedOn w:val="1"/>
    <w:autoRedefine/>
    <w:qFormat/>
    <w:uiPriority w:val="0"/>
    <w:pPr>
      <w:spacing w:line="440" w:lineRule="exact"/>
      <w:ind w:firstLine="0" w:firstLineChars="0"/>
      <w:jc w:val="center"/>
    </w:pPr>
    <w:rPr>
      <w:b/>
      <w:bCs/>
      <w:color w:val="000000"/>
      <w:kern w:val="0"/>
      <w:sz w:val="24"/>
      <w:szCs w:val="20"/>
    </w:rPr>
  </w:style>
  <w:style w:type="character" w:customStyle="1" w:styleId="43">
    <w:name w:val="font31"/>
    <w:basedOn w:val="26"/>
    <w:autoRedefine/>
    <w:qFormat/>
    <w:uiPriority w:val="0"/>
    <w:rPr>
      <w:rFonts w:hint="eastAsia" w:ascii="宋体" w:hAnsi="宋体" w:eastAsia="宋体" w:cs="宋体"/>
      <w:b/>
      <w:color w:val="000000"/>
      <w:sz w:val="20"/>
      <w:szCs w:val="20"/>
      <w:u w:val="none"/>
    </w:rPr>
  </w:style>
  <w:style w:type="paragraph" w:customStyle="1" w:styleId="44">
    <w:name w:val="p0"/>
    <w:basedOn w:val="1"/>
    <w:autoRedefine/>
    <w:qFormat/>
    <w:uiPriority w:val="0"/>
    <w:rPr>
      <w:kern w:val="0"/>
      <w:szCs w:val="21"/>
    </w:rPr>
  </w:style>
  <w:style w:type="paragraph" w:customStyle="1" w:styleId="45">
    <w:name w:val="【正文】"/>
    <w:basedOn w:val="1"/>
    <w:link w:val="65"/>
    <w:autoRedefine/>
    <w:qFormat/>
    <w:uiPriority w:val="0"/>
    <w:pPr>
      <w:spacing w:line="500" w:lineRule="exact"/>
      <w:ind w:firstLine="480" w:firstLineChars="200"/>
    </w:pPr>
    <w:rPr>
      <w:rFonts w:ascii="Times New Roman" w:hAnsi="Times New Roman" w:eastAsia="宋体" w:cs="Times New Roman"/>
      <w:sz w:val="24"/>
    </w:rPr>
  </w:style>
  <w:style w:type="paragraph" w:customStyle="1" w:styleId="46">
    <w:name w:val="表格正文"/>
    <w:next w:val="47"/>
    <w:autoRedefine/>
    <w:qFormat/>
    <w:uiPriority w:val="0"/>
    <w:pPr>
      <w:jc w:val="center"/>
    </w:pPr>
    <w:rPr>
      <w:rFonts w:ascii="Times New Roman" w:hAnsi="Times New Roman" w:eastAsia="仿宋_GB2312" w:cs="Times New Roman"/>
      <w:kern w:val="2"/>
      <w:sz w:val="21"/>
      <w:lang w:val="en-US" w:eastAsia="zh-CN" w:bidi="ar-SA"/>
    </w:rPr>
  </w:style>
  <w:style w:type="paragraph" w:customStyle="1" w:styleId="47">
    <w:name w:val="正"/>
    <w:basedOn w:val="1"/>
    <w:autoRedefine/>
    <w:qFormat/>
    <w:uiPriority w:val="0"/>
    <w:pPr>
      <w:spacing w:line="360" w:lineRule="auto"/>
      <w:ind w:firstLine="200" w:firstLineChars="200"/>
    </w:pPr>
    <w:rPr>
      <w:kern w:val="2"/>
      <w:sz w:val="24"/>
      <w:szCs w:val="24"/>
    </w:rPr>
  </w:style>
  <w:style w:type="paragraph" w:customStyle="1" w:styleId="48">
    <w:name w:val="1表格"/>
    <w:basedOn w:val="13"/>
    <w:autoRedefine/>
    <w:qFormat/>
    <w:uiPriority w:val="0"/>
    <w:pPr>
      <w:snapToGrid w:val="0"/>
      <w:jc w:val="center"/>
    </w:pPr>
    <w:rPr>
      <w:color w:val="000000"/>
      <w:spacing w:val="4"/>
      <w:kern w:val="0"/>
    </w:rPr>
  </w:style>
  <w:style w:type="paragraph" w:customStyle="1" w:styleId="49">
    <w:name w:val="样式 标题 1 + 首行缩进:  2 字符"/>
    <w:basedOn w:val="6"/>
    <w:next w:val="1"/>
    <w:autoRedefine/>
    <w:qFormat/>
    <w:uiPriority w:val="0"/>
    <w:pPr>
      <w:ind w:firstLine="200"/>
    </w:pPr>
    <w:rPr>
      <w:rFonts w:cs="宋体"/>
      <w:szCs w:val="20"/>
    </w:rPr>
  </w:style>
  <w:style w:type="paragraph" w:customStyle="1" w:styleId="50">
    <w:name w:val="【表头】"/>
    <w:basedOn w:val="1"/>
    <w:autoRedefine/>
    <w:qFormat/>
    <w:uiPriority w:val="0"/>
    <w:pPr>
      <w:spacing w:line="460" w:lineRule="exact"/>
      <w:jc w:val="center"/>
    </w:pPr>
    <w:rPr>
      <w:rFonts w:ascii="Calibri" w:hAnsi="Calibri" w:eastAsia="黑体"/>
      <w:kern w:val="0"/>
      <w:sz w:val="24"/>
      <w:szCs w:val="20"/>
    </w:rPr>
  </w:style>
  <w:style w:type="table" w:customStyle="1" w:styleId="51">
    <w:name w:val="[表格样式]"/>
    <w:basedOn w:val="24"/>
    <w:autoRedefine/>
    <w:qFormat/>
    <w:uiPriority w:val="99"/>
    <w:pPr>
      <w:adjustRightInd w:val="0"/>
      <w:snapToGrid w:val="0"/>
      <w:jc w:val="center"/>
    </w:pPr>
    <w:rPr>
      <w:rFonts w:ascii="Times New Roman" w:hAnsi="Times New Roman" w:eastAsia="宋体"/>
      <w:snapToGrid w:val="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character" w:customStyle="1" w:styleId="52">
    <w:name w:val="apple-style-span"/>
    <w:basedOn w:val="26"/>
    <w:autoRedefine/>
    <w:qFormat/>
    <w:uiPriority w:val="0"/>
  </w:style>
  <w:style w:type="paragraph" w:customStyle="1" w:styleId="53">
    <w:name w:val="论文正文"/>
    <w:basedOn w:val="13"/>
    <w:autoRedefine/>
    <w:qFormat/>
    <w:uiPriority w:val="0"/>
    <w:pPr>
      <w:ind w:firstLine="480" w:firstLineChars="200"/>
    </w:pPr>
    <w:rPr>
      <w:rFonts w:ascii="宋体" w:hAnsi="宋体"/>
      <w:sz w:val="28"/>
      <w:szCs w:val="24"/>
    </w:rPr>
  </w:style>
  <w:style w:type="character" w:customStyle="1" w:styleId="54">
    <w:name w:val="font21"/>
    <w:basedOn w:val="26"/>
    <w:autoRedefine/>
    <w:qFormat/>
    <w:uiPriority w:val="0"/>
    <w:rPr>
      <w:rFonts w:hint="default" w:ascii="Times New Roman" w:hAnsi="Times New Roman" w:cs="Times New Roman"/>
      <w:color w:val="000000"/>
      <w:sz w:val="21"/>
      <w:szCs w:val="21"/>
      <w:u w:val="none"/>
      <w:vertAlign w:val="superscript"/>
    </w:rPr>
  </w:style>
  <w:style w:type="character" w:customStyle="1" w:styleId="55">
    <w:name w:val="font01"/>
    <w:basedOn w:val="26"/>
    <w:autoRedefine/>
    <w:qFormat/>
    <w:uiPriority w:val="0"/>
    <w:rPr>
      <w:rFonts w:hint="default" w:ascii="Times New Roman" w:hAnsi="Times New Roman" w:cs="Times New Roman"/>
      <w:color w:val="000000"/>
      <w:sz w:val="21"/>
      <w:szCs w:val="21"/>
      <w:u w:val="none"/>
    </w:rPr>
  </w:style>
  <w:style w:type="character" w:customStyle="1" w:styleId="56">
    <w:name w:val="font41"/>
    <w:basedOn w:val="26"/>
    <w:autoRedefine/>
    <w:qFormat/>
    <w:uiPriority w:val="0"/>
    <w:rPr>
      <w:rFonts w:hint="eastAsia" w:ascii="宋体" w:hAnsi="宋体" w:eastAsia="宋体" w:cs="宋体"/>
      <w:color w:val="000000"/>
      <w:sz w:val="21"/>
      <w:szCs w:val="21"/>
      <w:u w:val="none"/>
    </w:rPr>
  </w:style>
  <w:style w:type="paragraph" w:customStyle="1" w:styleId="57">
    <w:name w:val="内容"/>
    <w:basedOn w:val="1"/>
    <w:autoRedefine/>
    <w:qFormat/>
    <w:uiPriority w:val="0"/>
    <w:pPr>
      <w:spacing w:line="360" w:lineRule="auto"/>
      <w:ind w:firstLine="454"/>
    </w:pPr>
    <w:rPr>
      <w:sz w:val="24"/>
    </w:rPr>
  </w:style>
  <w:style w:type="character" w:customStyle="1" w:styleId="58">
    <w:name w:val="apple-converted-space"/>
    <w:autoRedefine/>
    <w:qFormat/>
    <w:uiPriority w:val="0"/>
  </w:style>
  <w:style w:type="character" w:customStyle="1" w:styleId="59">
    <w:name w:val="font11"/>
    <w:basedOn w:val="26"/>
    <w:autoRedefine/>
    <w:qFormat/>
    <w:uiPriority w:val="0"/>
    <w:rPr>
      <w:rFonts w:hint="default" w:ascii="Times New Roman" w:hAnsi="Times New Roman" w:cs="Times New Roman"/>
      <w:color w:val="000000"/>
      <w:sz w:val="20"/>
      <w:szCs w:val="20"/>
      <w:u w:val="none"/>
    </w:rPr>
  </w:style>
  <w:style w:type="paragraph" w:customStyle="1" w:styleId="60">
    <w:name w:val="a正文"/>
    <w:basedOn w:val="61"/>
    <w:autoRedefine/>
    <w:qFormat/>
    <w:uiPriority w:val="0"/>
    <w:pPr>
      <w:spacing w:line="520" w:lineRule="exact"/>
      <w:ind w:firstLine="200"/>
    </w:pPr>
    <w:rPr>
      <w:sz w:val="24"/>
    </w:rPr>
  </w:style>
  <w:style w:type="paragraph" w:customStyle="1" w:styleId="61">
    <w:name w:val="正文格式"/>
    <w:basedOn w:val="1"/>
    <w:next w:val="1"/>
    <w:autoRedefine/>
    <w:qFormat/>
    <w:uiPriority w:val="0"/>
    <w:pPr>
      <w:spacing w:line="360" w:lineRule="auto"/>
      <w:ind w:firstLine="420" w:firstLineChars="200"/>
    </w:pPr>
    <w:rPr>
      <w:kern w:val="0"/>
      <w:szCs w:val="21"/>
    </w:rPr>
  </w:style>
  <w:style w:type="paragraph" w:customStyle="1" w:styleId="62">
    <w:name w:val="正文00"/>
    <w:basedOn w:val="9"/>
    <w:next w:val="1"/>
    <w:autoRedefine/>
    <w:qFormat/>
    <w:uiPriority w:val="0"/>
    <w:pPr>
      <w:keepNext w:val="0"/>
      <w:keepLines w:val="0"/>
      <w:spacing w:before="0" w:after="0" w:line="360" w:lineRule="auto"/>
      <w:ind w:firstLine="480" w:firstLineChars="200"/>
      <w:textAlignment w:val="center"/>
      <w:outlineLvl w:val="9"/>
    </w:pPr>
    <w:rPr>
      <w:b w:val="0"/>
      <w:bCs w:val="0"/>
      <w:color w:val="000000" w:themeColor="text1"/>
      <w:kern w:val="2"/>
      <w:sz w:val="24"/>
      <w:szCs w:val="24"/>
      <w14:textFill>
        <w14:solidFill>
          <w14:schemeClr w14:val="tx1"/>
        </w14:solidFill>
      </w14:textFill>
    </w:rPr>
  </w:style>
  <w:style w:type="paragraph" w:customStyle="1" w:styleId="63">
    <w:name w:val="表格内"/>
    <w:basedOn w:val="1"/>
    <w:autoRedefine/>
    <w:qFormat/>
    <w:uiPriority w:val="99"/>
    <w:pPr>
      <w:spacing w:line="360" w:lineRule="exact"/>
      <w:jc w:val="center"/>
    </w:pPr>
    <w:rPr>
      <w:rFonts w:eastAsia="Times New Roman"/>
      <w:szCs w:val="21"/>
    </w:rPr>
  </w:style>
  <w:style w:type="paragraph" w:customStyle="1" w:styleId="64">
    <w:name w:val="表文"/>
    <w:basedOn w:val="9"/>
    <w:next w:val="1"/>
    <w:autoRedefine/>
    <w:qFormat/>
    <w:uiPriority w:val="0"/>
    <w:pPr>
      <w:keepNext w:val="0"/>
      <w:keepLines w:val="0"/>
      <w:spacing w:before="0" w:after="0" w:line="500" w:lineRule="atLeast"/>
      <w:ind w:firstLine="425" w:firstLineChars="177"/>
      <w:jc w:val="center"/>
      <w:outlineLvl w:val="9"/>
    </w:pPr>
    <w:rPr>
      <w:b w:val="0"/>
      <w:bCs w:val="0"/>
      <w:kern w:val="2"/>
      <w:sz w:val="24"/>
      <w:szCs w:val="24"/>
    </w:rPr>
  </w:style>
  <w:style w:type="character" w:customStyle="1" w:styleId="65">
    <w:name w:val="【正文】 Char"/>
    <w:basedOn w:val="26"/>
    <w:link w:val="45"/>
    <w:autoRedefine/>
    <w:qFormat/>
    <w:uiPriority w:val="0"/>
    <w:rPr>
      <w:rFonts w:ascii="Times New Roman" w:hAnsi="Times New Roman" w:eastAsia="宋体" w:cs="Times New Roman"/>
      <w:sz w:val="24"/>
    </w:rPr>
  </w:style>
  <w:style w:type="table" w:customStyle="1" w:styleId="66">
    <w:name w:val="环评表格"/>
    <w:basedOn w:val="24"/>
    <w:autoRedefine/>
    <w:qFormat/>
    <w:uiPriority w:val="0"/>
    <w:pPr>
      <w:snapToGrid w:val="0"/>
      <w:jc w:val="center"/>
    </w:pPr>
    <w:rPr>
      <w:rFonts w:ascii="Times New Roman" w:hAnsi="Times New Roman" w:eastAsia="宋体" w:cs="Times New Roman"/>
      <w:kern w:val="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67">
    <w:name w:val="网格型5"/>
    <w:basedOn w:val="24"/>
    <w:autoRedefine/>
    <w:qFormat/>
    <w:uiPriority w:val="0"/>
    <w:pPr>
      <w:spacing w:line="240" w:lineRule="auto"/>
      <w:jc w:val="left"/>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68">
    <w:name w:val="WPSOffice手动目录 1"/>
    <w:autoRedefine/>
    <w:qFormat/>
    <w:uiPriority w:val="0"/>
    <w:pPr>
      <w:ind w:leftChars="0"/>
    </w:pPr>
    <w:rPr>
      <w:rFonts w:ascii="Times New Roman" w:hAnsi="Times New Roman" w:eastAsia="宋体" w:cs="Times New Roman"/>
      <w:sz w:val="20"/>
      <w:szCs w:val="20"/>
    </w:rPr>
  </w:style>
  <w:style w:type="paragraph" w:customStyle="1" w:styleId="69">
    <w:name w:val="WPSOffice手动目录 2"/>
    <w:autoRedefine/>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52.jpeg"/><Relationship Id="rId98" Type="http://schemas.openxmlformats.org/officeDocument/2006/relationships/image" Target="media/image51.png"/><Relationship Id="rId97" Type="http://schemas.openxmlformats.org/officeDocument/2006/relationships/image" Target="media/image50.png"/><Relationship Id="rId96" Type="http://schemas.openxmlformats.org/officeDocument/2006/relationships/oleObject" Target="embeddings/oleObject14.bin"/><Relationship Id="rId95" Type="http://schemas.openxmlformats.org/officeDocument/2006/relationships/image" Target="media/image49.png"/><Relationship Id="rId94" Type="http://schemas.openxmlformats.org/officeDocument/2006/relationships/oleObject" Target="embeddings/oleObject13.bin"/><Relationship Id="rId93" Type="http://schemas.openxmlformats.org/officeDocument/2006/relationships/image" Target="media/image48.png"/><Relationship Id="rId92" Type="http://schemas.openxmlformats.org/officeDocument/2006/relationships/image" Target="media/image47.emf"/><Relationship Id="rId91" Type="http://schemas.openxmlformats.org/officeDocument/2006/relationships/oleObject" Target="embeddings/oleObject12.bin"/><Relationship Id="rId90" Type="http://schemas.openxmlformats.org/officeDocument/2006/relationships/image" Target="media/image46.png"/><Relationship Id="rId9" Type="http://schemas.openxmlformats.org/officeDocument/2006/relationships/header" Target="header3.xml"/><Relationship Id="rId89" Type="http://schemas.openxmlformats.org/officeDocument/2006/relationships/image" Target="media/image45.emf"/><Relationship Id="rId88" Type="http://schemas.openxmlformats.org/officeDocument/2006/relationships/oleObject" Target="embeddings/oleObject11.bin"/><Relationship Id="rId87" Type="http://schemas.openxmlformats.org/officeDocument/2006/relationships/image" Target="media/image44.png"/><Relationship Id="rId86" Type="http://schemas.openxmlformats.org/officeDocument/2006/relationships/image" Target="media/image43.emf"/><Relationship Id="rId85" Type="http://schemas.openxmlformats.org/officeDocument/2006/relationships/image" Target="media/image42.emf"/><Relationship Id="rId84" Type="http://schemas.openxmlformats.org/officeDocument/2006/relationships/image" Target="media/image41.emf"/><Relationship Id="rId83" Type="http://schemas.openxmlformats.org/officeDocument/2006/relationships/image" Target="media/image40.png"/><Relationship Id="rId82" Type="http://schemas.openxmlformats.org/officeDocument/2006/relationships/image" Target="media/image39.png"/><Relationship Id="rId81" Type="http://schemas.openxmlformats.org/officeDocument/2006/relationships/image" Target="media/image38.emf"/><Relationship Id="rId80" Type="http://schemas.openxmlformats.org/officeDocument/2006/relationships/image" Target="media/image37.emf"/><Relationship Id="rId8" Type="http://schemas.openxmlformats.org/officeDocument/2006/relationships/footer" Target="footer2.xml"/><Relationship Id="rId79" Type="http://schemas.openxmlformats.org/officeDocument/2006/relationships/image" Target="media/image36.wmf"/><Relationship Id="rId78" Type="http://schemas.openxmlformats.org/officeDocument/2006/relationships/image" Target="media/image35.png"/><Relationship Id="rId77" Type="http://schemas.openxmlformats.org/officeDocument/2006/relationships/image" Target="media/image34.png"/><Relationship Id="rId76" Type="http://schemas.openxmlformats.org/officeDocument/2006/relationships/image" Target="media/image33.png"/><Relationship Id="rId75" Type="http://schemas.openxmlformats.org/officeDocument/2006/relationships/image" Target="media/image32.wmf"/><Relationship Id="rId74" Type="http://schemas.openxmlformats.org/officeDocument/2006/relationships/oleObject" Target="embeddings/oleObject10.bin"/><Relationship Id="rId73" Type="http://schemas.openxmlformats.org/officeDocument/2006/relationships/image" Target="media/image31.wmf"/><Relationship Id="rId72" Type="http://schemas.openxmlformats.org/officeDocument/2006/relationships/oleObject" Target="embeddings/oleObject9.bin"/><Relationship Id="rId71" Type="http://schemas.openxmlformats.org/officeDocument/2006/relationships/chart" Target="charts/chart6.xml"/><Relationship Id="rId70" Type="http://schemas.openxmlformats.org/officeDocument/2006/relationships/chart" Target="charts/chart5.xml"/><Relationship Id="rId7" Type="http://schemas.openxmlformats.org/officeDocument/2006/relationships/header" Target="header2.xml"/><Relationship Id="rId69" Type="http://schemas.openxmlformats.org/officeDocument/2006/relationships/chart" Target="charts/chart4.xml"/><Relationship Id="rId68" Type="http://schemas.openxmlformats.org/officeDocument/2006/relationships/chart" Target="charts/chart3.xml"/><Relationship Id="rId67" Type="http://schemas.openxmlformats.org/officeDocument/2006/relationships/chart" Target="charts/chart2.xml"/><Relationship Id="rId66" Type="http://schemas.openxmlformats.org/officeDocument/2006/relationships/chart" Target="charts/chart1.xml"/><Relationship Id="rId65" Type="http://schemas.openxmlformats.org/officeDocument/2006/relationships/image" Target="media/image30.jpeg"/><Relationship Id="rId64" Type="http://schemas.openxmlformats.org/officeDocument/2006/relationships/image" Target="media/image29.png"/><Relationship Id="rId63" Type="http://schemas.openxmlformats.org/officeDocument/2006/relationships/image" Target="media/image28.wmf"/><Relationship Id="rId62" Type="http://schemas.openxmlformats.org/officeDocument/2006/relationships/oleObject" Target="embeddings/oleObject8.bin"/><Relationship Id="rId61" Type="http://schemas.openxmlformats.org/officeDocument/2006/relationships/image" Target="media/image27.png"/><Relationship Id="rId60" Type="http://schemas.openxmlformats.org/officeDocument/2006/relationships/image" Target="media/image26.wmf"/><Relationship Id="rId6" Type="http://schemas.openxmlformats.org/officeDocument/2006/relationships/footer" Target="footer1.xml"/><Relationship Id="rId59" Type="http://schemas.openxmlformats.org/officeDocument/2006/relationships/image" Target="media/image25.wmf"/><Relationship Id="rId58" Type="http://schemas.openxmlformats.org/officeDocument/2006/relationships/image" Target="media/image24.wmf"/><Relationship Id="rId57" Type="http://schemas.openxmlformats.org/officeDocument/2006/relationships/image" Target="media/image23.wmf"/><Relationship Id="rId56" Type="http://schemas.openxmlformats.org/officeDocument/2006/relationships/image" Target="media/image22.wmf"/><Relationship Id="rId55" Type="http://schemas.openxmlformats.org/officeDocument/2006/relationships/image" Target="media/image21.png"/><Relationship Id="rId54" Type="http://schemas.openxmlformats.org/officeDocument/2006/relationships/image" Target="media/image20.png"/><Relationship Id="rId53" Type="http://schemas.openxmlformats.org/officeDocument/2006/relationships/image" Target="media/image19.emf"/><Relationship Id="rId52" Type="http://schemas.openxmlformats.org/officeDocument/2006/relationships/image" Target="media/image18.emf"/><Relationship Id="rId51" Type="http://schemas.openxmlformats.org/officeDocument/2006/relationships/image" Target="media/image17.png"/><Relationship Id="rId50" Type="http://schemas.openxmlformats.org/officeDocument/2006/relationships/image" Target="media/image16.png"/><Relationship Id="rId5" Type="http://schemas.openxmlformats.org/officeDocument/2006/relationships/header" Target="header1.xml"/><Relationship Id="rId49" Type="http://schemas.openxmlformats.org/officeDocument/2006/relationships/image" Target="media/image15.png"/><Relationship Id="rId48" Type="http://schemas.openxmlformats.org/officeDocument/2006/relationships/image" Target="media/image14.wmf"/><Relationship Id="rId47" Type="http://schemas.openxmlformats.org/officeDocument/2006/relationships/oleObject" Target="embeddings/oleObject7.bin"/><Relationship Id="rId46" Type="http://schemas.openxmlformats.org/officeDocument/2006/relationships/image" Target="media/image13.wmf"/><Relationship Id="rId45" Type="http://schemas.openxmlformats.org/officeDocument/2006/relationships/oleObject" Target="embeddings/oleObject6.bin"/><Relationship Id="rId44" Type="http://schemas.openxmlformats.org/officeDocument/2006/relationships/image" Target="media/image12.wmf"/><Relationship Id="rId43" Type="http://schemas.openxmlformats.org/officeDocument/2006/relationships/oleObject" Target="embeddings/oleObject5.bin"/><Relationship Id="rId42" Type="http://schemas.openxmlformats.org/officeDocument/2006/relationships/image" Target="media/image11.png"/><Relationship Id="rId41" Type="http://schemas.openxmlformats.org/officeDocument/2006/relationships/image" Target="media/image10.png"/><Relationship Id="rId40" Type="http://schemas.openxmlformats.org/officeDocument/2006/relationships/image" Target="media/image9.emf"/><Relationship Id="rId4" Type="http://schemas.openxmlformats.org/officeDocument/2006/relationships/endnotes" Target="endnotes.xml"/><Relationship Id="rId39" Type="http://schemas.openxmlformats.org/officeDocument/2006/relationships/oleObject" Target="embeddings/oleObject4.bin"/><Relationship Id="rId38" Type="http://schemas.openxmlformats.org/officeDocument/2006/relationships/image" Target="media/image8.emf"/><Relationship Id="rId37" Type="http://schemas.openxmlformats.org/officeDocument/2006/relationships/oleObject" Target="embeddings/oleObject3.bin"/><Relationship Id="rId36" Type="http://schemas.openxmlformats.org/officeDocument/2006/relationships/image" Target="media/image7.emf"/><Relationship Id="rId35" Type="http://schemas.openxmlformats.org/officeDocument/2006/relationships/oleObject" Target="embeddings/oleObject2.bin"/><Relationship Id="rId34" Type="http://schemas.openxmlformats.org/officeDocument/2006/relationships/image" Target="media/image6.png"/><Relationship Id="rId33" Type="http://schemas.openxmlformats.org/officeDocument/2006/relationships/image" Target="media/image5.png"/><Relationship Id="rId32" Type="http://schemas.openxmlformats.org/officeDocument/2006/relationships/image" Target="media/image4.emf"/><Relationship Id="rId31" Type="http://schemas.openxmlformats.org/officeDocument/2006/relationships/oleObject" Target="embeddings/oleObject1.bin"/><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jpeg"/><Relationship Id="rId28" Type="http://schemas.openxmlformats.org/officeDocument/2006/relationships/image" Target="media/image1.png"/><Relationship Id="rId27" Type="http://schemas.openxmlformats.org/officeDocument/2006/relationships/theme" Target="theme/theme1.xml"/><Relationship Id="rId26" Type="http://schemas.openxmlformats.org/officeDocument/2006/relationships/header" Target="header16.xml"/><Relationship Id="rId25" Type="http://schemas.openxmlformats.org/officeDocument/2006/relationships/footer" Target="footer6.xml"/><Relationship Id="rId24" Type="http://schemas.openxmlformats.org/officeDocument/2006/relationships/header" Target="header15.xml"/><Relationship Id="rId23" Type="http://schemas.openxmlformats.org/officeDocument/2006/relationships/header" Target="header14.xml"/><Relationship Id="rId22" Type="http://schemas.openxmlformats.org/officeDocument/2006/relationships/header" Target="header13.xml"/><Relationship Id="rId21" Type="http://schemas.openxmlformats.org/officeDocument/2006/relationships/header" Target="header12.xml"/><Relationship Id="rId20" Type="http://schemas.openxmlformats.org/officeDocument/2006/relationships/header" Target="header11.xml"/><Relationship Id="rId2" Type="http://schemas.openxmlformats.org/officeDocument/2006/relationships/settings" Target="settings.xml"/><Relationship Id="rId19" Type="http://schemas.openxmlformats.org/officeDocument/2006/relationships/footer" Target="footer5.xml"/><Relationship Id="rId18" Type="http://schemas.openxmlformats.org/officeDocument/2006/relationships/header" Target="header10.xml"/><Relationship Id="rId17" Type="http://schemas.openxmlformats.org/officeDocument/2006/relationships/footer" Target="footer4.xml"/><Relationship Id="rId16" Type="http://schemas.openxmlformats.org/officeDocument/2006/relationships/header" Target="header9.xml"/><Relationship Id="rId15" Type="http://schemas.openxmlformats.org/officeDocument/2006/relationships/footer" Target="footer3.xml"/><Relationship Id="rId14" Type="http://schemas.openxmlformats.org/officeDocument/2006/relationships/header" Target="header8.xml"/><Relationship Id="rId13" Type="http://schemas.openxmlformats.org/officeDocument/2006/relationships/header" Target="header7.xml"/><Relationship Id="rId12" Type="http://schemas.openxmlformats.org/officeDocument/2006/relationships/header" Target="header6.xml"/><Relationship Id="rId119" Type="http://schemas.openxmlformats.org/officeDocument/2006/relationships/fontTable" Target="fontTable.xml"/><Relationship Id="rId118" Type="http://schemas.openxmlformats.org/officeDocument/2006/relationships/numbering" Target="numbering.xml"/><Relationship Id="rId117" Type="http://schemas.openxmlformats.org/officeDocument/2006/relationships/customXml" Target="../customXml/item1.xml"/><Relationship Id="rId116" Type="http://schemas.openxmlformats.org/officeDocument/2006/relationships/image" Target="media/image69.png"/><Relationship Id="rId115" Type="http://schemas.openxmlformats.org/officeDocument/2006/relationships/image" Target="media/image68.png"/><Relationship Id="rId114" Type="http://schemas.openxmlformats.org/officeDocument/2006/relationships/image" Target="media/image67.png"/><Relationship Id="rId113" Type="http://schemas.openxmlformats.org/officeDocument/2006/relationships/image" Target="media/image66.png"/><Relationship Id="rId112" Type="http://schemas.openxmlformats.org/officeDocument/2006/relationships/image" Target="media/image65.png"/><Relationship Id="rId111" Type="http://schemas.openxmlformats.org/officeDocument/2006/relationships/image" Target="media/image64.png"/><Relationship Id="rId110" Type="http://schemas.openxmlformats.org/officeDocument/2006/relationships/image" Target="media/image63.png"/><Relationship Id="rId11" Type="http://schemas.openxmlformats.org/officeDocument/2006/relationships/header" Target="header5.xml"/><Relationship Id="rId109" Type="http://schemas.openxmlformats.org/officeDocument/2006/relationships/image" Target="media/image62.png"/><Relationship Id="rId108" Type="http://schemas.openxmlformats.org/officeDocument/2006/relationships/image" Target="media/image61.png"/><Relationship Id="rId107" Type="http://schemas.openxmlformats.org/officeDocument/2006/relationships/image" Target="media/image60.png"/><Relationship Id="rId106" Type="http://schemas.openxmlformats.org/officeDocument/2006/relationships/image" Target="media/image59.png"/><Relationship Id="rId105" Type="http://schemas.openxmlformats.org/officeDocument/2006/relationships/image" Target="media/image58.png"/><Relationship Id="rId104" Type="http://schemas.openxmlformats.org/officeDocument/2006/relationships/image" Target="media/image57.jpeg"/><Relationship Id="rId103" Type="http://schemas.openxmlformats.org/officeDocument/2006/relationships/image" Target="media/image56.jpeg"/><Relationship Id="rId102" Type="http://schemas.openxmlformats.org/officeDocument/2006/relationships/image" Target="media/image55.jpeg"/><Relationship Id="rId101" Type="http://schemas.openxmlformats.org/officeDocument/2006/relationships/image" Target="media/image54.jpeg"/><Relationship Id="rId100" Type="http://schemas.openxmlformats.org/officeDocument/2006/relationships/image" Target="media/image53.jpeg"/><Relationship Id="rId10" Type="http://schemas.openxmlformats.org/officeDocument/2006/relationships/header" Target="header4.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file:///E:\&#36213;\&#23578;&#24535;&#23648;&#23472;&#39033;&#30446;\&#24037;&#20316;&#31807;1.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E:\&#36213;\&#23578;&#24535;&#23648;&#23472;&#39033;&#30446;\&#24037;&#20316;&#31807;1.xlsx"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E:\&#36213;\&#23578;&#24535;&#23648;&#23472;&#39033;&#30446;\&#24037;&#20316;&#31807;1.xlsx"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E:\&#36213;\&#23578;&#24535;&#23648;&#23472;&#39033;&#30446;\&#24037;&#20316;&#31807;1.xlsx" TargetMode="External"/></Relationships>
</file>

<file path=word/charts/_rels/chart5.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oleObject" Target="file:///E:\&#36213;\&#23578;&#24535;&#23648;&#23472;&#39033;&#30446;\&#24037;&#20316;&#31807;1.xlsx" TargetMode="External"/></Relationships>
</file>

<file path=word/charts/_rels/chart6.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E:\&#36213;\&#23578;&#24535;&#23648;&#23472;&#39033;&#30446;\&#24037;&#20316;&#31807;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[工作簿1.xlsx]Sheet1!$A$23:$A$37</c:f>
              <c:numCache>
                <c:formatCode>General</c:formatCode>
                <c:ptCount val="15"/>
                <c:pt idx="0">
                  <c:v>0</c:v>
                </c:pt>
                <c:pt idx="1">
                  <c:v>10</c:v>
                </c:pt>
                <c:pt idx="2">
                  <c:v>20</c:v>
                </c:pt>
                <c:pt idx="3">
                  <c:v>30</c:v>
                </c:pt>
                <c:pt idx="4">
                  <c:v>40</c:v>
                </c:pt>
                <c:pt idx="5">
                  <c:v>50</c:v>
                </c:pt>
                <c:pt idx="6">
                  <c:v>55</c:v>
                </c:pt>
                <c:pt idx="7">
                  <c:v>60</c:v>
                </c:pt>
                <c:pt idx="8">
                  <c:v>65</c:v>
                </c:pt>
                <c:pt idx="9">
                  <c:v>70</c:v>
                </c:pt>
                <c:pt idx="10">
                  <c:v>75</c:v>
                </c:pt>
                <c:pt idx="11">
                  <c:v>80</c:v>
                </c:pt>
                <c:pt idx="12">
                  <c:v>90</c:v>
                </c:pt>
                <c:pt idx="13">
                  <c:v>100</c:v>
                </c:pt>
                <c:pt idx="14">
                  <c:v>110</c:v>
                </c:pt>
              </c:numCache>
            </c:numRef>
          </c:xVal>
          <c:yVal>
            <c:numRef>
              <c:f>[工作簿1.xlsx]Sheet1!$B$23:$B$37</c:f>
              <c:numCache>
                <c:formatCode>0.00E+00</c:formatCode>
                <c:ptCount val="15"/>
                <c:pt idx="0">
                  <c:v>1890</c:v>
                </c:pt>
                <c:pt idx="1">
                  <c:v>274</c:v>
                </c:pt>
                <c:pt idx="2">
                  <c:v>4.83</c:v>
                </c:pt>
                <c:pt idx="3">
                  <c:v>0.00833</c:v>
                </c:pt>
                <c:pt idx="4">
                  <c:v>1.3e-6</c:v>
                </c:pt>
                <c:pt idx="5">
                  <c:v>1.84e-11</c:v>
                </c:pt>
                <c:pt idx="6" c:formatCode="General">
                  <c:v>0</c:v>
                </c:pt>
                <c:pt idx="7" c:formatCode="General">
                  <c:v>0</c:v>
                </c:pt>
                <c:pt idx="8" c:formatCode="General">
                  <c:v>0</c:v>
                </c:pt>
                <c:pt idx="9" c:formatCode="General">
                  <c:v>0</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300405617"/>
        <c:axId val="809836805"/>
      </c:scatterChart>
      <c:valAx>
        <c:axId val="300405617"/>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距离（</a:t>
                </a:r>
                <a:r>
                  <a:rPr lang="en-US" altLang="zh-CN"/>
                  <a:t>m</a:t>
                </a:r>
                <a:r>
                  <a:rPr altLang="en-US"/>
                  <a:t>）</a:t>
                </a:r>
                <a:endParaRPr altLang="en-US"/>
              </a:p>
            </c:rich>
          </c:tx>
          <c:layout>
            <c:manualLayout>
              <c:xMode val="edge"/>
              <c:yMode val="edge"/>
              <c:x val="0.469151315789474"/>
              <c:y val="0.88402777777777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09836805"/>
        <c:crosses val="autoZero"/>
        <c:crossBetween val="midCat"/>
      </c:valAx>
      <c:valAx>
        <c:axId val="809836805"/>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a:t>
                </a:r>
                <a:r>
                  <a:rPr lang="en-US" altLang="zh-CN"/>
                  <a:t>mg/L</a:t>
                </a:r>
                <a:r>
                  <a:rPr altLang="en-US"/>
                  <a:t>）</a:t>
                </a:r>
                <a:endParaRPr altLang="en-US"/>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00405617"/>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[工作簿1.xlsx]Sheet1!$D$21:$D$22</c:f>
              <c:strCache>
                <c:ptCount val="1"/>
                <c:pt idx="0">
                  <c:v>1000天 浓度（mg/L）</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[工作簿1.xlsx]Sheet1!$C$23:$C$37</c:f>
              <c:numCache>
                <c:formatCode>General</c:formatCode>
                <c:ptCount val="15"/>
                <c:pt idx="0">
                  <c:v>0</c:v>
                </c:pt>
                <c:pt idx="1">
                  <c:v>10</c:v>
                </c:pt>
                <c:pt idx="2">
                  <c:v>20</c:v>
                </c:pt>
                <c:pt idx="3">
                  <c:v>30</c:v>
                </c:pt>
                <c:pt idx="4">
                  <c:v>40</c:v>
                </c:pt>
                <c:pt idx="5">
                  <c:v>50</c:v>
                </c:pt>
                <c:pt idx="6">
                  <c:v>90</c:v>
                </c:pt>
                <c:pt idx="7">
                  <c:v>100</c:v>
                </c:pt>
                <c:pt idx="8">
                  <c:v>120</c:v>
                </c:pt>
                <c:pt idx="9">
                  <c:v>150</c:v>
                </c:pt>
                <c:pt idx="10">
                  <c:v>200</c:v>
                </c:pt>
                <c:pt idx="11">
                  <c:v>210</c:v>
                </c:pt>
                <c:pt idx="12">
                  <c:v>220</c:v>
                </c:pt>
                <c:pt idx="13">
                  <c:v>230</c:v>
                </c:pt>
                <c:pt idx="14">
                  <c:v>240</c:v>
                </c:pt>
              </c:numCache>
            </c:numRef>
          </c:xVal>
          <c:yVal>
            <c:numRef>
              <c:f>[工作簿1.xlsx]Sheet1!$D$23:$D$37</c:f>
              <c:numCache>
                <c:formatCode>0.00E+00</c:formatCode>
                <c:ptCount val="15"/>
                <c:pt idx="0">
                  <c:v>1890</c:v>
                </c:pt>
                <c:pt idx="1">
                  <c:v>1440</c:v>
                </c:pt>
                <c:pt idx="2">
                  <c:v>927</c:v>
                </c:pt>
                <c:pt idx="3">
                  <c:v>493</c:v>
                </c:pt>
                <c:pt idx="4">
                  <c:v>213</c:v>
                </c:pt>
                <c:pt idx="5">
                  <c:v>74.1</c:v>
                </c:pt>
                <c:pt idx="6">
                  <c:v>0.109</c:v>
                </c:pt>
                <c:pt idx="7">
                  <c:v>0.0118</c:v>
                </c:pt>
                <c:pt idx="8">
                  <c:v>6.68e-5</c:v>
                </c:pt>
                <c:pt idx="9">
                  <c:v>4.71e-9</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839063486"/>
        <c:axId val="846943268"/>
      </c:scatterChart>
      <c:valAx>
        <c:axId val="839063486"/>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距离（</a:t>
                </a:r>
                <a:r>
                  <a:rPr lang="en-US" altLang="zh-CN"/>
                  <a:t>m</a:t>
                </a:r>
                <a:r>
                  <a:rPr altLang="en-US"/>
                  <a:t>）</a:t>
                </a:r>
                <a:endParaRPr altLang="en-US"/>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46943268"/>
        <c:crosses val="autoZero"/>
        <c:crossBetween val="midCat"/>
      </c:valAx>
      <c:valAx>
        <c:axId val="846943268"/>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a:t>
                </a:r>
                <a:r>
                  <a:rPr lang="en-US" altLang="zh-CN"/>
                  <a:t>mg/L)</a:t>
                </a:r>
                <a:endParaRPr lang="en-US" altLang="zh-CN"/>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39063486"/>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[工作簿1.xlsx]Sheet1!$E$23:$E$37</c:f>
              <c:numCache>
                <c:formatCode>General</c:formatCode>
                <c:ptCount val="15"/>
                <c:pt idx="0">
                  <c:v>0</c:v>
                </c:pt>
                <c:pt idx="1">
                  <c:v>10</c:v>
                </c:pt>
                <c:pt idx="2">
                  <c:v>50</c:v>
                </c:pt>
                <c:pt idx="3">
                  <c:v>100</c:v>
                </c:pt>
                <c:pt idx="4">
                  <c:v>200</c:v>
                </c:pt>
                <c:pt idx="5">
                  <c:v>300</c:v>
                </c:pt>
                <c:pt idx="6">
                  <c:v>400</c:v>
                </c:pt>
                <c:pt idx="7">
                  <c:v>500</c:v>
                </c:pt>
                <c:pt idx="8">
                  <c:v>600</c:v>
                </c:pt>
                <c:pt idx="9">
                  <c:v>700</c:v>
                </c:pt>
                <c:pt idx="10">
                  <c:v>800</c:v>
                </c:pt>
                <c:pt idx="11">
                  <c:v>850</c:v>
                </c:pt>
                <c:pt idx="12">
                  <c:v>900</c:v>
                </c:pt>
                <c:pt idx="13">
                  <c:v>950</c:v>
                </c:pt>
                <c:pt idx="14">
                  <c:v>1000</c:v>
                </c:pt>
              </c:numCache>
            </c:numRef>
          </c:xVal>
          <c:yVal>
            <c:numRef>
              <c:f>[工作簿1.xlsx]Sheet1!$F$23:$F$37</c:f>
              <c:numCache>
                <c:formatCode>0.00E+00</c:formatCode>
                <c:ptCount val="15"/>
                <c:pt idx="0">
                  <c:v>1890</c:v>
                </c:pt>
                <c:pt idx="1">
                  <c:v>1850</c:v>
                </c:pt>
                <c:pt idx="2">
                  <c:v>1520</c:v>
                </c:pt>
                <c:pt idx="3">
                  <c:v>776</c:v>
                </c:pt>
                <c:pt idx="4">
                  <c:v>26.9</c:v>
                </c:pt>
                <c:pt idx="5">
                  <c:v>0.041</c:v>
                </c:pt>
                <c:pt idx="6">
                  <c:v>1.36e-6</c:v>
                </c:pt>
                <c:pt idx="7">
                  <c:v>2.73e-12</c:v>
                </c:pt>
                <c:pt idx="8" c:formatCode="General">
                  <c:v>0</c:v>
                </c:pt>
                <c:pt idx="9" c:formatCode="General">
                  <c:v>0</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549104818"/>
        <c:axId val="355654394"/>
      </c:scatterChart>
      <c:valAx>
        <c:axId val="549104818"/>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距离（m）</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55654394"/>
        <c:crosses val="autoZero"/>
        <c:crossBetween val="midCat"/>
      </c:valAx>
      <c:valAx>
        <c:axId val="355654394"/>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浓度（mg/L）</a:t>
                </a:r>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49104818"/>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[工作簿1.xlsx]Sheet1!$G$23:$G$37</c:f>
              <c:numCache>
                <c:formatCode>General</c:formatCode>
                <c:ptCount val="15"/>
                <c:pt idx="0">
                  <c:v>0</c:v>
                </c:pt>
                <c:pt idx="1">
                  <c:v>10</c:v>
                </c:pt>
                <c:pt idx="2">
                  <c:v>20</c:v>
                </c:pt>
                <c:pt idx="3">
                  <c:v>30</c:v>
                </c:pt>
                <c:pt idx="4">
                  <c:v>40</c:v>
                </c:pt>
                <c:pt idx="5">
                  <c:v>50</c:v>
                </c:pt>
                <c:pt idx="6">
                  <c:v>55</c:v>
                </c:pt>
                <c:pt idx="7">
                  <c:v>60</c:v>
                </c:pt>
                <c:pt idx="8">
                  <c:v>65</c:v>
                </c:pt>
                <c:pt idx="9">
                  <c:v>70</c:v>
                </c:pt>
                <c:pt idx="10">
                  <c:v>75</c:v>
                </c:pt>
                <c:pt idx="11">
                  <c:v>80</c:v>
                </c:pt>
                <c:pt idx="12">
                  <c:v>90</c:v>
                </c:pt>
                <c:pt idx="13">
                  <c:v>100</c:v>
                </c:pt>
                <c:pt idx="14">
                  <c:v>110</c:v>
                </c:pt>
              </c:numCache>
            </c:numRef>
          </c:xVal>
          <c:yVal>
            <c:numRef>
              <c:f>[工作簿1.xlsx]Sheet1!$H$23:$H$37</c:f>
              <c:numCache>
                <c:formatCode>0.00E+00</c:formatCode>
                <c:ptCount val="15"/>
                <c:pt idx="0">
                  <c:v>142</c:v>
                </c:pt>
                <c:pt idx="1">
                  <c:v>20.6</c:v>
                </c:pt>
                <c:pt idx="2">
                  <c:v>0.363</c:v>
                </c:pt>
                <c:pt idx="3">
                  <c:v>0.000626</c:v>
                </c:pt>
                <c:pt idx="4">
                  <c:v>9.74e-8</c:v>
                </c:pt>
                <c:pt idx="5">
                  <c:v>1.38e-12</c:v>
                </c:pt>
                <c:pt idx="6" c:formatCode="General">
                  <c:v>0</c:v>
                </c:pt>
                <c:pt idx="7" c:formatCode="General">
                  <c:v>0</c:v>
                </c:pt>
                <c:pt idx="8" c:formatCode="General">
                  <c:v>0</c:v>
                </c:pt>
                <c:pt idx="9" c:formatCode="General">
                  <c:v>0</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296012915"/>
        <c:axId val="787920702"/>
      </c:scatterChart>
      <c:valAx>
        <c:axId val="296012915"/>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距离（m）</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87920702"/>
        <c:crosses val="autoZero"/>
        <c:crossBetween val="midCat"/>
      </c:valAx>
      <c:valAx>
        <c:axId val="787920702"/>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浓度（mg/L）</a:t>
                </a:r>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96012915"/>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[工作簿1.xlsx]Sheet1!$I$23:$I$37</c:f>
              <c:numCache>
                <c:formatCode>General</c:formatCode>
                <c:ptCount val="15"/>
                <c:pt idx="0">
                  <c:v>0</c:v>
                </c:pt>
                <c:pt idx="1">
                  <c:v>10</c:v>
                </c:pt>
                <c:pt idx="2">
                  <c:v>20</c:v>
                </c:pt>
                <c:pt idx="3">
                  <c:v>30</c:v>
                </c:pt>
                <c:pt idx="4">
                  <c:v>40</c:v>
                </c:pt>
                <c:pt idx="5">
                  <c:v>50</c:v>
                </c:pt>
                <c:pt idx="6">
                  <c:v>90</c:v>
                </c:pt>
                <c:pt idx="7">
                  <c:v>100</c:v>
                </c:pt>
                <c:pt idx="8">
                  <c:v>120</c:v>
                </c:pt>
                <c:pt idx="9">
                  <c:v>150</c:v>
                </c:pt>
                <c:pt idx="10">
                  <c:v>200</c:v>
                </c:pt>
                <c:pt idx="11">
                  <c:v>210</c:v>
                </c:pt>
                <c:pt idx="12">
                  <c:v>220</c:v>
                </c:pt>
                <c:pt idx="13">
                  <c:v>230</c:v>
                </c:pt>
                <c:pt idx="14">
                  <c:v>240</c:v>
                </c:pt>
              </c:numCache>
            </c:numRef>
          </c:xVal>
          <c:yVal>
            <c:numRef>
              <c:f>[工作簿1.xlsx]Sheet1!$J$23:$J$37</c:f>
              <c:numCache>
                <c:formatCode>0.00E+00</c:formatCode>
                <c:ptCount val="15"/>
                <c:pt idx="0">
                  <c:v>142</c:v>
                </c:pt>
                <c:pt idx="1">
                  <c:v>108</c:v>
                </c:pt>
                <c:pt idx="2">
                  <c:v>69.7</c:v>
                </c:pt>
                <c:pt idx="3">
                  <c:v>37</c:v>
                </c:pt>
                <c:pt idx="4">
                  <c:v>16</c:v>
                </c:pt>
                <c:pt idx="5">
                  <c:v>5.57</c:v>
                </c:pt>
                <c:pt idx="6">
                  <c:v>0.00818</c:v>
                </c:pt>
                <c:pt idx="7">
                  <c:v>0.000885</c:v>
                </c:pt>
                <c:pt idx="8">
                  <c:v>5.02e-6</c:v>
                </c:pt>
                <c:pt idx="9">
                  <c:v>3.54e-10</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620223212"/>
        <c:axId val="601755278"/>
      </c:scatterChart>
      <c:valAx>
        <c:axId val="620223212"/>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距离（m）</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01755278"/>
        <c:crosses val="autoZero"/>
        <c:crossBetween val="midCat"/>
      </c:valAx>
      <c:valAx>
        <c:axId val="601755278"/>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浓度（mg/L）</a:t>
                </a:r>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20223212"/>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[工作簿1.xlsx]Sheet1!$K$23:$K$37</c:f>
              <c:numCache>
                <c:formatCode>General</c:formatCode>
                <c:ptCount val="15"/>
                <c:pt idx="0">
                  <c:v>0</c:v>
                </c:pt>
                <c:pt idx="1">
                  <c:v>10</c:v>
                </c:pt>
                <c:pt idx="2">
                  <c:v>50</c:v>
                </c:pt>
                <c:pt idx="3">
                  <c:v>100</c:v>
                </c:pt>
                <c:pt idx="4">
                  <c:v>200</c:v>
                </c:pt>
                <c:pt idx="5">
                  <c:v>300</c:v>
                </c:pt>
                <c:pt idx="6">
                  <c:v>400</c:v>
                </c:pt>
                <c:pt idx="7">
                  <c:v>500</c:v>
                </c:pt>
                <c:pt idx="8">
                  <c:v>600</c:v>
                </c:pt>
                <c:pt idx="9">
                  <c:v>700</c:v>
                </c:pt>
                <c:pt idx="10">
                  <c:v>800</c:v>
                </c:pt>
                <c:pt idx="11">
                  <c:v>850</c:v>
                </c:pt>
                <c:pt idx="12">
                  <c:v>900</c:v>
                </c:pt>
                <c:pt idx="13">
                  <c:v>950</c:v>
                </c:pt>
                <c:pt idx="14">
                  <c:v>1000</c:v>
                </c:pt>
              </c:numCache>
            </c:numRef>
          </c:xVal>
          <c:yVal>
            <c:numRef>
              <c:f>[工作簿1.xlsx]Sheet1!$L$23:$L$37</c:f>
              <c:numCache>
                <c:formatCode>0.00E+00</c:formatCode>
                <c:ptCount val="15"/>
                <c:pt idx="0">
                  <c:v>142</c:v>
                </c:pt>
                <c:pt idx="1">
                  <c:v>139</c:v>
                </c:pt>
                <c:pt idx="2">
                  <c:v>114</c:v>
                </c:pt>
                <c:pt idx="3">
                  <c:v>58.3</c:v>
                </c:pt>
                <c:pt idx="4">
                  <c:v>2.02</c:v>
                </c:pt>
                <c:pt idx="5">
                  <c:v>0.00308</c:v>
                </c:pt>
                <c:pt idx="6">
                  <c:v>1.02e-7</c:v>
                </c:pt>
                <c:pt idx="7">
                  <c:v>2.05e-13</c:v>
                </c:pt>
                <c:pt idx="8" c:formatCode="General">
                  <c:v>0</c:v>
                </c:pt>
                <c:pt idx="9" c:formatCode="General">
                  <c:v>0</c:v>
                </c:pt>
                <c:pt idx="10" c:formatCode="General">
                  <c:v>0</c:v>
                </c:pt>
                <c:pt idx="11" c:formatCode="General">
                  <c:v>0</c:v>
                </c:pt>
                <c:pt idx="12" c:formatCode="General">
                  <c:v>0</c:v>
                </c:pt>
                <c:pt idx="13" c:formatCode="General">
                  <c:v>0</c:v>
                </c:pt>
                <c:pt idx="14" c:formatCode="General">
                  <c:v>0</c:v>
                </c:pt>
              </c:numCache>
            </c:numRef>
          </c:yVal>
          <c:smooth val="1"/>
        </c:ser>
        <c:dLbls>
          <c:showLegendKey val="0"/>
          <c:showVal val="0"/>
          <c:showCatName val="0"/>
          <c:showSerName val="0"/>
          <c:showPercent val="0"/>
          <c:showBubbleSize val="0"/>
        </c:dLbls>
        <c:axId val="972035561"/>
        <c:axId val="564183022"/>
      </c:scatterChart>
      <c:valAx>
        <c:axId val="972035561"/>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altLang="en-US"/>
                  <a:t>距离（</a:t>
                </a:r>
                <a:r>
                  <a:rPr lang="en-US" altLang="zh-CN"/>
                  <a:t>m</a:t>
                </a:r>
                <a:r>
                  <a:rPr altLang="en-US"/>
                  <a:t>）</a:t>
                </a:r>
                <a:endParaRPr lang="en-US" altLang="zh-CN"/>
              </a:p>
            </c:rich>
          </c:tx>
          <c:layout>
            <c:manualLayout>
              <c:xMode val="edge"/>
              <c:yMode val="edge"/>
              <c:x val="0.499842105263158"/>
              <c:y val="0.88055555555555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64183022"/>
        <c:crosses val="autoZero"/>
        <c:crossBetween val="midCat"/>
      </c:valAx>
      <c:valAx>
        <c:axId val="564183022"/>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浓度（mg/L）</a:t>
                </a:r>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72035561"/>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125"/>
    <customShpInfo spid="_x0000_s1611"/>
    <customShpInfo spid="_x0000_s1612"/>
    <customShpInfo spid="_x0000_s161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otalTime>3</TotalTime>
  <ScaleCrop>false</ScaleCrop>
  <LinksUpToDate>false</LinksUpToDate>
  <Application>WPS Office_12.1.0.16388_F1E327BC-269C-435d-A152-05C5408002CA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2022-05-31T16:57:00Z</dcterms:created>
  <dc:creator>边 佳</dc:creator>
  <cp:lastModifiedBy>Prejudice.</cp:lastModifiedBy>
  <dcterms:modified xsi:type="dcterms:W3CDTF">2024-03-06T03:12:58Z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2023-12-18T08:55:56Z</vt:filetime>
  </property>
  <property fmtid="{D5CDD505-2E9C-101B-9397-08002B2CF9AE}" pid="4" name="KSOProductBuildVer">
    <vt:lpwstr>2052-12.1.0.16388</vt:lpwstr>
  </property>
  <property fmtid="{D5CDD505-2E9C-101B-9397-08002B2CF9AE}" pid="5" name="ICV">
    <vt:lpwstr>79CAF31F8DAD44F1A8E3FF1978D87512_12</vt:lpwstr>
  </property>
</Properties>
</file>